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鄂托克前旗农村集体土地所有权日常动态更新及汇交项目(二次)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鄂托克前旗自然资源局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内蒙古众欣项目管理有限公司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ESZCQQS-C-F-250007.1B1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内蒙古众欣项目管理有限公司</w:t>
      </w:r>
      <w:r>
        <w:rPr>
          <w:rFonts w:ascii="仿宋_GB2312" w:hAnsi="仿宋_GB2312" w:cs="仿宋_GB2312" w:eastAsia="仿宋_GB2312"/>
        </w:rPr>
        <w:t xml:space="preserve"> 受 </w:t>
      </w:r>
      <w:r>
        <w:rPr>
          <w:rFonts w:ascii="仿宋_GB2312" w:hAnsi="仿宋_GB2312" w:cs="仿宋_GB2312" w:eastAsia="仿宋_GB2312"/>
        </w:rPr>
        <w:t>鄂托克前旗自然资源局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鄂托克前旗农村集体土地所有权日常动态更新及汇交项目(二次)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鄂托克前旗农村集体土地所有权日常动态更新及汇交项目(二次)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ESZCQQS-C-F-250007.1B1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431[2025]00071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610,000.00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鄂托克前旗农村集体土地所有权日常动态更新及汇交项目项目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610,000.00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软件和信息技术服务业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1、特定资格要求：供应商须具有测绘主管部门颁发的测绘乙级（含乙级）及以上资质，并在人员、设备、资金等方面具有相应的能力。（响应文件中需附相关资质文件扫描件）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内蒙古众欣项目管理有限公司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阿镇创业大厦A座13层1303室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李春辉</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13310331400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鄂托克前旗自然资源局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田磊</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13947751298</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代理服务费收费标准：参考内蒙古自治区建设工程招标代理服务收费指导意见（内工建协【2022】34号文）</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鄂托克前旗自然资源局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内蒙古众欣项目管理有限公司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为确保农村集体土地所有权登记工作正常开展，我局拟通过社会购买技术服务的方式来完成“日常+定期”更新机制,坚持动态更新、定期汇交更新成果,同时结合年度国土变更谓查工作，每年年底组织“回头看”，对来体土地所有权竞记成果进行整理核实、查漏补缺，予以补充完善、定期更新。</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合同签订后2年内</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采购人指定地点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1、1期：签订合同后，达到付款条件起10日，支付合同总金额的30.00%</w:t>
            </w:r>
          </w:p>
          <w:p>
            <w:pPr>
              <w:pStyle w:val="null5"/>
              <w:jc w:val="left"/>
            </w:pPr>
            <w:r>
              <w:rPr>
                <w:rFonts w:ascii="仿宋_GB2312" w:hAnsi="仿宋_GB2312" w:cs="仿宋_GB2312" w:eastAsia="仿宋_GB2312"/>
              </w:rPr>
              <w:t>2、2期：完成自治区汇交合格后，达到付款条件起10日，支付合同总金额的70.00%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标的名称：鄂托克前旗农村集体土地所有权日常动态更新及汇交项目项目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审查投标人2022或2023年度经会计师事务所出具的财务审计报告或其基本开户银行出具的近一年内的银行资信证明。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1.提供递交响应文件截止之日前连续3个月的良好缴纳税收的相关凭据。（以税务机关提供的纳税凭据或银行入账单为准） 2.提供递交响应文件截止之日前连续3个月缴纳社会保险的凭证。（以专用收据或社会保险缴纳清单为准） 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与的供应商（联合体）服务全部由符合政策要求的小型企业承接</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供应商须具有测绘主管部门颁发的测绘乙级（含乙级）及以上资质，并在人员、设备、资金等方面具有相应的能力。（响应文件中需附相关资质文件扫描件）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本采购包属于专门面向小微企业采购。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报价得分15.00分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总体技术方案</w:t>
            </w:r>
          </w:p>
        </w:tc>
        <w:tc>
          <w:tcPr>
            <w:tcW w:type="dxa" w:w="3115"/>
          </w:tcPr>
          <w:p>
            <w:pPr>
              <w:pStyle w:val="null5"/>
              <w:jc w:val="left"/>
            </w:pPr>
            <w:r>
              <w:rPr>
                <w:rFonts w:ascii="仿宋_GB2312" w:hAnsi="仿宋_GB2312" w:cs="仿宋_GB2312" w:eastAsia="仿宋_GB2312"/>
              </w:rPr>
              <w:t>对供应商项目技术方案编制情况进行评审。项目技术方案清晰、合理，整体工作阶段及任务划分、进度控制合理、关键时间节点把握科学准确，得13分；项目技术方案与技术路线比较清晰、合理，整体工作阶段及任务划分、进度控制比较合理、关键时间节点把握比较准确，得8分；项目技术方案与技术路线不够清晰、合理，整体工作阶段及任务划分、进度控制不够合理、关键时间节点把握不够准确，得4分；未提供得0分。</w:t>
            </w:r>
          </w:p>
        </w:tc>
        <w:tc>
          <w:tcPr>
            <w:tcW w:type="dxa" w:w="1038"/>
          </w:tcPr>
          <w:p>
            <w:pPr>
              <w:pStyle w:val="null5"/>
              <w:jc w:val="right"/>
            </w:pPr>
            <w:r>
              <w:rPr>
                <w:rFonts w:ascii="仿宋_GB2312" w:hAnsi="仿宋_GB2312" w:cs="仿宋_GB2312" w:eastAsia="仿宋_GB2312"/>
              </w:rPr>
              <w:t>13.00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进度保证措施</w:t>
            </w:r>
          </w:p>
        </w:tc>
        <w:tc>
          <w:tcPr>
            <w:tcW w:type="dxa" w:w="3115"/>
          </w:tcPr>
          <w:p>
            <w:pPr>
              <w:pStyle w:val="null5"/>
              <w:jc w:val="left"/>
            </w:pPr>
            <w:r>
              <w:rPr>
                <w:rFonts w:ascii="仿宋_GB2312" w:hAnsi="仿宋_GB2312" w:cs="仿宋_GB2312" w:eastAsia="仿宋_GB2312"/>
              </w:rPr>
              <w:t>对供应商针对项目技术保证措施安排情况进行评审。对工期进度设置合理，有详细的工作计划和应对措施，时间利用合理、可行、高效、科学，得11分；对工期进度设置较合理，工作计划和应对措施较详细，时间利用较合理、可行、高效、科学，得7分；对工期进度设置一般，工作计划和应对措施不够详细，时间利用一般合理、可行、高效、科学，得 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项目质量控制目标及措施</w:t>
            </w:r>
          </w:p>
        </w:tc>
        <w:tc>
          <w:tcPr>
            <w:tcW w:type="dxa" w:w="3115"/>
          </w:tcPr>
          <w:p>
            <w:pPr>
              <w:pStyle w:val="null5"/>
              <w:jc w:val="left"/>
            </w:pPr>
            <w:r>
              <w:rPr>
                <w:rFonts w:ascii="仿宋_GB2312" w:hAnsi="仿宋_GB2312" w:cs="仿宋_GB2312" w:eastAsia="仿宋_GB2312"/>
              </w:rPr>
              <w:t>项目质量控制目标及措施进行评审。质量控制有总目标，质量保障体系措施完善具有可行性，对各阶段的质量进行了准确的目标分解，对质量控制各分解目标有明确的控制点且合理，得11分；质量控制有总目标，质量保障体系措施完善具有可行性，对各阶段的质量进行了目标分解，但对质量控制各分解目标明确的控制点缺乏合理性，得7分；质量控制有总目标，质量保障体系措施不完善，缺少对各阶段的质量目标分解和控制点或目标分解和控制点缺乏合理性，得3分；未提供得0分。</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管理制度</w:t>
            </w:r>
          </w:p>
        </w:tc>
        <w:tc>
          <w:tcPr>
            <w:tcW w:type="dxa" w:w="3115"/>
          </w:tcPr>
          <w:p>
            <w:pPr>
              <w:pStyle w:val="null5"/>
              <w:jc w:val="left"/>
            </w:pPr>
            <w:r>
              <w:rPr>
                <w:rFonts w:ascii="仿宋_GB2312" w:hAnsi="仿宋_GB2312" w:cs="仿宋_GB2312" w:eastAsia="仿宋_GB2312"/>
              </w:rPr>
              <w:t>投标人具备合理健全的管理制度（包括但不限于人力资源管理制度、财务管理制度、档案管理制度、质量管理制度、保密管理制度、设备设施管理制度等）进行评审。供应商针对本项目的作业环境和作业区域特点制定了详细完善的管理制度，内容十分详尽、完善、合理，完全满足采购需求，得10分。供应商针对本项目的作业环境和作业区域特点制定了管理制度，较详细合理，内容较详尽、完善、合理，比较满足采购需求，得5分。供应商针对本项目的作业环境和作业区域特点制定了管理制度，但制度内容缺乏合理性，人员分工和配备情况基本满足本项目实施的需求得2分。未提供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根据投标供应商提供的服务承诺（包括后期服务承诺、售后服务点、服务标准、响应时间、定期回访等）进行评审，服务承诺完善，服务质量有保障、响应及时、综合内容全面完备，得9分；服务承诺较为完善，服务质量有一定保障、响应较及时、综合内容较完整，得5分；服务承诺偏简单，综合内容一般，得2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培训方案</w:t>
            </w:r>
          </w:p>
        </w:tc>
        <w:tc>
          <w:tcPr>
            <w:tcW w:type="dxa" w:w="3115"/>
          </w:tcPr>
          <w:p>
            <w:pPr>
              <w:pStyle w:val="null5"/>
              <w:jc w:val="left"/>
            </w:pPr>
            <w:r>
              <w:rPr>
                <w:rFonts w:ascii="仿宋_GB2312" w:hAnsi="仿宋_GB2312" w:cs="仿宋_GB2312" w:eastAsia="仿宋_GB2312"/>
              </w:rPr>
              <w:t>对供应商提供的培训方案进行评价；内容严谨、全面、详细、合理，有针对性，培训方案针对性很强、可操作性强，完全满足项目需求，得8分；内容较严谨、较全面、较详细、较合理，培训方案针对性较强、可操作性较强，满足项目要求，得4分；内容基本合理，偏简单，针对性、可操作性一般，基本满足项目要求，存在少量缺漏，得2分；无相关内容或差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项目技术重点、难点分析及应对措施</w:t>
            </w:r>
          </w:p>
        </w:tc>
        <w:tc>
          <w:tcPr>
            <w:tcW w:type="dxa" w:w="3115"/>
          </w:tcPr>
          <w:p>
            <w:pPr>
              <w:pStyle w:val="null5"/>
              <w:jc w:val="left"/>
            </w:pPr>
            <w:r>
              <w:rPr>
                <w:rFonts w:ascii="仿宋_GB2312" w:hAnsi="仿宋_GB2312" w:cs="仿宋_GB2312" w:eastAsia="仿宋_GB2312"/>
              </w:rPr>
              <w:t>供应商在全面掌握项目需求的基础上，有针对性的提炼出本次项目准备及实施过程中的重点、难点及关键点，并相应的制定解决、对策措施等内容进行评价。内容全面详细，针对性、可操作性强，完全满足项目要求，得8分；内容较为详细，针对性、可操作性较强，满足项目要求，得4分；内容偏简单，针对性、可操作性一般，基本满足项目要求，存在少量缺漏，得2分；其他或无相关内容得0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供应商近年来（2021年1月1日至今,以合同签订时间为准）承担过类似项目业绩的，有一项得2.5分，最多得5分，不提供则不得分。（注：投标文件须提供服务合同、中标通知书原件扫描件；以合同签订日期或中标通知书落款日期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项目负责人及技术负责人</w:t>
            </w:r>
          </w:p>
        </w:tc>
        <w:tc>
          <w:tcPr>
            <w:tcW w:type="dxa" w:w="3115"/>
          </w:tcPr>
          <w:p>
            <w:pPr>
              <w:pStyle w:val="null5"/>
              <w:jc w:val="left"/>
            </w:pPr>
            <w:r>
              <w:rPr>
                <w:rFonts w:ascii="仿宋_GB2312" w:hAnsi="仿宋_GB2312" w:cs="仿宋_GB2312" w:eastAsia="仿宋_GB2312"/>
              </w:rPr>
              <w:t>1、拟派项目负责人具备土地利用专业中级工程师证书的得2分，高级工程师的得 3分。 2、拟投入本项目技术负责人具有测绘专业中级及注册测绘师资格证书的，同时具备得3分，有其中一个的得1分，其他不得分。(注：评审时须提供职称证书原件扫描件以及投标截止日前连续3个月加盖社保机构公章的企业为个人缴纳的养老保险缴纳个人明细或对账单复印件或扫描件，退休人员无需提供社保缴费证明，需提供有效的与聘用单位签订的聘用劳动合同及退休证明。)</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其他项目人员</w:t>
            </w:r>
          </w:p>
        </w:tc>
        <w:tc>
          <w:tcPr>
            <w:tcW w:type="dxa" w:w="3115"/>
          </w:tcPr>
          <w:p>
            <w:pPr>
              <w:pStyle w:val="null5"/>
              <w:jc w:val="left"/>
            </w:pPr>
            <w:r>
              <w:rPr>
                <w:rFonts w:ascii="仿宋_GB2312" w:hAnsi="仿宋_GB2312" w:cs="仿宋_GB2312" w:eastAsia="仿宋_GB2312"/>
              </w:rPr>
              <w:t>拟投入本项目人员（除项目负责人，技术负责人）具有相关专业中级及以上工程师资格证得2分，本项最高得4分；(评审时须提供职称证书原件扫描件以及项目组成人员投标截止日前连续3个月加盖社保机构公章的企业为个人缴纳的养老保险缴纳个人明细或对账单复印件或扫描件，退休人员无需提供社保缴费证明，需提供有效的与聘用单位签订的聘用劳动合同及退休证明；)</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