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87EE45">
      <w:pPr>
        <w:ind w:firstLine="840" w:firstLineChars="30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内蒙古科技大学包头医学院第二附属医院医疗设备购置合同</w:t>
      </w:r>
    </w:p>
    <w:p w14:paraId="4F75ADA8">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采购方（以下简称甲方）</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内蒙古科技大学包头医学院第二附属医院</w:t>
      </w:r>
    </w:p>
    <w:p w14:paraId="6B3EE43D">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地址： 包头市青山区呼得木林大街30号</w:t>
      </w:r>
    </w:p>
    <w:p w14:paraId="46CFC328">
      <w:pPr>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联系人：</w:t>
      </w:r>
    </w:p>
    <w:p w14:paraId="60DFE9EA">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联系电话： ____________________</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rPr>
        <w:t>供应方（以下简称乙方）： ____________________</w:t>
      </w:r>
    </w:p>
    <w:p w14:paraId="13C1C721">
      <w:pPr>
        <w:rPr>
          <w:rFonts w:hint="eastAsia" w:asciiTheme="minorEastAsia" w:hAnsiTheme="minorEastAsia" w:cstheme="minorEastAsia"/>
          <w:sz w:val="28"/>
          <w:szCs w:val="28"/>
          <w:lang w:val="en-US" w:eastAsia="zh-CN"/>
        </w:rPr>
      </w:pPr>
      <w:r>
        <w:rPr>
          <w:rFonts w:hint="eastAsia" w:asciiTheme="minorEastAsia" w:hAnsiTheme="minorEastAsia" w:eastAsiaTheme="minorEastAsia" w:cstheme="minorEastAsia"/>
          <w:sz w:val="28"/>
          <w:szCs w:val="28"/>
        </w:rPr>
        <w:t>地址： ____________________</w:t>
      </w:r>
      <w:r>
        <w:rPr>
          <w:rFonts w:hint="eastAsia" w:asciiTheme="minorEastAsia" w:hAnsiTheme="minorEastAsia" w:cstheme="minorEastAsia"/>
          <w:sz w:val="28"/>
          <w:szCs w:val="28"/>
          <w:lang w:val="en-US" w:eastAsia="zh-CN"/>
        </w:rPr>
        <w:t xml:space="preserve"> </w:t>
      </w:r>
    </w:p>
    <w:p w14:paraId="7EAF4545">
      <w:pPr>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联系人：</w:t>
      </w:r>
      <w:r>
        <w:rPr>
          <w:rFonts w:hint="eastAsia" w:asciiTheme="minorEastAsia" w:hAnsiTheme="minorEastAsia" w:eastAsiaTheme="minorEastAsia" w:cstheme="minorEastAsia"/>
          <w:sz w:val="28"/>
          <w:szCs w:val="28"/>
        </w:rPr>
        <w:t>____________________</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rPr>
        <w:t>联系电话： ____________________</w:t>
      </w:r>
    </w:p>
    <w:p w14:paraId="28C0EB9A">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中华人民共和国民法典》《中华人民共和国招标投标法》《医疗器械监督管理条例》《中华人民共和国计量法》等有关法律法规的规定，甲、乙双方在平等自愿的基础上，就甲方向乙方购买医疗设备的相关事宜，经协商一致，签订本合同。</w:t>
      </w:r>
    </w:p>
    <w:p w14:paraId="31D5C768">
      <w:pPr>
        <w:numPr>
          <w:ilvl w:val="0"/>
          <w:numId w:val="0"/>
        </w:numPr>
        <w:ind w:firstLine="280" w:firstLineChars="1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kern w:val="2"/>
          <w:sz w:val="28"/>
          <w:szCs w:val="28"/>
          <w:lang w:val="en-US" w:eastAsia="zh-CN" w:bidi="ar-SA"/>
        </w:rPr>
        <w:t>第一条</w:t>
      </w:r>
      <w:r>
        <w:rPr>
          <w:rFonts w:hint="eastAsia" w:asciiTheme="minorEastAsia" w:hAnsiTheme="minorEastAsia" w:cstheme="minorEastAsia"/>
          <w:kern w:val="2"/>
          <w:sz w:val="28"/>
          <w:szCs w:val="28"/>
          <w:lang w:val="en-US" w:eastAsia="zh-CN" w:bidi="ar-SA"/>
        </w:rPr>
        <w:t xml:space="preserve"> </w:t>
      </w:r>
      <w:r>
        <w:rPr>
          <w:rFonts w:hint="eastAsia" w:asciiTheme="minorEastAsia" w:hAnsiTheme="minorEastAsia" w:eastAsiaTheme="minorEastAsia" w:cstheme="minorEastAsia"/>
          <w:sz w:val="28"/>
          <w:szCs w:val="28"/>
        </w:rPr>
        <w:t>合同标的及价款</w:t>
      </w:r>
    </w:p>
    <w:p w14:paraId="3FA7E3B8">
      <w:pPr>
        <w:widowControl w:val="0"/>
        <w:numPr>
          <w:ilvl w:val="0"/>
          <w:numId w:val="0"/>
        </w:numPr>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kern w:val="2"/>
          <w:sz w:val="28"/>
          <w:szCs w:val="28"/>
          <w:lang w:val="en-US" w:eastAsia="zh-CN" w:bidi="ar-SA"/>
        </w:rPr>
        <w:t>1.</w:t>
      </w:r>
      <w:r>
        <w:rPr>
          <w:rFonts w:hint="eastAsia" w:asciiTheme="minorEastAsia" w:hAnsiTheme="minorEastAsia" w:eastAsiaTheme="minorEastAsia" w:cstheme="minorEastAsia"/>
          <w:sz w:val="28"/>
          <w:szCs w:val="28"/>
        </w:rPr>
        <w:t>合同标的和价款：</w:t>
      </w:r>
    </w:p>
    <w:tbl>
      <w:tblPr>
        <w:tblStyle w:val="7"/>
        <w:tblW w:w="9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19"/>
        <w:gridCol w:w="3074"/>
        <w:gridCol w:w="601"/>
        <w:gridCol w:w="1083"/>
        <w:gridCol w:w="842"/>
        <w:gridCol w:w="601"/>
        <w:gridCol w:w="1324"/>
        <w:gridCol w:w="1324"/>
      </w:tblGrid>
      <w:tr w14:paraId="538C3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blHeade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4DB7CA0C">
            <w:pPr>
              <w:snapToGrid w:val="0"/>
              <w:spacing w:line="240" w:lineRule="auto"/>
              <w:ind w:left="0" w:leftChars="0" w:right="0" w:rightChars="0" w:firstLine="0" w:firstLineChars="0"/>
              <w:jc w:val="center"/>
              <w:textAlignment w:val="baseline"/>
              <w:rPr>
                <w:rStyle w:val="10"/>
                <w:rFonts w:ascii="宋体" w:hAnsi="宋体" w:eastAsia="宋体"/>
                <w:b/>
                <w:kern w:val="2"/>
                <w:sz w:val="24"/>
                <w:szCs w:val="24"/>
                <w:lang w:val="en-US" w:eastAsia="zh-CN" w:bidi="ar-SA"/>
              </w:rPr>
            </w:pPr>
            <w:r>
              <w:rPr>
                <w:rStyle w:val="10"/>
                <w:rFonts w:ascii="宋体" w:hAnsi="宋体" w:eastAsia="宋体"/>
                <w:b/>
                <w:kern w:val="2"/>
                <w:sz w:val="24"/>
                <w:szCs w:val="24"/>
                <w:lang w:val="en-US" w:eastAsia="zh-CN" w:bidi="ar-SA"/>
              </w:rPr>
              <w:t>序号</w:t>
            </w:r>
          </w:p>
        </w:tc>
        <w:tc>
          <w:tcPr>
            <w:tcW w:w="3074" w:type="dxa"/>
            <w:tcBorders>
              <w:top w:val="single" w:color="000000" w:sz="4" w:space="0"/>
              <w:left w:val="single" w:color="000000" w:sz="4" w:space="0"/>
              <w:bottom w:val="single" w:color="000000" w:sz="4" w:space="0"/>
              <w:right w:val="single" w:color="000000" w:sz="4" w:space="0"/>
            </w:tcBorders>
            <w:vAlign w:val="center"/>
          </w:tcPr>
          <w:p w14:paraId="1B61D22B">
            <w:pPr>
              <w:snapToGrid w:val="0"/>
              <w:spacing w:line="240" w:lineRule="auto"/>
              <w:ind w:left="0" w:leftChars="0" w:right="0" w:rightChars="0" w:firstLine="0" w:firstLineChars="0"/>
              <w:jc w:val="center"/>
              <w:textAlignment w:val="baseline"/>
              <w:rPr>
                <w:rStyle w:val="10"/>
                <w:rFonts w:ascii="宋体" w:hAnsi="宋体" w:eastAsia="宋体"/>
                <w:b/>
                <w:kern w:val="2"/>
                <w:sz w:val="24"/>
                <w:szCs w:val="24"/>
                <w:lang w:val="en-US" w:eastAsia="zh-CN" w:bidi="ar-SA"/>
              </w:rPr>
            </w:pPr>
            <w:r>
              <w:rPr>
                <w:rStyle w:val="10"/>
                <w:rFonts w:hint="eastAsia" w:ascii="宋体" w:hAnsi="宋体" w:eastAsia="宋体"/>
                <w:b/>
                <w:kern w:val="2"/>
                <w:sz w:val="24"/>
                <w:szCs w:val="24"/>
                <w:lang w:val="en-US" w:eastAsia="zh-CN" w:bidi="ar-SA"/>
              </w:rPr>
              <w:t>设备</w:t>
            </w:r>
            <w:r>
              <w:rPr>
                <w:rStyle w:val="10"/>
                <w:rFonts w:ascii="宋体" w:hAnsi="宋体" w:eastAsia="宋体"/>
                <w:b/>
                <w:kern w:val="2"/>
                <w:sz w:val="24"/>
                <w:szCs w:val="24"/>
                <w:lang w:val="en-US" w:eastAsia="zh-CN" w:bidi="ar-SA"/>
              </w:rPr>
              <w:t>名称</w:t>
            </w:r>
            <w:r>
              <w:rPr>
                <w:rStyle w:val="10"/>
                <w:rFonts w:hint="eastAsia" w:ascii="宋体" w:hAnsi="宋体" w:eastAsia="宋体"/>
                <w:b/>
                <w:kern w:val="2"/>
                <w:sz w:val="24"/>
                <w:szCs w:val="24"/>
                <w:lang w:val="en-US" w:eastAsia="zh-CN" w:bidi="ar-SA"/>
              </w:rPr>
              <w:t>（</w:t>
            </w:r>
            <w:r>
              <w:rPr>
                <w:rFonts w:ascii="宋体" w:hAnsi="Segoe UI" w:eastAsia="宋体" w:cs="Segoe UI"/>
                <w:b/>
                <w:i w:val="0"/>
                <w:iCs w:val="0"/>
                <w:caps w:val="0"/>
                <w:color w:val="0F1115"/>
                <w:spacing w:val="0"/>
                <w:sz w:val="24"/>
                <w:szCs w:val="22"/>
                <w:shd w:val="clear" w:fill="FFFFFF"/>
              </w:rPr>
              <w:t>医疗器械注册证名称</w:t>
            </w:r>
            <w:r>
              <w:rPr>
                <w:rStyle w:val="10"/>
                <w:rFonts w:hint="eastAsia" w:ascii="宋体" w:hAnsi="宋体" w:eastAsia="宋体"/>
                <w:b/>
                <w:kern w:val="2"/>
                <w:sz w:val="24"/>
                <w:szCs w:val="24"/>
                <w:lang w:val="en-US" w:eastAsia="zh-CN" w:bidi="ar-SA"/>
              </w:rPr>
              <w:t>）</w:t>
            </w:r>
          </w:p>
        </w:tc>
        <w:tc>
          <w:tcPr>
            <w:tcW w:w="601" w:type="dxa"/>
            <w:tcBorders>
              <w:top w:val="single" w:color="000000" w:sz="4" w:space="0"/>
              <w:left w:val="single" w:color="000000" w:sz="4" w:space="0"/>
              <w:bottom w:val="single" w:color="000000" w:sz="4" w:space="0"/>
              <w:right w:val="single" w:color="000000" w:sz="4" w:space="0"/>
            </w:tcBorders>
            <w:vAlign w:val="center"/>
          </w:tcPr>
          <w:p w14:paraId="056B58A5">
            <w:pPr>
              <w:snapToGrid w:val="0"/>
              <w:spacing w:line="240" w:lineRule="auto"/>
              <w:ind w:left="0" w:leftChars="0" w:right="0" w:rightChars="0" w:firstLine="0" w:firstLineChars="0"/>
              <w:jc w:val="center"/>
              <w:textAlignment w:val="baseline"/>
              <w:rPr>
                <w:rStyle w:val="10"/>
                <w:rFonts w:ascii="宋体" w:hAnsi="宋体" w:eastAsia="宋体"/>
                <w:b/>
                <w:kern w:val="2"/>
                <w:sz w:val="24"/>
                <w:szCs w:val="24"/>
                <w:lang w:val="en-US" w:eastAsia="zh-CN" w:bidi="ar-SA"/>
              </w:rPr>
            </w:pPr>
            <w:r>
              <w:rPr>
                <w:rStyle w:val="10"/>
                <w:rFonts w:ascii="宋体" w:hAnsi="宋体" w:eastAsia="宋体"/>
                <w:b/>
                <w:kern w:val="2"/>
                <w:sz w:val="24"/>
                <w:szCs w:val="24"/>
                <w:lang w:val="en-US" w:eastAsia="zh-CN" w:bidi="ar-SA"/>
              </w:rPr>
              <w:t>品牌</w:t>
            </w:r>
          </w:p>
        </w:tc>
        <w:tc>
          <w:tcPr>
            <w:tcW w:w="1083" w:type="dxa"/>
            <w:tcBorders>
              <w:top w:val="single" w:color="000000" w:sz="4" w:space="0"/>
              <w:left w:val="single" w:color="000000" w:sz="4" w:space="0"/>
              <w:bottom w:val="single" w:color="000000" w:sz="4" w:space="0"/>
              <w:right w:val="single" w:color="000000" w:sz="4" w:space="0"/>
            </w:tcBorders>
            <w:vAlign w:val="center"/>
          </w:tcPr>
          <w:p w14:paraId="01F7BDEF">
            <w:pPr>
              <w:snapToGrid w:val="0"/>
              <w:spacing w:line="240" w:lineRule="auto"/>
              <w:ind w:left="0" w:leftChars="0" w:right="0" w:rightChars="0" w:firstLine="0" w:firstLineChars="0"/>
              <w:jc w:val="center"/>
              <w:textAlignment w:val="baseline"/>
              <w:rPr>
                <w:rStyle w:val="10"/>
                <w:rFonts w:ascii="宋体" w:hAnsi="宋体" w:eastAsia="宋体"/>
                <w:b/>
                <w:kern w:val="2"/>
                <w:sz w:val="24"/>
                <w:szCs w:val="24"/>
                <w:lang w:val="en-US" w:eastAsia="zh-CN" w:bidi="ar-SA"/>
              </w:rPr>
            </w:pPr>
            <w:r>
              <w:rPr>
                <w:rStyle w:val="10"/>
                <w:rFonts w:ascii="宋体" w:hAnsi="宋体" w:eastAsia="宋体"/>
                <w:b/>
                <w:kern w:val="2"/>
                <w:sz w:val="24"/>
                <w:szCs w:val="24"/>
                <w:lang w:val="en-US" w:eastAsia="zh-CN" w:bidi="ar-SA"/>
              </w:rPr>
              <w:t>规格型号</w:t>
            </w:r>
          </w:p>
        </w:tc>
        <w:tc>
          <w:tcPr>
            <w:tcW w:w="842" w:type="dxa"/>
            <w:tcBorders>
              <w:top w:val="single" w:color="000000" w:sz="4" w:space="0"/>
              <w:left w:val="single" w:color="000000" w:sz="4" w:space="0"/>
              <w:bottom w:val="single" w:color="000000" w:sz="4" w:space="0"/>
              <w:right w:val="single" w:color="000000" w:sz="4" w:space="0"/>
            </w:tcBorders>
            <w:vAlign w:val="center"/>
          </w:tcPr>
          <w:p w14:paraId="0B581227">
            <w:pPr>
              <w:snapToGrid w:val="0"/>
              <w:spacing w:line="240" w:lineRule="auto"/>
              <w:ind w:left="0" w:leftChars="0" w:right="0" w:rightChars="0" w:firstLine="0" w:firstLineChars="0"/>
              <w:jc w:val="center"/>
              <w:textAlignment w:val="baseline"/>
              <w:rPr>
                <w:rStyle w:val="10"/>
                <w:rFonts w:hint="default" w:ascii="宋体" w:hAnsi="宋体" w:eastAsia="宋体"/>
                <w:b/>
                <w:kern w:val="2"/>
                <w:sz w:val="24"/>
                <w:szCs w:val="24"/>
                <w:lang w:val="en-US" w:eastAsia="zh-CN" w:bidi="ar-SA"/>
              </w:rPr>
            </w:pPr>
            <w:r>
              <w:rPr>
                <w:rStyle w:val="10"/>
                <w:rFonts w:hint="eastAsia" w:ascii="宋体" w:hAnsi="宋体" w:eastAsia="宋体"/>
                <w:b/>
                <w:kern w:val="2"/>
                <w:sz w:val="24"/>
                <w:szCs w:val="24"/>
                <w:lang w:val="en-US" w:eastAsia="zh-CN" w:bidi="ar-SA"/>
              </w:rPr>
              <w:t>原产地</w:t>
            </w:r>
          </w:p>
        </w:tc>
        <w:tc>
          <w:tcPr>
            <w:tcW w:w="601" w:type="dxa"/>
            <w:tcBorders>
              <w:top w:val="single" w:color="000000" w:sz="4" w:space="0"/>
              <w:left w:val="single" w:color="000000" w:sz="4" w:space="0"/>
              <w:bottom w:val="single" w:color="000000" w:sz="4" w:space="0"/>
              <w:right w:val="single" w:color="000000" w:sz="4" w:space="0"/>
            </w:tcBorders>
            <w:vAlign w:val="center"/>
          </w:tcPr>
          <w:p w14:paraId="4870F38A">
            <w:pPr>
              <w:snapToGrid w:val="0"/>
              <w:spacing w:line="240" w:lineRule="auto"/>
              <w:ind w:left="0" w:leftChars="0" w:right="0" w:rightChars="0" w:firstLine="0" w:firstLineChars="0"/>
              <w:jc w:val="center"/>
              <w:textAlignment w:val="baseline"/>
              <w:rPr>
                <w:rStyle w:val="10"/>
                <w:rFonts w:ascii="宋体" w:hAnsi="宋体" w:eastAsia="宋体"/>
                <w:b/>
                <w:kern w:val="2"/>
                <w:sz w:val="24"/>
                <w:szCs w:val="24"/>
                <w:lang w:val="en-US" w:eastAsia="zh-CN" w:bidi="ar-SA"/>
              </w:rPr>
            </w:pPr>
            <w:r>
              <w:rPr>
                <w:rStyle w:val="10"/>
                <w:rFonts w:ascii="宋体" w:hAnsi="宋体" w:eastAsia="宋体"/>
                <w:b/>
                <w:kern w:val="2"/>
                <w:sz w:val="24"/>
                <w:szCs w:val="24"/>
                <w:lang w:val="en-US" w:eastAsia="zh-CN" w:bidi="ar-SA"/>
              </w:rPr>
              <w:t>数量</w:t>
            </w:r>
          </w:p>
        </w:tc>
        <w:tc>
          <w:tcPr>
            <w:tcW w:w="1324" w:type="dxa"/>
            <w:tcBorders>
              <w:top w:val="single" w:color="000000" w:sz="4" w:space="0"/>
              <w:left w:val="single" w:color="000000" w:sz="4" w:space="0"/>
              <w:bottom w:val="single" w:color="000000" w:sz="4" w:space="0"/>
              <w:right w:val="single" w:color="000000" w:sz="4" w:space="0"/>
            </w:tcBorders>
            <w:vAlign w:val="center"/>
          </w:tcPr>
          <w:p w14:paraId="0FDC1EA1">
            <w:pPr>
              <w:snapToGrid w:val="0"/>
              <w:spacing w:line="240" w:lineRule="auto"/>
              <w:ind w:left="0" w:leftChars="0" w:right="0" w:rightChars="0" w:firstLine="0" w:firstLineChars="0"/>
              <w:jc w:val="center"/>
              <w:textAlignment w:val="baseline"/>
              <w:rPr>
                <w:rStyle w:val="10"/>
                <w:rFonts w:ascii="宋体" w:hAnsi="宋体" w:eastAsia="宋体"/>
                <w:b/>
                <w:kern w:val="2"/>
                <w:sz w:val="24"/>
                <w:szCs w:val="24"/>
                <w:lang w:val="en-US" w:eastAsia="zh-CN" w:bidi="ar-SA"/>
              </w:rPr>
            </w:pPr>
            <w:r>
              <w:rPr>
                <w:rStyle w:val="10"/>
                <w:rFonts w:ascii="宋体" w:hAnsi="宋体" w:eastAsia="宋体"/>
                <w:b/>
                <w:kern w:val="2"/>
                <w:sz w:val="24"/>
                <w:szCs w:val="24"/>
                <w:lang w:val="en-US" w:eastAsia="zh-CN" w:bidi="ar-SA"/>
              </w:rPr>
              <w:t>单价（元）</w:t>
            </w:r>
          </w:p>
        </w:tc>
        <w:tc>
          <w:tcPr>
            <w:tcW w:w="1324" w:type="dxa"/>
            <w:tcBorders>
              <w:top w:val="single" w:color="000000" w:sz="4" w:space="0"/>
              <w:left w:val="single" w:color="000000" w:sz="4" w:space="0"/>
              <w:bottom w:val="single" w:color="000000" w:sz="4" w:space="0"/>
              <w:right w:val="single" w:color="000000" w:sz="4" w:space="0"/>
            </w:tcBorders>
            <w:vAlign w:val="center"/>
          </w:tcPr>
          <w:p w14:paraId="005DD8B6">
            <w:pPr>
              <w:snapToGrid w:val="0"/>
              <w:spacing w:line="240" w:lineRule="auto"/>
              <w:ind w:left="0" w:leftChars="0" w:right="0" w:rightChars="0" w:firstLine="0" w:firstLineChars="0"/>
              <w:jc w:val="center"/>
              <w:textAlignment w:val="baseline"/>
              <w:rPr>
                <w:rStyle w:val="10"/>
                <w:rFonts w:ascii="宋体" w:hAnsi="宋体" w:eastAsia="宋体"/>
                <w:b/>
                <w:kern w:val="2"/>
                <w:sz w:val="24"/>
                <w:szCs w:val="24"/>
                <w:lang w:val="en-US" w:eastAsia="zh-CN" w:bidi="ar-SA"/>
              </w:rPr>
            </w:pPr>
            <w:r>
              <w:rPr>
                <w:rStyle w:val="10"/>
                <w:rFonts w:ascii="宋体" w:hAnsi="宋体" w:eastAsia="宋体"/>
                <w:b/>
                <w:kern w:val="2"/>
                <w:sz w:val="24"/>
                <w:szCs w:val="24"/>
                <w:lang w:val="en-US" w:eastAsia="zh-CN" w:bidi="ar-SA"/>
              </w:rPr>
              <w:t>总价（元）</w:t>
            </w:r>
          </w:p>
        </w:tc>
      </w:tr>
      <w:tr w14:paraId="616F1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03683D0C">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r>
              <w:rPr>
                <w:rStyle w:val="10"/>
                <w:rFonts w:hint="eastAsia" w:ascii="宋体" w:hAnsi="宋体" w:eastAsia="宋体" w:cs="Times New Roman"/>
                <w:kern w:val="2"/>
                <w:sz w:val="24"/>
                <w:szCs w:val="24"/>
                <w:lang w:val="en-US" w:eastAsia="zh-CN" w:bidi="ar-SA"/>
              </w:rPr>
              <w:t>1</w:t>
            </w:r>
          </w:p>
        </w:tc>
        <w:tc>
          <w:tcPr>
            <w:tcW w:w="3074" w:type="dxa"/>
            <w:tcBorders>
              <w:top w:val="single" w:color="000000" w:sz="4" w:space="0"/>
              <w:left w:val="single" w:color="000000" w:sz="4" w:space="0"/>
              <w:bottom w:val="single" w:color="000000" w:sz="4" w:space="0"/>
              <w:right w:val="single" w:color="000000" w:sz="4" w:space="0"/>
            </w:tcBorders>
            <w:vAlign w:val="center"/>
          </w:tcPr>
          <w:p w14:paraId="03F817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p>
        </w:tc>
        <w:tc>
          <w:tcPr>
            <w:tcW w:w="601" w:type="dxa"/>
            <w:tcBorders>
              <w:top w:val="single" w:color="000000" w:sz="4" w:space="0"/>
              <w:left w:val="single" w:color="000000" w:sz="4" w:space="0"/>
              <w:bottom w:val="single" w:color="000000" w:sz="4" w:space="0"/>
              <w:right w:val="single" w:color="000000" w:sz="4" w:space="0"/>
            </w:tcBorders>
            <w:vAlign w:val="center"/>
          </w:tcPr>
          <w:p w14:paraId="0F51ABF1">
            <w:pPr>
              <w:snapToGrid w:val="0"/>
              <w:spacing w:line="240" w:lineRule="auto"/>
              <w:ind w:left="0" w:leftChars="0" w:right="0" w:rightChars="0" w:firstLine="0" w:firstLineChars="0"/>
              <w:jc w:val="center"/>
              <w:textAlignment w:val="baseline"/>
              <w:rPr>
                <w:rStyle w:val="10"/>
                <w:rFonts w:hint="eastAsia" w:ascii="宋体" w:hAnsi="宋体" w:eastAsia="宋体" w:cs="Times New Roman"/>
                <w:kern w:val="2"/>
                <w:sz w:val="24"/>
                <w:szCs w:val="22"/>
                <w:lang w:val="en-US" w:eastAsia="zh-CN" w:bidi="ar-SA"/>
              </w:rPr>
            </w:pPr>
          </w:p>
        </w:tc>
        <w:tc>
          <w:tcPr>
            <w:tcW w:w="1083" w:type="dxa"/>
            <w:tcBorders>
              <w:top w:val="single" w:color="000000" w:sz="4" w:space="0"/>
              <w:left w:val="single" w:color="000000" w:sz="4" w:space="0"/>
              <w:bottom w:val="single" w:color="000000" w:sz="4" w:space="0"/>
              <w:right w:val="single" w:color="000000" w:sz="4" w:space="0"/>
            </w:tcBorders>
            <w:vAlign w:val="center"/>
          </w:tcPr>
          <w:p w14:paraId="12F2122D">
            <w:pPr>
              <w:snapToGrid w:val="0"/>
              <w:spacing w:line="240" w:lineRule="auto"/>
              <w:ind w:left="0" w:leftChars="0" w:right="0" w:rightChars="0" w:firstLine="0" w:firstLineChars="0"/>
              <w:jc w:val="center"/>
              <w:textAlignment w:val="baseline"/>
              <w:rPr>
                <w:rStyle w:val="10"/>
                <w:rFonts w:hint="eastAsia" w:ascii="宋体" w:hAnsi="宋体" w:eastAsia="宋体" w:cs="Times New Roman"/>
                <w:kern w:val="2"/>
                <w:sz w:val="24"/>
                <w:szCs w:val="24"/>
                <w:lang w:val="en-US" w:eastAsia="zh-CN" w:bidi="ar-SA"/>
              </w:rPr>
            </w:pPr>
          </w:p>
        </w:tc>
        <w:tc>
          <w:tcPr>
            <w:tcW w:w="842" w:type="dxa"/>
            <w:tcBorders>
              <w:top w:val="single" w:color="000000" w:sz="4" w:space="0"/>
              <w:left w:val="single" w:color="000000" w:sz="4" w:space="0"/>
              <w:bottom w:val="single" w:color="000000" w:sz="4" w:space="0"/>
              <w:right w:val="single" w:color="000000" w:sz="4" w:space="0"/>
            </w:tcBorders>
            <w:vAlign w:val="center"/>
          </w:tcPr>
          <w:p w14:paraId="3F177366">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601" w:type="dxa"/>
            <w:tcBorders>
              <w:top w:val="single" w:color="000000" w:sz="4" w:space="0"/>
              <w:left w:val="single" w:color="000000" w:sz="4" w:space="0"/>
              <w:bottom w:val="single" w:color="000000" w:sz="4" w:space="0"/>
              <w:right w:val="single" w:color="000000" w:sz="4" w:space="0"/>
            </w:tcBorders>
            <w:vAlign w:val="center"/>
          </w:tcPr>
          <w:p w14:paraId="07090E8B">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1324" w:type="dxa"/>
            <w:tcBorders>
              <w:top w:val="single" w:color="000000" w:sz="4" w:space="0"/>
              <w:left w:val="single" w:color="000000" w:sz="4" w:space="0"/>
              <w:bottom w:val="single" w:color="000000" w:sz="4" w:space="0"/>
              <w:right w:val="single" w:color="000000" w:sz="4" w:space="0"/>
            </w:tcBorders>
            <w:vAlign w:val="center"/>
          </w:tcPr>
          <w:p w14:paraId="0E49DF20">
            <w:pPr>
              <w:snapToGrid w:val="0"/>
              <w:spacing w:line="240" w:lineRule="auto"/>
              <w:ind w:left="0" w:leftChars="0" w:right="0" w:rightChars="0" w:firstLine="0" w:firstLineChars="0"/>
              <w:jc w:val="center"/>
              <w:textAlignment w:val="baseline"/>
              <w:rPr>
                <w:rStyle w:val="10"/>
                <w:rFonts w:hint="eastAsia" w:ascii="宋体" w:hAnsi="宋体" w:eastAsia="宋体" w:cs="Times New Roman"/>
                <w:kern w:val="2"/>
                <w:sz w:val="24"/>
                <w:szCs w:val="24"/>
                <w:lang w:val="en-US" w:eastAsia="zh-CN" w:bidi="ar-SA"/>
              </w:rPr>
            </w:pPr>
          </w:p>
        </w:tc>
        <w:tc>
          <w:tcPr>
            <w:tcW w:w="1324" w:type="dxa"/>
            <w:tcBorders>
              <w:left w:val="single" w:color="000000" w:sz="4" w:space="0"/>
              <w:right w:val="single" w:color="000000" w:sz="4" w:space="0"/>
            </w:tcBorders>
            <w:vAlign w:val="center"/>
          </w:tcPr>
          <w:p w14:paraId="0D40BC8B">
            <w:pPr>
              <w:snapToGrid w:val="0"/>
              <w:spacing w:line="240" w:lineRule="auto"/>
              <w:ind w:left="0" w:leftChars="0" w:right="0" w:rightChars="0" w:firstLine="0" w:firstLineChars="0"/>
              <w:jc w:val="right"/>
              <w:textAlignment w:val="baseline"/>
              <w:rPr>
                <w:rStyle w:val="10"/>
                <w:rFonts w:hint="default" w:ascii="宋体" w:hAnsi="宋体" w:eastAsia="宋体" w:cs="Times New Roman"/>
                <w:kern w:val="2"/>
                <w:sz w:val="24"/>
                <w:szCs w:val="24"/>
                <w:lang w:val="en-US" w:eastAsia="zh-CN" w:bidi="ar-SA"/>
              </w:rPr>
            </w:pPr>
          </w:p>
        </w:tc>
      </w:tr>
      <w:tr w14:paraId="40F75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43C92E3A">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r>
              <w:rPr>
                <w:rStyle w:val="10"/>
                <w:rFonts w:hint="eastAsia" w:ascii="宋体" w:hAnsi="宋体" w:eastAsia="宋体" w:cs="Times New Roman"/>
                <w:kern w:val="2"/>
                <w:sz w:val="24"/>
                <w:szCs w:val="24"/>
                <w:lang w:val="en-US" w:eastAsia="zh-CN" w:bidi="ar-SA"/>
              </w:rPr>
              <w:t>2</w:t>
            </w:r>
          </w:p>
        </w:tc>
        <w:tc>
          <w:tcPr>
            <w:tcW w:w="3074" w:type="dxa"/>
            <w:tcBorders>
              <w:top w:val="single" w:color="000000" w:sz="4" w:space="0"/>
              <w:left w:val="single" w:color="000000" w:sz="4" w:space="0"/>
              <w:bottom w:val="single" w:color="000000" w:sz="4" w:space="0"/>
              <w:right w:val="single" w:color="000000" w:sz="4" w:space="0"/>
            </w:tcBorders>
            <w:vAlign w:val="center"/>
          </w:tcPr>
          <w:p w14:paraId="194A24CD">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2"/>
                <w:sz w:val="24"/>
                <w:szCs w:val="24"/>
                <w:u w:val="none"/>
                <w:lang w:val="en-US" w:eastAsia="zh-CN" w:bidi="ar-SA"/>
              </w:rPr>
            </w:pPr>
          </w:p>
        </w:tc>
        <w:tc>
          <w:tcPr>
            <w:tcW w:w="601" w:type="dxa"/>
            <w:tcBorders>
              <w:top w:val="single" w:color="000000" w:sz="4" w:space="0"/>
              <w:left w:val="single" w:color="000000" w:sz="4" w:space="0"/>
              <w:bottom w:val="single" w:color="000000" w:sz="4" w:space="0"/>
              <w:right w:val="single" w:color="000000" w:sz="4" w:space="0"/>
            </w:tcBorders>
            <w:vAlign w:val="center"/>
          </w:tcPr>
          <w:p w14:paraId="254EEC2F">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2"/>
                <w:lang w:val="en-US" w:eastAsia="zh-CN" w:bidi="ar-SA"/>
              </w:rPr>
            </w:pPr>
          </w:p>
        </w:tc>
        <w:tc>
          <w:tcPr>
            <w:tcW w:w="1083" w:type="dxa"/>
            <w:tcBorders>
              <w:top w:val="single" w:color="000000" w:sz="4" w:space="0"/>
              <w:left w:val="single" w:color="000000" w:sz="4" w:space="0"/>
              <w:bottom w:val="single" w:color="000000" w:sz="4" w:space="0"/>
              <w:right w:val="single" w:color="000000" w:sz="4" w:space="0"/>
            </w:tcBorders>
            <w:vAlign w:val="center"/>
          </w:tcPr>
          <w:p w14:paraId="49F66FC8">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842" w:type="dxa"/>
            <w:tcBorders>
              <w:top w:val="single" w:color="000000" w:sz="4" w:space="0"/>
              <w:left w:val="single" w:color="000000" w:sz="4" w:space="0"/>
              <w:bottom w:val="single" w:color="000000" w:sz="4" w:space="0"/>
              <w:right w:val="single" w:color="000000" w:sz="4" w:space="0"/>
            </w:tcBorders>
            <w:vAlign w:val="center"/>
          </w:tcPr>
          <w:p w14:paraId="3CD5B0F7">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601" w:type="dxa"/>
            <w:tcBorders>
              <w:top w:val="single" w:color="000000" w:sz="4" w:space="0"/>
              <w:left w:val="single" w:color="000000" w:sz="4" w:space="0"/>
              <w:bottom w:val="single" w:color="000000" w:sz="4" w:space="0"/>
              <w:right w:val="single" w:color="000000" w:sz="4" w:space="0"/>
            </w:tcBorders>
            <w:vAlign w:val="center"/>
          </w:tcPr>
          <w:p w14:paraId="045CE1CA">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1324" w:type="dxa"/>
            <w:tcBorders>
              <w:top w:val="single" w:color="000000" w:sz="4" w:space="0"/>
              <w:left w:val="single" w:color="000000" w:sz="4" w:space="0"/>
              <w:bottom w:val="single" w:color="000000" w:sz="4" w:space="0"/>
              <w:right w:val="single" w:color="000000" w:sz="4" w:space="0"/>
            </w:tcBorders>
            <w:vAlign w:val="center"/>
          </w:tcPr>
          <w:p w14:paraId="5B64D323">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1324" w:type="dxa"/>
            <w:tcBorders>
              <w:left w:val="single" w:color="000000" w:sz="4" w:space="0"/>
              <w:right w:val="single" w:color="000000" w:sz="4" w:space="0"/>
            </w:tcBorders>
            <w:vAlign w:val="center"/>
          </w:tcPr>
          <w:p w14:paraId="70D860EA">
            <w:pPr>
              <w:snapToGrid w:val="0"/>
              <w:spacing w:line="240" w:lineRule="auto"/>
              <w:ind w:left="0" w:leftChars="0" w:right="0" w:rightChars="0" w:firstLine="0" w:firstLineChars="0"/>
              <w:jc w:val="right"/>
              <w:textAlignment w:val="baseline"/>
              <w:rPr>
                <w:rStyle w:val="10"/>
                <w:rFonts w:hint="default" w:ascii="宋体" w:hAnsi="宋体" w:eastAsia="宋体" w:cs="Times New Roman"/>
                <w:kern w:val="2"/>
                <w:sz w:val="24"/>
                <w:szCs w:val="24"/>
                <w:lang w:val="en-US" w:eastAsia="zh-CN" w:bidi="ar-SA"/>
              </w:rPr>
            </w:pPr>
          </w:p>
        </w:tc>
      </w:tr>
      <w:tr w14:paraId="1409E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50E363AA">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r>
              <w:rPr>
                <w:rStyle w:val="10"/>
                <w:rFonts w:hint="eastAsia" w:ascii="宋体" w:hAnsi="宋体" w:eastAsia="宋体" w:cs="Times New Roman"/>
                <w:kern w:val="2"/>
                <w:sz w:val="24"/>
                <w:szCs w:val="24"/>
                <w:lang w:val="en-US" w:eastAsia="zh-CN" w:bidi="ar-SA"/>
              </w:rPr>
              <w:t>3</w:t>
            </w:r>
          </w:p>
        </w:tc>
        <w:tc>
          <w:tcPr>
            <w:tcW w:w="3074" w:type="dxa"/>
            <w:tcBorders>
              <w:top w:val="single" w:color="000000" w:sz="4" w:space="0"/>
              <w:left w:val="single" w:color="000000" w:sz="4" w:space="0"/>
              <w:bottom w:val="single" w:color="000000" w:sz="4" w:space="0"/>
              <w:right w:val="single" w:color="000000" w:sz="4" w:space="0"/>
            </w:tcBorders>
            <w:vAlign w:val="center"/>
          </w:tcPr>
          <w:p w14:paraId="4903E940">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2"/>
                <w:lang w:val="en-US" w:eastAsia="zh-CN" w:bidi="ar-SA"/>
              </w:rPr>
            </w:pPr>
          </w:p>
        </w:tc>
        <w:tc>
          <w:tcPr>
            <w:tcW w:w="601" w:type="dxa"/>
            <w:tcBorders>
              <w:top w:val="single" w:color="000000" w:sz="4" w:space="0"/>
              <w:left w:val="single" w:color="000000" w:sz="4" w:space="0"/>
              <w:bottom w:val="single" w:color="000000" w:sz="4" w:space="0"/>
              <w:right w:val="single" w:color="000000" w:sz="4" w:space="0"/>
            </w:tcBorders>
            <w:vAlign w:val="center"/>
          </w:tcPr>
          <w:p w14:paraId="32ECB84E">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2"/>
                <w:lang w:val="en-US" w:eastAsia="zh-CN" w:bidi="ar-SA"/>
              </w:rPr>
            </w:pPr>
          </w:p>
        </w:tc>
        <w:tc>
          <w:tcPr>
            <w:tcW w:w="1083" w:type="dxa"/>
            <w:tcBorders>
              <w:top w:val="single" w:color="000000" w:sz="4" w:space="0"/>
              <w:left w:val="single" w:color="000000" w:sz="4" w:space="0"/>
              <w:bottom w:val="single" w:color="000000" w:sz="4" w:space="0"/>
              <w:right w:val="single" w:color="000000" w:sz="4" w:space="0"/>
            </w:tcBorders>
            <w:vAlign w:val="center"/>
          </w:tcPr>
          <w:p w14:paraId="3D844956">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842" w:type="dxa"/>
            <w:tcBorders>
              <w:top w:val="single" w:color="000000" w:sz="4" w:space="0"/>
              <w:left w:val="single" w:color="000000" w:sz="4" w:space="0"/>
              <w:bottom w:val="single" w:color="000000" w:sz="4" w:space="0"/>
              <w:right w:val="single" w:color="000000" w:sz="4" w:space="0"/>
            </w:tcBorders>
            <w:vAlign w:val="center"/>
          </w:tcPr>
          <w:p w14:paraId="56E526B5">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601" w:type="dxa"/>
            <w:tcBorders>
              <w:top w:val="single" w:color="000000" w:sz="4" w:space="0"/>
              <w:left w:val="single" w:color="000000" w:sz="4" w:space="0"/>
              <w:bottom w:val="single" w:color="000000" w:sz="4" w:space="0"/>
              <w:right w:val="single" w:color="000000" w:sz="4" w:space="0"/>
            </w:tcBorders>
            <w:vAlign w:val="center"/>
          </w:tcPr>
          <w:p w14:paraId="588B9B14">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1324" w:type="dxa"/>
            <w:tcBorders>
              <w:top w:val="single" w:color="000000" w:sz="4" w:space="0"/>
              <w:left w:val="single" w:color="000000" w:sz="4" w:space="0"/>
              <w:bottom w:val="single" w:color="000000" w:sz="4" w:space="0"/>
              <w:right w:val="single" w:color="000000" w:sz="4" w:space="0"/>
            </w:tcBorders>
            <w:vAlign w:val="center"/>
          </w:tcPr>
          <w:p w14:paraId="1C0D8CA8">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1324" w:type="dxa"/>
            <w:tcBorders>
              <w:left w:val="single" w:color="000000" w:sz="4" w:space="0"/>
              <w:right w:val="single" w:color="000000" w:sz="4" w:space="0"/>
            </w:tcBorders>
            <w:vAlign w:val="center"/>
          </w:tcPr>
          <w:p w14:paraId="6E73961E">
            <w:pPr>
              <w:snapToGrid w:val="0"/>
              <w:spacing w:line="240" w:lineRule="auto"/>
              <w:ind w:left="0" w:leftChars="0" w:right="0" w:rightChars="0" w:firstLine="0" w:firstLineChars="0"/>
              <w:jc w:val="right"/>
              <w:textAlignment w:val="baseline"/>
              <w:rPr>
                <w:rStyle w:val="10"/>
                <w:rFonts w:hint="default" w:ascii="宋体" w:hAnsi="宋体" w:eastAsia="宋体" w:cs="Times New Roman"/>
                <w:kern w:val="2"/>
                <w:sz w:val="24"/>
                <w:szCs w:val="24"/>
                <w:lang w:val="en-US" w:eastAsia="zh-CN" w:bidi="ar-SA"/>
              </w:rPr>
            </w:pPr>
          </w:p>
        </w:tc>
      </w:tr>
      <w:tr w14:paraId="469F6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2D03E887">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r>
              <w:rPr>
                <w:rStyle w:val="10"/>
                <w:rFonts w:hint="eastAsia" w:ascii="宋体" w:hAnsi="宋体" w:eastAsia="宋体" w:cs="Times New Roman"/>
                <w:kern w:val="2"/>
                <w:sz w:val="24"/>
                <w:szCs w:val="24"/>
                <w:lang w:val="en-US" w:eastAsia="zh-CN" w:bidi="ar-SA"/>
              </w:rPr>
              <w:t>4</w:t>
            </w:r>
          </w:p>
        </w:tc>
        <w:tc>
          <w:tcPr>
            <w:tcW w:w="3074" w:type="dxa"/>
            <w:tcBorders>
              <w:top w:val="single" w:color="000000" w:sz="4" w:space="0"/>
              <w:left w:val="single" w:color="000000" w:sz="4" w:space="0"/>
              <w:bottom w:val="single" w:color="000000" w:sz="4" w:space="0"/>
              <w:right w:val="single" w:color="000000" w:sz="4" w:space="0"/>
            </w:tcBorders>
            <w:vAlign w:val="center"/>
          </w:tcPr>
          <w:p w14:paraId="77605822">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2"/>
                <w:lang w:val="en-US" w:eastAsia="zh-CN" w:bidi="ar-SA"/>
              </w:rPr>
            </w:pPr>
          </w:p>
        </w:tc>
        <w:tc>
          <w:tcPr>
            <w:tcW w:w="601" w:type="dxa"/>
            <w:tcBorders>
              <w:top w:val="single" w:color="000000" w:sz="4" w:space="0"/>
              <w:left w:val="single" w:color="000000" w:sz="4" w:space="0"/>
              <w:bottom w:val="single" w:color="000000" w:sz="4" w:space="0"/>
              <w:right w:val="single" w:color="000000" w:sz="4" w:space="0"/>
            </w:tcBorders>
            <w:vAlign w:val="center"/>
          </w:tcPr>
          <w:p w14:paraId="5238E147">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2"/>
                <w:lang w:val="en-US" w:eastAsia="zh-CN" w:bidi="ar-SA"/>
              </w:rPr>
            </w:pPr>
          </w:p>
        </w:tc>
        <w:tc>
          <w:tcPr>
            <w:tcW w:w="1083" w:type="dxa"/>
            <w:tcBorders>
              <w:top w:val="single" w:color="000000" w:sz="4" w:space="0"/>
              <w:left w:val="single" w:color="000000" w:sz="4" w:space="0"/>
              <w:bottom w:val="single" w:color="000000" w:sz="4" w:space="0"/>
              <w:right w:val="single" w:color="000000" w:sz="4" w:space="0"/>
            </w:tcBorders>
            <w:vAlign w:val="center"/>
          </w:tcPr>
          <w:p w14:paraId="45C334FF">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842" w:type="dxa"/>
            <w:tcBorders>
              <w:top w:val="single" w:color="000000" w:sz="4" w:space="0"/>
              <w:left w:val="single" w:color="000000" w:sz="4" w:space="0"/>
              <w:bottom w:val="single" w:color="000000" w:sz="4" w:space="0"/>
              <w:right w:val="single" w:color="000000" w:sz="4" w:space="0"/>
            </w:tcBorders>
            <w:vAlign w:val="center"/>
          </w:tcPr>
          <w:p w14:paraId="58680288">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601" w:type="dxa"/>
            <w:tcBorders>
              <w:top w:val="single" w:color="000000" w:sz="4" w:space="0"/>
              <w:left w:val="single" w:color="000000" w:sz="4" w:space="0"/>
              <w:bottom w:val="single" w:color="000000" w:sz="4" w:space="0"/>
              <w:right w:val="single" w:color="000000" w:sz="4" w:space="0"/>
            </w:tcBorders>
            <w:vAlign w:val="center"/>
          </w:tcPr>
          <w:p w14:paraId="26315DD8">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1324" w:type="dxa"/>
            <w:tcBorders>
              <w:top w:val="single" w:color="000000" w:sz="4" w:space="0"/>
              <w:left w:val="single" w:color="000000" w:sz="4" w:space="0"/>
              <w:bottom w:val="single" w:color="000000" w:sz="4" w:space="0"/>
              <w:right w:val="single" w:color="000000" w:sz="4" w:space="0"/>
            </w:tcBorders>
            <w:vAlign w:val="center"/>
          </w:tcPr>
          <w:p w14:paraId="759CF70F">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1324" w:type="dxa"/>
            <w:tcBorders>
              <w:left w:val="single" w:color="000000" w:sz="4" w:space="0"/>
              <w:right w:val="single" w:color="000000" w:sz="4" w:space="0"/>
            </w:tcBorders>
            <w:vAlign w:val="center"/>
          </w:tcPr>
          <w:p w14:paraId="49C4D133">
            <w:pPr>
              <w:snapToGrid w:val="0"/>
              <w:spacing w:line="240" w:lineRule="auto"/>
              <w:ind w:left="0" w:leftChars="0" w:right="0" w:rightChars="0" w:firstLine="0" w:firstLineChars="0"/>
              <w:jc w:val="right"/>
              <w:textAlignment w:val="baseline"/>
              <w:rPr>
                <w:rStyle w:val="10"/>
                <w:rFonts w:hint="default" w:ascii="宋体" w:hAnsi="宋体" w:eastAsia="宋体" w:cs="Times New Roman"/>
                <w:kern w:val="2"/>
                <w:sz w:val="24"/>
                <w:szCs w:val="24"/>
                <w:lang w:val="en-US" w:eastAsia="zh-CN" w:bidi="ar-SA"/>
              </w:rPr>
            </w:pPr>
          </w:p>
        </w:tc>
      </w:tr>
      <w:tr w14:paraId="0F4E9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0B1FFC86">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r>
              <w:rPr>
                <w:rStyle w:val="10"/>
                <w:rFonts w:hint="eastAsia" w:ascii="宋体" w:hAnsi="宋体" w:eastAsia="宋体" w:cs="Times New Roman"/>
                <w:kern w:val="2"/>
                <w:sz w:val="24"/>
                <w:szCs w:val="24"/>
                <w:lang w:val="en-US" w:eastAsia="zh-CN" w:bidi="ar-SA"/>
              </w:rPr>
              <w:t>5</w:t>
            </w:r>
          </w:p>
        </w:tc>
        <w:tc>
          <w:tcPr>
            <w:tcW w:w="3074" w:type="dxa"/>
            <w:tcBorders>
              <w:top w:val="single" w:color="000000" w:sz="4" w:space="0"/>
              <w:left w:val="single" w:color="000000" w:sz="4" w:space="0"/>
              <w:bottom w:val="single" w:color="000000" w:sz="4" w:space="0"/>
              <w:right w:val="single" w:color="000000" w:sz="4" w:space="0"/>
            </w:tcBorders>
            <w:vAlign w:val="center"/>
          </w:tcPr>
          <w:p w14:paraId="127DFFFF">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2"/>
                <w:lang w:val="en-US" w:eastAsia="zh-CN" w:bidi="ar-SA"/>
              </w:rPr>
            </w:pPr>
          </w:p>
        </w:tc>
        <w:tc>
          <w:tcPr>
            <w:tcW w:w="601" w:type="dxa"/>
            <w:tcBorders>
              <w:top w:val="single" w:color="000000" w:sz="4" w:space="0"/>
              <w:left w:val="single" w:color="000000" w:sz="4" w:space="0"/>
              <w:bottom w:val="single" w:color="000000" w:sz="4" w:space="0"/>
              <w:right w:val="single" w:color="000000" w:sz="4" w:space="0"/>
            </w:tcBorders>
            <w:vAlign w:val="center"/>
          </w:tcPr>
          <w:p w14:paraId="2F464B43">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2"/>
                <w:lang w:val="en-US" w:eastAsia="zh-CN" w:bidi="ar-SA"/>
              </w:rPr>
            </w:pPr>
          </w:p>
        </w:tc>
        <w:tc>
          <w:tcPr>
            <w:tcW w:w="1083" w:type="dxa"/>
            <w:tcBorders>
              <w:top w:val="single" w:color="000000" w:sz="4" w:space="0"/>
              <w:left w:val="single" w:color="000000" w:sz="4" w:space="0"/>
              <w:bottom w:val="single" w:color="000000" w:sz="4" w:space="0"/>
              <w:right w:val="single" w:color="000000" w:sz="4" w:space="0"/>
            </w:tcBorders>
            <w:vAlign w:val="center"/>
          </w:tcPr>
          <w:p w14:paraId="2C98276B">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842" w:type="dxa"/>
            <w:tcBorders>
              <w:top w:val="single" w:color="000000" w:sz="4" w:space="0"/>
              <w:left w:val="single" w:color="000000" w:sz="4" w:space="0"/>
              <w:bottom w:val="single" w:color="000000" w:sz="4" w:space="0"/>
              <w:right w:val="single" w:color="000000" w:sz="4" w:space="0"/>
            </w:tcBorders>
            <w:vAlign w:val="center"/>
          </w:tcPr>
          <w:p w14:paraId="784E188E">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601" w:type="dxa"/>
            <w:tcBorders>
              <w:top w:val="single" w:color="000000" w:sz="4" w:space="0"/>
              <w:left w:val="single" w:color="000000" w:sz="4" w:space="0"/>
              <w:bottom w:val="single" w:color="000000" w:sz="4" w:space="0"/>
              <w:right w:val="single" w:color="000000" w:sz="4" w:space="0"/>
            </w:tcBorders>
            <w:vAlign w:val="center"/>
          </w:tcPr>
          <w:p w14:paraId="2692A720">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1324" w:type="dxa"/>
            <w:tcBorders>
              <w:top w:val="single" w:color="000000" w:sz="4" w:space="0"/>
              <w:left w:val="single" w:color="000000" w:sz="4" w:space="0"/>
              <w:bottom w:val="single" w:color="000000" w:sz="4" w:space="0"/>
              <w:right w:val="single" w:color="000000" w:sz="4" w:space="0"/>
            </w:tcBorders>
            <w:vAlign w:val="center"/>
          </w:tcPr>
          <w:p w14:paraId="4750A761">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1324" w:type="dxa"/>
            <w:tcBorders>
              <w:left w:val="single" w:color="000000" w:sz="4" w:space="0"/>
              <w:right w:val="single" w:color="000000" w:sz="4" w:space="0"/>
            </w:tcBorders>
            <w:vAlign w:val="center"/>
          </w:tcPr>
          <w:p w14:paraId="09467345">
            <w:pPr>
              <w:snapToGrid w:val="0"/>
              <w:spacing w:line="240" w:lineRule="auto"/>
              <w:ind w:left="0" w:leftChars="0" w:right="0" w:rightChars="0" w:firstLine="0" w:firstLineChars="0"/>
              <w:jc w:val="right"/>
              <w:textAlignment w:val="baseline"/>
              <w:rPr>
                <w:rStyle w:val="10"/>
                <w:rFonts w:hint="default" w:ascii="宋体" w:hAnsi="宋体" w:eastAsia="宋体" w:cs="Times New Roman"/>
                <w:kern w:val="2"/>
                <w:sz w:val="24"/>
                <w:szCs w:val="24"/>
                <w:lang w:val="en-US" w:eastAsia="zh-CN" w:bidi="ar-SA"/>
              </w:rPr>
            </w:pPr>
          </w:p>
        </w:tc>
      </w:tr>
      <w:tr w14:paraId="5B845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57DD9759">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r>
              <w:rPr>
                <w:rStyle w:val="10"/>
                <w:rFonts w:hint="eastAsia" w:ascii="宋体" w:hAnsi="宋体" w:eastAsia="宋体" w:cs="Times New Roman"/>
                <w:kern w:val="2"/>
                <w:sz w:val="24"/>
                <w:szCs w:val="24"/>
                <w:lang w:val="en-US" w:eastAsia="zh-CN" w:bidi="ar-SA"/>
              </w:rPr>
              <w:t>6</w:t>
            </w:r>
          </w:p>
        </w:tc>
        <w:tc>
          <w:tcPr>
            <w:tcW w:w="3074" w:type="dxa"/>
            <w:tcBorders>
              <w:top w:val="single" w:color="000000" w:sz="4" w:space="0"/>
              <w:left w:val="single" w:color="000000" w:sz="4" w:space="0"/>
              <w:bottom w:val="single" w:color="000000" w:sz="4" w:space="0"/>
              <w:right w:val="single" w:color="000000" w:sz="4" w:space="0"/>
            </w:tcBorders>
            <w:vAlign w:val="center"/>
          </w:tcPr>
          <w:p w14:paraId="49B7D7DB">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2"/>
                <w:lang w:val="en-US" w:eastAsia="zh-CN" w:bidi="ar-SA"/>
              </w:rPr>
            </w:pPr>
          </w:p>
        </w:tc>
        <w:tc>
          <w:tcPr>
            <w:tcW w:w="601" w:type="dxa"/>
            <w:tcBorders>
              <w:top w:val="single" w:color="000000" w:sz="4" w:space="0"/>
              <w:left w:val="single" w:color="000000" w:sz="4" w:space="0"/>
              <w:bottom w:val="single" w:color="000000" w:sz="4" w:space="0"/>
              <w:right w:val="single" w:color="000000" w:sz="4" w:space="0"/>
            </w:tcBorders>
            <w:vAlign w:val="center"/>
          </w:tcPr>
          <w:p w14:paraId="5C978374">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2"/>
                <w:lang w:val="en-US" w:eastAsia="zh-CN" w:bidi="ar-SA"/>
              </w:rPr>
            </w:pPr>
          </w:p>
        </w:tc>
        <w:tc>
          <w:tcPr>
            <w:tcW w:w="1083" w:type="dxa"/>
            <w:tcBorders>
              <w:top w:val="single" w:color="000000" w:sz="4" w:space="0"/>
              <w:left w:val="single" w:color="000000" w:sz="4" w:space="0"/>
              <w:bottom w:val="single" w:color="000000" w:sz="4" w:space="0"/>
              <w:right w:val="single" w:color="000000" w:sz="4" w:space="0"/>
            </w:tcBorders>
            <w:vAlign w:val="center"/>
          </w:tcPr>
          <w:p w14:paraId="606C1733">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842" w:type="dxa"/>
            <w:tcBorders>
              <w:top w:val="single" w:color="000000" w:sz="4" w:space="0"/>
              <w:left w:val="single" w:color="000000" w:sz="4" w:space="0"/>
              <w:bottom w:val="single" w:color="000000" w:sz="4" w:space="0"/>
              <w:right w:val="single" w:color="000000" w:sz="4" w:space="0"/>
            </w:tcBorders>
            <w:vAlign w:val="center"/>
          </w:tcPr>
          <w:p w14:paraId="4AA5E6C7">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601" w:type="dxa"/>
            <w:tcBorders>
              <w:top w:val="single" w:color="000000" w:sz="4" w:space="0"/>
              <w:left w:val="single" w:color="000000" w:sz="4" w:space="0"/>
              <w:bottom w:val="single" w:color="000000" w:sz="4" w:space="0"/>
              <w:right w:val="single" w:color="000000" w:sz="4" w:space="0"/>
            </w:tcBorders>
            <w:vAlign w:val="center"/>
          </w:tcPr>
          <w:p w14:paraId="26E8BCD8">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1324" w:type="dxa"/>
            <w:tcBorders>
              <w:top w:val="single" w:color="000000" w:sz="4" w:space="0"/>
              <w:left w:val="single" w:color="000000" w:sz="4" w:space="0"/>
              <w:bottom w:val="single" w:color="000000" w:sz="4" w:space="0"/>
              <w:right w:val="single" w:color="000000" w:sz="4" w:space="0"/>
            </w:tcBorders>
            <w:vAlign w:val="center"/>
          </w:tcPr>
          <w:p w14:paraId="64A1A6A0">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1324" w:type="dxa"/>
            <w:tcBorders>
              <w:left w:val="single" w:color="000000" w:sz="4" w:space="0"/>
              <w:right w:val="single" w:color="000000" w:sz="4" w:space="0"/>
            </w:tcBorders>
            <w:vAlign w:val="center"/>
          </w:tcPr>
          <w:p w14:paraId="7D503443">
            <w:pPr>
              <w:snapToGrid w:val="0"/>
              <w:spacing w:line="240" w:lineRule="auto"/>
              <w:ind w:left="0" w:leftChars="0" w:right="0" w:rightChars="0" w:firstLine="0" w:firstLineChars="0"/>
              <w:jc w:val="right"/>
              <w:textAlignment w:val="baseline"/>
              <w:rPr>
                <w:rStyle w:val="10"/>
                <w:rFonts w:hint="default" w:ascii="宋体" w:hAnsi="宋体" w:eastAsia="宋体" w:cs="Times New Roman"/>
                <w:kern w:val="2"/>
                <w:sz w:val="24"/>
                <w:szCs w:val="24"/>
                <w:lang w:val="en-US" w:eastAsia="zh-CN" w:bidi="ar-SA"/>
              </w:rPr>
            </w:pPr>
          </w:p>
        </w:tc>
      </w:tr>
      <w:tr w14:paraId="1B24F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5E3472A0">
            <w:pPr>
              <w:snapToGrid w:val="0"/>
              <w:spacing w:line="240" w:lineRule="auto"/>
              <w:ind w:left="0" w:leftChars="0" w:right="0" w:rightChars="0" w:firstLine="0" w:firstLineChars="0"/>
              <w:jc w:val="center"/>
              <w:textAlignment w:val="baseline"/>
              <w:rPr>
                <w:rStyle w:val="10"/>
                <w:rFonts w:hint="eastAsia" w:ascii="宋体" w:hAnsi="宋体" w:eastAsia="宋体" w:cs="Times New Roman"/>
                <w:kern w:val="2"/>
                <w:sz w:val="24"/>
                <w:szCs w:val="24"/>
                <w:lang w:val="en-US" w:eastAsia="zh-CN" w:bidi="ar-SA"/>
              </w:rPr>
            </w:pPr>
          </w:p>
        </w:tc>
        <w:tc>
          <w:tcPr>
            <w:tcW w:w="3074" w:type="dxa"/>
            <w:tcBorders>
              <w:top w:val="single" w:color="000000" w:sz="4" w:space="0"/>
              <w:left w:val="single" w:color="000000" w:sz="4" w:space="0"/>
              <w:bottom w:val="single" w:color="000000" w:sz="4" w:space="0"/>
              <w:right w:val="single" w:color="000000" w:sz="4" w:space="0"/>
            </w:tcBorders>
            <w:vAlign w:val="center"/>
          </w:tcPr>
          <w:p w14:paraId="4585385F">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2"/>
                <w:lang w:val="en-US" w:eastAsia="zh-CN" w:bidi="ar-SA"/>
              </w:rPr>
            </w:pPr>
          </w:p>
        </w:tc>
        <w:tc>
          <w:tcPr>
            <w:tcW w:w="601" w:type="dxa"/>
            <w:tcBorders>
              <w:top w:val="single" w:color="000000" w:sz="4" w:space="0"/>
              <w:left w:val="single" w:color="000000" w:sz="4" w:space="0"/>
              <w:bottom w:val="single" w:color="000000" w:sz="4" w:space="0"/>
              <w:right w:val="single" w:color="000000" w:sz="4" w:space="0"/>
            </w:tcBorders>
            <w:vAlign w:val="center"/>
          </w:tcPr>
          <w:p w14:paraId="3C1B66C8">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2"/>
                <w:lang w:val="en-US" w:eastAsia="zh-CN" w:bidi="ar-SA"/>
              </w:rPr>
            </w:pPr>
          </w:p>
        </w:tc>
        <w:tc>
          <w:tcPr>
            <w:tcW w:w="1083" w:type="dxa"/>
            <w:tcBorders>
              <w:top w:val="single" w:color="000000" w:sz="4" w:space="0"/>
              <w:left w:val="single" w:color="000000" w:sz="4" w:space="0"/>
              <w:bottom w:val="single" w:color="000000" w:sz="4" w:space="0"/>
              <w:right w:val="single" w:color="000000" w:sz="4" w:space="0"/>
            </w:tcBorders>
            <w:vAlign w:val="center"/>
          </w:tcPr>
          <w:p w14:paraId="6D1AAA83">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842" w:type="dxa"/>
            <w:tcBorders>
              <w:top w:val="single" w:color="000000" w:sz="4" w:space="0"/>
              <w:left w:val="single" w:color="000000" w:sz="4" w:space="0"/>
              <w:bottom w:val="single" w:color="000000" w:sz="4" w:space="0"/>
              <w:right w:val="single" w:color="000000" w:sz="4" w:space="0"/>
            </w:tcBorders>
            <w:vAlign w:val="center"/>
          </w:tcPr>
          <w:p w14:paraId="2874D2B4">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601" w:type="dxa"/>
            <w:tcBorders>
              <w:top w:val="single" w:color="000000" w:sz="4" w:space="0"/>
              <w:left w:val="single" w:color="000000" w:sz="4" w:space="0"/>
              <w:bottom w:val="single" w:color="000000" w:sz="4" w:space="0"/>
              <w:right w:val="single" w:color="000000" w:sz="4" w:space="0"/>
            </w:tcBorders>
            <w:vAlign w:val="center"/>
          </w:tcPr>
          <w:p w14:paraId="46D06113">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1324" w:type="dxa"/>
            <w:tcBorders>
              <w:top w:val="single" w:color="000000" w:sz="4" w:space="0"/>
              <w:left w:val="single" w:color="000000" w:sz="4" w:space="0"/>
              <w:bottom w:val="single" w:color="000000" w:sz="4" w:space="0"/>
              <w:right w:val="single" w:color="000000" w:sz="4" w:space="0"/>
            </w:tcBorders>
            <w:vAlign w:val="center"/>
          </w:tcPr>
          <w:p w14:paraId="2AA893A6">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1324" w:type="dxa"/>
            <w:tcBorders>
              <w:left w:val="single" w:color="000000" w:sz="4" w:space="0"/>
              <w:right w:val="single" w:color="000000" w:sz="4" w:space="0"/>
            </w:tcBorders>
            <w:vAlign w:val="center"/>
          </w:tcPr>
          <w:p w14:paraId="1E32268F">
            <w:pPr>
              <w:snapToGrid w:val="0"/>
              <w:spacing w:line="240" w:lineRule="auto"/>
              <w:ind w:left="0" w:leftChars="0" w:right="0" w:rightChars="0" w:firstLine="0" w:firstLineChars="0"/>
              <w:jc w:val="right"/>
              <w:textAlignment w:val="baseline"/>
              <w:rPr>
                <w:rStyle w:val="10"/>
                <w:rFonts w:hint="default" w:ascii="宋体" w:hAnsi="宋体" w:eastAsia="宋体" w:cs="Times New Roman"/>
                <w:kern w:val="2"/>
                <w:sz w:val="24"/>
                <w:szCs w:val="24"/>
                <w:lang w:val="en-US" w:eastAsia="zh-CN" w:bidi="ar-SA"/>
              </w:rPr>
            </w:pPr>
          </w:p>
        </w:tc>
      </w:tr>
      <w:tr w14:paraId="12030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4729F57A">
            <w:pPr>
              <w:snapToGrid w:val="0"/>
              <w:spacing w:line="240" w:lineRule="auto"/>
              <w:ind w:left="0" w:leftChars="0" w:right="0" w:rightChars="0" w:firstLine="0" w:firstLineChars="0"/>
              <w:jc w:val="center"/>
              <w:textAlignment w:val="baseline"/>
              <w:rPr>
                <w:rStyle w:val="10"/>
                <w:rFonts w:hint="eastAsia" w:ascii="宋体" w:hAnsi="宋体" w:eastAsia="宋体" w:cs="Times New Roman"/>
                <w:kern w:val="2"/>
                <w:sz w:val="24"/>
                <w:szCs w:val="24"/>
                <w:lang w:val="en-US" w:eastAsia="zh-CN" w:bidi="ar-SA"/>
              </w:rPr>
            </w:pPr>
          </w:p>
        </w:tc>
        <w:tc>
          <w:tcPr>
            <w:tcW w:w="3074" w:type="dxa"/>
            <w:tcBorders>
              <w:top w:val="single" w:color="000000" w:sz="4" w:space="0"/>
              <w:left w:val="single" w:color="000000" w:sz="4" w:space="0"/>
              <w:bottom w:val="single" w:color="000000" w:sz="4" w:space="0"/>
              <w:right w:val="single" w:color="000000" w:sz="4" w:space="0"/>
            </w:tcBorders>
            <w:vAlign w:val="center"/>
          </w:tcPr>
          <w:p w14:paraId="0AB7AAA8">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2"/>
                <w:lang w:val="en-US" w:eastAsia="zh-CN" w:bidi="ar-SA"/>
              </w:rPr>
            </w:pPr>
          </w:p>
        </w:tc>
        <w:tc>
          <w:tcPr>
            <w:tcW w:w="601" w:type="dxa"/>
            <w:tcBorders>
              <w:top w:val="single" w:color="000000" w:sz="4" w:space="0"/>
              <w:left w:val="single" w:color="000000" w:sz="4" w:space="0"/>
              <w:bottom w:val="single" w:color="000000" w:sz="4" w:space="0"/>
              <w:right w:val="single" w:color="000000" w:sz="4" w:space="0"/>
            </w:tcBorders>
            <w:vAlign w:val="center"/>
          </w:tcPr>
          <w:p w14:paraId="3351E4A7">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2"/>
                <w:lang w:val="en-US" w:eastAsia="zh-CN" w:bidi="ar-SA"/>
              </w:rPr>
            </w:pPr>
          </w:p>
        </w:tc>
        <w:tc>
          <w:tcPr>
            <w:tcW w:w="1083" w:type="dxa"/>
            <w:tcBorders>
              <w:top w:val="single" w:color="000000" w:sz="4" w:space="0"/>
              <w:left w:val="single" w:color="000000" w:sz="4" w:space="0"/>
              <w:bottom w:val="single" w:color="000000" w:sz="4" w:space="0"/>
              <w:right w:val="single" w:color="000000" w:sz="4" w:space="0"/>
            </w:tcBorders>
            <w:vAlign w:val="center"/>
          </w:tcPr>
          <w:p w14:paraId="1DA9EF42">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842" w:type="dxa"/>
            <w:tcBorders>
              <w:top w:val="single" w:color="000000" w:sz="4" w:space="0"/>
              <w:left w:val="single" w:color="000000" w:sz="4" w:space="0"/>
              <w:bottom w:val="single" w:color="000000" w:sz="4" w:space="0"/>
              <w:right w:val="single" w:color="000000" w:sz="4" w:space="0"/>
            </w:tcBorders>
            <w:vAlign w:val="center"/>
          </w:tcPr>
          <w:p w14:paraId="3C8AF5E8">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601" w:type="dxa"/>
            <w:tcBorders>
              <w:top w:val="single" w:color="000000" w:sz="4" w:space="0"/>
              <w:left w:val="single" w:color="000000" w:sz="4" w:space="0"/>
              <w:bottom w:val="single" w:color="000000" w:sz="4" w:space="0"/>
              <w:right w:val="single" w:color="000000" w:sz="4" w:space="0"/>
            </w:tcBorders>
            <w:vAlign w:val="center"/>
          </w:tcPr>
          <w:p w14:paraId="74686E8A">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1324" w:type="dxa"/>
            <w:tcBorders>
              <w:top w:val="single" w:color="000000" w:sz="4" w:space="0"/>
              <w:left w:val="single" w:color="000000" w:sz="4" w:space="0"/>
              <w:bottom w:val="single" w:color="000000" w:sz="4" w:space="0"/>
              <w:right w:val="single" w:color="000000" w:sz="4" w:space="0"/>
            </w:tcBorders>
            <w:vAlign w:val="center"/>
          </w:tcPr>
          <w:p w14:paraId="2AFD5693">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1324" w:type="dxa"/>
            <w:tcBorders>
              <w:left w:val="single" w:color="000000" w:sz="4" w:space="0"/>
              <w:right w:val="single" w:color="000000" w:sz="4" w:space="0"/>
            </w:tcBorders>
            <w:vAlign w:val="center"/>
          </w:tcPr>
          <w:p w14:paraId="62ABF318">
            <w:pPr>
              <w:snapToGrid w:val="0"/>
              <w:spacing w:line="240" w:lineRule="auto"/>
              <w:ind w:left="0" w:leftChars="0" w:right="0" w:rightChars="0" w:firstLine="0" w:firstLineChars="0"/>
              <w:jc w:val="right"/>
              <w:textAlignment w:val="baseline"/>
              <w:rPr>
                <w:rStyle w:val="10"/>
                <w:rFonts w:hint="default" w:ascii="宋体" w:hAnsi="宋体" w:eastAsia="宋体" w:cs="Times New Roman"/>
                <w:kern w:val="2"/>
                <w:sz w:val="24"/>
                <w:szCs w:val="24"/>
                <w:lang w:val="en-US" w:eastAsia="zh-CN" w:bidi="ar-SA"/>
              </w:rPr>
            </w:pPr>
          </w:p>
        </w:tc>
      </w:tr>
      <w:tr w14:paraId="3A714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70F1D42D">
            <w:pPr>
              <w:snapToGrid w:val="0"/>
              <w:spacing w:line="240" w:lineRule="auto"/>
              <w:ind w:left="0" w:leftChars="0" w:right="0" w:rightChars="0" w:firstLine="0" w:firstLineChars="0"/>
              <w:jc w:val="center"/>
              <w:textAlignment w:val="baseline"/>
              <w:rPr>
                <w:rStyle w:val="10"/>
                <w:rFonts w:hint="eastAsia" w:ascii="宋体" w:hAnsi="宋体" w:eastAsia="宋体" w:cs="Times New Roman"/>
                <w:kern w:val="2"/>
                <w:sz w:val="24"/>
                <w:szCs w:val="24"/>
                <w:lang w:val="en-US" w:eastAsia="zh-CN" w:bidi="ar-SA"/>
              </w:rPr>
            </w:pPr>
          </w:p>
        </w:tc>
        <w:tc>
          <w:tcPr>
            <w:tcW w:w="3074" w:type="dxa"/>
            <w:tcBorders>
              <w:top w:val="single" w:color="000000" w:sz="4" w:space="0"/>
              <w:left w:val="single" w:color="000000" w:sz="4" w:space="0"/>
              <w:bottom w:val="single" w:color="000000" w:sz="4" w:space="0"/>
              <w:right w:val="single" w:color="000000" w:sz="4" w:space="0"/>
            </w:tcBorders>
            <w:vAlign w:val="center"/>
          </w:tcPr>
          <w:p w14:paraId="63E2FD66">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2"/>
                <w:lang w:val="en-US" w:eastAsia="zh-CN" w:bidi="ar-SA"/>
              </w:rPr>
            </w:pPr>
          </w:p>
        </w:tc>
        <w:tc>
          <w:tcPr>
            <w:tcW w:w="601" w:type="dxa"/>
            <w:tcBorders>
              <w:top w:val="single" w:color="000000" w:sz="4" w:space="0"/>
              <w:left w:val="single" w:color="000000" w:sz="4" w:space="0"/>
              <w:bottom w:val="single" w:color="000000" w:sz="4" w:space="0"/>
              <w:right w:val="single" w:color="000000" w:sz="4" w:space="0"/>
            </w:tcBorders>
            <w:vAlign w:val="center"/>
          </w:tcPr>
          <w:p w14:paraId="50C23A15">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2"/>
                <w:lang w:val="en-US" w:eastAsia="zh-CN" w:bidi="ar-SA"/>
              </w:rPr>
            </w:pPr>
          </w:p>
        </w:tc>
        <w:tc>
          <w:tcPr>
            <w:tcW w:w="1083" w:type="dxa"/>
            <w:tcBorders>
              <w:top w:val="single" w:color="000000" w:sz="4" w:space="0"/>
              <w:left w:val="single" w:color="000000" w:sz="4" w:space="0"/>
              <w:bottom w:val="single" w:color="000000" w:sz="4" w:space="0"/>
              <w:right w:val="single" w:color="000000" w:sz="4" w:space="0"/>
            </w:tcBorders>
            <w:vAlign w:val="center"/>
          </w:tcPr>
          <w:p w14:paraId="34C3A521">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842" w:type="dxa"/>
            <w:tcBorders>
              <w:top w:val="single" w:color="000000" w:sz="4" w:space="0"/>
              <w:left w:val="single" w:color="000000" w:sz="4" w:space="0"/>
              <w:bottom w:val="single" w:color="000000" w:sz="4" w:space="0"/>
              <w:right w:val="single" w:color="000000" w:sz="4" w:space="0"/>
            </w:tcBorders>
            <w:vAlign w:val="center"/>
          </w:tcPr>
          <w:p w14:paraId="2FF2A3AF">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601" w:type="dxa"/>
            <w:tcBorders>
              <w:top w:val="single" w:color="000000" w:sz="4" w:space="0"/>
              <w:left w:val="single" w:color="000000" w:sz="4" w:space="0"/>
              <w:bottom w:val="single" w:color="000000" w:sz="4" w:space="0"/>
              <w:right w:val="single" w:color="000000" w:sz="4" w:space="0"/>
            </w:tcBorders>
            <w:vAlign w:val="center"/>
          </w:tcPr>
          <w:p w14:paraId="693E5A5E">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1324" w:type="dxa"/>
            <w:tcBorders>
              <w:top w:val="single" w:color="000000" w:sz="4" w:space="0"/>
              <w:left w:val="single" w:color="000000" w:sz="4" w:space="0"/>
              <w:bottom w:val="single" w:color="000000" w:sz="4" w:space="0"/>
              <w:right w:val="single" w:color="000000" w:sz="4" w:space="0"/>
            </w:tcBorders>
            <w:vAlign w:val="center"/>
          </w:tcPr>
          <w:p w14:paraId="575BEA79">
            <w:pPr>
              <w:snapToGrid w:val="0"/>
              <w:spacing w:line="240" w:lineRule="auto"/>
              <w:ind w:left="0" w:leftChars="0" w:right="0" w:rightChars="0" w:firstLine="0" w:firstLineChars="0"/>
              <w:jc w:val="center"/>
              <w:textAlignment w:val="baseline"/>
              <w:rPr>
                <w:rStyle w:val="10"/>
                <w:rFonts w:hint="default" w:ascii="宋体" w:hAnsi="宋体" w:eastAsia="宋体" w:cs="Times New Roman"/>
                <w:kern w:val="2"/>
                <w:sz w:val="24"/>
                <w:szCs w:val="24"/>
                <w:lang w:val="en-US" w:eastAsia="zh-CN" w:bidi="ar-SA"/>
              </w:rPr>
            </w:pPr>
          </w:p>
        </w:tc>
        <w:tc>
          <w:tcPr>
            <w:tcW w:w="1324" w:type="dxa"/>
            <w:tcBorders>
              <w:left w:val="single" w:color="000000" w:sz="4" w:space="0"/>
              <w:right w:val="single" w:color="000000" w:sz="4" w:space="0"/>
            </w:tcBorders>
            <w:vAlign w:val="center"/>
          </w:tcPr>
          <w:p w14:paraId="00863F19">
            <w:pPr>
              <w:snapToGrid w:val="0"/>
              <w:spacing w:line="240" w:lineRule="auto"/>
              <w:ind w:left="0" w:leftChars="0" w:right="0" w:rightChars="0" w:firstLine="0" w:firstLineChars="0"/>
              <w:jc w:val="right"/>
              <w:textAlignment w:val="baseline"/>
              <w:rPr>
                <w:rStyle w:val="10"/>
                <w:rFonts w:hint="default" w:ascii="宋体" w:hAnsi="宋体" w:eastAsia="宋体" w:cs="Times New Roman"/>
                <w:kern w:val="2"/>
                <w:sz w:val="24"/>
                <w:szCs w:val="24"/>
                <w:lang w:val="en-US" w:eastAsia="zh-CN" w:bidi="ar-SA"/>
              </w:rPr>
            </w:pPr>
          </w:p>
        </w:tc>
      </w:tr>
      <w:tr w14:paraId="1EB94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4060905E">
            <w:pPr>
              <w:snapToGrid w:val="0"/>
              <w:spacing w:line="240" w:lineRule="auto"/>
              <w:ind w:left="0" w:leftChars="0" w:right="0" w:rightChars="0" w:firstLine="0" w:firstLineChars="0"/>
              <w:jc w:val="center"/>
              <w:textAlignment w:val="baseline"/>
              <w:rPr>
                <w:rStyle w:val="10"/>
                <w:rFonts w:ascii="宋体" w:hAnsi="宋体" w:eastAsia="宋体" w:cs="Times New Roman"/>
                <w:kern w:val="2"/>
                <w:sz w:val="24"/>
                <w:szCs w:val="24"/>
                <w:lang w:val="en-US" w:eastAsia="zh-CN" w:bidi="ar-SA"/>
              </w:rPr>
            </w:pPr>
          </w:p>
        </w:tc>
        <w:tc>
          <w:tcPr>
            <w:tcW w:w="1324" w:type="dxa"/>
            <w:gridSpan w:val="7"/>
            <w:tcBorders>
              <w:top w:val="single" w:color="000000" w:sz="4" w:space="0"/>
              <w:left w:val="single" w:color="000000" w:sz="4" w:space="0"/>
              <w:bottom w:val="single" w:color="000000" w:sz="4" w:space="0"/>
              <w:right w:val="single" w:color="000000" w:sz="4" w:space="0"/>
            </w:tcBorders>
            <w:vAlign w:val="center"/>
          </w:tcPr>
          <w:p w14:paraId="5ACB1D44">
            <w:pPr>
              <w:snapToGrid w:val="0"/>
              <w:spacing w:line="240" w:lineRule="auto"/>
              <w:ind w:left="0" w:leftChars="0" w:right="0" w:rightChars="0" w:firstLine="0" w:firstLineChars="0"/>
              <w:jc w:val="center"/>
              <w:textAlignment w:val="baseline"/>
              <w:rPr>
                <w:rStyle w:val="10"/>
                <w:rFonts w:ascii="宋体" w:hAnsi="宋体" w:eastAsia="宋体" w:cs="Times New Roman"/>
                <w:kern w:val="2"/>
                <w:sz w:val="24"/>
                <w:szCs w:val="24"/>
                <w:lang w:val="en-US" w:eastAsia="zh-CN" w:bidi="ar-SA"/>
              </w:rPr>
            </w:pPr>
            <w:r>
              <w:rPr>
                <w:rStyle w:val="10"/>
                <w:rFonts w:ascii="宋体" w:hAnsi="宋体" w:eastAsia="宋体" w:cs="Times New Roman"/>
                <w:kern w:val="2"/>
                <w:sz w:val="24"/>
                <w:szCs w:val="24"/>
                <w:lang w:val="en-US" w:eastAsia="zh-CN" w:bidi="ar-SA"/>
              </w:rPr>
              <w:t>合计金额（大写）：</w:t>
            </w:r>
            <w:r>
              <w:rPr>
                <w:rStyle w:val="10"/>
                <w:rFonts w:hint="eastAsia" w:ascii="宋体" w:hAnsi="宋体" w:cs="Times New Roman"/>
                <w:kern w:val="2"/>
                <w:sz w:val="24"/>
                <w:szCs w:val="24"/>
                <w:lang w:val="en-US" w:eastAsia="zh-CN" w:bidi="ar-SA"/>
              </w:rPr>
              <w:t xml:space="preserve">       </w:t>
            </w:r>
            <w:r>
              <w:rPr>
                <w:rStyle w:val="10"/>
                <w:rFonts w:hint="eastAsia" w:ascii="宋体" w:hAnsi="宋体" w:eastAsia="宋体" w:cs="Times New Roman"/>
                <w:kern w:val="2"/>
                <w:sz w:val="24"/>
                <w:szCs w:val="24"/>
                <w:lang w:val="en-US" w:eastAsia="zh-CN" w:bidi="ar-SA"/>
              </w:rPr>
              <w:t xml:space="preserve"> </w:t>
            </w:r>
            <w:r>
              <w:rPr>
                <w:rStyle w:val="10"/>
                <w:rFonts w:ascii="宋体" w:hAnsi="宋体" w:eastAsia="宋体" w:cs="Times New Roman"/>
                <w:kern w:val="2"/>
                <w:sz w:val="24"/>
                <w:szCs w:val="24"/>
                <w:lang w:val="en-US" w:eastAsia="zh-CN" w:bidi="ar-SA"/>
              </w:rPr>
              <w:t xml:space="preserve">；小写：¥ </w:t>
            </w:r>
            <w:r>
              <w:rPr>
                <w:rStyle w:val="10"/>
                <w:rFonts w:hint="eastAsia" w:ascii="宋体" w:hAnsi="宋体" w:cs="Times New Roman"/>
                <w:kern w:val="2"/>
                <w:sz w:val="24"/>
                <w:szCs w:val="24"/>
                <w:lang w:val="en-US" w:eastAsia="zh-CN" w:bidi="ar-SA"/>
              </w:rPr>
              <w:t xml:space="preserve">        </w:t>
            </w:r>
            <w:r>
              <w:rPr>
                <w:rStyle w:val="10"/>
                <w:rFonts w:ascii="宋体" w:hAnsi="宋体" w:eastAsia="宋体" w:cs="Times New Roman"/>
                <w:kern w:val="2"/>
                <w:sz w:val="24"/>
                <w:szCs w:val="24"/>
                <w:lang w:val="en-US" w:eastAsia="zh-CN" w:bidi="ar-SA"/>
              </w:rPr>
              <w:t>元</w:t>
            </w:r>
          </w:p>
        </w:tc>
      </w:tr>
    </w:tbl>
    <w:p w14:paraId="73FCF47A">
      <w:pPr>
        <w:widowControl w:val="0"/>
        <w:numPr>
          <w:ilvl w:val="0"/>
          <w:numId w:val="0"/>
        </w:numPr>
        <w:jc w:val="both"/>
        <w:rPr>
          <w:rFonts w:hint="eastAsia" w:asciiTheme="minorEastAsia" w:hAnsiTheme="minorEastAsia" w:eastAsiaTheme="minorEastAsia" w:cstheme="minorEastAsia"/>
          <w:sz w:val="28"/>
          <w:szCs w:val="28"/>
        </w:rPr>
      </w:pPr>
    </w:p>
    <w:p w14:paraId="395077C4">
      <w:pPr>
        <w:widowControl w:val="0"/>
        <w:numPr>
          <w:ilvl w:val="0"/>
          <w:numId w:val="0"/>
        </w:numPr>
        <w:ind w:left="0" w:leftChars="0" w:firstLine="280" w:firstLineChars="1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kern w:val="2"/>
          <w:sz w:val="28"/>
          <w:szCs w:val="28"/>
          <w:lang w:val="en-US" w:eastAsia="zh-CN" w:bidi="ar-SA"/>
        </w:rPr>
        <w:t>2.以上合同价款为固定总价，已包括设备设计、制造、包装、运输、保险、装卸、安装调试、技术培训、验收合格交付使用之前及质保期内的质保服务费用、备品备件费用，以及乙方提供的伴随服务、售后服务费用等乙方因履行本合同所产生的各项含税费用。除上述合同价款外，甲方无须另行向乙方支付其他任何费用。本合同价款不包含设备运行所需的一次性使用耗材、消耗品及专机专用试剂</w:t>
      </w:r>
      <w:r>
        <w:rPr>
          <w:rFonts w:hint="eastAsia" w:asciiTheme="minorEastAsia" w:hAnsiTheme="minorEastAsia" w:cstheme="minorEastAsia"/>
          <w:kern w:val="2"/>
          <w:sz w:val="28"/>
          <w:szCs w:val="28"/>
          <w:lang w:val="en-US" w:eastAsia="zh-CN" w:bidi="ar-SA"/>
        </w:rPr>
        <w:t xml:space="preserve"> </w:t>
      </w:r>
      <w:r>
        <w:rPr>
          <w:rFonts w:hint="eastAsia" w:asciiTheme="minorEastAsia" w:hAnsiTheme="minorEastAsia" w:eastAsiaTheme="minorEastAsia" w:cstheme="minorEastAsia"/>
          <w:kern w:val="2"/>
          <w:sz w:val="28"/>
          <w:szCs w:val="28"/>
          <w:lang w:val="en-US" w:eastAsia="zh-CN" w:bidi="ar-SA"/>
        </w:rPr>
        <w:t>。</w:t>
      </w:r>
    </w:p>
    <w:p w14:paraId="122D212E">
      <w:pPr>
        <w:widowControl w:val="0"/>
        <w:numPr>
          <w:ilvl w:val="0"/>
          <w:numId w:val="0"/>
        </w:numPr>
        <w:ind w:leftChars="0" w:firstLine="280" w:firstLineChars="100"/>
        <w:jc w:val="both"/>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rPr>
        <w:t>具体配置清单详见本合同附件一，技术参数及规格要求详见本合同附件二。</w:t>
      </w:r>
    </w:p>
    <w:p w14:paraId="14A380DF">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第二条 交付与安装</w:t>
      </w:r>
    </w:p>
    <w:p w14:paraId="09181F82">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 xml:space="preserve">交付时间：乙方应于本合同生效之日起 </w:t>
      </w:r>
      <w:r>
        <w:rPr>
          <w:rFonts w:hint="eastAsia" w:asciiTheme="minorEastAsia" w:hAnsiTheme="minorEastAsia" w:cstheme="minorEastAsia"/>
          <w:sz w:val="28"/>
          <w:szCs w:val="28"/>
          <w:u w:val="single"/>
          <w:lang w:val="en-US" w:eastAsia="zh-CN"/>
        </w:rPr>
        <w:t xml:space="preserve">  〔45〕  </w:t>
      </w:r>
      <w:r>
        <w:rPr>
          <w:rFonts w:hint="eastAsia" w:asciiTheme="minorEastAsia" w:hAnsiTheme="minorEastAsia" w:eastAsiaTheme="minorEastAsia" w:cstheme="minorEastAsia"/>
          <w:sz w:val="28"/>
          <w:szCs w:val="28"/>
        </w:rPr>
        <w:t xml:space="preserve"> 日内，将全部设备运抵甲方指定地点并完成全部安装、调试</w:t>
      </w:r>
      <w:r>
        <w:rPr>
          <w:rFonts w:hint="eastAsia" w:asciiTheme="minorEastAsia" w:hAnsiTheme="minorEastAsia" w:cstheme="minorEastAsia"/>
          <w:sz w:val="28"/>
          <w:szCs w:val="28"/>
          <w:lang w:val="en-US" w:eastAsia="zh-CN"/>
        </w:rPr>
        <w:t>及</w:t>
      </w:r>
      <w:r>
        <w:rPr>
          <w:rFonts w:hint="eastAsia" w:asciiTheme="minorEastAsia" w:hAnsiTheme="minorEastAsia" w:eastAsiaTheme="minorEastAsia" w:cstheme="minorEastAsia"/>
          <w:sz w:val="28"/>
          <w:szCs w:val="28"/>
        </w:rPr>
        <w:t>现场培训工作</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具备验收条件。</w:t>
      </w:r>
    </w:p>
    <w:p w14:paraId="410FB836">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2.</w:t>
      </w:r>
      <w:r>
        <w:rPr>
          <w:rFonts w:hint="eastAsia" w:asciiTheme="minorEastAsia" w:hAnsiTheme="minorEastAsia" w:eastAsiaTheme="minorEastAsia" w:cstheme="minorEastAsia"/>
          <w:sz w:val="28"/>
          <w:szCs w:val="28"/>
        </w:rPr>
        <w:t>交付地点：甲方指定地点（内蒙古科技大学包头医学院第二附属医院医学工程科指定位置）。</w:t>
      </w:r>
    </w:p>
    <w:p w14:paraId="65C35B2D">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交付通知：乙方须在设备到达甲方指定地点前</w:t>
      </w:r>
      <w:r>
        <w:rPr>
          <w:rFonts w:hint="eastAsia" w:asciiTheme="minorEastAsia" w:hAnsiTheme="minorEastAsia" w:eastAsiaTheme="minorEastAsia" w:cstheme="minorEastAsia"/>
          <w:sz w:val="28"/>
          <w:szCs w:val="28"/>
          <w:u w:val="single"/>
        </w:rPr>
        <w:t> 〔</w:t>
      </w:r>
      <w:r>
        <w:rPr>
          <w:rFonts w:hint="eastAsia" w:asciiTheme="minorEastAsia" w:hAnsiTheme="minorEastAsia" w:cstheme="minorEastAsia"/>
          <w:sz w:val="28"/>
          <w:szCs w:val="28"/>
          <w:u w:val="single"/>
          <w:lang w:val="en-US" w:eastAsia="zh-CN"/>
        </w:rPr>
        <w:t>3〕</w:t>
      </w:r>
      <w:r>
        <w:rPr>
          <w:rFonts w:hint="eastAsia" w:asciiTheme="minorEastAsia" w:hAnsiTheme="minorEastAsia" w:eastAsiaTheme="minorEastAsia" w:cstheme="minorEastAsia"/>
          <w:sz w:val="28"/>
          <w:szCs w:val="28"/>
          <w:u w:val="single"/>
        </w:rPr>
        <w:t> </w:t>
      </w:r>
      <w:r>
        <w:rPr>
          <w:rFonts w:hint="eastAsia" w:asciiTheme="minorEastAsia" w:hAnsiTheme="minorEastAsia" w:eastAsiaTheme="minorEastAsia" w:cstheme="minorEastAsia"/>
          <w:sz w:val="28"/>
          <w:szCs w:val="28"/>
        </w:rPr>
        <w:t>日内，与甲方医学工程科沟通接收设备的具体时间，以便甲方做好接收准备工作。</w:t>
      </w:r>
    </w:p>
    <w:p w14:paraId="2F4B2236">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4.</w:t>
      </w:r>
      <w:r>
        <w:rPr>
          <w:rFonts w:hint="eastAsia" w:asciiTheme="minorEastAsia" w:hAnsiTheme="minorEastAsia" w:eastAsiaTheme="minorEastAsia" w:cstheme="minorEastAsia"/>
          <w:sz w:val="28"/>
          <w:szCs w:val="28"/>
        </w:rPr>
        <w:t>运输与风险：乙方负责将设备安全无损地运抵交付地点，并承担一切运输、保险、装卸及搬运费用。货物毁损、灭失的风险自设备经甲方最终验收合格后转移至甲方。在最终验收合格前，货物毁损、灭失的风险由乙方承担。</w:t>
      </w:r>
    </w:p>
    <w:p w14:paraId="09119860">
      <w:pPr>
        <w:widowControl w:val="0"/>
        <w:numPr>
          <w:ilvl w:val="0"/>
          <w:numId w:val="0"/>
        </w:numPr>
        <w:ind w:leftChars="0" w:firstLine="280" w:firstLineChars="100"/>
        <w:jc w:val="both"/>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5.随附文件：乙方需在设备交付时，向甲方提供设备简易操作规程及注意事项的塑封版文件（A4大小，中文，一式3份）。</w:t>
      </w:r>
    </w:p>
    <w:p w14:paraId="34DA4268">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安装调试：乙方应派遣具备相应资质的技术人员在设备到货后 </w:t>
      </w:r>
      <w:r>
        <w:rPr>
          <w:rFonts w:hint="eastAsia" w:asciiTheme="minorEastAsia" w:hAnsiTheme="minorEastAsia" w:eastAsiaTheme="minorEastAsia" w:cstheme="minorEastAsia"/>
          <w:sz w:val="28"/>
          <w:szCs w:val="28"/>
          <w:u w:val="single"/>
        </w:rPr>
        <w:t>[</w:t>
      </w:r>
      <w:r>
        <w:rPr>
          <w:rFonts w:hint="eastAsia" w:asciiTheme="minorEastAsia" w:hAnsiTheme="minorEastAsia" w:cstheme="minorEastAsia"/>
          <w:sz w:val="28"/>
          <w:szCs w:val="28"/>
          <w:u w:val="single"/>
          <w:lang w:val="en-US" w:eastAsia="zh-CN"/>
        </w:rPr>
        <w:t>7</w:t>
      </w:r>
      <w:r>
        <w:rPr>
          <w:rFonts w:hint="eastAsia" w:asciiTheme="minorEastAsia" w:hAnsiTheme="minorEastAsia" w:eastAsiaTheme="minorEastAsia" w:cstheme="minorEastAsia"/>
          <w:sz w:val="28"/>
          <w:szCs w:val="28"/>
          <w:u w:val="single"/>
        </w:rPr>
        <w:t>] </w:t>
      </w:r>
      <w:r>
        <w:rPr>
          <w:rFonts w:hint="eastAsia" w:asciiTheme="minorEastAsia" w:hAnsiTheme="minorEastAsia" w:eastAsiaTheme="minorEastAsia" w:cstheme="minorEastAsia"/>
          <w:sz w:val="28"/>
          <w:szCs w:val="28"/>
        </w:rPr>
        <w:t>日内完成安装调试工作。安装调试期间，乙方应严格遵守甲方医院的各项管理规定，服从甲方需求科室的指挥，采取必要的安全防护措施。因乙方原因造成甲方或第三方任何人身或财产损失的，由乙方承担全部法律责任。</w:t>
      </w:r>
    </w:p>
    <w:p w14:paraId="1C5AD72B">
      <w:pPr>
        <w:widowControl w:val="0"/>
        <w:numPr>
          <w:ilvl w:val="0"/>
          <w:numId w:val="0"/>
        </w:numPr>
        <w:ind w:leftChars="0"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第三条 验收</w:t>
      </w:r>
    </w:p>
    <w:p w14:paraId="5CD7E409">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验收组织：验收由甲方组织，乙方配合进行。</w:t>
      </w:r>
    </w:p>
    <w:p w14:paraId="6D862015">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2.</w:t>
      </w:r>
      <w:r>
        <w:rPr>
          <w:rFonts w:hint="eastAsia" w:asciiTheme="minorEastAsia" w:hAnsiTheme="minorEastAsia" w:eastAsiaTheme="minorEastAsia" w:cstheme="minorEastAsia"/>
          <w:sz w:val="28"/>
          <w:szCs w:val="28"/>
        </w:rPr>
        <w:t>到货验收：设备运抵交付地点后，甲乙双方共同开箱清点。检查内容包括但不限于：型号规格、数量、外观、包装、设备及主要部件的生产日期等。如发现数量短缺、型号不符、外观破损，或设备生产日期不符合本合同约定的，甲方有权拒收，并形成书面记录。乙方应在</w:t>
      </w:r>
      <w:r>
        <w:rPr>
          <w:rFonts w:hint="eastAsia" w:asciiTheme="minorEastAsia" w:hAnsiTheme="minorEastAsia" w:eastAsiaTheme="minorEastAsia" w:cstheme="minorEastAsia"/>
          <w:sz w:val="28"/>
          <w:szCs w:val="28"/>
          <w:u w:val="single"/>
        </w:rPr>
        <w:t> [</w:t>
      </w:r>
      <w:r>
        <w:rPr>
          <w:rFonts w:hint="eastAsia" w:asciiTheme="minorEastAsia" w:hAnsiTheme="minorEastAsia" w:cstheme="minorEastAsia"/>
          <w:sz w:val="28"/>
          <w:szCs w:val="28"/>
          <w:u w:val="single"/>
          <w:lang w:val="en-US" w:eastAsia="zh-CN"/>
        </w:rPr>
        <w:t>15</w:t>
      </w:r>
      <w:r>
        <w:rPr>
          <w:rFonts w:hint="eastAsia" w:asciiTheme="minorEastAsia" w:hAnsiTheme="minorEastAsia" w:eastAsiaTheme="minorEastAsia" w:cstheme="minorEastAsia"/>
          <w:sz w:val="28"/>
          <w:szCs w:val="28"/>
          <w:u w:val="single"/>
        </w:rPr>
        <w:t>] </w:t>
      </w:r>
      <w:r>
        <w:rPr>
          <w:rFonts w:hint="eastAsia" w:asciiTheme="minorEastAsia" w:hAnsiTheme="minorEastAsia" w:eastAsiaTheme="minorEastAsia" w:cstheme="minorEastAsia"/>
          <w:sz w:val="28"/>
          <w:szCs w:val="28"/>
        </w:rPr>
        <w:t>日内补足或更换，因此产生的费用及延误由乙方承担。</w:t>
      </w:r>
    </w:p>
    <w:p w14:paraId="7A480092">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初步验收</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货物安装调试完毕后</w:t>
      </w:r>
      <w:r>
        <w:rPr>
          <w:rFonts w:hint="eastAsia" w:asciiTheme="minorEastAsia" w:hAnsiTheme="minorEastAsia" w:eastAsiaTheme="minorEastAsia" w:cstheme="minorEastAsia"/>
          <w:sz w:val="28"/>
          <w:szCs w:val="28"/>
          <w:u w:val="single"/>
        </w:rPr>
        <w:t> [3] </w:t>
      </w:r>
      <w:r>
        <w:rPr>
          <w:rFonts w:hint="eastAsia" w:asciiTheme="minorEastAsia" w:hAnsiTheme="minorEastAsia" w:cstheme="minorEastAsia"/>
          <w:sz w:val="28"/>
          <w:szCs w:val="28"/>
          <w:u w:val="none"/>
          <w:lang w:val="en-US" w:eastAsia="zh-CN"/>
        </w:rPr>
        <w:t>工作</w:t>
      </w:r>
      <w:r>
        <w:rPr>
          <w:rFonts w:hint="eastAsia" w:asciiTheme="minorEastAsia" w:hAnsiTheme="minorEastAsia" w:eastAsiaTheme="minorEastAsia" w:cstheme="minorEastAsia"/>
          <w:sz w:val="28"/>
          <w:szCs w:val="28"/>
        </w:rPr>
        <w:t>日内，甲方</w:t>
      </w:r>
      <w:r>
        <w:rPr>
          <w:rFonts w:hint="eastAsia" w:asciiTheme="minorEastAsia" w:hAnsiTheme="minorEastAsia" w:cstheme="minorEastAsia"/>
          <w:sz w:val="28"/>
          <w:szCs w:val="28"/>
          <w:lang w:val="en-US" w:eastAsia="zh-CN"/>
        </w:rPr>
        <w:t>组织</w:t>
      </w:r>
      <w:r>
        <w:rPr>
          <w:rFonts w:hint="eastAsia" w:asciiTheme="minorEastAsia" w:hAnsiTheme="minorEastAsia" w:eastAsiaTheme="minorEastAsia" w:cstheme="minorEastAsia"/>
          <w:sz w:val="28"/>
          <w:szCs w:val="28"/>
        </w:rPr>
        <w:t>对型号、规格、数量、外观、包装是否完好进行初步验收。</w:t>
      </w:r>
    </w:p>
    <w:p w14:paraId="7669FB69">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4.</w:t>
      </w:r>
      <w:r>
        <w:rPr>
          <w:rFonts w:hint="eastAsia" w:asciiTheme="minorEastAsia" w:hAnsiTheme="minorEastAsia" w:eastAsiaTheme="minorEastAsia" w:cstheme="minorEastAsia"/>
          <w:sz w:val="28"/>
          <w:szCs w:val="28"/>
        </w:rPr>
        <w:t>计量检定/校准：</w:t>
      </w:r>
    </w:p>
    <w:p w14:paraId="0C0C176F">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1</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强制检定设备：如本合同项下设备属于《中华人民共和国强制检定的工作计量器具目录》范围内的设备（包括但不限于：医用诊断X射线设备、CT、MRI、超声诊断仪、血压计、心电图机、多参数监护仪等），乙方应在设备安装调试完成后，协助甲方完成首次强制检定，并确保设备取得法定计量检定机构出具的合格检定证书。首次检定的费用由乙方承担。</w:t>
      </w:r>
    </w:p>
    <w:p w14:paraId="69CF0E46">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2</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非强制检定设备：对于其他需要校准的医疗设备，乙方应提供设备出厂时的校准报告，并保证设备在正常使用条件下性能稳定、数据准确。</w:t>
      </w:r>
    </w:p>
    <w:p w14:paraId="1FF58DEB">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3</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不合格处理：如因设备质量问题导致首次检定不合格，乙方应在</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cstheme="minorEastAsia"/>
          <w:sz w:val="28"/>
          <w:szCs w:val="28"/>
          <w:u w:val="single"/>
          <w:lang w:val="en-US" w:eastAsia="zh-CN"/>
        </w:rPr>
        <w:t>1</w:t>
      </w:r>
      <w:r>
        <w:rPr>
          <w:rFonts w:hint="eastAsia" w:asciiTheme="minorEastAsia" w:hAnsiTheme="minorEastAsia" w:eastAsiaTheme="minorEastAsia" w:cstheme="minorEastAsia"/>
          <w:sz w:val="28"/>
          <w:szCs w:val="28"/>
          <w:u w:val="single"/>
        </w:rPr>
        <w:t>5]</w:t>
      </w:r>
      <w:r>
        <w:rPr>
          <w:rFonts w:hint="eastAsia" w:asciiTheme="minorEastAsia" w:hAnsiTheme="minorEastAsia" w:eastAsiaTheme="minorEastAsia" w:cstheme="minorEastAsia"/>
          <w:sz w:val="28"/>
          <w:szCs w:val="28"/>
        </w:rPr>
        <w:t xml:space="preserve"> 日内免费维修或更换设备，并承担重新检定的费用；重新检定仍不合格的，甲方有权退货。</w:t>
      </w:r>
    </w:p>
    <w:p w14:paraId="18053A66">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4</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验收前置条件：属于强制检定范围的设备，经法定计量检定机构检定后，未取得合格结论的，视为验收不合格，甲方有权拒绝签署验收合格单，并顺延付款期限。乙方已按约定提交检定申请且设备经检定合格的，仅因检定机构出具合格证书延迟的，不影响甲方签署验收合格单的义务，但甲方可在取得证书后支付相应款项。</w:t>
      </w:r>
    </w:p>
    <w:p w14:paraId="6D230BD4">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5.</w:t>
      </w:r>
      <w:r>
        <w:rPr>
          <w:rFonts w:hint="eastAsia" w:asciiTheme="minorEastAsia" w:hAnsiTheme="minorEastAsia" w:eastAsiaTheme="minorEastAsia" w:cstheme="minorEastAsia"/>
          <w:sz w:val="28"/>
          <w:szCs w:val="28"/>
        </w:rPr>
        <w:t xml:space="preserve">最终验收：培训合格且计量检定合格后，在 </w:t>
      </w:r>
      <w:r>
        <w:rPr>
          <w:rFonts w:hint="eastAsia" w:asciiTheme="minorEastAsia" w:hAnsiTheme="minorEastAsia" w:eastAsiaTheme="minorEastAsia" w:cstheme="minorEastAsia"/>
          <w:sz w:val="28"/>
          <w:szCs w:val="28"/>
          <w:u w:val="single"/>
        </w:rPr>
        <w:t xml:space="preserve">[7] </w:t>
      </w:r>
      <w:r>
        <w:rPr>
          <w:rFonts w:hint="eastAsia" w:asciiTheme="minorEastAsia" w:hAnsiTheme="minorEastAsia" w:cstheme="minorEastAsia"/>
          <w:sz w:val="28"/>
          <w:szCs w:val="28"/>
          <w:u w:val="none"/>
          <w:lang w:val="en-US" w:eastAsia="zh-CN"/>
        </w:rPr>
        <w:t>工作</w:t>
      </w:r>
      <w:r>
        <w:rPr>
          <w:rFonts w:hint="eastAsia" w:asciiTheme="minorEastAsia" w:hAnsiTheme="minorEastAsia" w:eastAsiaTheme="minorEastAsia" w:cstheme="minorEastAsia"/>
          <w:sz w:val="28"/>
          <w:szCs w:val="28"/>
          <w:u w:val="none"/>
        </w:rPr>
        <w:t>日内</w:t>
      </w:r>
      <w:r>
        <w:rPr>
          <w:rFonts w:hint="eastAsia" w:asciiTheme="minorEastAsia" w:hAnsiTheme="minorEastAsia" w:eastAsiaTheme="minorEastAsia" w:cstheme="minorEastAsia"/>
          <w:sz w:val="28"/>
          <w:szCs w:val="28"/>
        </w:rPr>
        <w:t>完成最终验收。验收标准：</w:t>
      </w:r>
    </w:p>
    <w:p w14:paraId="7173F848">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1</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按国家有关规定、投标文件承诺、本合同附件（技术参数规格要求）以及甲方质量及技术指标的要求进行验收；</w:t>
      </w:r>
    </w:p>
    <w:p w14:paraId="7F076999">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2</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乙方应向甲方提供相应的装箱清单、质量合格证书、医疗器械注册证、使用手册、质量保修卡、随机资料、配件、工具等；</w:t>
      </w:r>
    </w:p>
    <w:p w14:paraId="0DC03D67">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3</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属于强制检定范围的设备，还须提供法定计量检定机构出具的合格检定证书原件。</w:t>
      </w:r>
    </w:p>
    <w:p w14:paraId="7FE40E38">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4</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验收合格后，双方签署甲方提供的</w:t>
      </w:r>
      <w:r>
        <w:rPr>
          <w:rFonts w:hint="eastAsia" w:asciiTheme="minorEastAsia" w:hAnsiTheme="minorEastAsia" w:eastAsiaTheme="minorEastAsia" w:cstheme="minorEastAsia"/>
          <w:sz w:val="28"/>
          <w:szCs w:val="28"/>
          <w:u w:val="single"/>
        </w:rPr>
        <w:t>《设备验收单》</w:t>
      </w:r>
      <w:r>
        <w:rPr>
          <w:rFonts w:hint="eastAsia" w:asciiTheme="minorEastAsia" w:hAnsiTheme="minorEastAsia" w:eastAsiaTheme="minorEastAsia" w:cstheme="minorEastAsia"/>
          <w:sz w:val="28"/>
          <w:szCs w:val="28"/>
        </w:rPr>
        <w:t>，该</w:t>
      </w:r>
      <w:r>
        <w:rPr>
          <w:rFonts w:hint="eastAsia" w:asciiTheme="minorEastAsia" w:hAnsiTheme="minorEastAsia" w:cstheme="minorEastAsia"/>
          <w:sz w:val="28"/>
          <w:szCs w:val="28"/>
          <w:lang w:val="en-US" w:eastAsia="zh-CN"/>
        </w:rPr>
        <w:t>验收单</w:t>
      </w:r>
      <w:r>
        <w:rPr>
          <w:rFonts w:hint="eastAsia" w:asciiTheme="minorEastAsia" w:hAnsiTheme="minorEastAsia" w:eastAsiaTheme="minorEastAsia" w:cstheme="minorEastAsia"/>
          <w:sz w:val="28"/>
          <w:szCs w:val="28"/>
        </w:rPr>
        <w:t>为乙方申请付款的必要依据。</w:t>
      </w:r>
    </w:p>
    <w:p w14:paraId="04CEFBA9">
      <w:pPr>
        <w:widowControl w:val="0"/>
        <w:numPr>
          <w:ilvl w:val="0"/>
          <w:numId w:val="0"/>
        </w:numPr>
        <w:ind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验收责任：验收合格不免除乙方在质保期内对设备质量的保证责任。</w:t>
      </w:r>
    </w:p>
    <w:p w14:paraId="77ADA8A7">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7.</w:t>
      </w:r>
      <w:r>
        <w:rPr>
          <w:rFonts w:hint="eastAsia" w:asciiTheme="minorEastAsia" w:hAnsiTheme="minorEastAsia" w:eastAsiaTheme="minorEastAsia" w:cstheme="minorEastAsia"/>
          <w:sz w:val="28"/>
          <w:szCs w:val="28"/>
        </w:rPr>
        <w:t>视同验收：货物安装完成后</w:t>
      </w:r>
      <w:r>
        <w:rPr>
          <w:rFonts w:hint="eastAsia" w:asciiTheme="minorEastAsia" w:hAnsiTheme="minorEastAsia" w:eastAsiaTheme="minorEastAsia" w:cstheme="minorEastAsia"/>
          <w:sz w:val="28"/>
          <w:szCs w:val="28"/>
          <w:u w:val="single"/>
        </w:rPr>
        <w:t> [10] </w:t>
      </w:r>
      <w:r>
        <w:rPr>
          <w:rFonts w:hint="eastAsia" w:asciiTheme="minorEastAsia" w:hAnsiTheme="minorEastAsia" w:cstheme="minorEastAsia"/>
          <w:sz w:val="28"/>
          <w:szCs w:val="28"/>
          <w:u w:val="none"/>
          <w:lang w:val="en-US" w:eastAsia="zh-CN"/>
        </w:rPr>
        <w:t>工作</w:t>
      </w:r>
      <w:r>
        <w:rPr>
          <w:rFonts w:hint="eastAsia" w:asciiTheme="minorEastAsia" w:hAnsiTheme="minorEastAsia" w:eastAsiaTheme="minorEastAsia" w:cstheme="minorEastAsia"/>
          <w:sz w:val="28"/>
          <w:szCs w:val="28"/>
          <w:u w:val="none"/>
        </w:rPr>
        <w:t>日内</w:t>
      </w:r>
      <w:r>
        <w:rPr>
          <w:rFonts w:hint="eastAsia" w:asciiTheme="minorEastAsia" w:hAnsiTheme="minorEastAsia" w:eastAsiaTheme="minorEastAsia" w:cstheme="minorEastAsia"/>
          <w:sz w:val="28"/>
          <w:szCs w:val="28"/>
        </w:rPr>
        <w:t>，甲方无正当理由不进行验收工作并已使用货物的，视同已安装调试完成并验收合格。</w:t>
      </w:r>
    </w:p>
    <w:p w14:paraId="41C4BBCB">
      <w:pPr>
        <w:widowControl w:val="0"/>
        <w:numPr>
          <w:ilvl w:val="0"/>
          <w:numId w:val="0"/>
        </w:numPr>
        <w:ind w:leftChars="0"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第四条 质量保证</w:t>
      </w:r>
    </w:p>
    <w:p w14:paraId="26256E97">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质量要求：乙方保证提供的设备（含零部件、配件等）是全新、未使用过的合格正品，具备医疗器械注册证等合法有效证件，包装良好，设备表面无划伤、无碰撞痕迹，且权属清楚。</w:t>
      </w:r>
    </w:p>
    <w:p w14:paraId="42F1EF94">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2.</w:t>
      </w:r>
      <w:r>
        <w:rPr>
          <w:rFonts w:hint="eastAsia" w:asciiTheme="minorEastAsia" w:hAnsiTheme="minorEastAsia" w:eastAsiaTheme="minorEastAsia" w:cstheme="minorEastAsia"/>
          <w:sz w:val="28"/>
          <w:szCs w:val="28"/>
        </w:rPr>
        <w:t>生产日期要求：乙方保证设备整机及主要部件（包括但不限于：球管、探测器、高压发生器、主板、软件加密狗等核心部件）的</w:t>
      </w:r>
      <w:r>
        <w:rPr>
          <w:rFonts w:hint="eastAsia" w:asciiTheme="minorEastAsia" w:hAnsiTheme="minorEastAsia" w:eastAsiaTheme="minorEastAsia" w:cstheme="minorEastAsia"/>
          <w:b/>
          <w:bCs/>
          <w:sz w:val="28"/>
          <w:szCs w:val="28"/>
        </w:rPr>
        <w:t>生产日期距到货验收之日不超过3个月</w:t>
      </w:r>
      <w:r>
        <w:rPr>
          <w:rFonts w:hint="eastAsia" w:asciiTheme="minorEastAsia" w:hAnsiTheme="minorEastAsia" w:eastAsiaTheme="minorEastAsia" w:cstheme="minorEastAsia"/>
          <w:sz w:val="28"/>
          <w:szCs w:val="28"/>
        </w:rPr>
        <w:t>。如因特殊原因无法满足该要求，乙方须在合同签订前书面告知甲方，并经甲方书面确认同意后方可供货。未经甲方书面同意，设备生产日期超过3个月的，甲方有权拒收，乙方应于</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cstheme="minorEastAsia"/>
          <w:sz w:val="28"/>
          <w:szCs w:val="28"/>
          <w:u w:val="single"/>
          <w:lang w:val="en-US" w:eastAsia="zh-CN"/>
        </w:rPr>
        <w:t>30</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日内更换符合要求的设备，并承担逾期交付的违约责任。</w:t>
      </w:r>
    </w:p>
    <w:p w14:paraId="7FD3D977">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3.技术标准：乙方提供货物的技术规格应与甲方提出的质量、规格、性能和技术指标要求相一致，且必须符合或优于国家强制性标准及医疗器械行业强制性标准。</w:t>
      </w:r>
    </w:p>
    <w:p w14:paraId="422DBF1F">
      <w:pPr>
        <w:widowControl w:val="0"/>
        <w:numPr>
          <w:ilvl w:val="0"/>
          <w:numId w:val="0"/>
        </w:numPr>
        <w:ind w:leftChars="0"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4.</w:t>
      </w:r>
      <w:r>
        <w:rPr>
          <w:rFonts w:hint="eastAsia" w:asciiTheme="minorEastAsia" w:hAnsiTheme="minorEastAsia" w:eastAsiaTheme="minorEastAsia" w:cstheme="minorEastAsia"/>
          <w:sz w:val="28"/>
          <w:szCs w:val="28"/>
        </w:rPr>
        <w:t>知识产权：乙方保证本合同项下设备（含硬件、软件）均不侵犯第三方知识产权。如发生第三方指控侵权，由乙方负责处理并承担全部法律责任。</w:t>
      </w:r>
    </w:p>
    <w:p w14:paraId="72BA53C2">
      <w:pPr>
        <w:widowControl w:val="0"/>
        <w:numPr>
          <w:ilvl w:val="0"/>
          <w:numId w:val="0"/>
        </w:numPr>
        <w:ind w:leftChars="0" w:firstLine="560" w:firstLineChars="200"/>
        <w:jc w:val="both"/>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5.注册证效力保证：乙方保证所供设备在交付时，其医疗器械注册证（或备案凭证）合法有效，且所供设备系在该注册证有效期内生产。质保期内，如因设备本身存在重大质量缺陷导致注册证被监管部门依法吊销或撤销，且该吊销或撤销直接导致甲方无法继续使用设备的，乙方应退还全部货款，并赔偿甲方因此遭受的直接损失。除前述情形外，包括但不限于注册证到期后未延续、法规政策调整、医疗器械分类目录变更等，均不视为乙方违反本保证义务，乙方不承担任何违约责任。甲方确认知悉，乙方所供设备在注册证有效期内生产的，即使该注册证在质保期内届满失效，依据《医疗器械注册与备案管理办法》第一百一十二条及监管部门指导意见，该设备仍为合法合规产品，可正常使用。</w:t>
      </w:r>
    </w:p>
    <w:p w14:paraId="2B545948">
      <w:pPr>
        <w:widowControl w:val="0"/>
        <w:numPr>
          <w:ilvl w:val="0"/>
          <w:numId w:val="0"/>
        </w:numPr>
        <w:ind w:leftChars="0"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第五条 供应商资质及质保责任</w:t>
      </w:r>
    </w:p>
    <w:p w14:paraId="72FE26E4">
      <w:pPr>
        <w:widowControl w:val="0"/>
        <w:numPr>
          <w:ilvl w:val="0"/>
          <w:numId w:val="0"/>
        </w:numPr>
        <w:ind w:leftChars="0" w:firstLine="280" w:firstLineChars="100"/>
        <w:jc w:val="both"/>
        <w:rPr>
          <w:rFonts w:hint="eastAsia" w:asciiTheme="minorEastAsia" w:hAnsiTheme="minorEastAsia" w:cstheme="minorEastAsia"/>
          <w:b w:val="0"/>
          <w:bCs w:val="0"/>
          <w:color w:val="auto"/>
          <w:sz w:val="28"/>
          <w:szCs w:val="28"/>
          <w:lang w:val="en-US" w:eastAsia="zh-CN"/>
        </w:rPr>
      </w:pPr>
      <w:r>
        <w:rPr>
          <w:rFonts w:hint="eastAsia" w:asciiTheme="minorEastAsia" w:hAnsiTheme="minorEastAsia" w:cstheme="minorEastAsia"/>
          <w:b w:val="0"/>
          <w:bCs w:val="0"/>
          <w:color w:val="auto"/>
          <w:sz w:val="28"/>
          <w:szCs w:val="28"/>
          <w:lang w:val="en-US" w:eastAsia="zh-CN"/>
        </w:rPr>
        <w:t>1.供应商资质：乙方应在合同签订时向甲方提供营业执照、医疗器械经营许可证、医疗器械注册证等加盖公章的资质文件。进口设备报关单、商检证明等随货文件，应在设备交付时一并提供。如乙方未按时提供前述文件，甲方有权拒绝签订合同及验收；如合同已签订，每逾期一日，应按合同总价款的0.5‰支付违约金；逾期超过5日的，甲方有权解除合同，并要求乙方按合同总价款的5%支付违约金。</w:t>
      </w:r>
    </w:p>
    <w:p w14:paraId="1A518030">
      <w:pPr>
        <w:widowControl w:val="0"/>
        <w:numPr>
          <w:ilvl w:val="0"/>
          <w:numId w:val="0"/>
        </w:numPr>
        <w:ind w:leftChars="0" w:firstLine="280" w:firstLineChars="100"/>
        <w:jc w:val="both"/>
        <w:rPr>
          <w:rFonts w:hint="eastAsia" w:asciiTheme="minorEastAsia" w:hAnsiTheme="minorEastAsia" w:cstheme="minorEastAsia"/>
          <w:b w:val="0"/>
          <w:bCs w:val="0"/>
          <w:color w:val="auto"/>
          <w:sz w:val="28"/>
          <w:szCs w:val="28"/>
          <w:lang w:val="en-US" w:eastAsia="zh-CN"/>
        </w:rPr>
      </w:pPr>
      <w:r>
        <w:rPr>
          <w:rFonts w:hint="eastAsia" w:asciiTheme="minorEastAsia" w:hAnsiTheme="minorEastAsia" w:cstheme="minorEastAsia"/>
          <w:b w:val="0"/>
          <w:bCs w:val="0"/>
          <w:color w:val="auto"/>
          <w:sz w:val="28"/>
          <w:szCs w:val="28"/>
          <w:lang w:val="en-US" w:eastAsia="zh-CN"/>
        </w:rPr>
        <w:t>2.乙方承诺，将严格按照本合同第七条约定的标准（包括但不限于质保期限、响应时间、到场时间、配件来源、开机率等）向甲方提供全面的质保服务。乙方对质保义务的履行承担全部、最终的责任，并保证不以“生产厂家未提供支持”、“配件供应延迟”或任何第三方原因为由，减免或延迟履行其在本合同项下的任何质保义务。</w:t>
      </w:r>
    </w:p>
    <w:p w14:paraId="5CA49068">
      <w:pPr>
        <w:widowControl w:val="0"/>
        <w:numPr>
          <w:ilvl w:val="0"/>
          <w:numId w:val="0"/>
        </w:numPr>
        <w:ind w:leftChars="0" w:firstLine="560" w:firstLineChars="200"/>
        <w:jc w:val="both"/>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第六条 付款方式</w:t>
      </w:r>
    </w:p>
    <w:p w14:paraId="684B0982">
      <w:pPr>
        <w:widowControl w:val="0"/>
        <w:numPr>
          <w:ilvl w:val="0"/>
          <w:numId w:val="0"/>
        </w:numPr>
        <w:ind w:leftChars="0" w:firstLine="280" w:firstLineChars="100"/>
        <w:jc w:val="both"/>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1.付款安排：第一笔：全部设备及配件安装调试完毕，经甲方最终验收合格之日起满3个月后，甲方于60日内支付合同总价款的60%；第二笔：全部设备及配件经甲方最终验收合格之日起满12个月后，甲方于60日内支付合同总价款的30%；第三笔：设备运行满36个月且无任何质量问题后，达到付款条件起60日内，支付合同总金额的10%。</w:t>
      </w:r>
      <w:bookmarkStart w:id="0" w:name="_GoBack"/>
      <w:bookmarkEnd w:id="0"/>
    </w:p>
    <w:p w14:paraId="1274E548">
      <w:pPr>
        <w:widowControl w:val="0"/>
        <w:numPr>
          <w:ilvl w:val="0"/>
          <w:numId w:val="0"/>
        </w:numPr>
        <w:ind w:leftChars="0" w:firstLine="280" w:firstLineChars="100"/>
        <w:jc w:val="both"/>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2.乙方指定收款账号为：</w:t>
      </w:r>
    </w:p>
    <w:p w14:paraId="67A98F04">
      <w:pPr>
        <w:widowControl w:val="0"/>
        <w:numPr>
          <w:ilvl w:val="0"/>
          <w:numId w:val="0"/>
        </w:numPr>
        <w:ind w:leftChars="0" w:firstLine="280" w:firstLineChars="100"/>
        <w:jc w:val="both"/>
        <w:rPr>
          <w:rFonts w:hint="default" w:ascii="Segoe UI" w:hAnsi="Segoe UI" w:eastAsia="宋体" w:cs="Segoe UI"/>
          <w:i w:val="0"/>
          <w:iCs w:val="0"/>
          <w:caps w:val="0"/>
          <w:color w:val="0F1115"/>
          <w:spacing w:val="0"/>
          <w:sz w:val="28"/>
          <w:szCs w:val="28"/>
          <w:u w:val="single"/>
          <w:shd w:val="clear" w:fill="FFFFFF"/>
          <w:lang w:val="en-US" w:eastAsia="zh-CN"/>
        </w:rPr>
      </w:pPr>
      <w:r>
        <w:rPr>
          <w:rFonts w:ascii="Segoe UI" w:hAnsi="Segoe UI" w:eastAsia="Segoe UI" w:cs="Segoe UI"/>
          <w:i w:val="0"/>
          <w:iCs w:val="0"/>
          <w:caps w:val="0"/>
          <w:color w:val="0F1115"/>
          <w:spacing w:val="0"/>
          <w:sz w:val="28"/>
          <w:szCs w:val="28"/>
          <w:shd w:val="clear" w:fill="FFFFFF"/>
        </w:rPr>
        <w:t>户名</w:t>
      </w:r>
      <w:r>
        <w:rPr>
          <w:rFonts w:hint="eastAsia" w:ascii="Segoe UI" w:hAnsi="Segoe UI" w:eastAsia="宋体" w:cs="Segoe UI"/>
          <w:i w:val="0"/>
          <w:iCs w:val="0"/>
          <w:caps w:val="0"/>
          <w:color w:val="0F1115"/>
          <w:spacing w:val="0"/>
          <w:sz w:val="28"/>
          <w:szCs w:val="28"/>
          <w:shd w:val="clear" w:fill="FFFFFF"/>
          <w:lang w:eastAsia="zh-CN"/>
        </w:rPr>
        <w:t>：</w:t>
      </w:r>
      <w:r>
        <w:rPr>
          <w:rFonts w:hint="eastAsia" w:ascii="Segoe UI" w:hAnsi="Segoe UI" w:eastAsia="宋体" w:cs="Segoe UI"/>
          <w:i w:val="0"/>
          <w:iCs w:val="0"/>
          <w:caps w:val="0"/>
          <w:color w:val="0F1115"/>
          <w:spacing w:val="0"/>
          <w:sz w:val="28"/>
          <w:szCs w:val="28"/>
          <w:u w:val="single"/>
          <w:shd w:val="clear" w:fill="FFFFFF"/>
          <w:lang w:val="en-US" w:eastAsia="zh-CN"/>
        </w:rPr>
        <w:t xml:space="preserve">                                           </w:t>
      </w:r>
    </w:p>
    <w:p w14:paraId="10A3FE9A">
      <w:pPr>
        <w:widowControl w:val="0"/>
        <w:numPr>
          <w:ilvl w:val="0"/>
          <w:numId w:val="0"/>
        </w:numPr>
        <w:ind w:leftChars="0" w:firstLine="280" w:firstLineChars="100"/>
        <w:jc w:val="both"/>
        <w:rPr>
          <w:rFonts w:hint="eastAsia" w:ascii="Segoe UI" w:hAnsi="Segoe UI" w:eastAsia="宋体" w:cs="Segoe UI"/>
          <w:i w:val="0"/>
          <w:iCs w:val="0"/>
          <w:caps w:val="0"/>
          <w:color w:val="0F1115"/>
          <w:spacing w:val="0"/>
          <w:sz w:val="28"/>
          <w:szCs w:val="28"/>
          <w:u w:val="single"/>
          <w:shd w:val="clear" w:fill="FFFFFF"/>
          <w:lang w:val="en-US" w:eastAsia="zh-CN"/>
        </w:rPr>
      </w:pPr>
    </w:p>
    <w:p w14:paraId="1031FF50">
      <w:pPr>
        <w:widowControl w:val="0"/>
        <w:numPr>
          <w:ilvl w:val="0"/>
          <w:numId w:val="0"/>
        </w:numPr>
        <w:ind w:leftChars="0" w:firstLine="280" w:firstLineChars="100"/>
        <w:jc w:val="both"/>
        <w:rPr>
          <w:rFonts w:hint="default" w:ascii="Segoe UI" w:hAnsi="Segoe UI" w:eastAsia="宋体" w:cs="Segoe UI"/>
          <w:i w:val="0"/>
          <w:iCs w:val="0"/>
          <w:caps w:val="0"/>
          <w:color w:val="0F1115"/>
          <w:spacing w:val="0"/>
          <w:sz w:val="28"/>
          <w:szCs w:val="28"/>
          <w:u w:val="single"/>
          <w:shd w:val="clear" w:fill="FFFFFF"/>
          <w:lang w:val="en-US" w:eastAsia="zh-CN"/>
        </w:rPr>
      </w:pPr>
      <w:r>
        <w:rPr>
          <w:rFonts w:ascii="Segoe UI" w:hAnsi="Segoe UI" w:eastAsia="Segoe UI" w:cs="Segoe UI"/>
          <w:i w:val="0"/>
          <w:iCs w:val="0"/>
          <w:caps w:val="0"/>
          <w:color w:val="0F1115"/>
          <w:spacing w:val="0"/>
          <w:sz w:val="28"/>
          <w:szCs w:val="28"/>
          <w:shd w:val="clear" w:fill="FFFFFF"/>
        </w:rPr>
        <w:t>开户行</w:t>
      </w:r>
      <w:r>
        <w:rPr>
          <w:rFonts w:hint="eastAsia" w:ascii="Segoe UI" w:hAnsi="Segoe UI" w:eastAsia="宋体" w:cs="Segoe UI"/>
          <w:i w:val="0"/>
          <w:iCs w:val="0"/>
          <w:caps w:val="0"/>
          <w:color w:val="0F1115"/>
          <w:spacing w:val="0"/>
          <w:sz w:val="28"/>
          <w:szCs w:val="28"/>
          <w:shd w:val="clear" w:fill="FFFFFF"/>
          <w:lang w:eastAsia="zh-CN"/>
        </w:rPr>
        <w:t>：</w:t>
      </w:r>
      <w:r>
        <w:rPr>
          <w:rFonts w:hint="eastAsia" w:ascii="Segoe UI" w:hAnsi="Segoe UI" w:eastAsia="宋体" w:cs="Segoe UI"/>
          <w:i w:val="0"/>
          <w:iCs w:val="0"/>
          <w:caps w:val="0"/>
          <w:color w:val="0F1115"/>
          <w:spacing w:val="0"/>
          <w:sz w:val="28"/>
          <w:szCs w:val="28"/>
          <w:u w:val="single"/>
          <w:shd w:val="clear" w:fill="FFFFFF"/>
          <w:lang w:val="en-US" w:eastAsia="zh-CN"/>
        </w:rPr>
        <w:t xml:space="preserve">                                         </w:t>
      </w:r>
    </w:p>
    <w:p w14:paraId="6AC8FEF0">
      <w:pPr>
        <w:widowControl w:val="0"/>
        <w:numPr>
          <w:ilvl w:val="0"/>
          <w:numId w:val="0"/>
        </w:numPr>
        <w:ind w:leftChars="0" w:firstLine="280" w:firstLineChars="100"/>
        <w:jc w:val="both"/>
        <w:rPr>
          <w:rFonts w:hint="eastAsia" w:ascii="Segoe UI" w:hAnsi="Segoe UI" w:eastAsia="宋体" w:cs="Segoe UI"/>
          <w:i w:val="0"/>
          <w:iCs w:val="0"/>
          <w:caps w:val="0"/>
          <w:color w:val="0F1115"/>
          <w:spacing w:val="0"/>
          <w:sz w:val="28"/>
          <w:szCs w:val="28"/>
          <w:u w:val="single"/>
          <w:shd w:val="clear" w:fill="FFFFFF"/>
          <w:lang w:val="en-US" w:eastAsia="zh-CN"/>
        </w:rPr>
      </w:pPr>
    </w:p>
    <w:p w14:paraId="0797FC0E">
      <w:pPr>
        <w:widowControl w:val="0"/>
        <w:numPr>
          <w:ilvl w:val="0"/>
          <w:numId w:val="0"/>
        </w:numPr>
        <w:ind w:leftChars="0" w:firstLine="280" w:firstLineChars="100"/>
        <w:jc w:val="both"/>
        <w:rPr>
          <w:rFonts w:hint="default" w:ascii="Segoe UI" w:hAnsi="Segoe UI" w:eastAsia="宋体" w:cs="Segoe UI"/>
          <w:i w:val="0"/>
          <w:iCs w:val="0"/>
          <w:caps w:val="0"/>
          <w:color w:val="0F1115"/>
          <w:spacing w:val="0"/>
          <w:sz w:val="28"/>
          <w:szCs w:val="28"/>
          <w:u w:val="single"/>
          <w:shd w:val="clear" w:fill="FFFFFF"/>
          <w:lang w:val="en-US" w:eastAsia="zh-CN"/>
        </w:rPr>
      </w:pPr>
      <w:r>
        <w:rPr>
          <w:rFonts w:ascii="Segoe UI" w:hAnsi="Segoe UI" w:eastAsia="Segoe UI" w:cs="Segoe UI"/>
          <w:i w:val="0"/>
          <w:iCs w:val="0"/>
          <w:caps w:val="0"/>
          <w:color w:val="0F1115"/>
          <w:spacing w:val="0"/>
          <w:sz w:val="28"/>
          <w:szCs w:val="28"/>
          <w:shd w:val="clear" w:fill="FFFFFF"/>
        </w:rPr>
        <w:t>账号</w:t>
      </w:r>
      <w:r>
        <w:rPr>
          <w:rFonts w:hint="eastAsia" w:ascii="Segoe UI" w:hAnsi="Segoe UI" w:eastAsia="宋体" w:cs="Segoe UI"/>
          <w:i w:val="0"/>
          <w:iCs w:val="0"/>
          <w:caps w:val="0"/>
          <w:color w:val="0F1115"/>
          <w:spacing w:val="0"/>
          <w:sz w:val="28"/>
          <w:szCs w:val="28"/>
          <w:shd w:val="clear" w:fill="FFFFFF"/>
          <w:lang w:eastAsia="zh-CN"/>
        </w:rPr>
        <w:t>：</w:t>
      </w:r>
      <w:r>
        <w:rPr>
          <w:rFonts w:hint="eastAsia" w:ascii="Segoe UI" w:hAnsi="Segoe UI" w:eastAsia="宋体" w:cs="Segoe UI"/>
          <w:i w:val="0"/>
          <w:iCs w:val="0"/>
          <w:caps w:val="0"/>
          <w:color w:val="0F1115"/>
          <w:spacing w:val="0"/>
          <w:sz w:val="28"/>
          <w:szCs w:val="28"/>
          <w:u w:val="single"/>
          <w:shd w:val="clear" w:fill="FFFFFF"/>
          <w:lang w:val="en-US" w:eastAsia="zh-CN"/>
        </w:rPr>
        <w:t xml:space="preserve">                                           </w:t>
      </w:r>
    </w:p>
    <w:p w14:paraId="355D4EA8">
      <w:pPr>
        <w:widowControl w:val="0"/>
        <w:numPr>
          <w:ilvl w:val="0"/>
          <w:numId w:val="0"/>
        </w:numPr>
        <w:ind w:leftChars="0" w:firstLine="560" w:firstLineChars="200"/>
        <w:jc w:val="both"/>
        <w:rPr>
          <w:rFonts w:hint="default" w:asciiTheme="minorEastAsia" w:hAnsiTheme="minorEastAsia" w:cstheme="minorEastAsia"/>
          <w:color w:val="auto"/>
          <w:sz w:val="28"/>
          <w:szCs w:val="28"/>
          <w:lang w:val="en-US" w:eastAsia="zh-CN"/>
        </w:rPr>
      </w:pPr>
      <w:r>
        <w:rPr>
          <w:rFonts w:ascii="Segoe UI" w:hAnsi="Segoe UI" w:eastAsia="Segoe UI" w:cs="Segoe UI"/>
          <w:i w:val="0"/>
          <w:iCs w:val="0"/>
          <w:caps w:val="0"/>
          <w:color w:val="0F1115"/>
          <w:spacing w:val="0"/>
          <w:sz w:val="28"/>
          <w:szCs w:val="28"/>
          <w:shd w:val="clear" w:fill="FFFFFF"/>
        </w:rPr>
        <w:t>如账户信息变更，乙方须提前10个工作日书面通知甲方，否则因此产生的损失由乙方承担。</w:t>
      </w:r>
    </w:p>
    <w:p w14:paraId="7A9CCF3E">
      <w:pPr>
        <w:widowControl w:val="0"/>
        <w:numPr>
          <w:ilvl w:val="0"/>
          <w:numId w:val="0"/>
        </w:numPr>
        <w:ind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highlight w:val="none"/>
          <w:lang w:val="en-US" w:eastAsia="zh-CN"/>
        </w:rPr>
        <w:t>3.</w:t>
      </w:r>
      <w:r>
        <w:rPr>
          <w:rFonts w:hint="eastAsia" w:asciiTheme="minorEastAsia" w:hAnsiTheme="minorEastAsia" w:eastAsiaTheme="minorEastAsia" w:cstheme="minorEastAsia"/>
          <w:sz w:val="28"/>
          <w:szCs w:val="28"/>
          <w:highlight w:val="none"/>
        </w:rPr>
        <w:t>发票开具：乙</w:t>
      </w:r>
      <w:r>
        <w:rPr>
          <w:rFonts w:hint="eastAsia" w:asciiTheme="minorEastAsia" w:hAnsiTheme="minorEastAsia" w:eastAsiaTheme="minorEastAsia" w:cstheme="minorEastAsia"/>
          <w:sz w:val="28"/>
          <w:szCs w:val="28"/>
        </w:rPr>
        <w:t>方应在设备最终验收合格之日起</w:t>
      </w:r>
      <w:r>
        <w:rPr>
          <w:rFonts w:hint="eastAsia" w:asciiTheme="minorEastAsia" w:hAnsiTheme="minorEastAsia" w:eastAsiaTheme="minorEastAsia" w:cstheme="minorEastAsia"/>
          <w:sz w:val="28"/>
          <w:szCs w:val="28"/>
          <w:u w:val="single"/>
        </w:rPr>
        <w:t>7</w:t>
      </w:r>
      <w:r>
        <w:rPr>
          <w:rFonts w:hint="eastAsia" w:asciiTheme="minorEastAsia" w:hAnsiTheme="minorEastAsia" w:eastAsiaTheme="minorEastAsia" w:cstheme="minorEastAsia"/>
          <w:sz w:val="28"/>
          <w:szCs w:val="28"/>
        </w:rPr>
        <w:t>个工作日内，向甲方开具合同总价100%的合规正式发票，并送达甲方</w:t>
      </w:r>
      <w:r>
        <w:rPr>
          <w:rFonts w:hint="eastAsia" w:asciiTheme="minorEastAsia" w:hAnsiTheme="minorEastAsia" w:cstheme="minorEastAsia"/>
          <w:sz w:val="28"/>
          <w:szCs w:val="28"/>
          <w:lang w:val="en-US" w:eastAsia="zh-CN"/>
        </w:rPr>
        <w:t>医学工程科设备验收员</w:t>
      </w:r>
      <w:r>
        <w:rPr>
          <w:rFonts w:hint="eastAsia" w:asciiTheme="minorEastAsia" w:hAnsiTheme="minorEastAsia" w:eastAsiaTheme="minorEastAsia" w:cstheme="minorEastAsia"/>
          <w:sz w:val="28"/>
          <w:szCs w:val="28"/>
        </w:rPr>
        <w:t>。如乙方未按时开具并送达发票，每逾期一日，应按合同总价款的0.5‰向甲方支付违约金；逾期超过15日的，甲方有权暂停支付后续款项，并从应付货款中直接扣除相应违约金。因发票滞后导致甲方设备无法入库、财务无法入账等损失的，由乙方承担全部责任。</w:t>
      </w:r>
    </w:p>
    <w:p w14:paraId="00055B24">
      <w:pPr>
        <w:widowControl w:val="0"/>
        <w:numPr>
          <w:ilvl w:val="0"/>
          <w:numId w:val="0"/>
        </w:numPr>
        <w:ind w:firstLine="280" w:firstLineChars="100"/>
        <w:jc w:val="both"/>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cstheme="minorEastAsia"/>
          <w:kern w:val="2"/>
          <w:sz w:val="28"/>
          <w:szCs w:val="28"/>
          <w:lang w:val="en-US" w:eastAsia="zh-CN" w:bidi="ar-SA"/>
        </w:rPr>
        <w:t>4.</w:t>
      </w:r>
      <w:r>
        <w:rPr>
          <w:rFonts w:hint="eastAsia" w:asciiTheme="minorEastAsia" w:hAnsiTheme="minorEastAsia" w:eastAsiaTheme="minorEastAsia" w:cstheme="minorEastAsia"/>
          <w:kern w:val="2"/>
          <w:sz w:val="28"/>
          <w:szCs w:val="28"/>
          <w:lang w:val="en-US" w:eastAsia="zh-CN" w:bidi="ar-SA"/>
        </w:rPr>
        <w:t>特殊情况：如涉及专项资金付款，优先使用，具体付款进度按照专项资金使用要求期限进行调整，以甲乙双方签订补充协议为准。</w:t>
      </w:r>
    </w:p>
    <w:p w14:paraId="2A7705E4">
      <w:pPr>
        <w:widowControl w:val="0"/>
        <w:numPr>
          <w:ilvl w:val="0"/>
          <w:numId w:val="0"/>
        </w:numPr>
        <w:ind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kern w:val="2"/>
          <w:sz w:val="28"/>
          <w:szCs w:val="28"/>
          <w:lang w:val="en-US" w:eastAsia="zh-CN" w:bidi="ar-SA"/>
        </w:rPr>
        <w:t>第七条</w:t>
      </w:r>
      <w:r>
        <w:rPr>
          <w:rFonts w:hint="eastAsia" w:asciiTheme="minorEastAsia" w:hAnsiTheme="minorEastAsia" w:eastAsiaTheme="minorEastAsia" w:cstheme="minorEastAsia"/>
          <w:sz w:val="28"/>
          <w:szCs w:val="28"/>
        </w:rPr>
        <w:t>售后服务</w:t>
      </w:r>
    </w:p>
    <w:p w14:paraId="308931A6">
      <w:pPr>
        <w:widowControl w:val="0"/>
        <w:numPr>
          <w:ilvl w:val="0"/>
          <w:numId w:val="0"/>
        </w:numPr>
        <w:ind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质保期：自设备验收合格之日起 __ 个月。质保期内，乙方负责提供本合同约定的所有质保服务。质保期内出现任何质量问题，乙方负责“三包”（包修、包换、包退），所产生的一切费用由乙方负担。</w:t>
      </w:r>
    </w:p>
    <w:p w14:paraId="20C47D15">
      <w:pPr>
        <w:widowControl w:val="0"/>
        <w:numPr>
          <w:ilvl w:val="0"/>
          <w:numId w:val="0"/>
        </w:numPr>
        <w:ind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2.</w:t>
      </w:r>
      <w:r>
        <w:rPr>
          <w:rFonts w:hint="eastAsia" w:asciiTheme="minorEastAsia" w:hAnsiTheme="minorEastAsia" w:eastAsiaTheme="minorEastAsia" w:cstheme="minorEastAsia"/>
          <w:sz w:val="28"/>
          <w:szCs w:val="28"/>
        </w:rPr>
        <w:t>响应时间与维修时限：乙方应提供7×24小时免费服务电话，接到甲方故障通知后：</w:t>
      </w:r>
    </w:p>
    <w:p w14:paraId="4328B187">
      <w:pPr>
        <w:widowControl w:val="0"/>
        <w:numPr>
          <w:ilvl w:val="0"/>
          <w:numId w:val="0"/>
        </w:numPr>
        <w:ind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（1）响应与到场：2小时内响应，24小时内派员到场；</w:t>
      </w:r>
    </w:p>
    <w:p w14:paraId="5735B6AF">
      <w:pPr>
        <w:widowControl w:val="0"/>
        <w:numPr>
          <w:ilvl w:val="0"/>
          <w:numId w:val="0"/>
        </w:numPr>
        <w:ind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（2）小故障：指设备部分功能异常但不影响核心使用，或可通过远程指导解决的故障。乙方应在2天内完成维修；</w:t>
      </w:r>
    </w:p>
    <w:p w14:paraId="5008AE21">
      <w:pPr>
        <w:widowControl w:val="0"/>
        <w:numPr>
          <w:ilvl w:val="0"/>
          <w:numId w:val="0"/>
        </w:numPr>
        <w:ind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（3）大故障：指设备完全停机无法使用，或需要更换核心部件（球管、探测器、高压发生器、主板等）的故障。乙方应在7-10天内完成维修；</w:t>
      </w:r>
    </w:p>
    <w:p w14:paraId="2EE60B1C">
      <w:pPr>
        <w:widowControl w:val="0"/>
        <w:numPr>
          <w:ilvl w:val="0"/>
          <w:numId w:val="0"/>
        </w:numPr>
        <w:ind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（4）故障认定：故障等级由甲方根据设备实际使用情况认定，乙方对甲方的认定结果应予以认可；</w:t>
      </w:r>
    </w:p>
    <w:p w14:paraId="14AFF3FF">
      <w:pPr>
        <w:widowControl w:val="0"/>
        <w:numPr>
          <w:ilvl w:val="0"/>
          <w:numId w:val="0"/>
        </w:numPr>
        <w:ind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备用设备：若设备因大故障超过7天仍无法修复，乙方应在24小时内向甲方提供不低于原设备性能的同类型备用设备，直至原设备修复正常使用为止。如乙方无法提供备用设备，每逾期一日，应按合同总价款的1‰向甲方支付违约金，但该项违约金总额最高不超过合同总价款的5%。如乙方拒绝支付违约金，甲方有权从应付乙方的尾款（质保金）中直接扣除。</w:t>
      </w:r>
    </w:p>
    <w:p w14:paraId="2F35B918">
      <w:pPr>
        <w:widowControl w:val="0"/>
        <w:numPr>
          <w:ilvl w:val="0"/>
          <w:numId w:val="0"/>
        </w:numPr>
        <w:ind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维修记录：每次维修后，乙方须提供详细维修记录单，由甲方使用科室签字确认后，提交医学工程科存档。</w:t>
      </w:r>
    </w:p>
    <w:p w14:paraId="2B878113">
      <w:pPr>
        <w:widowControl w:val="0"/>
        <w:numPr>
          <w:ilvl w:val="0"/>
          <w:numId w:val="0"/>
        </w:numPr>
        <w:ind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4.</w:t>
      </w:r>
      <w:r>
        <w:rPr>
          <w:rFonts w:hint="eastAsia" w:asciiTheme="minorEastAsia" w:hAnsiTheme="minorEastAsia" w:eastAsiaTheme="minorEastAsia" w:cstheme="minorEastAsia"/>
          <w:sz w:val="28"/>
          <w:szCs w:val="28"/>
        </w:rPr>
        <w:t>第三方维修：设备出现质量问题，乙方未在约定时间内完成维修或更换的，甲方有权另行委托第三方进行维修或更换，因此产生的费用由乙方承担。</w:t>
      </w:r>
    </w:p>
    <w:p w14:paraId="385CC7A4">
      <w:pPr>
        <w:widowControl w:val="0"/>
        <w:numPr>
          <w:ilvl w:val="0"/>
          <w:numId w:val="0"/>
        </w:numPr>
        <w:ind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5.</w:t>
      </w:r>
      <w:r>
        <w:rPr>
          <w:rFonts w:hint="eastAsia" w:asciiTheme="minorEastAsia" w:hAnsiTheme="minorEastAsia" w:eastAsiaTheme="minorEastAsia" w:cstheme="minorEastAsia"/>
          <w:sz w:val="28"/>
          <w:szCs w:val="28"/>
        </w:rPr>
        <w:t>多次维修处理：质保期内，若同一设备因同一故障经两次维修或更换主要部件后仍无法解决，甲方有权要求乙方在15日内更换全新同型号设备，或选择退货。退货时，乙方应在10日内退还</w:t>
      </w:r>
      <w:r>
        <w:rPr>
          <w:rFonts w:hint="eastAsia" w:asciiTheme="minorEastAsia" w:hAnsiTheme="minorEastAsia" w:cstheme="minorEastAsia"/>
          <w:sz w:val="28"/>
          <w:szCs w:val="28"/>
          <w:lang w:val="en-US" w:eastAsia="zh-CN"/>
        </w:rPr>
        <w:t>已支付</w:t>
      </w:r>
      <w:r>
        <w:rPr>
          <w:rFonts w:hint="eastAsia" w:asciiTheme="minorEastAsia" w:hAnsiTheme="minorEastAsia" w:eastAsiaTheme="minorEastAsia" w:cstheme="minorEastAsia"/>
          <w:sz w:val="28"/>
          <w:szCs w:val="28"/>
        </w:rPr>
        <w:t>全部货款，并赔偿因此给甲方造成的损失。</w:t>
      </w:r>
    </w:p>
    <w:p w14:paraId="751C20CA">
      <w:pPr>
        <w:widowControl w:val="0"/>
        <w:numPr>
          <w:ilvl w:val="0"/>
          <w:numId w:val="0"/>
        </w:numPr>
        <w:ind w:firstLine="280" w:firstLineChars="100"/>
        <w:jc w:val="both"/>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6.开机率保证：质保期内，乙方保证设备开机率不低于95%（按每年365天计算，不可抗力及甲方原因除外）。如开机率低于95%，每降低1%，质保期相应延长1个月，累计延长总时长不超过6个月。</w:t>
      </w:r>
    </w:p>
    <w:p w14:paraId="09D48967">
      <w:pPr>
        <w:widowControl w:val="0"/>
        <w:numPr>
          <w:ilvl w:val="0"/>
          <w:numId w:val="0"/>
        </w:numPr>
        <w:ind w:firstLine="280" w:firstLineChars="100"/>
        <w:jc w:val="both"/>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7.</w:t>
      </w:r>
      <w:r>
        <w:rPr>
          <w:rFonts w:hint="eastAsia" w:asciiTheme="minorEastAsia" w:hAnsiTheme="minorEastAsia" w:eastAsiaTheme="minorEastAsia" w:cstheme="minorEastAsia"/>
          <w:sz w:val="28"/>
          <w:szCs w:val="28"/>
        </w:rPr>
        <w:t>质保期后服务：质保期满后，甲方有权自主选择维保服务提供方；如甲方选择继续由乙方提供维保服务，双方应另行签订维保协议。</w:t>
      </w:r>
    </w:p>
    <w:p w14:paraId="34A3A828">
      <w:pPr>
        <w:numPr>
          <w:ilvl w:val="0"/>
          <w:numId w:val="0"/>
        </w:numPr>
        <w:ind w:leftChars="0"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第八条 产品召回</w:t>
      </w:r>
    </w:p>
    <w:p w14:paraId="3A347239">
      <w:pPr>
        <w:numPr>
          <w:ilvl w:val="0"/>
          <w:numId w:val="0"/>
        </w:numPr>
        <w:ind w:leftChars="0"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1.本合同项下设备的召回事宜，依据《医疗器械召回管理办法》（国家食品药品监督管理总局令第29号）执行。</w:t>
      </w:r>
    </w:p>
    <w:p w14:paraId="75132BF7">
      <w:pPr>
        <w:numPr>
          <w:ilvl w:val="0"/>
          <w:numId w:val="0"/>
        </w:numPr>
        <w:ind w:leftChars="0"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2.乙方知悉或应当知悉其所供设备可能为缺陷产品时，应立即暂停销售并通知甲方，按照该办法第七条、第三十二条的规定向所在地药品监督管理部门报告；使用单位为医疗机构的，还应同时向所在地卫生行政部门报告。</w:t>
      </w:r>
    </w:p>
    <w:p w14:paraId="410ED198">
      <w:pPr>
        <w:numPr>
          <w:ilvl w:val="0"/>
          <w:numId w:val="0"/>
        </w:numPr>
        <w:ind w:leftChars="0"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3.乙方应按照该办法第六条、第十条的规定，积极配合生产企业完成缺陷调查与评估，配合履行召回义务。</w:t>
      </w:r>
    </w:p>
    <w:p w14:paraId="3D1299F5">
      <w:pPr>
        <w:numPr>
          <w:ilvl w:val="0"/>
          <w:numId w:val="0"/>
        </w:numPr>
        <w:ind w:leftChars="0"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4.因召回事件给患者造成损害的，按照该办法第三十六条的规定处理。</w:t>
      </w:r>
    </w:p>
    <w:p w14:paraId="65E84FE5">
      <w:pPr>
        <w:numPr>
          <w:ilvl w:val="0"/>
          <w:numId w:val="0"/>
        </w:numPr>
        <w:ind w:leftChars="0"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5.甲方在收到召回通知后，应立即暂停使用该设备，配合完成召回工作。</w:t>
      </w:r>
    </w:p>
    <w:p w14:paraId="68CC5167">
      <w:pPr>
        <w:numPr>
          <w:ilvl w:val="0"/>
          <w:numId w:val="0"/>
        </w:numPr>
        <w:ind w:firstLine="560" w:firstLineChars="200"/>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第九条 培训与伴随服务</w:t>
      </w:r>
    </w:p>
    <w:p w14:paraId="11F6A01E">
      <w:pPr>
        <w:numPr>
          <w:ilvl w:val="0"/>
          <w:numId w:val="0"/>
        </w:numPr>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1.</w:t>
      </w:r>
      <w:r>
        <w:rPr>
          <w:rFonts w:hint="default" w:asciiTheme="minorEastAsia" w:hAnsiTheme="minorEastAsia" w:cstheme="minorEastAsia"/>
          <w:color w:val="auto"/>
          <w:sz w:val="28"/>
          <w:szCs w:val="28"/>
          <w:lang w:val="en-US" w:eastAsia="zh-CN"/>
        </w:rPr>
        <w:t>技术资料：乙方应随设备免费提供完整的技术资料，包括但不限于操作手册、维修手册、电路图、软件光盘、合格证等。</w:t>
      </w:r>
    </w:p>
    <w:p w14:paraId="521D14E5">
      <w:pPr>
        <w:numPr>
          <w:ilvl w:val="0"/>
          <w:numId w:val="0"/>
        </w:numPr>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2.现场培训：乙方应派专业技术人员在初步验收合格后7个工作日内，对甲方使用人员、维修人员进行现场培训，确保相关人员能独立、熟练地操作和维护设备；如本合同项下设备包含需经供应室清洗、消毒、灭菌的配件或耗材，乙方还应对甲方供应室工作人员进行不少于1次的专项培训，重点包括设备配件的清洗、消毒、灭菌等操作规范。培训前应与甲方设备使用科室和医学工程科沟通确认时间。</w:t>
      </w:r>
    </w:p>
    <w:p w14:paraId="70DA68E9">
      <w:pPr>
        <w:numPr>
          <w:ilvl w:val="0"/>
          <w:numId w:val="0"/>
        </w:numPr>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3.</w:t>
      </w:r>
      <w:r>
        <w:rPr>
          <w:rFonts w:hint="default" w:asciiTheme="minorEastAsia" w:hAnsiTheme="minorEastAsia" w:cstheme="minorEastAsia"/>
          <w:color w:val="auto"/>
          <w:sz w:val="28"/>
          <w:szCs w:val="28"/>
          <w:lang w:val="en-US" w:eastAsia="zh-CN"/>
        </w:rPr>
        <w:t>培训验收：培训结束后，甲方操作人员能够独立完成设备操作视为培训合格，培训合格是最终验收的前置条件。如培训不合格，乙方应免费提供补充培训，直至合格为止。</w:t>
      </w:r>
    </w:p>
    <w:p w14:paraId="49A9D181">
      <w:pPr>
        <w:numPr>
          <w:ilvl w:val="0"/>
          <w:numId w:val="0"/>
        </w:numPr>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4.配套服务：应甲方要求，乙方免费提供设备与甲方医院信息系统（HIS）的接口及对接服务，涉及需向第三方（包括但不限于HIS系统供应商）支付的接口费、许可费、开发费等费用，由乙方承担。乙方同时免费提供设备升级服务及安装维修所需的专用工具。</w:t>
      </w:r>
    </w:p>
    <w:p w14:paraId="37F37CAB">
      <w:pPr>
        <w:numPr>
          <w:ilvl w:val="0"/>
          <w:numId w:val="0"/>
        </w:numPr>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5.</w:t>
      </w:r>
      <w:r>
        <w:rPr>
          <w:rFonts w:hint="default" w:asciiTheme="minorEastAsia" w:hAnsiTheme="minorEastAsia" w:cstheme="minorEastAsia"/>
          <w:color w:val="auto"/>
          <w:sz w:val="28"/>
          <w:szCs w:val="28"/>
          <w:lang w:val="en-US" w:eastAsia="zh-CN"/>
        </w:rPr>
        <w:t>软件升级：质保期内，乙方应免费提供设备软件的安全补丁、功能升级及版本更新服务。升级前应提前</w:t>
      </w:r>
      <w:r>
        <w:rPr>
          <w:rFonts w:hint="default" w:asciiTheme="minorEastAsia" w:hAnsiTheme="minorEastAsia" w:cstheme="minorEastAsia"/>
          <w:color w:val="FF0000"/>
          <w:sz w:val="28"/>
          <w:szCs w:val="28"/>
          <w:u w:val="single"/>
          <w:lang w:val="en-US" w:eastAsia="zh-CN"/>
        </w:rPr>
        <w:t xml:space="preserve"> [7] </w:t>
      </w:r>
      <w:r>
        <w:rPr>
          <w:rFonts w:hint="default" w:asciiTheme="minorEastAsia" w:hAnsiTheme="minorEastAsia" w:cstheme="minorEastAsia"/>
          <w:color w:val="auto"/>
          <w:sz w:val="28"/>
          <w:szCs w:val="28"/>
          <w:lang w:val="en-US" w:eastAsia="zh-CN"/>
        </w:rPr>
        <w:t>日通知甲方并评估升级影响。如因升级导致设备故障或数据丢失，乙方应在</w:t>
      </w:r>
      <w:r>
        <w:rPr>
          <w:rFonts w:hint="default" w:asciiTheme="minorEastAsia" w:hAnsiTheme="minorEastAsia" w:cstheme="minorEastAsia"/>
          <w:color w:val="FF0000"/>
          <w:sz w:val="28"/>
          <w:szCs w:val="28"/>
          <w:u w:val="single"/>
          <w:lang w:val="en-US" w:eastAsia="zh-CN"/>
        </w:rPr>
        <w:t xml:space="preserve"> [24] </w:t>
      </w:r>
      <w:r>
        <w:rPr>
          <w:rFonts w:hint="default" w:asciiTheme="minorEastAsia" w:hAnsiTheme="minorEastAsia" w:cstheme="minorEastAsia"/>
          <w:color w:val="auto"/>
          <w:sz w:val="28"/>
          <w:szCs w:val="28"/>
          <w:lang w:val="en-US" w:eastAsia="zh-CN"/>
        </w:rPr>
        <w:t>小时内恢复设备正常运行，并承担全部责任</w:t>
      </w:r>
      <w:r>
        <w:rPr>
          <w:rFonts w:hint="eastAsia" w:asciiTheme="minorEastAsia" w:hAnsiTheme="minorEastAsia" w:cstheme="minorEastAsia"/>
          <w:color w:val="auto"/>
          <w:sz w:val="28"/>
          <w:szCs w:val="28"/>
          <w:lang w:val="en-US" w:eastAsia="zh-CN"/>
        </w:rPr>
        <w:t>。</w:t>
      </w:r>
    </w:p>
    <w:p w14:paraId="3C9507E8">
      <w:pPr>
        <w:numPr>
          <w:ilvl w:val="0"/>
          <w:numId w:val="0"/>
        </w:numPr>
        <w:ind w:firstLine="840" w:firstLineChars="3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第十条 违约责任</w:t>
      </w:r>
    </w:p>
    <w:p w14:paraId="1E8F1924">
      <w:pPr>
        <w:numPr>
          <w:ilvl w:val="0"/>
          <w:numId w:val="0"/>
        </w:numPr>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1.甲方违约责任：</w:t>
      </w:r>
    </w:p>
    <w:p w14:paraId="320A7FB2">
      <w:pPr>
        <w:numPr>
          <w:ilvl w:val="0"/>
          <w:numId w:val="0"/>
        </w:numPr>
        <w:ind w:firstLine="560" w:firstLineChars="200"/>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（1）甲方无正当理由拒收货物的，应按合同总价款的5%支付乙方违约金；</w:t>
      </w:r>
    </w:p>
    <w:p w14:paraId="2DAA8CFA">
      <w:pPr>
        <w:numPr>
          <w:ilvl w:val="0"/>
          <w:numId w:val="0"/>
        </w:numPr>
        <w:ind w:firstLine="560" w:firstLineChars="200"/>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（2）除不可抗力和乙方的原因外，甲方无正当理由逾期支付货款的，每逾期一日应按合同总价款的1‰支付违约金；逾期付款超过30天的，乙方有权单方解除合同；</w:t>
      </w:r>
    </w:p>
    <w:p w14:paraId="0981DEA2">
      <w:pPr>
        <w:numPr>
          <w:ilvl w:val="0"/>
          <w:numId w:val="0"/>
        </w:numPr>
        <w:ind w:firstLine="560" w:firstLineChars="200"/>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（3）甲方偿付的违约金不足以弥补乙方损失的，还应按乙方损失尚未弥补的部分支付赔偿金。</w:t>
      </w:r>
    </w:p>
    <w:p w14:paraId="7840A563">
      <w:pPr>
        <w:numPr>
          <w:ilvl w:val="0"/>
          <w:numId w:val="0"/>
        </w:numPr>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2.乙方违约责任</w:t>
      </w:r>
    </w:p>
    <w:p w14:paraId="6160B0C8">
      <w:pPr>
        <w:numPr>
          <w:ilvl w:val="0"/>
          <w:numId w:val="0"/>
        </w:numPr>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（1）</w:t>
      </w:r>
      <w:r>
        <w:rPr>
          <w:rFonts w:hint="default" w:asciiTheme="minorEastAsia" w:hAnsiTheme="minorEastAsia" w:cstheme="minorEastAsia"/>
          <w:color w:val="auto"/>
          <w:sz w:val="28"/>
          <w:szCs w:val="28"/>
          <w:lang w:val="en-US" w:eastAsia="zh-CN"/>
        </w:rPr>
        <w:t xml:space="preserve">质量不符：乙方交付的货物质量不符合甲方要求的，甲方有权拒收，乙方应按合同总价款的 </w:t>
      </w:r>
      <w:r>
        <w:rPr>
          <w:rFonts w:hint="default" w:asciiTheme="minorEastAsia" w:hAnsiTheme="minorEastAsia" w:cstheme="minorEastAsia"/>
          <w:color w:val="auto"/>
          <w:sz w:val="28"/>
          <w:szCs w:val="28"/>
          <w:u w:val="single"/>
          <w:lang w:val="en-US" w:eastAsia="zh-CN"/>
        </w:rPr>
        <w:t xml:space="preserve">5% </w:t>
      </w:r>
      <w:r>
        <w:rPr>
          <w:rFonts w:hint="default" w:asciiTheme="minorEastAsia" w:hAnsiTheme="minorEastAsia" w:cstheme="minorEastAsia"/>
          <w:color w:val="auto"/>
          <w:sz w:val="28"/>
          <w:szCs w:val="28"/>
          <w:lang w:val="en-US" w:eastAsia="zh-CN"/>
        </w:rPr>
        <w:t>支付违约金，并须在规定时间内更换合格的货物，否则视作不能交付货物。</w:t>
      </w:r>
    </w:p>
    <w:p w14:paraId="6AE82486">
      <w:pPr>
        <w:numPr>
          <w:ilvl w:val="0"/>
          <w:numId w:val="0"/>
        </w:numPr>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（2）</w:t>
      </w:r>
      <w:r>
        <w:rPr>
          <w:rFonts w:hint="default" w:asciiTheme="minorEastAsia" w:hAnsiTheme="minorEastAsia" w:cstheme="minorEastAsia"/>
          <w:color w:val="auto"/>
          <w:sz w:val="28"/>
          <w:szCs w:val="28"/>
          <w:lang w:val="en-US" w:eastAsia="zh-CN"/>
        </w:rPr>
        <w:t xml:space="preserve">逾期交付：乙方逾期交付货物的，每逾期一日应按合同总价款的 </w:t>
      </w:r>
      <w:r>
        <w:rPr>
          <w:rFonts w:hint="default" w:asciiTheme="minorEastAsia" w:hAnsiTheme="minorEastAsia" w:cstheme="minorEastAsia"/>
          <w:color w:val="auto"/>
          <w:sz w:val="28"/>
          <w:szCs w:val="28"/>
          <w:u w:val="single"/>
          <w:lang w:val="en-US" w:eastAsia="zh-CN"/>
        </w:rPr>
        <w:t xml:space="preserve">1‰ </w:t>
      </w:r>
      <w:r>
        <w:rPr>
          <w:rFonts w:hint="default" w:asciiTheme="minorEastAsia" w:hAnsiTheme="minorEastAsia" w:cstheme="minorEastAsia"/>
          <w:color w:val="auto"/>
          <w:sz w:val="28"/>
          <w:szCs w:val="28"/>
          <w:lang w:val="en-US" w:eastAsia="zh-CN"/>
        </w:rPr>
        <w:t>支付违约金；逾期交货超过</w:t>
      </w:r>
      <w:r>
        <w:rPr>
          <w:rFonts w:hint="default" w:asciiTheme="minorEastAsia" w:hAnsiTheme="minorEastAsia" w:cstheme="minorEastAsia"/>
          <w:color w:val="auto"/>
          <w:sz w:val="28"/>
          <w:szCs w:val="28"/>
          <w:u w:val="single"/>
          <w:lang w:val="en-US" w:eastAsia="zh-CN"/>
        </w:rPr>
        <w:t xml:space="preserve"> 30 </w:t>
      </w:r>
      <w:r>
        <w:rPr>
          <w:rFonts w:hint="default" w:asciiTheme="minorEastAsia" w:hAnsiTheme="minorEastAsia" w:cstheme="minorEastAsia"/>
          <w:color w:val="auto"/>
          <w:sz w:val="28"/>
          <w:szCs w:val="28"/>
          <w:lang w:val="en-US" w:eastAsia="zh-CN"/>
        </w:rPr>
        <w:t>天，甲方有权单方解除合同，乙方应退还全部货款并按合同总价款的</w:t>
      </w:r>
      <w:r>
        <w:rPr>
          <w:rFonts w:hint="default" w:asciiTheme="minorEastAsia" w:hAnsiTheme="minorEastAsia" w:cstheme="minorEastAsia"/>
          <w:color w:val="auto"/>
          <w:sz w:val="28"/>
          <w:szCs w:val="28"/>
          <w:u w:val="single"/>
          <w:lang w:val="en-US" w:eastAsia="zh-CN"/>
        </w:rPr>
        <w:t xml:space="preserve"> 20% </w:t>
      </w:r>
      <w:r>
        <w:rPr>
          <w:rFonts w:hint="default" w:asciiTheme="minorEastAsia" w:hAnsiTheme="minorEastAsia" w:cstheme="minorEastAsia"/>
          <w:color w:val="auto"/>
          <w:sz w:val="28"/>
          <w:szCs w:val="28"/>
          <w:lang w:val="en-US" w:eastAsia="zh-CN"/>
        </w:rPr>
        <w:t>支付违约金。</w:t>
      </w:r>
    </w:p>
    <w:p w14:paraId="50190E93">
      <w:pPr>
        <w:numPr>
          <w:ilvl w:val="0"/>
          <w:numId w:val="0"/>
        </w:numPr>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（3）</w:t>
      </w:r>
      <w:r>
        <w:rPr>
          <w:rFonts w:hint="default" w:asciiTheme="minorEastAsia" w:hAnsiTheme="minorEastAsia" w:cstheme="minorEastAsia"/>
          <w:color w:val="auto"/>
          <w:sz w:val="28"/>
          <w:szCs w:val="28"/>
          <w:lang w:val="en-US" w:eastAsia="zh-CN"/>
        </w:rPr>
        <w:t>退货情形：经乙方维修或退换后仍不能达到合同约定质量标准或甲方使用目的的，甲方有权退货，乙方应退还全部</w:t>
      </w:r>
      <w:r>
        <w:rPr>
          <w:rFonts w:hint="eastAsia" w:asciiTheme="minorEastAsia" w:hAnsiTheme="minorEastAsia" w:cstheme="minorEastAsia"/>
          <w:color w:val="auto"/>
          <w:sz w:val="28"/>
          <w:szCs w:val="28"/>
          <w:lang w:val="en-US" w:eastAsia="zh-CN"/>
        </w:rPr>
        <w:t>已支付</w:t>
      </w:r>
      <w:r>
        <w:rPr>
          <w:rFonts w:hint="default" w:asciiTheme="minorEastAsia" w:hAnsiTheme="minorEastAsia" w:cstheme="minorEastAsia"/>
          <w:color w:val="auto"/>
          <w:sz w:val="28"/>
          <w:szCs w:val="28"/>
          <w:lang w:val="en-US" w:eastAsia="zh-CN"/>
        </w:rPr>
        <w:t>货款并按合同总价款的</w:t>
      </w:r>
      <w:r>
        <w:rPr>
          <w:rFonts w:hint="default" w:asciiTheme="minorEastAsia" w:hAnsiTheme="minorEastAsia" w:cstheme="minorEastAsia"/>
          <w:color w:val="auto"/>
          <w:sz w:val="28"/>
          <w:szCs w:val="28"/>
          <w:u w:val="single"/>
          <w:lang w:val="en-US" w:eastAsia="zh-CN"/>
        </w:rPr>
        <w:t xml:space="preserve"> 20% </w:t>
      </w:r>
      <w:r>
        <w:rPr>
          <w:rFonts w:hint="default" w:asciiTheme="minorEastAsia" w:hAnsiTheme="minorEastAsia" w:cstheme="minorEastAsia"/>
          <w:color w:val="auto"/>
          <w:sz w:val="28"/>
          <w:szCs w:val="28"/>
          <w:lang w:val="en-US" w:eastAsia="zh-CN"/>
        </w:rPr>
        <w:t>支付违约金。</w:t>
      </w:r>
    </w:p>
    <w:p w14:paraId="4B206DB8">
      <w:pPr>
        <w:numPr>
          <w:ilvl w:val="0"/>
          <w:numId w:val="0"/>
        </w:numPr>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（4）</w:t>
      </w:r>
      <w:r>
        <w:rPr>
          <w:rFonts w:hint="default" w:asciiTheme="minorEastAsia" w:hAnsiTheme="minorEastAsia" w:cstheme="minorEastAsia"/>
          <w:color w:val="auto"/>
          <w:sz w:val="28"/>
          <w:szCs w:val="28"/>
          <w:lang w:val="en-US" w:eastAsia="zh-CN"/>
        </w:rPr>
        <w:t>权利瑕疵：因乙方交付的货物存在权利瑕疵（包括但不限于侵犯第三方知识产权、所有权权属不清），导致第三方提起诉讼或仲裁并获生效法律文书支持，或因乙方交付前的原因致使货物被国家机关依法没收、查封或扣押的，乙方应退还全部货款并按合同总价款的20%支付违约金。因甲方原因导致前述情形的，乙方不承担责任。</w:t>
      </w:r>
    </w:p>
    <w:p w14:paraId="750DF91A">
      <w:pPr>
        <w:numPr>
          <w:ilvl w:val="0"/>
          <w:numId w:val="0"/>
        </w:numPr>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（5）</w:t>
      </w:r>
      <w:r>
        <w:rPr>
          <w:rFonts w:hint="default" w:asciiTheme="minorEastAsia" w:hAnsiTheme="minorEastAsia" w:cstheme="minorEastAsia"/>
          <w:color w:val="auto"/>
          <w:sz w:val="28"/>
          <w:szCs w:val="28"/>
          <w:lang w:val="en-US" w:eastAsia="zh-CN"/>
        </w:rPr>
        <w:t>售后违约：乙方未按合同约定提供伴随服务和售后服务的，每发生一次，应按合同总价款的</w:t>
      </w:r>
      <w:r>
        <w:rPr>
          <w:rFonts w:hint="default" w:asciiTheme="minorEastAsia" w:hAnsiTheme="minorEastAsia" w:cstheme="minorEastAsia"/>
          <w:color w:val="auto"/>
          <w:sz w:val="28"/>
          <w:szCs w:val="28"/>
          <w:u w:val="single"/>
          <w:lang w:val="en-US" w:eastAsia="zh-CN"/>
        </w:rPr>
        <w:t xml:space="preserve"> 5% </w:t>
      </w:r>
      <w:r>
        <w:rPr>
          <w:rFonts w:hint="default" w:asciiTheme="minorEastAsia" w:hAnsiTheme="minorEastAsia" w:cstheme="minorEastAsia"/>
          <w:color w:val="auto"/>
          <w:sz w:val="28"/>
          <w:szCs w:val="28"/>
          <w:lang w:val="en-US" w:eastAsia="zh-CN"/>
        </w:rPr>
        <w:t>支付违约金。</w:t>
      </w:r>
    </w:p>
    <w:p w14:paraId="0309C6ED">
      <w:pPr>
        <w:numPr>
          <w:ilvl w:val="0"/>
          <w:numId w:val="0"/>
        </w:numPr>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（6）</w:t>
      </w:r>
      <w:r>
        <w:rPr>
          <w:rFonts w:hint="default" w:asciiTheme="minorEastAsia" w:hAnsiTheme="minorEastAsia" w:cstheme="minorEastAsia"/>
          <w:color w:val="auto"/>
          <w:sz w:val="28"/>
          <w:szCs w:val="28"/>
          <w:lang w:val="en-US" w:eastAsia="zh-CN"/>
        </w:rPr>
        <w:t xml:space="preserve">发票违约：乙方未按合同约定时限（验收合格后7个工作日内）开具并送达发票的，每逾期一日，应按合同总价款的 </w:t>
      </w:r>
      <w:r>
        <w:rPr>
          <w:rFonts w:hint="default" w:asciiTheme="minorEastAsia" w:hAnsiTheme="minorEastAsia" w:cstheme="minorEastAsia"/>
          <w:color w:val="auto"/>
          <w:sz w:val="28"/>
          <w:szCs w:val="28"/>
          <w:u w:val="single"/>
          <w:lang w:val="en-US" w:eastAsia="zh-CN"/>
        </w:rPr>
        <w:t>0.5‰</w:t>
      </w:r>
      <w:r>
        <w:rPr>
          <w:rFonts w:hint="default" w:asciiTheme="minorEastAsia" w:hAnsiTheme="minorEastAsia" w:cstheme="minorEastAsia"/>
          <w:color w:val="auto"/>
          <w:sz w:val="28"/>
          <w:szCs w:val="28"/>
          <w:lang w:val="en-US" w:eastAsia="zh-CN"/>
        </w:rPr>
        <w:t xml:space="preserve"> 支付违约金。逾期超过</w:t>
      </w:r>
      <w:r>
        <w:rPr>
          <w:rFonts w:hint="default" w:asciiTheme="minorEastAsia" w:hAnsiTheme="minorEastAsia" w:cstheme="minorEastAsia"/>
          <w:color w:val="auto"/>
          <w:sz w:val="28"/>
          <w:szCs w:val="28"/>
          <w:u w:val="single"/>
          <w:lang w:val="en-US" w:eastAsia="zh-CN"/>
        </w:rPr>
        <w:t>15</w:t>
      </w:r>
      <w:r>
        <w:rPr>
          <w:rFonts w:hint="default" w:asciiTheme="minorEastAsia" w:hAnsiTheme="minorEastAsia" w:cstheme="minorEastAsia"/>
          <w:color w:val="auto"/>
          <w:sz w:val="28"/>
          <w:szCs w:val="28"/>
          <w:lang w:val="en-US" w:eastAsia="zh-CN"/>
        </w:rPr>
        <w:t>日的，甲方有权暂停支付后续款项，并从应付货款中直接扣除相应违约金。</w:t>
      </w:r>
    </w:p>
    <w:p w14:paraId="4065083C">
      <w:pPr>
        <w:numPr>
          <w:ilvl w:val="0"/>
          <w:numId w:val="0"/>
        </w:numPr>
        <w:ind w:firstLine="560" w:firstLineChars="200"/>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7）注册证违约：如乙方违反本合同第四条第5款约定，因设备本身存在重大质量缺陷导致注册证被吊销或撤销，且该吊销或撤销直接导致甲方无法继续使用设备的，乙方应按合同总价款的10%支付违约金，并赔偿甲方因此遭受的直接损失。</w:t>
      </w:r>
    </w:p>
    <w:p w14:paraId="2E1D2705">
      <w:pPr>
        <w:numPr>
          <w:ilvl w:val="0"/>
          <w:numId w:val="0"/>
        </w:numPr>
        <w:ind w:firstLine="560" w:firstLineChars="200"/>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8）召回违约：如乙方未按本合同第八条约定履行召回义务（包括但不限于未按时通知、未配合调查、未协助召回等），每发生一次，应按合同总价款的5%支付违约金；因此造成甲方或患者损失的，乙方还应承担相应赔偿责任。</w:t>
      </w:r>
    </w:p>
    <w:p w14:paraId="39FEE252">
      <w:pPr>
        <w:numPr>
          <w:ilvl w:val="0"/>
          <w:numId w:val="0"/>
        </w:numPr>
        <w:ind w:firstLine="840" w:firstLineChars="300"/>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第十一条 合同的解除</w:t>
      </w:r>
    </w:p>
    <w:p w14:paraId="59C9A687">
      <w:pPr>
        <w:numPr>
          <w:ilvl w:val="0"/>
          <w:numId w:val="0"/>
        </w:numPr>
        <w:ind w:firstLine="840" w:firstLineChars="300"/>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发生下列情形之一，甲方有权单方解除合同，并要求乙方承担相应违约责任：</w:t>
      </w:r>
    </w:p>
    <w:p w14:paraId="77797776">
      <w:pPr>
        <w:numPr>
          <w:ilvl w:val="0"/>
          <w:numId w:val="0"/>
        </w:numPr>
        <w:ind w:firstLine="840" w:firstLineChars="3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1.</w:t>
      </w:r>
      <w:r>
        <w:rPr>
          <w:rFonts w:hint="default" w:asciiTheme="minorEastAsia" w:hAnsiTheme="minorEastAsia" w:cstheme="minorEastAsia"/>
          <w:color w:val="auto"/>
          <w:sz w:val="28"/>
          <w:szCs w:val="28"/>
          <w:lang w:val="en-US" w:eastAsia="zh-CN"/>
        </w:rPr>
        <w:t>乙方逾期交付货物超过45日；</w:t>
      </w:r>
    </w:p>
    <w:p w14:paraId="0E718535">
      <w:pPr>
        <w:numPr>
          <w:ilvl w:val="0"/>
          <w:numId w:val="0"/>
        </w:numPr>
        <w:ind w:firstLine="840" w:firstLineChars="3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2.</w:t>
      </w:r>
      <w:r>
        <w:rPr>
          <w:rFonts w:hint="default" w:asciiTheme="minorEastAsia" w:hAnsiTheme="minorEastAsia" w:cstheme="minorEastAsia"/>
          <w:color w:val="auto"/>
          <w:sz w:val="28"/>
          <w:szCs w:val="28"/>
          <w:lang w:val="en-US" w:eastAsia="zh-CN"/>
        </w:rPr>
        <w:t>乙方交付的货物不符合合同约定，经更换后仍不符合要求；</w:t>
      </w:r>
    </w:p>
    <w:p w14:paraId="5C0C4B28">
      <w:pPr>
        <w:numPr>
          <w:ilvl w:val="0"/>
          <w:numId w:val="0"/>
        </w:numPr>
        <w:ind w:firstLine="840" w:firstLineChars="3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3.</w:t>
      </w:r>
      <w:r>
        <w:rPr>
          <w:rFonts w:hint="default" w:asciiTheme="minorEastAsia" w:hAnsiTheme="minorEastAsia" w:cstheme="minorEastAsia"/>
          <w:color w:val="auto"/>
          <w:sz w:val="28"/>
          <w:szCs w:val="28"/>
          <w:lang w:val="en-US" w:eastAsia="zh-CN"/>
        </w:rPr>
        <w:t>乙方提供的设备存在严重质量问题，危及医疗安全；</w:t>
      </w:r>
    </w:p>
    <w:p w14:paraId="6E9F1197">
      <w:pPr>
        <w:numPr>
          <w:ilvl w:val="0"/>
          <w:numId w:val="0"/>
        </w:numPr>
        <w:ind w:firstLine="840" w:firstLineChars="3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4.</w:t>
      </w:r>
      <w:r>
        <w:rPr>
          <w:rFonts w:hint="default" w:asciiTheme="minorEastAsia" w:hAnsiTheme="minorEastAsia" w:cstheme="minorEastAsia"/>
          <w:color w:val="auto"/>
          <w:sz w:val="28"/>
          <w:szCs w:val="28"/>
          <w:lang w:val="en-US" w:eastAsia="zh-CN"/>
        </w:rPr>
        <w:t>乙方发生重大违约行为，经催告后在15日内仍未改正；</w:t>
      </w:r>
    </w:p>
    <w:p w14:paraId="56470BA1">
      <w:pPr>
        <w:numPr>
          <w:ilvl w:val="0"/>
          <w:numId w:val="0"/>
        </w:numPr>
        <w:ind w:firstLine="840" w:firstLineChars="3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5.</w:t>
      </w:r>
      <w:r>
        <w:rPr>
          <w:rFonts w:hint="default" w:asciiTheme="minorEastAsia" w:hAnsiTheme="minorEastAsia" w:cstheme="minorEastAsia"/>
          <w:color w:val="auto"/>
          <w:sz w:val="28"/>
          <w:szCs w:val="28"/>
          <w:lang w:val="en-US" w:eastAsia="zh-CN"/>
        </w:rPr>
        <w:t>乙方未按时提供有效资质文件，经催告后在5日内仍未提供；</w:t>
      </w:r>
    </w:p>
    <w:p w14:paraId="67D53D3B">
      <w:pPr>
        <w:numPr>
          <w:ilvl w:val="0"/>
          <w:numId w:val="0"/>
        </w:numPr>
        <w:ind w:firstLine="840" w:firstLineChars="3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6.</w:t>
      </w:r>
      <w:r>
        <w:rPr>
          <w:rFonts w:hint="default" w:asciiTheme="minorEastAsia" w:hAnsiTheme="minorEastAsia" w:cstheme="minorEastAsia"/>
          <w:color w:val="auto"/>
          <w:sz w:val="28"/>
          <w:szCs w:val="28"/>
          <w:lang w:val="en-US" w:eastAsia="zh-CN"/>
        </w:rPr>
        <w:t>乙方所供设备因本身存在重大质量缺陷导致医疗器械注册证被监管部门依法吊销或撤销，且该吊销或撤销直接导致甲方无法继续使用设备的；</w:t>
      </w:r>
    </w:p>
    <w:p w14:paraId="219A086B">
      <w:pPr>
        <w:numPr>
          <w:ilvl w:val="0"/>
          <w:numId w:val="0"/>
        </w:numPr>
        <w:ind w:firstLine="840" w:firstLineChars="3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7.</w:t>
      </w:r>
      <w:r>
        <w:rPr>
          <w:rFonts w:hint="default" w:asciiTheme="minorEastAsia" w:hAnsiTheme="minorEastAsia" w:cstheme="minorEastAsia"/>
          <w:color w:val="auto"/>
          <w:sz w:val="28"/>
          <w:szCs w:val="28"/>
          <w:lang w:val="en-US" w:eastAsia="zh-CN"/>
        </w:rPr>
        <w:t>因政策调整、预算取消等不可归责于甲方的原因，导致采购任务取消。</w:t>
      </w:r>
    </w:p>
    <w:p w14:paraId="4714C6F9">
      <w:pPr>
        <w:numPr>
          <w:ilvl w:val="0"/>
          <w:numId w:val="0"/>
        </w:numPr>
        <w:ind w:firstLine="840" w:firstLineChars="300"/>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第十</w:t>
      </w:r>
      <w:r>
        <w:rPr>
          <w:rFonts w:hint="eastAsia" w:asciiTheme="minorEastAsia" w:hAnsiTheme="minorEastAsia" w:cstheme="minorEastAsia"/>
          <w:color w:val="auto"/>
          <w:sz w:val="28"/>
          <w:szCs w:val="28"/>
          <w:lang w:val="en-US" w:eastAsia="zh-CN"/>
        </w:rPr>
        <w:t>二</w:t>
      </w:r>
      <w:r>
        <w:rPr>
          <w:rFonts w:hint="default" w:asciiTheme="minorEastAsia" w:hAnsiTheme="minorEastAsia" w:cstheme="minorEastAsia"/>
          <w:color w:val="auto"/>
          <w:sz w:val="28"/>
          <w:szCs w:val="28"/>
          <w:lang w:val="en-US" w:eastAsia="zh-CN"/>
        </w:rPr>
        <w:t>条 争议解决</w:t>
      </w:r>
    </w:p>
    <w:p w14:paraId="25605EB1">
      <w:pPr>
        <w:numPr>
          <w:ilvl w:val="0"/>
          <w:numId w:val="0"/>
        </w:numPr>
        <w:ind w:firstLine="56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1.因货物的质量问题发生争议，甲方有权选择经国家认可且具备相应检测资质的第三方质量检测机构进行质量鉴定，乙方应认可该鉴定结论的权威性，不得以鉴定机构选择为由提出异议。货物符合标准的，鉴定费由甲方承担；货物不符合标准的，鉴定费由乙方承担。</w:t>
      </w:r>
    </w:p>
    <w:p w14:paraId="7B2694F4">
      <w:pPr>
        <w:numPr>
          <w:ilvl w:val="0"/>
          <w:numId w:val="0"/>
        </w:numPr>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2.合同履行期间，若双方发生争议，应尽力协商解决。协商不成的，任何一方可向甲方所在地有管辖权的人民法院提起诉讼。</w:t>
      </w:r>
    </w:p>
    <w:p w14:paraId="2B9D7A56">
      <w:pPr>
        <w:numPr>
          <w:ilvl w:val="0"/>
          <w:numId w:val="0"/>
        </w:numPr>
        <w:ind w:firstLine="840" w:firstLineChars="300"/>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第十</w:t>
      </w:r>
      <w:r>
        <w:rPr>
          <w:rFonts w:hint="eastAsia" w:asciiTheme="minorEastAsia" w:hAnsiTheme="minorEastAsia" w:cstheme="minorEastAsia"/>
          <w:color w:val="auto"/>
          <w:sz w:val="28"/>
          <w:szCs w:val="28"/>
          <w:lang w:val="en-US" w:eastAsia="zh-CN"/>
        </w:rPr>
        <w:t>三</w:t>
      </w:r>
      <w:r>
        <w:rPr>
          <w:rFonts w:hint="default" w:asciiTheme="minorEastAsia" w:hAnsiTheme="minorEastAsia" w:cstheme="minorEastAsia"/>
          <w:color w:val="auto"/>
          <w:sz w:val="28"/>
          <w:szCs w:val="28"/>
          <w:lang w:val="en-US" w:eastAsia="zh-CN"/>
        </w:rPr>
        <w:t>条 不可抗力</w:t>
      </w:r>
    </w:p>
    <w:p w14:paraId="0D033224">
      <w:pPr>
        <w:numPr>
          <w:ilvl w:val="0"/>
          <w:numId w:val="0"/>
        </w:numPr>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1.</w:t>
      </w:r>
      <w:r>
        <w:rPr>
          <w:rFonts w:hint="default" w:asciiTheme="minorEastAsia" w:hAnsiTheme="minorEastAsia" w:cstheme="minorEastAsia"/>
          <w:color w:val="auto"/>
          <w:sz w:val="28"/>
          <w:szCs w:val="28"/>
          <w:lang w:val="en-US" w:eastAsia="zh-CN"/>
        </w:rPr>
        <w:t>不可抗力是指双方在订立合同时不能预见、不能避免并不能克服的客观情况，包括但不限于自然灾害（如地震、洪水、台风等）、战争、政府行为（如政策变更、禁令等）、流行病、罢工等。</w:t>
      </w:r>
    </w:p>
    <w:p w14:paraId="4F7B8E28">
      <w:pPr>
        <w:numPr>
          <w:ilvl w:val="0"/>
          <w:numId w:val="0"/>
        </w:numPr>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2.</w:t>
      </w:r>
      <w:r>
        <w:rPr>
          <w:rFonts w:hint="default" w:asciiTheme="minorEastAsia" w:hAnsiTheme="minorEastAsia" w:cstheme="minorEastAsia"/>
          <w:color w:val="auto"/>
          <w:sz w:val="28"/>
          <w:szCs w:val="28"/>
          <w:lang w:val="en-US" w:eastAsia="zh-CN"/>
        </w:rPr>
        <w:t>任何一方因不可抗力导致无法履行合同的，应在事件发生后 3 日内书面通知对方，并提供证明。双方可根据情况协商延期履行或解除合同，互不承担违约责任。</w:t>
      </w:r>
    </w:p>
    <w:p w14:paraId="60744A39">
      <w:pPr>
        <w:numPr>
          <w:ilvl w:val="0"/>
          <w:numId w:val="0"/>
        </w:numPr>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3.</w:t>
      </w:r>
      <w:r>
        <w:rPr>
          <w:rFonts w:hint="default" w:asciiTheme="minorEastAsia" w:hAnsiTheme="minorEastAsia" w:cstheme="minorEastAsia"/>
          <w:color w:val="auto"/>
          <w:sz w:val="28"/>
          <w:szCs w:val="28"/>
          <w:lang w:val="en-US" w:eastAsia="zh-CN"/>
        </w:rPr>
        <w:t>不可抗力事件延续 7 天以上，双方应通过友好协商，决定是否继续履行合同。</w:t>
      </w:r>
    </w:p>
    <w:p w14:paraId="2D0FDD5E">
      <w:pPr>
        <w:numPr>
          <w:ilvl w:val="0"/>
          <w:numId w:val="0"/>
        </w:numPr>
        <w:ind w:firstLine="840" w:firstLineChars="300"/>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第十</w:t>
      </w:r>
      <w:r>
        <w:rPr>
          <w:rFonts w:hint="eastAsia" w:asciiTheme="minorEastAsia" w:hAnsiTheme="minorEastAsia" w:cstheme="minorEastAsia"/>
          <w:color w:val="auto"/>
          <w:sz w:val="28"/>
          <w:szCs w:val="28"/>
          <w:lang w:val="en-US" w:eastAsia="zh-CN"/>
        </w:rPr>
        <w:t>四</w:t>
      </w:r>
      <w:r>
        <w:rPr>
          <w:rFonts w:hint="default" w:asciiTheme="minorEastAsia" w:hAnsiTheme="minorEastAsia" w:cstheme="minorEastAsia"/>
          <w:color w:val="auto"/>
          <w:sz w:val="28"/>
          <w:szCs w:val="28"/>
          <w:lang w:val="en-US" w:eastAsia="zh-CN"/>
        </w:rPr>
        <w:t>条 其他</w:t>
      </w:r>
    </w:p>
    <w:p w14:paraId="5A64FFE8">
      <w:pPr>
        <w:numPr>
          <w:ilvl w:val="0"/>
          <w:numId w:val="0"/>
        </w:numPr>
        <w:ind w:firstLine="560" w:firstLineChars="200"/>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1. 合同组成文件</w:t>
      </w:r>
    </w:p>
    <w:p w14:paraId="5B8B396C">
      <w:pPr>
        <w:numPr>
          <w:ilvl w:val="0"/>
          <w:numId w:val="0"/>
        </w:numPr>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本合同由以下文件组成，为本合同不可分割的组成部分，具有同等法律效力。若各文件之间存在冲突或不一致之处，应按以下顺序解释：</w:t>
      </w:r>
    </w:p>
    <w:p w14:paraId="6E10FB8E">
      <w:pPr>
        <w:numPr>
          <w:ilvl w:val="0"/>
          <w:numId w:val="0"/>
        </w:numPr>
        <w:ind w:firstLine="280" w:firstLineChars="100"/>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（1）本合同的补充协议；</w:t>
      </w:r>
    </w:p>
    <w:p w14:paraId="34B583F4">
      <w:pPr>
        <w:numPr>
          <w:ilvl w:val="0"/>
          <w:numId w:val="0"/>
        </w:numPr>
        <w:ind w:firstLine="280" w:firstLineChars="100"/>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（2）本合同书正文及其附件；</w:t>
      </w:r>
    </w:p>
    <w:p w14:paraId="1645415F">
      <w:pPr>
        <w:numPr>
          <w:ilvl w:val="0"/>
          <w:numId w:val="0"/>
        </w:numPr>
        <w:ind w:firstLine="280" w:firstLineChars="100"/>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（3）中标通知书；</w:t>
      </w:r>
    </w:p>
    <w:p w14:paraId="46CBFCF7">
      <w:pPr>
        <w:numPr>
          <w:ilvl w:val="0"/>
          <w:numId w:val="0"/>
        </w:numPr>
        <w:ind w:firstLine="280" w:firstLineChars="100"/>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（4）投标文件（含澄清文件）；</w:t>
      </w:r>
    </w:p>
    <w:p w14:paraId="43B9AED6">
      <w:pPr>
        <w:numPr>
          <w:ilvl w:val="0"/>
          <w:numId w:val="0"/>
        </w:numPr>
        <w:ind w:firstLine="280" w:firstLineChars="100"/>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（5）招标文件（含补充通知、答疑文件）。</w:t>
      </w:r>
    </w:p>
    <w:p w14:paraId="670E00E7">
      <w:pPr>
        <w:numPr>
          <w:ilvl w:val="0"/>
          <w:numId w:val="0"/>
        </w:numPr>
        <w:ind w:firstLine="280" w:firstLineChars="100"/>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2. 合同生效</w:t>
      </w:r>
    </w:p>
    <w:p w14:paraId="5658D9FF">
      <w:pPr>
        <w:numPr>
          <w:ilvl w:val="0"/>
          <w:numId w:val="0"/>
        </w:numPr>
        <w:ind w:firstLine="280" w:firstLineChars="100"/>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本合同自甲、乙双方签字并加盖公章之日起生效。</w:t>
      </w:r>
    </w:p>
    <w:p w14:paraId="6E185958">
      <w:pPr>
        <w:numPr>
          <w:ilvl w:val="0"/>
          <w:numId w:val="0"/>
        </w:numPr>
        <w:ind w:firstLine="280" w:firstLineChars="100"/>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3. 合同份数</w:t>
      </w:r>
    </w:p>
    <w:p w14:paraId="38D5F6D7">
      <w:pPr>
        <w:numPr>
          <w:ilvl w:val="0"/>
          <w:numId w:val="0"/>
        </w:numPr>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本合同一式 [肆] 份，甲方执 [叁] 份，乙方执 [壹] 份，具有同等法律效力。</w:t>
      </w:r>
    </w:p>
    <w:p w14:paraId="23E270B0">
      <w:pPr>
        <w:numPr>
          <w:ilvl w:val="0"/>
          <w:numId w:val="0"/>
        </w:numPr>
        <w:ind w:firstLine="280" w:firstLineChars="100"/>
        <w:rPr>
          <w:rFonts w:hint="default" w:asciiTheme="minorEastAsia" w:hAnsi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4</w:t>
      </w:r>
      <w:r>
        <w:rPr>
          <w:rFonts w:hint="default" w:asciiTheme="minorEastAsia" w:hAnsiTheme="minorEastAsia" w:cstheme="minorEastAsia"/>
          <w:color w:val="auto"/>
          <w:sz w:val="28"/>
          <w:szCs w:val="28"/>
          <w:lang w:val="en-US" w:eastAsia="zh-CN"/>
        </w:rPr>
        <w:t>. 补充协议</w:t>
      </w:r>
    </w:p>
    <w:p w14:paraId="54C8B605">
      <w:pPr>
        <w:numPr>
          <w:ilvl w:val="0"/>
          <w:numId w:val="0"/>
        </w:numPr>
        <w:rPr>
          <w:rFonts w:hint="default" w:asciiTheme="minorEastAsia" w:hAnsiTheme="minorEastAsia" w:cstheme="minorEastAsia"/>
          <w:color w:val="auto"/>
          <w:sz w:val="28"/>
          <w:szCs w:val="28"/>
          <w:lang w:val="en-US" w:eastAsia="zh-CN"/>
        </w:rPr>
      </w:pPr>
      <w:r>
        <w:rPr>
          <w:rFonts w:hint="default" w:asciiTheme="minorEastAsia" w:hAnsiTheme="minorEastAsia" w:cstheme="minorEastAsia"/>
          <w:color w:val="auto"/>
          <w:sz w:val="28"/>
          <w:szCs w:val="28"/>
          <w:lang w:val="en-US" w:eastAsia="zh-CN"/>
        </w:rPr>
        <w:t>本合同未尽事宜，经双方协商一致，可另行订立补充协议。补充协议与本合同具有同等法律效力，但补充协议不得实质性改变招标文件及中标人投标文件中的核心条款（包括但不限于标的、数量、质量、价款、履行期限等）。</w:t>
      </w:r>
    </w:p>
    <w:p w14:paraId="08FD1C1B">
      <w:pPr>
        <w:pStyle w:val="3"/>
        <w:numPr>
          <w:ilvl w:val="0"/>
          <w:numId w:val="0"/>
        </w:numPr>
        <w:ind w:firstLine="2520" w:firstLineChars="900"/>
        <w:rPr>
          <w:rFonts w:hint="default" w:eastAsiaTheme="minorEastAsia"/>
          <w:sz w:val="28"/>
          <w:szCs w:val="28"/>
          <w:lang w:val="en-US" w:eastAsia="zh-CN"/>
        </w:rPr>
      </w:pPr>
      <w:r>
        <w:rPr>
          <w:rFonts w:hint="eastAsia"/>
          <w:sz w:val="28"/>
          <w:szCs w:val="28"/>
          <w:lang w:val="en-US" w:eastAsia="zh-CN"/>
        </w:rPr>
        <w:t>以下无正文</w:t>
      </w:r>
    </w:p>
    <w:p w14:paraId="56B653DC">
      <w:pPr>
        <w:pStyle w:val="3"/>
        <w:numPr>
          <w:ilvl w:val="0"/>
          <w:numId w:val="0"/>
        </w:numPr>
        <w:ind w:firstLine="960" w:firstLineChars="300"/>
        <w:rPr>
          <w:rFonts w:hint="eastAsia" w:ascii="仿宋" w:hAnsi="仿宋" w:eastAsia="仿宋" w:cs="仿宋"/>
          <w:snapToGrid/>
          <w:kern w:val="2"/>
          <w:sz w:val="32"/>
          <w:szCs w:val="32"/>
          <w:lang w:val="en-US" w:eastAsia="zh-CN"/>
        </w:rPr>
      </w:pPr>
      <w:r>
        <w:rPr>
          <w:rFonts w:hint="eastAsia" w:ascii="仿宋" w:hAnsi="仿宋" w:eastAsia="仿宋" w:cs="仿宋"/>
          <w:snapToGrid/>
          <w:kern w:val="2"/>
          <w:sz w:val="32"/>
          <w:szCs w:val="32"/>
          <w:lang w:val="en-US" w:eastAsia="zh-CN"/>
        </w:rPr>
        <w:t>甲方（盖章）：                乙方（盖章）：</w:t>
      </w:r>
    </w:p>
    <w:p w14:paraId="5DD1A822">
      <w:pPr>
        <w:pStyle w:val="3"/>
        <w:numPr>
          <w:ilvl w:val="0"/>
          <w:numId w:val="0"/>
        </w:numPr>
        <w:ind w:firstLine="960" w:firstLineChars="300"/>
        <w:rPr>
          <w:rFonts w:hint="eastAsia" w:ascii="仿宋" w:hAnsi="仿宋" w:eastAsia="仿宋" w:cs="仿宋"/>
          <w:snapToGrid/>
          <w:kern w:val="2"/>
          <w:sz w:val="32"/>
          <w:szCs w:val="32"/>
          <w:lang w:val="en-US" w:eastAsia="zh-CN"/>
        </w:rPr>
      </w:pPr>
      <w:r>
        <w:rPr>
          <w:rFonts w:hint="eastAsia" w:ascii="仿宋" w:hAnsi="仿宋" w:eastAsia="仿宋" w:cs="仿宋"/>
          <w:snapToGrid/>
          <w:kern w:val="2"/>
          <w:sz w:val="32"/>
          <w:szCs w:val="32"/>
          <w:lang w:val="en-US" w:eastAsia="zh-CN"/>
        </w:rPr>
        <w:t>内蒙古科技大学</w:t>
      </w:r>
    </w:p>
    <w:p w14:paraId="7071A5E2">
      <w:pPr>
        <w:pStyle w:val="3"/>
        <w:numPr>
          <w:ilvl w:val="0"/>
          <w:numId w:val="0"/>
        </w:numPr>
        <w:ind w:firstLine="320" w:firstLineChars="100"/>
        <w:rPr>
          <w:rFonts w:hint="eastAsia" w:ascii="仿宋" w:hAnsi="仿宋" w:eastAsia="仿宋" w:cs="仿宋"/>
          <w:snapToGrid/>
          <w:kern w:val="2"/>
          <w:sz w:val="32"/>
          <w:szCs w:val="32"/>
          <w:lang w:val="en-US" w:eastAsia="zh-CN"/>
        </w:rPr>
      </w:pPr>
      <w:r>
        <w:rPr>
          <w:rFonts w:hint="eastAsia" w:ascii="仿宋" w:hAnsi="仿宋" w:eastAsia="仿宋" w:cs="仿宋"/>
          <w:snapToGrid/>
          <w:kern w:val="2"/>
          <w:sz w:val="32"/>
          <w:szCs w:val="32"/>
          <w:lang w:val="en-US" w:eastAsia="zh-CN"/>
        </w:rPr>
        <w:t>包头医学院第二附属医院</w:t>
      </w:r>
    </w:p>
    <w:p w14:paraId="2D56CA66">
      <w:pPr>
        <w:pStyle w:val="3"/>
        <w:numPr>
          <w:ilvl w:val="0"/>
          <w:numId w:val="0"/>
        </w:numPr>
        <w:ind w:firstLine="960" w:firstLineChars="300"/>
        <w:rPr>
          <w:rFonts w:hint="default" w:ascii="仿宋" w:hAnsi="仿宋" w:eastAsia="仿宋" w:cs="仿宋"/>
          <w:snapToGrid/>
          <w:kern w:val="2"/>
          <w:sz w:val="32"/>
          <w:szCs w:val="32"/>
          <w:lang w:val="en-US" w:eastAsia="zh-CN"/>
        </w:rPr>
      </w:pPr>
      <w:r>
        <w:rPr>
          <w:rFonts w:hint="default" w:ascii="仿宋" w:hAnsi="仿宋" w:eastAsia="仿宋" w:cs="仿宋"/>
          <w:snapToGrid/>
          <w:kern w:val="2"/>
          <w:sz w:val="32"/>
          <w:szCs w:val="32"/>
          <w:lang w:val="en-US" w:eastAsia="zh-CN"/>
        </w:rPr>
        <w:t>法定代表人</w:t>
      </w:r>
      <w:r>
        <w:rPr>
          <w:rFonts w:hint="eastAsia" w:ascii="仿宋" w:hAnsi="仿宋" w:eastAsia="仿宋" w:cs="仿宋"/>
          <w:snapToGrid/>
          <w:kern w:val="2"/>
          <w:sz w:val="32"/>
          <w:szCs w:val="32"/>
          <w:lang w:val="en-US" w:eastAsia="zh-CN"/>
        </w:rPr>
        <w:t xml:space="preserve">                      </w:t>
      </w:r>
      <w:r>
        <w:rPr>
          <w:rFonts w:hint="default" w:ascii="仿宋" w:hAnsi="仿宋" w:eastAsia="仿宋" w:cs="仿宋"/>
          <w:snapToGrid/>
          <w:kern w:val="2"/>
          <w:sz w:val="32"/>
          <w:szCs w:val="32"/>
          <w:lang w:val="en-US" w:eastAsia="zh-CN"/>
        </w:rPr>
        <w:t>法定代表人</w:t>
      </w:r>
      <w:r>
        <w:rPr>
          <w:rFonts w:hint="eastAsia" w:ascii="仿宋" w:hAnsi="仿宋" w:eastAsia="仿宋" w:cs="仿宋"/>
          <w:snapToGrid/>
          <w:kern w:val="2"/>
          <w:sz w:val="32"/>
          <w:szCs w:val="32"/>
          <w:lang w:val="en-US" w:eastAsia="zh-CN"/>
        </w:rPr>
        <w:t xml:space="preserve">                   </w:t>
      </w:r>
    </w:p>
    <w:p w14:paraId="24512AA7">
      <w:pPr>
        <w:pStyle w:val="3"/>
        <w:numPr>
          <w:ilvl w:val="0"/>
          <w:numId w:val="0"/>
        </w:numPr>
        <w:ind w:firstLine="320" w:firstLineChars="100"/>
        <w:rPr>
          <w:rFonts w:hint="default" w:ascii="仿宋" w:hAnsi="仿宋" w:eastAsia="仿宋" w:cs="仿宋"/>
          <w:snapToGrid/>
          <w:kern w:val="2"/>
          <w:sz w:val="32"/>
          <w:szCs w:val="32"/>
          <w:lang w:val="en-US" w:eastAsia="zh-CN"/>
        </w:rPr>
      </w:pPr>
      <w:r>
        <w:rPr>
          <w:rFonts w:hint="default" w:ascii="仿宋" w:hAnsi="仿宋" w:eastAsia="仿宋" w:cs="仿宋"/>
          <w:snapToGrid/>
          <w:kern w:val="2"/>
          <w:sz w:val="32"/>
          <w:szCs w:val="32"/>
          <w:lang w:val="en-US" w:eastAsia="zh-CN"/>
        </w:rPr>
        <w:t>或授权代表（签字）：</w:t>
      </w:r>
      <w:r>
        <w:rPr>
          <w:rFonts w:hint="eastAsia" w:ascii="仿宋" w:hAnsi="仿宋" w:eastAsia="仿宋" w:cs="仿宋"/>
          <w:snapToGrid/>
          <w:kern w:val="2"/>
          <w:sz w:val="32"/>
          <w:szCs w:val="32"/>
          <w:lang w:val="en-US" w:eastAsia="zh-CN"/>
        </w:rPr>
        <w:t xml:space="preserve">              </w:t>
      </w:r>
      <w:r>
        <w:rPr>
          <w:rFonts w:hint="default" w:ascii="仿宋" w:hAnsi="仿宋" w:eastAsia="仿宋" w:cs="仿宋"/>
          <w:snapToGrid/>
          <w:kern w:val="2"/>
          <w:sz w:val="32"/>
          <w:szCs w:val="32"/>
          <w:lang w:val="en-US" w:eastAsia="zh-CN"/>
        </w:rPr>
        <w:t>或授权代表（签字）：</w:t>
      </w:r>
    </w:p>
    <w:p w14:paraId="132D8E84">
      <w:pPr>
        <w:pStyle w:val="3"/>
        <w:numPr>
          <w:ilvl w:val="0"/>
          <w:numId w:val="0"/>
        </w:numPr>
        <w:ind w:firstLine="320" w:firstLineChars="100"/>
        <w:rPr>
          <w:rFonts w:hint="eastAsia" w:ascii="仿宋" w:hAnsi="仿宋" w:eastAsia="仿宋" w:cs="仿宋"/>
          <w:snapToGrid/>
          <w:kern w:val="2"/>
          <w:sz w:val="32"/>
          <w:szCs w:val="32"/>
          <w:lang w:val="en-US" w:eastAsia="zh-CN"/>
        </w:rPr>
      </w:pPr>
    </w:p>
    <w:p w14:paraId="7647CA41">
      <w:pPr>
        <w:pStyle w:val="3"/>
        <w:numPr>
          <w:ilvl w:val="0"/>
          <w:numId w:val="0"/>
        </w:numPr>
        <w:ind w:firstLine="320" w:firstLineChars="100"/>
        <w:rPr>
          <w:rFonts w:hint="default" w:ascii="仿宋" w:hAnsi="仿宋" w:eastAsia="仿宋" w:cs="仿宋"/>
          <w:snapToGrid/>
          <w:kern w:val="2"/>
          <w:sz w:val="32"/>
          <w:szCs w:val="32"/>
          <w:lang w:val="en-US" w:eastAsia="zh-CN"/>
        </w:rPr>
      </w:pPr>
      <w:r>
        <w:rPr>
          <w:rFonts w:hint="eastAsia" w:ascii="仿宋" w:hAnsi="仿宋" w:eastAsia="仿宋" w:cs="仿宋"/>
          <w:snapToGrid/>
          <w:kern w:val="2"/>
          <w:sz w:val="32"/>
          <w:szCs w:val="32"/>
          <w:lang w:val="en-US" w:eastAsia="zh-CN"/>
        </w:rPr>
        <w:t xml:space="preserve">年     月    日                   年     月    日 </w:t>
      </w:r>
    </w:p>
    <w:p w14:paraId="2B9C161A">
      <w:pPr>
        <w:numPr>
          <w:ilvl w:val="0"/>
          <w:numId w:val="0"/>
        </w:numPr>
        <w:ind w:firstLine="3080" w:firstLineChars="1100"/>
        <w:rPr>
          <w:rFonts w:hint="default" w:asciiTheme="minorEastAsia" w:hAnsiTheme="minorEastAsia" w:cstheme="minorEastAsia"/>
          <w:color w:val="auto"/>
          <w:sz w:val="28"/>
          <w:szCs w:val="28"/>
          <w:lang w:val="en-US" w:eastAsia="zh-CN"/>
        </w:rPr>
      </w:pPr>
    </w:p>
    <w:p w14:paraId="704A23A8">
      <w:pPr>
        <w:numPr>
          <w:ilvl w:val="0"/>
          <w:numId w:val="0"/>
        </w:numPr>
        <w:rPr>
          <w:rFonts w:hint="default" w:asciiTheme="minorEastAsia" w:hAnsiTheme="minorEastAsia" w:cstheme="minorEastAsia"/>
          <w:color w:val="auto"/>
          <w:sz w:val="28"/>
          <w:szCs w:val="28"/>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0B65B">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C8DC6F">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6C8DC6F">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14</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2392F"/>
    <w:rsid w:val="0069744B"/>
    <w:rsid w:val="017F5000"/>
    <w:rsid w:val="017F58CA"/>
    <w:rsid w:val="0192652E"/>
    <w:rsid w:val="01B24259"/>
    <w:rsid w:val="02002788"/>
    <w:rsid w:val="02C92A88"/>
    <w:rsid w:val="0437743A"/>
    <w:rsid w:val="049256F0"/>
    <w:rsid w:val="04FB6596"/>
    <w:rsid w:val="06151AED"/>
    <w:rsid w:val="06BA27AF"/>
    <w:rsid w:val="06BB2A21"/>
    <w:rsid w:val="070C729C"/>
    <w:rsid w:val="09002F54"/>
    <w:rsid w:val="090B72F2"/>
    <w:rsid w:val="097474D2"/>
    <w:rsid w:val="09857398"/>
    <w:rsid w:val="09A154B2"/>
    <w:rsid w:val="09B55EFA"/>
    <w:rsid w:val="0A1A578B"/>
    <w:rsid w:val="0A357536"/>
    <w:rsid w:val="0A4F320E"/>
    <w:rsid w:val="0A9B7F9E"/>
    <w:rsid w:val="0A9D00A3"/>
    <w:rsid w:val="0B0A1F19"/>
    <w:rsid w:val="0BD62A7D"/>
    <w:rsid w:val="0BDB5186"/>
    <w:rsid w:val="0BE2331A"/>
    <w:rsid w:val="0C776A4C"/>
    <w:rsid w:val="0CC16797"/>
    <w:rsid w:val="0CDC3026"/>
    <w:rsid w:val="0CF43205"/>
    <w:rsid w:val="0D521BE9"/>
    <w:rsid w:val="0DA735DE"/>
    <w:rsid w:val="0E1D0828"/>
    <w:rsid w:val="0E663F55"/>
    <w:rsid w:val="0E9E2256"/>
    <w:rsid w:val="0EB905EA"/>
    <w:rsid w:val="0ECA5559"/>
    <w:rsid w:val="0F0F11BE"/>
    <w:rsid w:val="0F2B6691"/>
    <w:rsid w:val="0FE80FB7"/>
    <w:rsid w:val="10E36DA6"/>
    <w:rsid w:val="115864E0"/>
    <w:rsid w:val="11991213"/>
    <w:rsid w:val="119B31DD"/>
    <w:rsid w:val="11C317EA"/>
    <w:rsid w:val="12016853"/>
    <w:rsid w:val="124C123D"/>
    <w:rsid w:val="12BB58E4"/>
    <w:rsid w:val="12F54B98"/>
    <w:rsid w:val="14596B6E"/>
    <w:rsid w:val="150A6E93"/>
    <w:rsid w:val="15767345"/>
    <w:rsid w:val="160C259B"/>
    <w:rsid w:val="1625102D"/>
    <w:rsid w:val="186B4354"/>
    <w:rsid w:val="18B07A8C"/>
    <w:rsid w:val="18FC0F9D"/>
    <w:rsid w:val="193D1C1D"/>
    <w:rsid w:val="19410B0E"/>
    <w:rsid w:val="1A0C1235"/>
    <w:rsid w:val="1A8875E1"/>
    <w:rsid w:val="1AA66E7A"/>
    <w:rsid w:val="1B416BA3"/>
    <w:rsid w:val="1B884CB7"/>
    <w:rsid w:val="1BD00025"/>
    <w:rsid w:val="1C3773D9"/>
    <w:rsid w:val="1C770118"/>
    <w:rsid w:val="1C890FAC"/>
    <w:rsid w:val="1E274306"/>
    <w:rsid w:val="1E5314AF"/>
    <w:rsid w:val="1E641526"/>
    <w:rsid w:val="1E682698"/>
    <w:rsid w:val="1E992F94"/>
    <w:rsid w:val="1EB7114B"/>
    <w:rsid w:val="1F923E71"/>
    <w:rsid w:val="1FE066F7"/>
    <w:rsid w:val="207750C1"/>
    <w:rsid w:val="21093CBF"/>
    <w:rsid w:val="211B258C"/>
    <w:rsid w:val="223775C7"/>
    <w:rsid w:val="22AF7613"/>
    <w:rsid w:val="22E70030"/>
    <w:rsid w:val="22ED0263"/>
    <w:rsid w:val="234C67A9"/>
    <w:rsid w:val="2383647E"/>
    <w:rsid w:val="24A563F4"/>
    <w:rsid w:val="25C60ECD"/>
    <w:rsid w:val="261A1222"/>
    <w:rsid w:val="26392E69"/>
    <w:rsid w:val="267E5734"/>
    <w:rsid w:val="268D0EEE"/>
    <w:rsid w:val="27127C7A"/>
    <w:rsid w:val="27346553"/>
    <w:rsid w:val="27756FD9"/>
    <w:rsid w:val="279B4250"/>
    <w:rsid w:val="27A12504"/>
    <w:rsid w:val="285F1E6C"/>
    <w:rsid w:val="2A1D4E7B"/>
    <w:rsid w:val="2A4350F9"/>
    <w:rsid w:val="2A9E71D0"/>
    <w:rsid w:val="2AD67958"/>
    <w:rsid w:val="2ADA6CAF"/>
    <w:rsid w:val="2AFC2AE6"/>
    <w:rsid w:val="2B28065B"/>
    <w:rsid w:val="2B837338"/>
    <w:rsid w:val="2BB24D3C"/>
    <w:rsid w:val="2BB53B95"/>
    <w:rsid w:val="2BD61589"/>
    <w:rsid w:val="2C165FD6"/>
    <w:rsid w:val="2CC579B5"/>
    <w:rsid w:val="2D7C1CBC"/>
    <w:rsid w:val="2EAF7625"/>
    <w:rsid w:val="2EDD77F3"/>
    <w:rsid w:val="2EF7039C"/>
    <w:rsid w:val="2FD935ED"/>
    <w:rsid w:val="2FDC6A42"/>
    <w:rsid w:val="2FEC412C"/>
    <w:rsid w:val="312D69C7"/>
    <w:rsid w:val="31305298"/>
    <w:rsid w:val="31D71B7B"/>
    <w:rsid w:val="322A1CE7"/>
    <w:rsid w:val="325946B1"/>
    <w:rsid w:val="34C82D26"/>
    <w:rsid w:val="35057307"/>
    <w:rsid w:val="35497DFC"/>
    <w:rsid w:val="35754C0B"/>
    <w:rsid w:val="358F2AEF"/>
    <w:rsid w:val="363E2205"/>
    <w:rsid w:val="36A97957"/>
    <w:rsid w:val="36E5781D"/>
    <w:rsid w:val="38546116"/>
    <w:rsid w:val="389B16D7"/>
    <w:rsid w:val="39092BAB"/>
    <w:rsid w:val="394702FC"/>
    <w:rsid w:val="39AA6A8D"/>
    <w:rsid w:val="39DA1325"/>
    <w:rsid w:val="3AB413D1"/>
    <w:rsid w:val="3AE43A87"/>
    <w:rsid w:val="3AF82A8E"/>
    <w:rsid w:val="3B45313E"/>
    <w:rsid w:val="3B6B3A9C"/>
    <w:rsid w:val="3B7A10AA"/>
    <w:rsid w:val="3C7265BA"/>
    <w:rsid w:val="3D382B00"/>
    <w:rsid w:val="3DE35197"/>
    <w:rsid w:val="3E5B0328"/>
    <w:rsid w:val="3EFA6251"/>
    <w:rsid w:val="3F8A0269"/>
    <w:rsid w:val="3F8E4F3A"/>
    <w:rsid w:val="3FC80E46"/>
    <w:rsid w:val="40BE01CA"/>
    <w:rsid w:val="40E92715"/>
    <w:rsid w:val="40EB11DB"/>
    <w:rsid w:val="41356370"/>
    <w:rsid w:val="420662CD"/>
    <w:rsid w:val="4219272D"/>
    <w:rsid w:val="42721A93"/>
    <w:rsid w:val="42F51E2A"/>
    <w:rsid w:val="432E788D"/>
    <w:rsid w:val="43492CA0"/>
    <w:rsid w:val="43A04F19"/>
    <w:rsid w:val="43CC3C6E"/>
    <w:rsid w:val="43DA64E7"/>
    <w:rsid w:val="443D549C"/>
    <w:rsid w:val="44953938"/>
    <w:rsid w:val="44C81A04"/>
    <w:rsid w:val="46275272"/>
    <w:rsid w:val="46651743"/>
    <w:rsid w:val="46E12101"/>
    <w:rsid w:val="47013507"/>
    <w:rsid w:val="473531B0"/>
    <w:rsid w:val="475F022D"/>
    <w:rsid w:val="47CC229D"/>
    <w:rsid w:val="48362D3C"/>
    <w:rsid w:val="48474F56"/>
    <w:rsid w:val="487F3C18"/>
    <w:rsid w:val="488B752C"/>
    <w:rsid w:val="488F069E"/>
    <w:rsid w:val="48A06595"/>
    <w:rsid w:val="49226009"/>
    <w:rsid w:val="49E54B4B"/>
    <w:rsid w:val="4AF57209"/>
    <w:rsid w:val="4B9F6E4A"/>
    <w:rsid w:val="4BDA6C27"/>
    <w:rsid w:val="4BDB6202"/>
    <w:rsid w:val="4BE64830"/>
    <w:rsid w:val="4DCF29FB"/>
    <w:rsid w:val="4DE10FFA"/>
    <w:rsid w:val="4EDE7C89"/>
    <w:rsid w:val="4F3F4A0A"/>
    <w:rsid w:val="4FA63CB9"/>
    <w:rsid w:val="502F5D8C"/>
    <w:rsid w:val="518660C5"/>
    <w:rsid w:val="5285086E"/>
    <w:rsid w:val="52C41B2D"/>
    <w:rsid w:val="532C06D7"/>
    <w:rsid w:val="53E804B6"/>
    <w:rsid w:val="54736E75"/>
    <w:rsid w:val="54C6441E"/>
    <w:rsid w:val="55170BA8"/>
    <w:rsid w:val="55846401"/>
    <w:rsid w:val="562B5EAA"/>
    <w:rsid w:val="56881D03"/>
    <w:rsid w:val="56DB3D41"/>
    <w:rsid w:val="576556E7"/>
    <w:rsid w:val="5934151A"/>
    <w:rsid w:val="59C36FD2"/>
    <w:rsid w:val="59DA6BF7"/>
    <w:rsid w:val="5AA224B3"/>
    <w:rsid w:val="5B3F200F"/>
    <w:rsid w:val="5BBC75A4"/>
    <w:rsid w:val="5C320050"/>
    <w:rsid w:val="5C9009AD"/>
    <w:rsid w:val="5CB07109"/>
    <w:rsid w:val="5CE72FF7"/>
    <w:rsid w:val="5D052FE7"/>
    <w:rsid w:val="5D2E6FEF"/>
    <w:rsid w:val="5F63529E"/>
    <w:rsid w:val="5F740132"/>
    <w:rsid w:val="60021F8F"/>
    <w:rsid w:val="60D86C2E"/>
    <w:rsid w:val="61CA737D"/>
    <w:rsid w:val="626253CB"/>
    <w:rsid w:val="62CC27C3"/>
    <w:rsid w:val="63F35708"/>
    <w:rsid w:val="642D7291"/>
    <w:rsid w:val="64A50DAF"/>
    <w:rsid w:val="64AD68B8"/>
    <w:rsid w:val="64C574CA"/>
    <w:rsid w:val="64F8164D"/>
    <w:rsid w:val="656920C1"/>
    <w:rsid w:val="65A05841"/>
    <w:rsid w:val="65CC6636"/>
    <w:rsid w:val="662C3491"/>
    <w:rsid w:val="668A1EC9"/>
    <w:rsid w:val="6694184A"/>
    <w:rsid w:val="670E2D2E"/>
    <w:rsid w:val="67185FD7"/>
    <w:rsid w:val="67BC5ABE"/>
    <w:rsid w:val="67EC244A"/>
    <w:rsid w:val="680D7B24"/>
    <w:rsid w:val="68184B53"/>
    <w:rsid w:val="686A10DA"/>
    <w:rsid w:val="689C6431"/>
    <w:rsid w:val="68A42935"/>
    <w:rsid w:val="68EE169B"/>
    <w:rsid w:val="69075AE0"/>
    <w:rsid w:val="691D5B26"/>
    <w:rsid w:val="69280027"/>
    <w:rsid w:val="699A4D82"/>
    <w:rsid w:val="69AE43F0"/>
    <w:rsid w:val="69E734ED"/>
    <w:rsid w:val="69F87E54"/>
    <w:rsid w:val="6A04384E"/>
    <w:rsid w:val="6A775937"/>
    <w:rsid w:val="6ADF78E5"/>
    <w:rsid w:val="6AFE019A"/>
    <w:rsid w:val="6B2D7B77"/>
    <w:rsid w:val="6CD27D15"/>
    <w:rsid w:val="6CE01D67"/>
    <w:rsid w:val="6D0D1D19"/>
    <w:rsid w:val="6DC22EA0"/>
    <w:rsid w:val="6DF2413B"/>
    <w:rsid w:val="6E837BA8"/>
    <w:rsid w:val="6F105E71"/>
    <w:rsid w:val="6FCB6AF9"/>
    <w:rsid w:val="709F233E"/>
    <w:rsid w:val="715F4802"/>
    <w:rsid w:val="725D6F93"/>
    <w:rsid w:val="72637D85"/>
    <w:rsid w:val="72D33542"/>
    <w:rsid w:val="72FD3138"/>
    <w:rsid w:val="733C304D"/>
    <w:rsid w:val="74714F78"/>
    <w:rsid w:val="74D06143"/>
    <w:rsid w:val="74F6722B"/>
    <w:rsid w:val="75D02172"/>
    <w:rsid w:val="76091AB6"/>
    <w:rsid w:val="76C75969"/>
    <w:rsid w:val="77022531"/>
    <w:rsid w:val="77BF2228"/>
    <w:rsid w:val="78155D05"/>
    <w:rsid w:val="78466E62"/>
    <w:rsid w:val="78AE1D0A"/>
    <w:rsid w:val="79734051"/>
    <w:rsid w:val="7A1A1CD6"/>
    <w:rsid w:val="7C8778FD"/>
    <w:rsid w:val="7CAF571D"/>
    <w:rsid w:val="7CB8525E"/>
    <w:rsid w:val="7CCA3477"/>
    <w:rsid w:val="7D1666BD"/>
    <w:rsid w:val="7D1F7C61"/>
    <w:rsid w:val="7D8C2E23"/>
    <w:rsid w:val="7D8F6DB2"/>
    <w:rsid w:val="7DF57FB2"/>
    <w:rsid w:val="7E4E5C75"/>
    <w:rsid w:val="7F45445C"/>
    <w:rsid w:val="7F810E5F"/>
    <w:rsid w:val="7FBA1FC4"/>
    <w:rsid w:val="7FBB57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pPr>
    <w:rPr>
      <w:szCs w:val="20"/>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rPr>
      <w:sz w:val="24"/>
    </w:rPr>
  </w:style>
  <w:style w:type="character" w:styleId="9">
    <w:name w:val="Strong"/>
    <w:basedOn w:val="8"/>
    <w:qFormat/>
    <w:uiPriority w:val="0"/>
    <w:rPr>
      <w:b/>
    </w:rPr>
  </w:style>
  <w:style w:type="character" w:customStyle="1" w:styleId="10">
    <w:name w:val="NormalCharacter"/>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3158</Words>
  <Characters>3314</Characters>
  <Lines>0</Lines>
  <Paragraphs>0</Paragraphs>
  <TotalTime>386</TotalTime>
  <ScaleCrop>false</ScaleCrop>
  <LinksUpToDate>false</LinksUpToDate>
  <CharactersWithSpaces>3412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2026-04-02T01:18:00Z</dcterms:created>
  <dc:creator>Administrator</dc:creator>
  <cp:lastModifiedBy>琦</cp:lastModifiedBy>
  <cp:lastPrinted>2026-05-25T03:29:00Z</cp:lastPrinted>
  <dcterms:modified xsi:type="dcterms:W3CDTF">2026-09-14T02:58:32Z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eyJoZGlkIjoiN2RhNWEyMjhlMTk5NzMyMzA5YjcwYmFlODEyZDVkODQiLCJ1c2VySWQiOiI1Nzk4MzczMTYifQ==</vt:lpwstr>
  </property>
  <property fmtid="{D5CDD505-2E9C-101B-9397-08002B2CF9AE}" pid="4" name="ICV">
    <vt:lpwstr>2EE28321F8774B9AAD31C10D7E1DA58E_12</vt:lpwstr>
  </property>
</Properties>
</file>