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ED488">
      <w:pPr>
        <w:jc w:val="center"/>
        <w:rPr>
          <w:rFonts w:hint="eastAsia" w:ascii="仿宋" w:hAnsi="仿宋" w:eastAsia="仿宋" w:cs="仿宋"/>
          <w:b/>
          <w:bCs/>
          <w:kern w:val="0"/>
          <w:sz w:val="30"/>
          <w:szCs w:val="30"/>
          <w:lang w:val="en-US" w:eastAsia="zh-CN" w:bidi="ar-SA"/>
        </w:rPr>
      </w:pPr>
      <w:r>
        <w:rPr>
          <w:rFonts w:hint="eastAsia" w:ascii="仿宋" w:hAnsi="仿宋" w:eastAsia="仿宋" w:cs="仿宋"/>
          <w:b/>
          <w:bCs/>
          <w:sz w:val="30"/>
          <w:szCs w:val="30"/>
          <w:lang w:val="en-US" w:eastAsia="zh-CN"/>
        </w:rPr>
        <w:t>准格尔旗魏家峁中心小学教学楼、实验楼、宿舍楼屋面防水及室内卫生间修缮工程</w:t>
      </w:r>
    </w:p>
    <w:p w14:paraId="32C80F94">
      <w:pPr>
        <w:pStyle w:val="12"/>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lang w:val="en-US" w:eastAsia="zh-CN"/>
        </w:rPr>
        <w:t>招标工程量清单</w:t>
      </w:r>
      <w:r>
        <w:rPr>
          <w:rFonts w:hint="eastAsia" w:ascii="仿宋" w:hAnsi="仿宋" w:eastAsia="仿宋" w:cs="仿宋"/>
          <w:b/>
          <w:bCs/>
          <w:sz w:val="30"/>
          <w:szCs w:val="30"/>
        </w:rPr>
        <w:t>编制说明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609891FC">
      <w:pPr>
        <w:ind w:firstLine="720" w:firstLineChars="300"/>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本项目为</w:t>
      </w:r>
      <w:r>
        <w:rPr>
          <w:rFonts w:hint="eastAsia" w:ascii="仿宋" w:hAnsi="仿宋" w:eastAsia="仿宋" w:cs="仿宋"/>
          <w:kern w:val="0"/>
          <w:sz w:val="24"/>
          <w:szCs w:val="24"/>
          <w:lang w:val="en-US" w:eastAsia="zh-CN" w:bidi="ar-SA"/>
        </w:rPr>
        <w:t>准格尔旗魏家峁中心小学教学楼、实验楼、宿舍楼屋面防水及室内卫生间修缮工程</w:t>
      </w:r>
      <w:r>
        <w:rPr>
          <w:rFonts w:hint="eastAsia" w:ascii="仿宋" w:hAnsi="仿宋" w:eastAsia="仿宋" w:cs="仿宋"/>
          <w:sz w:val="24"/>
          <w:szCs w:val="24"/>
          <w:lang w:val="en-US" w:eastAsia="zh-CN"/>
        </w:rPr>
        <w:t>，位于鄂尔多斯市准格尔旗，建设内容包括拆除、新做卫生间吊顶、新做屋顶防水一层、拆除、新做落水管等</w:t>
      </w:r>
    </w:p>
    <w:p w14:paraId="3B3A4882">
      <w:pPr>
        <w:numPr>
          <w:ilvl w:val="0"/>
          <w:numId w:val="0"/>
        </w:numPr>
        <w:wordWrap/>
        <w:adjustRightInd/>
        <w:snapToGrid/>
        <w:spacing w:line="560" w:lineRule="exact"/>
        <w:ind w:firstLine="241" w:firstLineChars="1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 xml:space="preserve">编制依据 </w:t>
      </w:r>
    </w:p>
    <w:p w14:paraId="3B88E066">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1、清单执行《建设工程工程量清单计价标准(GB/T50500-2024)》及解释和勘误及现行相关政策性文件等。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2、人工增加费费率为19% 。</w:t>
      </w:r>
    </w:p>
    <w:p w14:paraId="0E0BEC2A">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3、税金执行《关于调整内蒙古自治区建设工程计价依据增值税税率的通知》内建标[2019]113号文件，税率为9%。</w:t>
      </w:r>
    </w:p>
    <w:p w14:paraId="154E8098">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4、人工费调增执行《内蒙古自治区住房和城乡建设厅关于调整内蒙古自治区建设工程现行预算定额人工费的通知》（内建标〔2021〕148号），定额人工费调增10%。</w:t>
      </w:r>
      <w:bookmarkStart w:id="0" w:name="_GoBack"/>
      <w:bookmarkEnd w:id="0"/>
    </w:p>
    <w:p w14:paraId="3684FC30">
      <w:pPr>
        <w:pStyle w:val="2"/>
        <w:wordWrap/>
        <w:adjustRightInd/>
        <w:snapToGrid/>
        <w:spacing w:line="560" w:lineRule="exact"/>
        <w:ind w:firstLine="480" w:firstLineChars="200"/>
        <w:textAlignment w:val="auto"/>
        <w:rPr>
          <w:rFonts w:hint="default"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5、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4E96729D">
      <w:pPr>
        <w:numPr>
          <w:ilvl w:val="0"/>
          <w:numId w:val="0"/>
        </w:numPr>
        <w:wordWrap/>
        <w:adjustRightInd/>
        <w:snapToGrid/>
        <w:spacing w:line="560" w:lineRule="exact"/>
        <w:ind w:firstLine="482" w:firstLineChars="200"/>
        <w:textAlignment w:val="auto"/>
        <w:rPr>
          <w:rFonts w:hint="default"/>
          <w:lang w:val="en-US" w:eastAsia="zh-CN"/>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p>
    <w:p w14:paraId="27553213">
      <w:pPr>
        <w:keepNext w:val="0"/>
        <w:keepLines w:val="0"/>
        <w:pageBreakBefore w:val="0"/>
        <w:kinsoku/>
        <w:wordWrap/>
        <w:overflowPunct/>
        <w:topLinePunct w:val="0"/>
        <w:autoSpaceDE/>
        <w:autoSpaceDN/>
        <w:bidi w:val="0"/>
        <w:adjustRightInd/>
        <w:snapToGrid/>
        <w:spacing w:line="580" w:lineRule="exact"/>
        <w:ind w:firstLine="482" w:firstLineChars="200"/>
        <w:jc w:val="left"/>
        <w:textAlignment w:val="auto"/>
        <w:rPr>
          <w:rFonts w:hint="eastAsia" w:ascii="仿宋" w:hAnsi="仿宋" w:eastAsia="仿宋" w:cs="仿宋"/>
          <w:kern w:val="0"/>
          <w:sz w:val="24"/>
          <w:szCs w:val="24"/>
          <w:lang w:val="en-US" w:eastAsia="zh-CN" w:bidi="ar-SA"/>
        </w:rPr>
      </w:pPr>
      <w:r>
        <w:rPr>
          <w:rFonts w:hint="eastAsia" w:ascii="华文仿宋" w:hAnsi="华文仿宋" w:eastAsia="华文仿宋" w:cs="华文仿宋"/>
          <w:b/>
          <w:bCs/>
          <w:sz w:val="24"/>
          <w:szCs w:val="24"/>
          <w:lang w:val="en-US" w:eastAsia="zh-CN"/>
        </w:rPr>
        <w:t xml:space="preserve">   </w:t>
      </w:r>
      <w:r>
        <w:rPr>
          <w:rFonts w:hint="eastAsia" w:ascii="仿宋" w:hAnsi="仿宋" w:eastAsia="仿宋" w:cs="仿宋"/>
          <w:kern w:val="0"/>
          <w:sz w:val="24"/>
          <w:szCs w:val="24"/>
          <w:lang w:val="en-US" w:eastAsia="zh-CN" w:bidi="ar-SA"/>
        </w:rPr>
        <w:t>1.暂列金额66000元（不含税）详见暂列金单位工程其他项目清单与计价汇总表，招投标时不得作为竞争性费用，严格按清单计价规范计取9%税金后进行编制,若清单电子招标书中本项费用不显示金额，投标单位严格按照本说明执行。</w:t>
      </w:r>
    </w:p>
    <w:p w14:paraId="6B28E750">
      <w:pPr>
        <w:rPr>
          <w:rFonts w:hint="default"/>
          <w:lang w:val="en-US" w:eastAsia="zh-CN"/>
        </w:rPr>
      </w:pPr>
    </w:p>
    <w:p w14:paraId="2BFF64F3">
      <w:pPr>
        <w:pStyle w:val="2"/>
        <w:rPr>
          <w:rFonts w:hint="default"/>
          <w:lang w:val="en-US" w:eastAsia="zh-CN"/>
        </w:rPr>
      </w:pPr>
    </w:p>
    <w:p w14:paraId="127F4646">
      <w:pPr>
        <w:pStyle w:val="9"/>
        <w:keepNext w:val="0"/>
        <w:keepLines w:val="0"/>
        <w:widowControl/>
        <w:suppressLineNumbers w:val="0"/>
        <w:spacing w:before="0" w:beforeAutospacing="0" w:after="0" w:afterAutospacing="0"/>
        <w:ind w:left="0" w:right="0" w:firstLine="0"/>
        <w:rPr>
          <w:rFonts w:hint="eastAsia" w:ascii="仿宋" w:hAnsi="仿宋" w:eastAsia="仿宋" w:cs="仿宋"/>
          <w:color w:val="auto"/>
          <w:sz w:val="24"/>
          <w:szCs w:val="24"/>
          <w:lang w:val="en-US" w:eastAsia="zh-CN"/>
        </w:rPr>
      </w:pPr>
    </w:p>
    <w:p w14:paraId="2CBD6F82">
      <w:pPr>
        <w:pStyle w:val="2"/>
        <w:ind w:firstLine="480" w:firstLineChars="200"/>
        <w:rPr>
          <w:rFonts w:hint="default" w:ascii="仿宋" w:hAnsi="仿宋" w:eastAsia="仿宋" w:cs="仿宋"/>
          <w:b w:val="0"/>
          <w:caps w:val="0"/>
          <w:color w:val="auto"/>
          <w:kern w:val="2"/>
          <w:sz w:val="24"/>
          <w:szCs w:val="24"/>
          <w:highlight w:val="yellow"/>
          <w:lang w:val="en-US" w:eastAsia="zh-CN" w:bidi="ar-SA"/>
        </w:rPr>
      </w:pPr>
    </w:p>
    <w:p w14:paraId="74F67DFE">
      <w:pPr>
        <w:rPr>
          <w:rFonts w:hint="default"/>
          <w:lang w:val="en-US" w:eastAsia="zh-CN"/>
        </w:rPr>
      </w:pPr>
    </w:p>
    <w:p w14:paraId="1AB354A4">
      <w:pPr>
        <w:pStyle w:val="2"/>
        <w:rPr>
          <w:rFonts w:hint="default"/>
          <w:lang w:val="en-US" w:eastAsia="zh-CN"/>
        </w:rPr>
      </w:pPr>
    </w:p>
    <w:p w14:paraId="26B18CAE">
      <w:pPr>
        <w:pStyle w:val="2"/>
        <w:rPr>
          <w:rFonts w:hint="eastAsia" w:ascii="华文仿宋" w:hAnsi="华文仿宋" w:eastAsia="华文仿宋" w:cs="华文仿宋"/>
          <w:b/>
          <w:bCs/>
          <w:sz w:val="24"/>
          <w:szCs w:val="24"/>
          <w:lang w:val="en-US" w:eastAsia="zh-CN"/>
        </w:rPr>
      </w:pPr>
    </w:p>
    <w:sectPr>
      <w:pgSz w:w="11906" w:h="16838"/>
      <w:pgMar w:top="1440" w:right="1800" w:bottom="76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BE3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AE3368"/>
    <w:rsid w:val="01F25091"/>
    <w:rsid w:val="03872045"/>
    <w:rsid w:val="06954AF6"/>
    <w:rsid w:val="0B7A6F40"/>
    <w:rsid w:val="0E3523E8"/>
    <w:rsid w:val="0EDB6354"/>
    <w:rsid w:val="0F8B17F6"/>
    <w:rsid w:val="10244BFE"/>
    <w:rsid w:val="11826EDE"/>
    <w:rsid w:val="128A63DF"/>
    <w:rsid w:val="133728C5"/>
    <w:rsid w:val="1C847D28"/>
    <w:rsid w:val="1C9A61BB"/>
    <w:rsid w:val="1E8D7EF7"/>
    <w:rsid w:val="202A0CEA"/>
    <w:rsid w:val="20A83220"/>
    <w:rsid w:val="212705E9"/>
    <w:rsid w:val="23BC326A"/>
    <w:rsid w:val="24B76DDB"/>
    <w:rsid w:val="24E216AC"/>
    <w:rsid w:val="25D93D36"/>
    <w:rsid w:val="263F660E"/>
    <w:rsid w:val="29F60080"/>
    <w:rsid w:val="2CAF095D"/>
    <w:rsid w:val="2F1B07B0"/>
    <w:rsid w:val="2FCE6581"/>
    <w:rsid w:val="314B5142"/>
    <w:rsid w:val="33072928"/>
    <w:rsid w:val="331B27F3"/>
    <w:rsid w:val="35392F39"/>
    <w:rsid w:val="36743EE1"/>
    <w:rsid w:val="36781778"/>
    <w:rsid w:val="3884758A"/>
    <w:rsid w:val="3A6C5593"/>
    <w:rsid w:val="3D384BAB"/>
    <w:rsid w:val="3D496FD5"/>
    <w:rsid w:val="3DC85937"/>
    <w:rsid w:val="3F2B4201"/>
    <w:rsid w:val="3F6A076E"/>
    <w:rsid w:val="40347956"/>
    <w:rsid w:val="40667144"/>
    <w:rsid w:val="43060038"/>
    <w:rsid w:val="43440283"/>
    <w:rsid w:val="43731779"/>
    <w:rsid w:val="452032FC"/>
    <w:rsid w:val="45680F84"/>
    <w:rsid w:val="4B3B5C13"/>
    <w:rsid w:val="4BBD3613"/>
    <w:rsid w:val="4D022B80"/>
    <w:rsid w:val="52AD7B4B"/>
    <w:rsid w:val="5CF92B89"/>
    <w:rsid w:val="5D2469F6"/>
    <w:rsid w:val="5E192A8C"/>
    <w:rsid w:val="5E5B30A5"/>
    <w:rsid w:val="5F1A6C48"/>
    <w:rsid w:val="60740973"/>
    <w:rsid w:val="616C3CCD"/>
    <w:rsid w:val="67B96538"/>
    <w:rsid w:val="683D62F8"/>
    <w:rsid w:val="69A346D8"/>
    <w:rsid w:val="6AD13942"/>
    <w:rsid w:val="6B5A52BF"/>
    <w:rsid w:val="6C582951"/>
    <w:rsid w:val="6E7F693B"/>
    <w:rsid w:val="73A6203B"/>
    <w:rsid w:val="75083042"/>
    <w:rsid w:val="75264FBD"/>
    <w:rsid w:val="785D2AC9"/>
    <w:rsid w:val="792737ED"/>
    <w:rsid w:val="7BB6095A"/>
    <w:rsid w:val="7DE0670B"/>
    <w:rsid w:val="7E741C47"/>
    <w:rsid w:val="7EEE1A7E"/>
    <w:rsid w:val="7F7378B0"/>
    <w:rsid w:val="7FF177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3"/>
    <w:basedOn w:val="1"/>
    <w:next w:val="1"/>
    <w:qFormat/>
    <w:uiPriority w:val="0"/>
    <w:pPr>
      <w:keepNext/>
      <w:keepLines/>
      <w:spacing w:before="260" w:beforeAutospacing="0" w:after="260" w:afterAutospacing="0" w:line="413" w:lineRule="auto"/>
      <w:outlineLvl w:val="2"/>
    </w:pPr>
    <w:rPr>
      <w:b/>
      <w:sz w:val="32"/>
    </w:rPr>
  </w:style>
  <w:style w:type="paragraph" w:styleId="4">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before="120" w:after="120"/>
      <w:jc w:val="left"/>
    </w:pPr>
    <w:rPr>
      <w:b/>
      <w:caps/>
      <w:sz w:val="20"/>
    </w:rPr>
  </w:style>
  <w:style w:type="paragraph" w:styleId="5">
    <w:name w:val="annotation text"/>
    <w:basedOn w:val="1"/>
    <w:qFormat/>
    <w:uiPriority w:val="0"/>
    <w:pPr>
      <w:jc w:val="left"/>
    </w:pPr>
  </w:style>
  <w:style w:type="paragraph" w:styleId="6">
    <w:name w:val="Body Text"/>
    <w:basedOn w:val="1"/>
    <w:qFormat/>
    <w:uiPriority w:val="0"/>
    <w:pPr>
      <w:spacing w:after="120" w:afterAutospacing="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3">
    <w:name w:val="font122"/>
    <w:basedOn w:val="11"/>
    <w:qFormat/>
    <w:uiPriority w:val="0"/>
    <w:rPr>
      <w:rFonts w:ascii="Arial" w:hAnsi="Arial" w:cs="Arial"/>
      <w:b/>
      <w:bCs/>
      <w:color w:val="000000"/>
      <w:sz w:val="32"/>
      <w:szCs w:val="32"/>
      <w:u w:val="none"/>
    </w:rPr>
  </w:style>
  <w:style w:type="character" w:customStyle="1" w:styleId="14">
    <w:name w:val="font51"/>
    <w:basedOn w:val="11"/>
    <w:qFormat/>
    <w:uiPriority w:val="0"/>
    <w:rPr>
      <w:rFonts w:hint="eastAsia" w:ascii="方正仿宋_GB2312" w:hAnsi="方正仿宋_GB2312" w:eastAsia="方正仿宋_GB2312" w:cs="方正仿宋_GB2312"/>
      <w:color w:val="FF0000"/>
      <w:sz w:val="24"/>
      <w:szCs w:val="24"/>
      <w:u w:val="none"/>
    </w:rPr>
  </w:style>
  <w:style w:type="character" w:customStyle="1" w:styleId="15">
    <w:name w:val="font11"/>
    <w:basedOn w:val="11"/>
    <w:qFormat/>
    <w:uiPriority w:val="0"/>
    <w:rPr>
      <w:rFonts w:hint="eastAsia" w:ascii="方正仿宋_GB2312" w:hAnsi="方正仿宋_GB2312" w:eastAsia="方正仿宋_GB2312" w:cs="方正仿宋_GB2312"/>
      <w:color w:val="000000"/>
      <w:sz w:val="24"/>
      <w:szCs w:val="24"/>
      <w:u w:val="none"/>
    </w:rPr>
  </w:style>
  <w:style w:type="character" w:customStyle="1" w:styleId="16">
    <w:name w:val="font41"/>
    <w:basedOn w:val="11"/>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525</Words>
  <Characters>581</Characters>
  <Lines>0</Lines>
  <Paragraphs>0</Paragraphs>
  <TotalTime>2</TotalTime>
  <ScaleCrop>false</ScaleCrop>
  <LinksUpToDate>false</LinksUpToDate>
  <CharactersWithSpaces>587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冰是睡着的水</cp:lastModifiedBy>
  <cp:lastPrinted>2024-04-01T16:21:00Z</cp:lastPrinted>
  <dcterms:modified xsi:type="dcterms:W3CDTF">2026-05-25T09:31:42Z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8FC1D4758CB34F92BF2CFD7956B9E182_13</vt:lpwstr>
  </property>
  <property fmtid="{D5CDD505-2E9C-101B-9397-08002B2CF9AE}" pid="4" name="KSOTemplateDocerSaveRecord">
    <vt:lpwstr>eyJoZGlkIjoiZWQwMGQxODRjZDEzYjg1ZGM3NWE3YmUwOTA4ZDQ4NTgiLCJ1c2VySWQiOiI1NjI4NDc3NDIifQ==</vt:lpwstr>
  </property>
</Properties>
</file>