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DA438">
      <w:pPr>
        <w:spacing w:line="360" w:lineRule="auto"/>
        <w:jc w:val="center"/>
        <w:rPr>
          <w:rFonts w:ascii="仿宋" w:hAnsi="仿宋" w:eastAsia="仿宋" w:cs="仿宋"/>
          <w:b/>
          <w:bCs/>
          <w:sz w:val="36"/>
          <w:szCs w:val="36"/>
        </w:rPr>
      </w:pPr>
      <w:r>
        <w:rPr>
          <w:rFonts w:hint="eastAsia" w:ascii="仿宋" w:hAnsi="仿宋" w:eastAsia="仿宋" w:cs="仿宋"/>
          <w:b/>
          <w:bCs/>
          <w:spacing w:val="9"/>
          <w:sz w:val="36"/>
          <w:szCs w:val="36"/>
          <w14:textOutline w14:w="4064" w14:cap="flat" w14:cmpd="sng" w14:algn="ctr">
            <w14:solidFill>
              <w14:srgbClr w14:val="000000"/>
            </w14:solidFill>
            <w14:prstDash w14:val="solid"/>
            <w14:miter w14:val="0"/>
          </w14:textOutline>
        </w:rPr>
        <w:t>杭锦旗第一中学学生住宿办学条件提升项目</w:t>
      </w:r>
      <w:r>
        <w:rPr>
          <w:rFonts w:hint="eastAsia" w:ascii="仿宋" w:hAnsi="仿宋" w:eastAsia="仿宋" w:cs="仿宋"/>
          <w:b/>
          <w:bCs/>
          <w:spacing w:val="9"/>
          <w:sz w:val="36"/>
          <w:szCs w:val="36"/>
          <w:lang w:val="en-US" w:eastAsia="zh-CN"/>
          <w14:textOutline w14:w="4064" w14:cap="flat" w14:cmpd="sng" w14:algn="ctr">
            <w14:solidFill>
              <w14:srgbClr w14:val="000000"/>
            </w14:solidFill>
            <w14:prstDash w14:val="solid"/>
            <w14:miter w14:val="0"/>
          </w14:textOutline>
        </w:rPr>
        <w:t>工程量清单</w:t>
      </w:r>
      <w:r>
        <w:rPr>
          <w:rFonts w:ascii="仿宋" w:hAnsi="仿宋" w:eastAsia="仿宋" w:cs="仿宋"/>
          <w:b/>
          <w:bCs/>
          <w:spacing w:val="9"/>
          <w:sz w:val="36"/>
          <w:szCs w:val="36"/>
          <w14:textOutline w14:w="4064" w14:cap="flat" w14:cmpd="sng" w14:algn="ctr">
            <w14:solidFill>
              <w14:srgbClr w14:val="000000"/>
            </w14:solidFill>
            <w14:prstDash w14:val="solid"/>
            <w14:miter w14:val="0"/>
          </w14:textOutline>
        </w:rPr>
        <w:t>编制说</w:t>
      </w:r>
      <w:r>
        <w:rPr>
          <w:rFonts w:ascii="仿宋" w:hAnsi="仿宋" w:eastAsia="仿宋" w:cs="仿宋"/>
          <w:b/>
          <w:bCs/>
          <w:spacing w:val="8"/>
          <w:sz w:val="36"/>
          <w:szCs w:val="36"/>
          <w14:textOutline w14:w="4064" w14:cap="flat" w14:cmpd="sng" w14:algn="ctr">
            <w14:solidFill>
              <w14:srgbClr w14:val="000000"/>
            </w14:solidFill>
            <w14:prstDash w14:val="solid"/>
            <w14:miter w14:val="0"/>
          </w14:textOutline>
        </w:rPr>
        <w:t>明</w:t>
      </w:r>
    </w:p>
    <w:p w14:paraId="6312844D">
      <w:pPr>
        <w:keepNext w:val="0"/>
        <w:keepLines w:val="0"/>
        <w:pageBreakBefore w:val="0"/>
        <w:widowControl/>
        <w:kinsoku w:val="0"/>
        <w:wordWrap/>
        <w:overflowPunct/>
        <w:topLinePunct w:val="0"/>
        <w:autoSpaceDE w:val="0"/>
        <w:autoSpaceDN w:val="0"/>
        <w:bidi w:val="0"/>
        <w:adjustRightInd w:val="0"/>
        <w:snapToGrid w:val="0"/>
        <w:spacing w:line="540" w:lineRule="exact"/>
        <w:ind w:firstLine="512" w:firstLineChars="200"/>
        <w:textAlignment w:val="baseline"/>
        <w:rPr>
          <w:rFonts w:ascii="仿宋" w:hAnsi="仿宋" w:eastAsia="仿宋" w:cs="仿宋"/>
          <w:sz w:val="24"/>
          <w:szCs w:val="24"/>
        </w:rPr>
      </w:pPr>
      <w:r>
        <w:rPr>
          <w:rFonts w:ascii="仿宋" w:hAnsi="仿宋" w:eastAsia="仿宋" w:cs="仿宋"/>
          <w:spacing w:val="8"/>
          <w:sz w:val="24"/>
          <w:szCs w:val="24"/>
          <w14:textOutline w14:w="3556" w14:cap="flat" w14:cmpd="sng" w14:algn="ctr">
            <w14:solidFill>
              <w14:srgbClr w14:val="000000"/>
            </w14:solidFill>
            <w14:prstDash w14:val="solid"/>
            <w14:miter w14:val="0"/>
          </w14:textOutline>
        </w:rPr>
        <w:t>一</w:t>
      </w:r>
      <w:r>
        <w:rPr>
          <w:rFonts w:ascii="仿宋" w:hAnsi="仿宋" w:eastAsia="仿宋" w:cs="仿宋"/>
          <w:spacing w:val="7"/>
          <w:sz w:val="24"/>
          <w:szCs w:val="24"/>
          <w14:textOutline w14:w="3556" w14:cap="flat" w14:cmpd="sng" w14:algn="ctr">
            <w14:solidFill>
              <w14:srgbClr w14:val="000000"/>
            </w14:solidFill>
            <w14:prstDash w14:val="solid"/>
            <w14:miter w14:val="0"/>
          </w14:textOutline>
        </w:rPr>
        <w:t>、工程概况</w:t>
      </w:r>
    </w:p>
    <w:p w14:paraId="1458520E">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rPr>
      </w:pPr>
      <w:r>
        <w:rPr>
          <w:rFonts w:hint="eastAsia" w:ascii="仿宋" w:hAnsi="仿宋" w:eastAsia="仿宋" w:cs="仿宋"/>
          <w:spacing w:val="34"/>
          <w:sz w:val="24"/>
          <w:szCs w:val="24"/>
        </w:rPr>
        <w:t>1、工程名称：</w:t>
      </w:r>
      <w:r>
        <w:rPr>
          <w:rFonts w:hint="eastAsia" w:ascii="仿宋" w:hAnsi="仿宋" w:eastAsia="仿宋" w:cs="仿宋"/>
          <w:spacing w:val="-11"/>
          <w:sz w:val="24"/>
          <w:szCs w:val="24"/>
        </w:rPr>
        <w:t>杭锦旗第一中学学生住宿办学条件提升项目</w:t>
      </w:r>
    </w:p>
    <w:p w14:paraId="2FF6AB11">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default" w:ascii="仿宋" w:hAnsi="仿宋" w:eastAsia="仿宋" w:cs="仿宋"/>
          <w:spacing w:val="34"/>
          <w:sz w:val="24"/>
          <w:szCs w:val="24"/>
          <w:lang w:val="en-US" w:eastAsia="zh-CN"/>
        </w:rPr>
      </w:pPr>
      <w:r>
        <w:rPr>
          <w:rFonts w:hint="eastAsia" w:ascii="仿宋" w:hAnsi="仿宋" w:eastAsia="仿宋" w:cs="仿宋"/>
          <w:spacing w:val="34"/>
          <w:sz w:val="24"/>
          <w:szCs w:val="24"/>
        </w:rPr>
        <w:t>2、建设单位：</w:t>
      </w:r>
      <w:r>
        <w:rPr>
          <w:rFonts w:hint="eastAsia" w:ascii="仿宋" w:hAnsi="仿宋" w:eastAsia="仿宋" w:cs="仿宋"/>
          <w:spacing w:val="34"/>
          <w:sz w:val="24"/>
          <w:szCs w:val="24"/>
          <w:lang w:val="en-US" w:eastAsia="zh-CN"/>
        </w:rPr>
        <w:t>杭锦旗教育体育局</w:t>
      </w:r>
    </w:p>
    <w:p w14:paraId="09FF386A">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default" w:ascii="仿宋" w:hAnsi="仿宋" w:eastAsia="仿宋" w:cs="仿宋"/>
          <w:spacing w:val="34"/>
          <w:sz w:val="24"/>
          <w:szCs w:val="24"/>
          <w:lang w:val="en-US"/>
        </w:rPr>
      </w:pPr>
      <w:r>
        <w:rPr>
          <w:rFonts w:hint="eastAsia" w:ascii="仿宋" w:hAnsi="仿宋" w:eastAsia="仿宋" w:cs="仿宋"/>
          <w:spacing w:val="34"/>
          <w:sz w:val="24"/>
          <w:szCs w:val="24"/>
        </w:rPr>
        <w:t>3、建设地点：</w:t>
      </w:r>
      <w:r>
        <w:rPr>
          <w:rFonts w:hint="eastAsia" w:ascii="仿宋" w:hAnsi="仿宋" w:eastAsia="仿宋" w:cs="仿宋"/>
          <w:spacing w:val="34"/>
          <w:sz w:val="24"/>
          <w:szCs w:val="24"/>
          <w:lang w:val="en-US" w:eastAsia="zh-CN"/>
        </w:rPr>
        <w:t>杭锦旗</w:t>
      </w:r>
    </w:p>
    <w:p w14:paraId="566A020D">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default" w:ascii="仿宋" w:hAnsi="仿宋" w:eastAsia="仿宋" w:cs="仿宋"/>
          <w:spacing w:val="34"/>
          <w:sz w:val="24"/>
          <w:szCs w:val="24"/>
          <w:lang w:val="en-US" w:eastAsia="zh-CN"/>
        </w:rPr>
      </w:pPr>
      <w:r>
        <w:rPr>
          <w:rFonts w:hint="eastAsia" w:ascii="仿宋" w:hAnsi="仿宋" w:eastAsia="仿宋" w:cs="仿宋"/>
          <w:spacing w:val="34"/>
          <w:sz w:val="24"/>
          <w:szCs w:val="24"/>
        </w:rPr>
        <w:t>4、</w:t>
      </w:r>
      <w:r>
        <w:rPr>
          <w:rFonts w:hint="eastAsia" w:ascii="仿宋" w:hAnsi="仿宋" w:eastAsia="仿宋" w:cs="仿宋"/>
          <w:spacing w:val="34"/>
          <w:sz w:val="24"/>
          <w:szCs w:val="24"/>
          <w:lang w:val="en-US" w:eastAsia="zh-CN"/>
        </w:rPr>
        <w:t>工程</w:t>
      </w:r>
      <w:r>
        <w:rPr>
          <w:rFonts w:hint="eastAsia" w:ascii="仿宋" w:hAnsi="仿宋" w:eastAsia="仿宋" w:cs="仿宋"/>
          <w:spacing w:val="34"/>
          <w:sz w:val="24"/>
          <w:szCs w:val="24"/>
        </w:rPr>
        <w:t>内容：</w:t>
      </w:r>
      <w:r>
        <w:rPr>
          <w:rFonts w:hint="eastAsia" w:ascii="仿宋" w:hAnsi="仿宋" w:eastAsia="仿宋" w:cs="仿宋"/>
          <w:spacing w:val="34"/>
          <w:sz w:val="24"/>
          <w:szCs w:val="24"/>
          <w:lang w:val="en-US" w:eastAsia="zh-CN"/>
        </w:rPr>
        <w:t>对锦旗第一中学学生宿舍楼门窗进行更换，焕新墙面装饰，修缮卫生设施，维修屋面防水等</w:t>
      </w:r>
    </w:p>
    <w:p w14:paraId="719DC4A6">
      <w:pPr>
        <w:keepNext w:val="0"/>
        <w:keepLines w:val="0"/>
        <w:pageBreakBefore w:val="0"/>
        <w:widowControl/>
        <w:kinsoku w:val="0"/>
        <w:wordWrap/>
        <w:overflowPunct/>
        <w:topLinePunct w:val="0"/>
        <w:autoSpaceDE w:val="0"/>
        <w:autoSpaceDN w:val="0"/>
        <w:bidi w:val="0"/>
        <w:adjustRightInd w:val="0"/>
        <w:snapToGrid w:val="0"/>
        <w:spacing w:line="540" w:lineRule="exact"/>
        <w:ind w:firstLine="512" w:firstLineChars="200"/>
        <w:textAlignment w:val="baseline"/>
        <w:rPr>
          <w:rFonts w:ascii="仿宋" w:hAnsi="仿宋" w:eastAsia="仿宋" w:cs="仿宋"/>
          <w:sz w:val="24"/>
          <w:szCs w:val="24"/>
        </w:rPr>
      </w:pPr>
      <w:r>
        <w:rPr>
          <w:rFonts w:ascii="仿宋" w:hAnsi="仿宋" w:eastAsia="仿宋" w:cs="仿宋"/>
          <w:spacing w:val="8"/>
          <w:sz w:val="24"/>
          <w:szCs w:val="24"/>
          <w14:textOutline w14:w="3556" w14:cap="flat" w14:cmpd="sng" w14:algn="ctr">
            <w14:solidFill>
              <w14:srgbClr w14:val="000000"/>
            </w14:solidFill>
            <w14:prstDash w14:val="solid"/>
            <w14:miter w14:val="0"/>
          </w14:textOutline>
        </w:rPr>
        <w:t>二</w:t>
      </w:r>
      <w:r>
        <w:rPr>
          <w:rFonts w:ascii="仿宋" w:hAnsi="仿宋" w:eastAsia="仿宋" w:cs="仿宋"/>
          <w:spacing w:val="6"/>
          <w:sz w:val="24"/>
          <w:szCs w:val="24"/>
          <w14:textOutline w14:w="3556" w14:cap="flat" w14:cmpd="sng" w14:algn="ctr">
            <w14:solidFill>
              <w14:srgbClr w14:val="000000"/>
            </w14:solidFill>
            <w14:prstDash w14:val="solid"/>
            <w14:miter w14:val="0"/>
          </w14:textOutline>
        </w:rPr>
        <w:t>、编制依据</w:t>
      </w:r>
    </w:p>
    <w:p w14:paraId="15487664">
      <w:pPr>
        <w:keepNext w:val="0"/>
        <w:keepLines w:val="0"/>
        <w:pageBreakBefore w:val="0"/>
        <w:widowControl/>
        <w:kinsoku w:val="0"/>
        <w:wordWrap/>
        <w:overflowPunct/>
        <w:topLinePunct w:val="0"/>
        <w:autoSpaceDE w:val="0"/>
        <w:autoSpaceDN w:val="0"/>
        <w:bidi w:val="0"/>
        <w:adjustRightInd w:val="0"/>
        <w:snapToGrid w:val="0"/>
        <w:spacing w:line="540" w:lineRule="exact"/>
        <w:ind w:firstLine="602" w:firstLineChars="200"/>
        <w:textAlignment w:val="baseline"/>
        <w:rPr>
          <w:rFonts w:ascii="仿宋" w:hAnsi="仿宋" w:eastAsia="仿宋" w:cs="仿宋"/>
          <w:spacing w:val="30"/>
          <w:sz w:val="24"/>
          <w:szCs w:val="24"/>
        </w:rPr>
      </w:pPr>
      <w:r>
        <w:rPr>
          <w:rFonts w:ascii="仿宋" w:hAnsi="仿宋" w:eastAsia="仿宋" w:cs="仿宋"/>
          <w:b/>
          <w:bCs/>
          <w:spacing w:val="30"/>
          <w:sz w:val="24"/>
          <w:szCs w:val="24"/>
        </w:rPr>
        <w:t>(一)工程量依据</w:t>
      </w:r>
    </w:p>
    <w:p w14:paraId="4FED3D5F">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ascii="仿宋" w:hAnsi="仿宋" w:eastAsia="仿宋" w:cs="仿宋"/>
          <w:spacing w:val="34"/>
          <w:sz w:val="24"/>
          <w:szCs w:val="24"/>
        </w:rPr>
      </w:pPr>
      <w:r>
        <w:rPr>
          <w:rFonts w:ascii="仿宋" w:hAnsi="仿宋" w:eastAsia="仿宋" w:cs="仿宋"/>
          <w:spacing w:val="34"/>
          <w:sz w:val="24"/>
          <w:szCs w:val="24"/>
        </w:rPr>
        <w:t>1、</w:t>
      </w:r>
      <w:r>
        <w:rPr>
          <w:rFonts w:hint="eastAsia" w:ascii="仿宋" w:hAnsi="仿宋" w:eastAsia="仿宋" w:cs="仿宋"/>
          <w:spacing w:val="34"/>
          <w:sz w:val="24"/>
          <w:szCs w:val="24"/>
          <w:lang w:val="en-US" w:eastAsia="zh-CN"/>
        </w:rPr>
        <w:t>送审控制价的工程量及工程做法</w:t>
      </w:r>
      <w:r>
        <w:rPr>
          <w:rFonts w:ascii="仿宋" w:hAnsi="仿宋" w:eastAsia="仿宋" w:cs="仿宋"/>
          <w:spacing w:val="34"/>
          <w:sz w:val="24"/>
          <w:szCs w:val="24"/>
        </w:rPr>
        <w:t>；</w:t>
      </w:r>
    </w:p>
    <w:p w14:paraId="68B11F1D">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17"/>
          <w:sz w:val="24"/>
          <w:szCs w:val="24"/>
          <w:lang w:eastAsia="zh-CN"/>
        </w:rPr>
      </w:pPr>
      <w:r>
        <w:rPr>
          <w:rFonts w:ascii="仿宋" w:hAnsi="仿宋" w:eastAsia="仿宋" w:cs="仿宋"/>
          <w:spacing w:val="34"/>
          <w:sz w:val="24"/>
          <w:szCs w:val="24"/>
        </w:rPr>
        <w:t>2</w:t>
      </w:r>
      <w:r>
        <w:rPr>
          <w:rFonts w:ascii="仿宋" w:hAnsi="仿宋" w:eastAsia="仿宋" w:cs="仿宋"/>
          <w:spacing w:val="20"/>
          <w:sz w:val="24"/>
          <w:szCs w:val="24"/>
        </w:rPr>
        <w:t>、</w:t>
      </w:r>
      <w:r>
        <w:rPr>
          <w:rFonts w:ascii="仿宋" w:hAnsi="仿宋" w:eastAsia="仿宋" w:cs="仿宋"/>
          <w:spacing w:val="17"/>
          <w:sz w:val="24"/>
          <w:szCs w:val="24"/>
        </w:rPr>
        <w:t>与本工程有关的标准(包括标准图集)、规范、技术资料</w:t>
      </w:r>
      <w:r>
        <w:rPr>
          <w:rFonts w:hint="eastAsia" w:ascii="仿宋" w:hAnsi="仿宋" w:eastAsia="仿宋" w:cs="仿宋"/>
          <w:spacing w:val="17"/>
          <w:sz w:val="24"/>
          <w:szCs w:val="24"/>
          <w:lang w:eastAsia="zh-CN"/>
        </w:rPr>
        <w:t>；</w:t>
      </w:r>
    </w:p>
    <w:p w14:paraId="444C2AC9">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default"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3、审核回复文件。</w:t>
      </w:r>
    </w:p>
    <w:p w14:paraId="18356881">
      <w:pPr>
        <w:keepNext w:val="0"/>
        <w:keepLines w:val="0"/>
        <w:pageBreakBefore w:val="0"/>
        <w:widowControl/>
        <w:kinsoku w:val="0"/>
        <w:wordWrap/>
        <w:overflowPunct/>
        <w:topLinePunct w:val="0"/>
        <w:autoSpaceDE w:val="0"/>
        <w:autoSpaceDN w:val="0"/>
        <w:bidi w:val="0"/>
        <w:adjustRightInd w:val="0"/>
        <w:snapToGrid w:val="0"/>
        <w:spacing w:line="540" w:lineRule="exact"/>
        <w:ind w:firstLine="602" w:firstLineChars="200"/>
        <w:textAlignment w:val="baseline"/>
        <w:rPr>
          <w:rFonts w:ascii="仿宋" w:hAnsi="仿宋" w:eastAsia="仿宋" w:cs="仿宋"/>
          <w:b/>
          <w:bCs/>
          <w:sz w:val="24"/>
          <w:szCs w:val="24"/>
        </w:rPr>
      </w:pPr>
      <w:r>
        <w:rPr>
          <w:rFonts w:ascii="仿宋" w:hAnsi="仿宋" w:eastAsia="仿宋" w:cs="仿宋"/>
          <w:b/>
          <w:bCs/>
          <w:spacing w:val="30"/>
          <w:sz w:val="24"/>
          <w:szCs w:val="24"/>
        </w:rPr>
        <w:t>(</w:t>
      </w:r>
      <w:r>
        <w:rPr>
          <w:rFonts w:ascii="仿宋" w:hAnsi="仿宋" w:eastAsia="仿宋" w:cs="仿宋"/>
          <w:b/>
          <w:bCs/>
          <w:spacing w:val="28"/>
          <w:sz w:val="24"/>
          <w:szCs w:val="24"/>
        </w:rPr>
        <w:t>二)法律法规文件</w:t>
      </w:r>
    </w:p>
    <w:p w14:paraId="2B752063">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ascii="仿宋" w:hAnsi="仿宋" w:eastAsia="仿宋" w:cs="仿宋"/>
          <w:spacing w:val="34"/>
          <w:sz w:val="24"/>
          <w:szCs w:val="24"/>
        </w:rPr>
      </w:pPr>
      <w:r>
        <w:rPr>
          <w:rFonts w:ascii="仿宋" w:hAnsi="仿宋" w:eastAsia="仿宋" w:cs="仿宋"/>
          <w:spacing w:val="34"/>
          <w:sz w:val="24"/>
          <w:szCs w:val="24"/>
        </w:rPr>
        <w:t>1、《中华人民共和国合同法》；</w:t>
      </w:r>
    </w:p>
    <w:p w14:paraId="1BA206D9">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ascii="仿宋" w:hAnsi="仿宋" w:eastAsia="仿宋" w:cs="仿宋"/>
          <w:spacing w:val="34"/>
          <w:sz w:val="24"/>
          <w:szCs w:val="24"/>
        </w:rPr>
      </w:pPr>
      <w:r>
        <w:rPr>
          <w:rFonts w:ascii="仿宋" w:hAnsi="仿宋" w:eastAsia="仿宋" w:cs="仿宋"/>
          <w:spacing w:val="34"/>
          <w:sz w:val="24"/>
          <w:szCs w:val="24"/>
        </w:rPr>
        <w:t>2、《工程造价咨询业务操作指导规程》；</w:t>
      </w:r>
    </w:p>
    <w:p w14:paraId="37CA67AA">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ascii="仿宋" w:hAnsi="仿宋" w:eastAsia="仿宋" w:cs="仿宋"/>
          <w:spacing w:val="34"/>
          <w:sz w:val="24"/>
          <w:szCs w:val="24"/>
        </w:rPr>
      </w:pPr>
      <w:r>
        <w:rPr>
          <w:rFonts w:ascii="仿宋" w:hAnsi="仿宋" w:eastAsia="仿宋" w:cs="仿宋"/>
          <w:spacing w:val="34"/>
          <w:sz w:val="24"/>
          <w:szCs w:val="24"/>
        </w:rPr>
        <w:t>3、《工程造价咨询单位执业行为准则》；</w:t>
      </w:r>
    </w:p>
    <w:p w14:paraId="51BEF63B">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ascii="仿宋" w:hAnsi="仿宋" w:eastAsia="仿宋" w:cs="仿宋"/>
          <w:spacing w:val="34"/>
          <w:sz w:val="24"/>
          <w:szCs w:val="24"/>
        </w:rPr>
      </w:pPr>
      <w:r>
        <w:rPr>
          <w:rFonts w:ascii="仿宋" w:hAnsi="仿宋" w:eastAsia="仿宋" w:cs="仿宋"/>
          <w:spacing w:val="34"/>
          <w:sz w:val="24"/>
          <w:szCs w:val="24"/>
        </w:rPr>
        <w:t>4、《建设工程造价咨询规范》GB/T51095-2015。</w:t>
      </w:r>
    </w:p>
    <w:p w14:paraId="223124CD">
      <w:pPr>
        <w:keepNext w:val="0"/>
        <w:keepLines w:val="0"/>
        <w:pageBreakBefore w:val="0"/>
        <w:widowControl/>
        <w:kinsoku w:val="0"/>
        <w:wordWrap/>
        <w:overflowPunct/>
        <w:topLinePunct w:val="0"/>
        <w:autoSpaceDE w:val="0"/>
        <w:autoSpaceDN w:val="0"/>
        <w:bidi w:val="0"/>
        <w:adjustRightInd w:val="0"/>
        <w:snapToGrid w:val="0"/>
        <w:spacing w:line="540" w:lineRule="exact"/>
        <w:ind w:firstLine="490" w:firstLineChars="200"/>
        <w:textAlignment w:val="baseline"/>
        <w:rPr>
          <w:rFonts w:ascii="仿宋" w:hAnsi="仿宋" w:eastAsia="仿宋" w:cs="仿宋"/>
          <w:sz w:val="24"/>
          <w:szCs w:val="24"/>
        </w:rPr>
      </w:pPr>
      <w:r>
        <w:rPr>
          <w:rFonts w:ascii="仿宋" w:hAnsi="仿宋" w:eastAsia="仿宋" w:cs="仿宋"/>
          <w:b/>
          <w:bCs/>
          <w:spacing w:val="2"/>
          <w:sz w:val="24"/>
          <w:szCs w:val="24"/>
        </w:rPr>
        <w:t>(三) 清单定额执</w:t>
      </w:r>
      <w:r>
        <w:rPr>
          <w:rFonts w:ascii="仿宋" w:hAnsi="仿宋" w:eastAsia="仿宋" w:cs="仿宋"/>
          <w:b/>
          <w:bCs/>
          <w:spacing w:val="1"/>
          <w:sz w:val="24"/>
          <w:szCs w:val="24"/>
        </w:rPr>
        <w:t>行内蒙古自治区建设厅颁布的标准、规范及相关</w:t>
      </w:r>
      <w:r>
        <w:rPr>
          <w:rFonts w:ascii="仿宋" w:hAnsi="仿宋" w:eastAsia="仿宋" w:cs="仿宋"/>
          <w:b/>
          <w:bCs/>
          <w:spacing w:val="-19"/>
          <w:sz w:val="24"/>
          <w:szCs w:val="24"/>
        </w:rPr>
        <w:t>文</w:t>
      </w:r>
      <w:r>
        <w:rPr>
          <w:rFonts w:ascii="仿宋" w:hAnsi="仿宋" w:eastAsia="仿宋" w:cs="仿宋"/>
          <w:b/>
          <w:bCs/>
          <w:spacing w:val="-17"/>
          <w:sz w:val="24"/>
          <w:szCs w:val="24"/>
        </w:rPr>
        <w:t>件</w:t>
      </w:r>
    </w:p>
    <w:p w14:paraId="5DB5CE70">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rPr>
      </w:pPr>
      <w:r>
        <w:rPr>
          <w:rFonts w:hint="eastAsia" w:ascii="仿宋" w:hAnsi="仿宋" w:eastAsia="仿宋" w:cs="仿宋"/>
          <w:spacing w:val="34"/>
          <w:sz w:val="24"/>
          <w:szCs w:val="24"/>
        </w:rPr>
        <w:t>1、清单依据《建设工程工程量清单计价标准》GB/T50500-2024、《房屋建筑与装饰工程工程量计算标准》GB/T50854-2024</w:t>
      </w:r>
      <w:r>
        <w:rPr>
          <w:rFonts w:hint="eastAsia" w:ascii="仿宋" w:hAnsi="仿宋" w:eastAsia="仿宋" w:cs="仿宋"/>
          <w:spacing w:val="34"/>
          <w:sz w:val="24"/>
          <w:szCs w:val="24"/>
          <w:lang w:eastAsia="zh-CN"/>
        </w:rPr>
        <w:t>、</w:t>
      </w:r>
      <w:r>
        <w:rPr>
          <w:rFonts w:hint="eastAsia" w:ascii="仿宋" w:hAnsi="仿宋" w:eastAsia="仿宋" w:cs="仿宋"/>
          <w:spacing w:val="34"/>
          <w:sz w:val="24"/>
          <w:szCs w:val="24"/>
        </w:rPr>
        <w:t>《通用安装工程工程量计算标准》GB/T50856-2024</w:t>
      </w:r>
      <w:r>
        <w:rPr>
          <w:rFonts w:hint="eastAsia" w:ascii="仿宋" w:hAnsi="仿宋" w:eastAsia="仿宋" w:cs="仿宋"/>
          <w:spacing w:val="34"/>
          <w:sz w:val="24"/>
          <w:szCs w:val="24"/>
          <w:lang w:eastAsia="zh-CN"/>
        </w:rPr>
        <w:t>、</w:t>
      </w:r>
      <w:r>
        <w:rPr>
          <w:rFonts w:hint="eastAsia" w:ascii="仿宋" w:hAnsi="仿宋" w:eastAsia="仿宋" w:cs="仿宋"/>
          <w:spacing w:val="34"/>
          <w:sz w:val="24"/>
          <w:szCs w:val="24"/>
        </w:rPr>
        <w:t>《市政工程工程量计算标准》GB/T50857-2024</w:t>
      </w:r>
      <w:r>
        <w:rPr>
          <w:rFonts w:hint="eastAsia" w:ascii="仿宋" w:hAnsi="仿宋" w:eastAsia="仿宋" w:cs="仿宋"/>
          <w:spacing w:val="34"/>
          <w:sz w:val="24"/>
          <w:szCs w:val="24"/>
          <w:lang w:eastAsia="zh-CN"/>
        </w:rPr>
        <w:t>、</w:t>
      </w:r>
      <w:r>
        <w:rPr>
          <w:rFonts w:hint="eastAsia" w:ascii="仿宋" w:hAnsi="仿宋" w:eastAsia="仿宋" w:cs="仿宋"/>
          <w:spacing w:val="34"/>
          <w:sz w:val="24"/>
          <w:szCs w:val="24"/>
        </w:rPr>
        <w:t>《园林绿化工程工程量计算标准》GB/T50858-2024；</w:t>
      </w:r>
    </w:p>
    <w:p w14:paraId="30307FE2">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rPr>
      </w:pPr>
      <w:r>
        <w:rPr>
          <w:rFonts w:hint="eastAsia" w:ascii="仿宋" w:hAnsi="仿宋" w:eastAsia="仿宋" w:cs="仿宋"/>
          <w:spacing w:val="34"/>
          <w:sz w:val="24"/>
          <w:szCs w:val="24"/>
        </w:rPr>
        <w:t>2、2017年《内蒙古自治区房屋建筑与装饰工程预算定额》；</w:t>
      </w:r>
    </w:p>
    <w:p w14:paraId="07748A32">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rPr>
      </w:pPr>
      <w:r>
        <w:rPr>
          <w:rFonts w:hint="eastAsia" w:ascii="仿宋" w:hAnsi="仿宋" w:eastAsia="仿宋" w:cs="仿宋"/>
          <w:spacing w:val="34"/>
          <w:sz w:val="24"/>
          <w:szCs w:val="24"/>
        </w:rPr>
        <w:t>3、2017年《内蒙古自治区安装工程预算定额》；</w:t>
      </w:r>
    </w:p>
    <w:p w14:paraId="63922E8F">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4、2021年《内蒙古自治区房屋修缮工程预算定额》；</w:t>
      </w:r>
    </w:p>
    <w:p w14:paraId="2EE36E18">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5、2017年《内蒙古自治区建设工程费用定额》；</w:t>
      </w:r>
    </w:p>
    <w:p w14:paraId="5094415E">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lang w:eastAsia="zh-CN"/>
        </w:rPr>
      </w:pPr>
      <w:r>
        <w:rPr>
          <w:rFonts w:hint="eastAsia" w:ascii="仿宋" w:hAnsi="仿宋" w:eastAsia="仿宋" w:cs="仿宋"/>
          <w:spacing w:val="34"/>
          <w:sz w:val="24"/>
          <w:szCs w:val="24"/>
          <w:lang w:val="en-US" w:eastAsia="zh-CN"/>
        </w:rPr>
        <w:t>6、</w:t>
      </w:r>
      <w:r>
        <w:rPr>
          <w:rFonts w:hint="eastAsia" w:ascii="仿宋" w:hAnsi="仿宋" w:eastAsia="仿宋" w:cs="仿宋"/>
          <w:spacing w:val="34"/>
          <w:sz w:val="24"/>
          <w:szCs w:val="24"/>
        </w:rPr>
        <w:t>税金依据[2019]113号文《关于调整内蒙古自治区建设工程计价依据增值税税率的通知》为9%</w:t>
      </w:r>
      <w:r>
        <w:rPr>
          <w:rFonts w:hint="eastAsia" w:ascii="仿宋" w:hAnsi="仿宋" w:eastAsia="仿宋" w:cs="仿宋"/>
          <w:spacing w:val="34"/>
          <w:sz w:val="24"/>
          <w:szCs w:val="24"/>
          <w:highlight w:val="none"/>
          <w:lang w:eastAsia="zh-CN"/>
        </w:rPr>
        <w:t>；</w:t>
      </w:r>
    </w:p>
    <w:p w14:paraId="5CDCAB1A">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7、材料价差参考2025年第六期杭锦旗、东胜区工程造价信息，对于工程造价信息没有发布价格信息的材料，参照定额测定价、广材网及市场价。</w:t>
      </w:r>
    </w:p>
    <w:p w14:paraId="3F224280">
      <w:pPr>
        <w:keepNext w:val="0"/>
        <w:keepLines w:val="0"/>
        <w:pageBreakBefore w:val="0"/>
        <w:widowControl/>
        <w:kinsoku w:val="0"/>
        <w:wordWrap/>
        <w:overflowPunct/>
        <w:topLinePunct w:val="0"/>
        <w:autoSpaceDE w:val="0"/>
        <w:autoSpaceDN w:val="0"/>
        <w:bidi w:val="0"/>
        <w:adjustRightInd w:val="0"/>
        <w:snapToGrid w:val="0"/>
        <w:spacing w:line="540" w:lineRule="exact"/>
        <w:ind w:firstLine="512" w:firstLineChars="200"/>
        <w:textAlignment w:val="baseline"/>
        <w:rPr>
          <w:rFonts w:hint="default" w:ascii="仿宋" w:hAnsi="仿宋" w:eastAsia="仿宋" w:cs="仿宋"/>
          <w:spacing w:val="8"/>
          <w:sz w:val="24"/>
          <w:szCs w:val="24"/>
          <w:lang w:val="en-US" w:eastAsia="zh-CN"/>
          <w14:textOutline w14:w="3556" w14:cap="flat" w14:cmpd="sng" w14:algn="ctr">
            <w14:solidFill>
              <w14:srgbClr w14:val="000000"/>
            </w14:solidFill>
            <w14:prstDash w14:val="solid"/>
            <w14:miter w14:val="0"/>
          </w14:textOutline>
        </w:rPr>
      </w:pPr>
      <w:r>
        <w:rPr>
          <w:rFonts w:hint="eastAsia" w:ascii="仿宋" w:hAnsi="仿宋" w:eastAsia="仿宋" w:cs="仿宋"/>
          <w:spacing w:val="8"/>
          <w:sz w:val="24"/>
          <w:szCs w:val="24"/>
          <w:lang w:val="en-US" w:eastAsia="zh-CN"/>
          <w14:textOutline w14:w="3556" w14:cap="flat" w14:cmpd="sng" w14:algn="ctr">
            <w14:solidFill>
              <w14:srgbClr w14:val="000000"/>
            </w14:solidFill>
            <w14:prstDash w14:val="solid"/>
            <w14:miter w14:val="0"/>
          </w14:textOutline>
        </w:rPr>
        <w:t>三、计价说明</w:t>
      </w:r>
    </w:p>
    <w:p w14:paraId="33C6CD9A">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1、本次招标项目未设暂列金；</w:t>
      </w:r>
    </w:p>
    <w:p w14:paraId="3F05AEE6">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2、本次招标项目不计取材料检验试验费，如发生，结算时按施工企业缴费凭证据实调整。</w:t>
      </w:r>
    </w:p>
    <w:p w14:paraId="57D0655B">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3、本次招标项目不计取建筑工人实名制费，如发生，结算时按甲方监理单位确认的施工方案结算；</w:t>
      </w:r>
    </w:p>
    <w:p w14:paraId="48872754">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4、本次招标项目设专业工程暂估价190000元（含税），其中室外钢楼梯90000元（含税），计入装饰装修工程单位工程-其他项目-专业工程暂估价中；安防监控80000元（含税）、弱电网络20000元（含税），计入电气工程单位工程-其他项目-专业工程暂估价中；</w:t>
      </w:r>
    </w:p>
    <w:p w14:paraId="1822D688">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5、安全生产费应根据《内蒙古自治区住房和城乡建设厅关于调整建设工程安全文明施工费的通知》(内建标〔2025)98号)通知要求计提，费率标准应符合我区相关规定且不可竞争。结算时应根据经建设单位、监理单位、监督单位及安全生产管理部门批复的安全生产施工方案结合实际投入情况据实结算。工程竣工决算后结余的企业安全生产费用，应当退回建设单位;</w:t>
      </w:r>
    </w:p>
    <w:p w14:paraId="1F7D1DFA">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6、规费不再单独列项计价，按照相应费率以人工增加费计入其他项目费中。</w:t>
      </w:r>
    </w:p>
    <w:p w14:paraId="185D51B0">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jc w:val="right"/>
        <w:textAlignment w:val="baseline"/>
        <w:rPr>
          <w:rFonts w:hint="eastAsia" w:ascii="仿宋" w:hAnsi="仿宋" w:eastAsia="仿宋" w:cs="仿宋"/>
          <w:spacing w:val="34"/>
          <w:sz w:val="24"/>
          <w:szCs w:val="24"/>
          <w:lang w:val="en-US" w:eastAsia="zh-CN"/>
        </w:rPr>
      </w:pPr>
    </w:p>
    <w:p w14:paraId="37903F5A">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jc w:val="right"/>
        <w:textAlignment w:val="baseline"/>
        <w:rPr>
          <w:rFonts w:hint="eastAsia" w:ascii="仿宋" w:hAnsi="仿宋" w:eastAsia="仿宋" w:cs="仿宋"/>
          <w:spacing w:val="34"/>
          <w:sz w:val="24"/>
          <w:szCs w:val="24"/>
          <w:lang w:val="en-US" w:eastAsia="zh-CN"/>
        </w:rPr>
      </w:pPr>
    </w:p>
    <w:p w14:paraId="00A3A313">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default"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 xml:space="preserve"> </w:t>
      </w:r>
      <w:bookmarkStart w:id="0" w:name="_GoBack"/>
      <w:bookmarkEnd w:id="0"/>
    </w:p>
    <w:p w14:paraId="3D58747C">
      <w:pPr>
        <w:rPr>
          <w:rFonts w:hint="eastAsia"/>
          <w:lang w:val="en-US" w:eastAsia="zh-CN"/>
        </w:rPr>
      </w:pPr>
    </w:p>
    <w:p w14:paraId="22BAB840">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default" w:ascii="仿宋" w:hAnsi="仿宋" w:eastAsia="仿宋" w:cs="仿宋"/>
          <w:spacing w:val="34"/>
          <w:sz w:val="24"/>
          <w:szCs w:val="24"/>
          <w:lang w:val="en-US" w:eastAsia="zh-CN"/>
        </w:rPr>
      </w:pPr>
    </w:p>
    <w:sectPr>
      <w:pgSz w:w="11905" w:h="16840"/>
      <w:pgMar w:top="1440" w:right="1800" w:bottom="1440" w:left="1800" w:header="0" w:footer="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TVhMWE5MDY4Mjc5YmRjYmU2YzE2ODg1ZTI2NmU4MDcifQ=="/>
    <w:docVar w:name="KSO_WPS_MARK_KEY" w:val="860536ac-94e7-4c8f-a558-baeff6a1f317"/>
  </w:docVars>
  <w:rsids>
    <w:rsidRoot w:val="00E12EF0"/>
    <w:rsid w:val="000E2B7E"/>
    <w:rsid w:val="001A5B82"/>
    <w:rsid w:val="004A6BDF"/>
    <w:rsid w:val="004D0C99"/>
    <w:rsid w:val="006130D0"/>
    <w:rsid w:val="0062637A"/>
    <w:rsid w:val="006842BB"/>
    <w:rsid w:val="00A64F9A"/>
    <w:rsid w:val="00A72727"/>
    <w:rsid w:val="00B23B29"/>
    <w:rsid w:val="00B87BB4"/>
    <w:rsid w:val="00BA4DDC"/>
    <w:rsid w:val="00CB3303"/>
    <w:rsid w:val="00D7522F"/>
    <w:rsid w:val="00E12EF0"/>
    <w:rsid w:val="00F73BA8"/>
    <w:rsid w:val="00F96F9E"/>
    <w:rsid w:val="029C3B08"/>
    <w:rsid w:val="02C976C5"/>
    <w:rsid w:val="05670DF1"/>
    <w:rsid w:val="05A3050F"/>
    <w:rsid w:val="05D830A9"/>
    <w:rsid w:val="062736E9"/>
    <w:rsid w:val="06F10B69"/>
    <w:rsid w:val="08C6543B"/>
    <w:rsid w:val="09774987"/>
    <w:rsid w:val="0B494599"/>
    <w:rsid w:val="0D0522AA"/>
    <w:rsid w:val="10802373"/>
    <w:rsid w:val="128D25BF"/>
    <w:rsid w:val="14BF5434"/>
    <w:rsid w:val="15C95179"/>
    <w:rsid w:val="17396247"/>
    <w:rsid w:val="187D753B"/>
    <w:rsid w:val="198F7ACB"/>
    <w:rsid w:val="1B832FF3"/>
    <w:rsid w:val="1BF65BDF"/>
    <w:rsid w:val="1FED65EB"/>
    <w:rsid w:val="20971013"/>
    <w:rsid w:val="20A83220"/>
    <w:rsid w:val="2141562E"/>
    <w:rsid w:val="22151A80"/>
    <w:rsid w:val="22AD4B1E"/>
    <w:rsid w:val="23891BF0"/>
    <w:rsid w:val="26357304"/>
    <w:rsid w:val="26395046"/>
    <w:rsid w:val="26774F4F"/>
    <w:rsid w:val="27F76F67"/>
    <w:rsid w:val="2ACD2201"/>
    <w:rsid w:val="2E2D6352"/>
    <w:rsid w:val="2F542EF1"/>
    <w:rsid w:val="2F725125"/>
    <w:rsid w:val="3104265F"/>
    <w:rsid w:val="315847F2"/>
    <w:rsid w:val="3434509F"/>
    <w:rsid w:val="34A73978"/>
    <w:rsid w:val="3645019F"/>
    <w:rsid w:val="37CA01F4"/>
    <w:rsid w:val="395F2BBE"/>
    <w:rsid w:val="3ADB2718"/>
    <w:rsid w:val="3BC419C2"/>
    <w:rsid w:val="3CD86B99"/>
    <w:rsid w:val="3D3F6F8E"/>
    <w:rsid w:val="3EBD1A70"/>
    <w:rsid w:val="3F2D5977"/>
    <w:rsid w:val="3FDB0AC5"/>
    <w:rsid w:val="41CC2DBB"/>
    <w:rsid w:val="42D83553"/>
    <w:rsid w:val="43B059CF"/>
    <w:rsid w:val="44867251"/>
    <w:rsid w:val="44DB094F"/>
    <w:rsid w:val="44EE4B49"/>
    <w:rsid w:val="45E348EC"/>
    <w:rsid w:val="470E79D1"/>
    <w:rsid w:val="47ED32A1"/>
    <w:rsid w:val="480F1C53"/>
    <w:rsid w:val="4B9132B3"/>
    <w:rsid w:val="4FD712A8"/>
    <w:rsid w:val="4FEA28BF"/>
    <w:rsid w:val="5012408F"/>
    <w:rsid w:val="51BF0246"/>
    <w:rsid w:val="520143BB"/>
    <w:rsid w:val="52495D62"/>
    <w:rsid w:val="52E02222"/>
    <w:rsid w:val="540E3423"/>
    <w:rsid w:val="5547179A"/>
    <w:rsid w:val="55C21E48"/>
    <w:rsid w:val="562E51AE"/>
    <w:rsid w:val="56707D61"/>
    <w:rsid w:val="56F42740"/>
    <w:rsid w:val="5809221B"/>
    <w:rsid w:val="591C7D2C"/>
    <w:rsid w:val="5B70610D"/>
    <w:rsid w:val="5D9F603C"/>
    <w:rsid w:val="5E4F2952"/>
    <w:rsid w:val="5E5F0DE7"/>
    <w:rsid w:val="5E9842F9"/>
    <w:rsid w:val="5FBC4017"/>
    <w:rsid w:val="600B1606"/>
    <w:rsid w:val="608F34D9"/>
    <w:rsid w:val="61181721"/>
    <w:rsid w:val="61B41449"/>
    <w:rsid w:val="64FE1EDD"/>
    <w:rsid w:val="6646288C"/>
    <w:rsid w:val="67F26828"/>
    <w:rsid w:val="67F81964"/>
    <w:rsid w:val="69CC763C"/>
    <w:rsid w:val="6AB04778"/>
    <w:rsid w:val="6B8A4FC9"/>
    <w:rsid w:val="6BAC3191"/>
    <w:rsid w:val="6D58745C"/>
    <w:rsid w:val="6E810905"/>
    <w:rsid w:val="700F3CEF"/>
    <w:rsid w:val="70366B8A"/>
    <w:rsid w:val="721113E9"/>
    <w:rsid w:val="726C367A"/>
    <w:rsid w:val="74311E72"/>
    <w:rsid w:val="74392BB2"/>
    <w:rsid w:val="79DC08AE"/>
    <w:rsid w:val="7A990D85"/>
    <w:rsid w:val="7CB4634A"/>
    <w:rsid w:val="7D4A1113"/>
    <w:rsid w:val="7F0D3AEF"/>
    <w:rsid w:val="7F8A15E4"/>
    <w:rsid w:val="7F91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pPr>
    <w:rPr>
      <w:sz w:val="18"/>
      <w:szCs w:val="18"/>
    </w:rPr>
  </w:style>
  <w:style w:type="paragraph" w:styleId="3">
    <w:name w:val="header"/>
    <w:basedOn w:val="1"/>
    <w:link w:val="8"/>
    <w:qFormat/>
    <w:uiPriority w:val="0"/>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Autospacing="1" w:afterAutospacing="1"/>
    </w:pPr>
    <w:rPr>
      <w:rFonts w:cs="Times New Roman"/>
      <w:sz w:val="24"/>
    </w:rPr>
  </w:style>
  <w:style w:type="table" w:customStyle="1" w:styleId="7">
    <w:name w:val="Table Normal"/>
    <w:semiHidden/>
    <w:unhideWhenUsed/>
    <w:qFormat/>
    <w:uiPriority w:val="0"/>
    <w:tblPr>
      <w:tblCellMar>
        <w:top w:w="0" w:type="dxa"/>
        <w:left w:w="0" w:type="dxa"/>
        <w:bottom w:w="0" w:type="dxa"/>
        <w:right w:w="0" w:type="dxa"/>
      </w:tblCellMar>
    </w:tblPr>
  </w:style>
  <w:style w:type="character" w:customStyle="1" w:styleId="8">
    <w:name w:val="页眉 Char"/>
    <w:basedOn w:val="6"/>
    <w:link w:val="3"/>
    <w:qFormat/>
    <w:uiPriority w:val="0"/>
    <w:rPr>
      <w:rFonts w:ascii="Arial" w:hAnsi="Arial" w:eastAsia="Arial" w:cs="Arial"/>
      <w:snapToGrid w:val="0"/>
      <w:color w:val="000000"/>
      <w:sz w:val="18"/>
      <w:szCs w:val="18"/>
    </w:rPr>
  </w:style>
  <w:style w:type="character" w:customStyle="1" w:styleId="9">
    <w:name w:val="页脚 Char"/>
    <w:basedOn w:val="6"/>
    <w:link w:val="2"/>
    <w:qFormat/>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1027</Words>
  <Characters>1156</Characters>
  <Lines>5</Lines>
  <Paragraphs>1</Paragraphs>
  <TotalTime>2</TotalTime>
  <ScaleCrop>false</ScaleCrop>
  <LinksUpToDate>false</LinksUpToDate>
  <CharactersWithSpaces>1191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2022-11-26T11:21:00Z</dcterms:created>
  <dc:creator>Administrator</dc:creator>
  <cp:keywords>GrandReport</cp:keywords>
  <cp:lastModifiedBy>test</cp:lastModifiedBy>
  <dcterms:modified xsi:type="dcterms:W3CDTF">2026-05-17T10:01:24Z</dcterms:modified>
  <dc:subject>None</dc:subject>
  <dc:title>GrandReport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2022-11-26T11:21:49Z</vt:filetime>
  </property>
  <property fmtid="{D5CDD505-2E9C-101B-9397-08002B2CF9AE}" pid="4" name="KSOProductBuildVer">
    <vt:lpwstr>2052-12.1.0.26375</vt:lpwstr>
  </property>
  <property fmtid="{D5CDD505-2E9C-101B-9397-08002B2CF9AE}" pid="5" name="ICV">
    <vt:lpwstr>3A45C44F68924F8F9648C4B6154A8470</vt:lpwstr>
  </property>
  <property fmtid="{D5CDD505-2E9C-101B-9397-08002B2CF9AE}" pid="6" name="KSOTemplateDocerSaveRecord">
    <vt:lpwstr>eyJoZGlkIjoiY2ZmMTkyZDJjMDkzZTIzM2NkZmMzNjE3NDc3ZmZkNjUiLCJ1c2VySWQiOiI0MDcwNDc4NzEifQ==</vt:lpwstr>
  </property>
</Properties>
</file>