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E4836">
      <w:pPr>
        <w:jc w:val="center"/>
        <w:rPr>
          <w:b/>
          <w:bCs/>
          <w:sz w:val="28"/>
          <w:szCs w:val="28"/>
        </w:rPr>
      </w:pPr>
      <w:r>
        <w:rPr>
          <w:rFonts w:hint="default"/>
          <w:b/>
          <w:bCs/>
          <w:sz w:val="28"/>
          <w:szCs w:val="28"/>
          <w:lang w:val="en-US"/>
        </w:rPr>
        <mc:AlternateContent>
          <mc:Choice Requires="wpg">
            <w:drawing>
              <wp:anchor distT="0" distB="0" distL="114300" distR="114300" simplePos="0" relativeHeight="251659264" behindDoc="1" locked="0" layoutInCell="1" allowOverlap="1">
                <wp:simplePos x="0" y="0"/>
                <wp:positionH relativeFrom="page">
                  <wp:posOffset>641350</wp:posOffset>
                </wp:positionH>
                <wp:positionV relativeFrom="page">
                  <wp:posOffset>1522095</wp:posOffset>
                </wp:positionV>
                <wp:extent cx="6229350" cy="8093075"/>
                <wp:effectExtent l="0" t="0" r="0" b="0"/>
                <wp:wrapNone/>
                <wp:docPr id="5" name="组合 2"/>
                <wp:cNvGraphicFramePr/>
                <a:graphic xmlns:a="http://schemas.openxmlformats.org/drawingml/2006/main">
                  <a:graphicData uri="http://schemas.microsoft.com/office/word/2010/wordprocessingGroup">
                    <wpg:wgp>
                      <wpg:cNvGrpSpPr/>
                      <wpg:grpSpPr>
                        <a:xfrm>
                          <a:off x="0" y="0"/>
                          <a:ext cx="6229350" cy="8093075"/>
                          <a:chOff x="1010" y="2397"/>
                          <a:chExt cx="9810" cy="12745203"/>
                        </a:xfrm>
                      </wpg:grpSpPr>
                      <wps:wsp>
                        <wps:cNvPr id="1" name="直线 3"/>
                        <wps:cNvCnPr/>
                        <wps:spPr>
                          <a:xfrm>
                            <a:off x="1015" y="2407"/>
                            <a:ext cx="9800" cy="0"/>
                          </a:xfrm>
                          <a:prstGeom prst="line">
                            <a:avLst/>
                          </a:prstGeom>
                          <a:ln w="6096" cap="flat" cmpd="sng">
                            <a:solidFill>
                              <a:srgbClr val="000000"/>
                            </a:solidFill>
                            <a:prstDash val="solid"/>
                            <a:headEnd type="none" w="med" len="med"/>
                            <a:tailEnd type="none" w="med" len="med"/>
                          </a:ln>
                        </wps:spPr>
                        <wps:bodyPr upright="1"/>
                      </wps:wsp>
                      <wps:wsp>
                        <wps:cNvPr id="2" name="直线 4"/>
                        <wps:cNvCnPr/>
                        <wps:spPr>
                          <a:xfrm>
                            <a:off x="1015" y="15137"/>
                            <a:ext cx="9800" cy="0"/>
                          </a:xfrm>
                          <a:prstGeom prst="line">
                            <a:avLst/>
                          </a:prstGeom>
                          <a:ln w="6096" cap="flat" cmpd="sng">
                            <a:solidFill>
                              <a:srgbClr val="000000"/>
                            </a:solidFill>
                            <a:prstDash val="solid"/>
                            <a:headEnd type="none" w="med" len="med"/>
                            <a:tailEnd type="none" w="med" len="med"/>
                          </a:ln>
                        </wps:spPr>
                        <wps:bodyPr upright="1"/>
                      </wps:wsp>
                      <wps:wsp>
                        <wps:cNvPr id="3" name="直线 5"/>
                        <wps:cNvCnPr/>
                        <wps:spPr>
                          <a:xfrm>
                            <a:off x="1020" y="2402"/>
                            <a:ext cx="0" cy="12730"/>
                          </a:xfrm>
                          <a:prstGeom prst="line">
                            <a:avLst/>
                          </a:prstGeom>
                          <a:ln w="6096" cap="flat" cmpd="sng">
                            <a:solidFill>
                              <a:srgbClr val="000000"/>
                            </a:solidFill>
                            <a:prstDash val="solid"/>
                            <a:headEnd type="none" w="med" len="med"/>
                            <a:tailEnd type="none" w="med" len="med"/>
                          </a:ln>
                        </wps:spPr>
                        <wps:bodyPr upright="1"/>
                      </wps:wsp>
                      <wps:wsp>
                        <wps:cNvPr id="4" name="直线 6"/>
                        <wps:cNvCnPr/>
                        <wps:spPr>
                          <a:xfrm>
                            <a:off x="10810" y="2402"/>
                            <a:ext cx="0" cy="12730"/>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2" o:spid="_x0000_s1026" o:spt="203" style="position:absolute;left:0pt;margin-left:50.5pt;margin-top:119.85pt;height:637.25pt;width:490.5pt;mso-position-horizontal-relative:page;mso-position-vertical-relative:page;z-index:-251657216;mso-width-relative:page;mso-height-relative:page;" coordorigin="1010,2397" coordsize="9810,12745203" o:gfxdata="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J0Ir4bcAAAADQEAAA8A&#10;AAAAAAAAAQAgAAAAIgAAAGRycy9kb3ducmV2LnhtbFBLAQIUABQAAAAIAIdO4kByehVAvgIAABcL&#10;AAAOAAAAAAAAAAEAIAAAACsBAABkcnMvZTJvRG9jLnhtbFBLBQYAAAAABgAGAFkBAABbBgAAAAA=&#10;">
                <o:lock v:ext="edit" aspectratio="f"/>
                <v:line id="直线 3" o:spid="_x0000_s1026" o:spt="20" style="position:absolute;left:1015;top:2407;height:0;width:9800;" filled="f" stroked="t" coordsize="21600,21600" o:gfxdata="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bmoJugAAANo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直线 4" o:spid="_x0000_s1026" o:spt="20" style="position:absolute;left:1015;top:15137;height:0;width:9800;" filled="f" stroked="t" coordsize="21600,21600" o:gfxdata="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89H6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直线 5" o:spid="_x0000_s1026" o:spt="20" style="position:absolute;left:1020;top:2402;height:12730;width:0;"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直线 6" o:spid="_x0000_s1026" o:spt="20" style="position:absolute;left:10810;top:2402;height:12730;width:0;"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group>
            </w:pict>
          </mc:Fallback>
        </mc:AlternateContent>
      </w:r>
      <w:r>
        <w:rPr>
          <w:rFonts w:hint="eastAsia"/>
          <w:b/>
          <w:bCs/>
          <w:sz w:val="28"/>
          <w:szCs w:val="28"/>
          <w:lang w:val="en-US" w:eastAsia="zh-CN"/>
        </w:rPr>
        <w:t>清单编</w:t>
      </w:r>
      <w:r>
        <w:rPr>
          <w:b/>
          <w:bCs/>
          <w:sz w:val="28"/>
          <w:szCs w:val="28"/>
        </w:rPr>
        <w:t>制说明</w:t>
      </w:r>
    </w:p>
    <w:p w14:paraId="2C1A49B9">
      <w:pPr>
        <w:pStyle w:val="2"/>
        <w:spacing w:before="157"/>
        <w:ind w:left="0" w:firstLine="364" w:firstLineChars="200"/>
        <w:rPr>
          <w:rFonts w:hint="eastAsia" w:asciiTheme="minorEastAsia" w:hAnsiTheme="minorEastAsia" w:eastAsiaTheme="minorEastAsia" w:cstheme="minorEastAsia"/>
          <w:spacing w:val="-14"/>
          <w:sz w:val="21"/>
          <w:szCs w:val="21"/>
          <w:lang w:eastAsia="zh-CN"/>
        </w:rPr>
      </w:pPr>
      <w:r>
        <w:rPr>
          <w:rFonts w:hint="eastAsia" w:asciiTheme="minorEastAsia" w:hAnsiTheme="minorEastAsia" w:eastAsiaTheme="minorEastAsia" w:cstheme="minorEastAsia"/>
          <w:spacing w:val="-14"/>
          <w:sz w:val="21"/>
          <w:szCs w:val="21"/>
        </w:rPr>
        <w:t>工程名称</w:t>
      </w:r>
      <w:r>
        <w:rPr>
          <w:rFonts w:hint="eastAsia" w:asciiTheme="minorEastAsia" w:hAnsiTheme="minorEastAsia" w:eastAsiaTheme="minorEastAsia" w:cstheme="minorEastAsia"/>
          <w:spacing w:val="-14"/>
          <w:sz w:val="21"/>
          <w:szCs w:val="21"/>
          <w:lang w:eastAsia="zh-CN"/>
        </w:rPr>
        <w:t>：2026年赛乌素镇钦宝营村委会更换自来水管道建设项目</w:t>
      </w:r>
    </w:p>
    <w:p w14:paraId="7E14BB6F">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p>
    <w:p w14:paraId="727E0708">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一、工程概况：</w:t>
      </w:r>
    </w:p>
    <w:p w14:paraId="6753ED81">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2026年赛乌素镇钦宝营村委会更换自来水管道建设项目</w:t>
      </w:r>
    </w:p>
    <w:p w14:paraId="47517689">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二、招标控制价编制范围：</w:t>
      </w:r>
    </w:p>
    <w:p w14:paraId="72EEA07E">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 xml:space="preserve">1、甲方提供本工程的图纸。 </w:t>
      </w:r>
    </w:p>
    <w:p w14:paraId="63E2DE2F">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三、招标控制价编制依据：</w:t>
      </w:r>
    </w:p>
    <w:p w14:paraId="61F27965">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1.《GB50501-2007 水利工程工程量清单计价规范》；《水利建筑工程预算定额》（2024）；《水利安装工程预算定额》（2024）；</w:t>
      </w:r>
    </w:p>
    <w:p w14:paraId="10B2C1AA">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2.水利部水总（2024）323号文发布的《水利工程设计概（估）算编制规定》及水利工程系列定额的通知；</w:t>
      </w:r>
    </w:p>
    <w:p w14:paraId="1B1F3C4B">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3.水利部办公厅关于印发《水利工程营业税改增值税计价依据调整办法》的通知（办水总【2016】132号）；</w:t>
      </w:r>
    </w:p>
    <w:p w14:paraId="6EB2C5CF">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4.施工安全生产专项费，按建筑安装工程费(不包括施工安全生产专项、施工场外供电工程、施工房屋建筑工程、其他施工临时工程)乘以(1＋其他施工临时工程费率)的 2.5%计算；</w:t>
      </w:r>
    </w:p>
    <w:p w14:paraId="3A4B709D">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5.材料价格信息采用乌兰察布市造价信息网发布的2026年第三、四月份的造价材料价格信息，材料价格信息没有的执行市场价。</w:t>
      </w:r>
    </w:p>
    <w:p w14:paraId="0E0DEE84">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四、清单说明：</w:t>
      </w:r>
    </w:p>
    <w:p w14:paraId="7E88D440">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1、工程量清单列出的每个细目已包括涉及与该细目有关的全部工程内容，投标人应将工程量清单与招标文件、合同通用条款、专用条款以及技术规范和图纸一起对照阅读。</w:t>
      </w:r>
    </w:p>
    <w:p w14:paraId="219938D0">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2、除非合同另有约定，工程量清单中每一项综合单价均已包括完成相应的工程内容所需的所有人工、设备、材料和其他伴随服务所发生的所有费用。</w:t>
      </w:r>
    </w:p>
    <w:p w14:paraId="7ABF7FDB">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3、投标人应填写完成工程量清单中所有工程细目的价格，凡技术规范和图纸中注明的工程内容，如在清单中未列项，均应视为包含在相关项目中。</w:t>
      </w:r>
    </w:p>
    <w:p w14:paraId="6EFD9BF4">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4、清单描述不明确的，以设计图纸文件和相关施工验收规范图集为准；清单与实施方案及技术标准不一致的，以设计图纸及技术标准为准。</w:t>
      </w:r>
    </w:p>
    <w:p w14:paraId="308D6A0A">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5、投标人对工程量清单有任何疑问，应于招标文件规定的疑问提交截止日前提出，否则视为投标人认可该工程量清单已包括了招标范围的全部内容。</w:t>
      </w:r>
    </w:p>
    <w:p w14:paraId="6E37A884">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spacing w:val="-14"/>
          <w:sz w:val="21"/>
          <w:szCs w:val="21"/>
          <w:lang w:val="en-US" w:eastAsia="zh-CN"/>
        </w:rPr>
        <w:t>6、</w:t>
      </w:r>
      <w:r>
        <w:rPr>
          <w:rFonts w:hint="eastAsia" w:asciiTheme="minorEastAsia" w:hAnsiTheme="minorEastAsia" w:eastAsiaTheme="minorEastAsia" w:cstheme="minorEastAsia"/>
          <w:spacing w:val="-14"/>
          <w:sz w:val="21"/>
          <w:szCs w:val="21"/>
        </w:rPr>
        <w:t>本工程工资区类别为二类区</w:t>
      </w:r>
      <w:r>
        <w:rPr>
          <w:rFonts w:hint="eastAsia" w:asciiTheme="minorEastAsia" w:hAnsiTheme="minorEastAsia" w:eastAsiaTheme="minorEastAsia" w:cstheme="minorEastAsia"/>
          <w:spacing w:val="-14"/>
          <w:sz w:val="21"/>
          <w:szCs w:val="21"/>
          <w:lang w:eastAsia="zh-CN"/>
        </w:rPr>
        <w:t>。</w:t>
      </w:r>
    </w:p>
    <w:p w14:paraId="0BCBA2BE">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lang w:val="en-US" w:eastAsia="zh-CN"/>
        </w:rPr>
        <w:t>7、</w:t>
      </w:r>
      <w:r>
        <w:rPr>
          <w:rFonts w:hint="eastAsia" w:asciiTheme="minorEastAsia" w:hAnsiTheme="minorEastAsia" w:eastAsiaTheme="minorEastAsia" w:cstheme="minorEastAsia"/>
          <w:spacing w:val="-14"/>
          <w:sz w:val="21"/>
          <w:szCs w:val="21"/>
        </w:rPr>
        <w:t>土方运距暂时按3公里考虑，结算时据实调整。</w:t>
      </w:r>
    </w:p>
    <w:p w14:paraId="64FB9AD6">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五、其他说明：</w:t>
      </w:r>
    </w:p>
    <w:p w14:paraId="40716B5A">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rPr>
      </w:pPr>
      <w:r>
        <w:rPr>
          <w:rFonts w:hint="eastAsia" w:asciiTheme="minorEastAsia" w:hAnsiTheme="minorEastAsia" w:eastAsiaTheme="minorEastAsia" w:cstheme="minorEastAsia"/>
          <w:spacing w:val="-14"/>
          <w:sz w:val="21"/>
          <w:szCs w:val="21"/>
        </w:rPr>
        <w:t>1、本清单作为招标文件的一部分，与招标文件具有同等的效力。</w:t>
      </w:r>
    </w:p>
    <w:p w14:paraId="6A26CE73">
      <w:pPr>
        <w:pStyle w:val="3"/>
        <w:keepNext w:val="0"/>
        <w:keepLines w:val="0"/>
        <w:pageBreakBefore w:val="0"/>
        <w:widowControl w:val="0"/>
        <w:tabs>
          <w:tab w:val="left" w:pos="4192"/>
        </w:tabs>
        <w:kinsoku/>
        <w:wordWrap/>
        <w:overflowPunct/>
        <w:topLinePunct w:val="0"/>
        <w:autoSpaceDE w:val="0"/>
        <w:autoSpaceDN w:val="0"/>
        <w:bidi w:val="0"/>
        <w:adjustRightInd/>
        <w:snapToGrid/>
        <w:spacing w:line="400" w:lineRule="exact"/>
        <w:ind w:left="0" w:leftChars="0" w:firstLine="0" w:firstLineChars="0"/>
        <w:textAlignment w:val="auto"/>
        <w:rPr>
          <w:rFonts w:hint="eastAsia" w:asciiTheme="minorEastAsia" w:hAnsiTheme="minorEastAsia" w:eastAsiaTheme="minorEastAsia" w:cstheme="minorEastAsia"/>
          <w:spacing w:val="-14"/>
          <w:sz w:val="21"/>
          <w:szCs w:val="21"/>
          <w:lang w:val="en-US" w:eastAsia="zh-CN"/>
        </w:rPr>
      </w:pPr>
    </w:p>
    <w:p w14:paraId="0E20B172">
      <w:pPr>
        <w:pStyle w:val="3"/>
        <w:keepNext w:val="0"/>
        <w:keepLines w:val="0"/>
        <w:pageBreakBefore w:val="0"/>
        <w:widowControl w:val="0"/>
        <w:kinsoku/>
        <w:wordWrap/>
        <w:overflowPunct/>
        <w:topLinePunct w:val="0"/>
        <w:autoSpaceDE w:val="0"/>
        <w:autoSpaceDN w:val="0"/>
        <w:bidi w:val="0"/>
        <w:adjustRightInd/>
        <w:snapToGrid/>
        <w:spacing w:line="400" w:lineRule="exact"/>
        <w:ind w:firstLine="4914" w:firstLineChars="2700"/>
        <w:jc w:val="right"/>
        <w:textAlignment w:val="auto"/>
        <w:rPr>
          <w:rFonts w:hint="eastAsia"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spacing w:val="-14"/>
          <w:sz w:val="21"/>
          <w:szCs w:val="21"/>
          <w:lang w:val="en-US" w:eastAsia="zh-CN"/>
        </w:rPr>
        <w:t>中咨环球（北京）工程咨询有限公司</w:t>
      </w:r>
    </w:p>
    <w:p w14:paraId="45CFBFA2">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right"/>
        <w:textAlignment w:val="auto"/>
        <w:rPr>
          <w:rFonts w:hint="eastAsia" w:asciiTheme="minorEastAsia" w:hAnsiTheme="minorEastAsia" w:eastAsiaTheme="minorEastAsia" w:cstheme="minorEastAsia"/>
          <w:spacing w:val="-14"/>
          <w:sz w:val="21"/>
          <w:szCs w:val="21"/>
          <w:lang w:eastAsia="zh-CN"/>
        </w:rPr>
      </w:pPr>
    </w:p>
    <w:p w14:paraId="27DDB3B3">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right"/>
        <w:textAlignment w:val="auto"/>
        <w:rPr>
          <w:rFonts w:hint="default"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spacing w:val="-14"/>
          <w:sz w:val="21"/>
          <w:szCs w:val="21"/>
          <w:lang w:val="en-US" w:eastAsia="zh-CN"/>
        </w:rPr>
        <w:t xml:space="preserve">                                                                   2026.6.16</w:t>
      </w:r>
    </w:p>
    <w:p w14:paraId="01C26AA2">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lang w:eastAsia="zh-CN"/>
        </w:rPr>
      </w:pPr>
    </w:p>
    <w:p w14:paraId="7A3CDCDA">
      <w:pPr>
        <w:pStyle w:val="3"/>
        <w:keepNext w:val="0"/>
        <w:keepLines w:val="0"/>
        <w:pageBreakBefore w:val="0"/>
        <w:widowControl w:val="0"/>
        <w:kinsoku/>
        <w:wordWrap/>
        <w:overflowPunct/>
        <w:topLinePunct w:val="0"/>
        <w:autoSpaceDE w:val="0"/>
        <w:autoSpaceDN w:val="0"/>
        <w:bidi w:val="0"/>
        <w:adjustRightInd/>
        <w:snapToGrid/>
        <w:spacing w:line="400" w:lineRule="exact"/>
        <w:ind w:left="0" w:leftChars="0" w:firstLine="0" w:firstLineChars="0"/>
        <w:textAlignment w:val="auto"/>
        <w:rPr>
          <w:rFonts w:hint="default" w:asciiTheme="minorEastAsia" w:hAnsiTheme="minorEastAsia" w:eastAsiaTheme="minorEastAsia" w:cstheme="minorEastAsia"/>
          <w:spacing w:val="-14"/>
          <w:sz w:val="21"/>
          <w:szCs w:val="21"/>
          <w:lang w:val="en-US" w:eastAsia="zh-CN"/>
        </w:rPr>
      </w:pPr>
      <w:bookmarkStart w:id="0" w:name="_GoBack"/>
      <w:bookmarkEnd w:id="0"/>
    </w:p>
    <w:p w14:paraId="0F4E7345">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lang w:val="en-US" w:eastAsia="zh-CN"/>
        </w:rPr>
      </w:pPr>
      <w:r>
        <w:rPr>
          <w:rFonts w:hint="eastAsia" w:asciiTheme="minorEastAsia" w:hAnsiTheme="minorEastAsia" w:eastAsiaTheme="minorEastAsia" w:cstheme="minorEastAsia"/>
          <w:spacing w:val="-14"/>
          <w:sz w:val="21"/>
          <w:szCs w:val="21"/>
          <w:lang w:val="en-US" w:eastAsia="zh-CN"/>
        </w:rPr>
        <w:tab/>
      </w:r>
    </w:p>
    <w:p w14:paraId="22A567F2">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lang w:val="en-US" w:eastAsia="zh-CN"/>
        </w:rPr>
      </w:pPr>
    </w:p>
    <w:p w14:paraId="6FAB11A9">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lang w:val="en-US" w:eastAsia="zh-CN"/>
        </w:rPr>
      </w:pPr>
    </w:p>
    <w:p w14:paraId="2B55DE19">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lang w:val="en-US" w:eastAsia="zh-CN"/>
        </w:rPr>
      </w:pPr>
    </w:p>
    <w:p w14:paraId="2B7C03A4">
      <w:pPr>
        <w:pStyle w:val="3"/>
        <w:keepNext w:val="0"/>
        <w:keepLines w:val="0"/>
        <w:pageBreakBefore w:val="0"/>
        <w:widowControl w:val="0"/>
        <w:kinsoku/>
        <w:wordWrap/>
        <w:overflowPunct/>
        <w:topLinePunct w:val="0"/>
        <w:autoSpaceDE w:val="0"/>
        <w:autoSpaceDN w:val="0"/>
        <w:bidi w:val="0"/>
        <w:adjustRightInd/>
        <w:snapToGrid/>
        <w:spacing w:line="400" w:lineRule="exact"/>
        <w:ind w:firstLine="0" w:firstLineChars="0"/>
        <w:textAlignment w:val="auto"/>
        <w:rPr>
          <w:rFonts w:hint="eastAsia" w:asciiTheme="minorEastAsia" w:hAnsiTheme="minorEastAsia" w:eastAsiaTheme="minorEastAsia" w:cstheme="minorEastAsia"/>
          <w:spacing w:val="-14"/>
          <w:sz w:val="21"/>
          <w:szCs w:val="21"/>
          <w:lang w:val="en-US" w:eastAsia="zh-CN"/>
        </w:rPr>
      </w:pPr>
    </w:p>
    <w:p w14:paraId="4E8A12C4">
      <w:pPr>
        <w:tabs>
          <w:tab w:val="left" w:pos="6975"/>
        </w:tabs>
        <w:bidi w:val="0"/>
        <w:jc w:val="left"/>
        <w:rPr>
          <w:rFonts w:hint="default"/>
          <w:lang w:val="en-US" w:eastAsia="zh-CN"/>
        </w:rPr>
      </w:pPr>
    </w:p>
    <w:sectPr>
      <w:type w:val="continuous"/>
      <w:pgSz w:w="11910" w:h="16840"/>
      <w:pgMar w:top="1520" w:right="980" w:bottom="280" w:left="9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xNTQwMTJjNzI4NmE2M2YyNDcyNzMzOWZiNjAxMDUifQ=="/>
  </w:docVars>
  <w:rsids>
    <w:rsidRoot w:val="00A568D3"/>
    <w:rsid w:val="000102BD"/>
    <w:rsid w:val="000D18FB"/>
    <w:rsid w:val="001424AE"/>
    <w:rsid w:val="002164A4"/>
    <w:rsid w:val="0021766F"/>
    <w:rsid w:val="0027171A"/>
    <w:rsid w:val="002A6433"/>
    <w:rsid w:val="002D2961"/>
    <w:rsid w:val="002E643D"/>
    <w:rsid w:val="004B70F5"/>
    <w:rsid w:val="005A4A25"/>
    <w:rsid w:val="0061322E"/>
    <w:rsid w:val="006E2CB4"/>
    <w:rsid w:val="00751B6B"/>
    <w:rsid w:val="008525B0"/>
    <w:rsid w:val="00887CEC"/>
    <w:rsid w:val="008A3A53"/>
    <w:rsid w:val="008C152D"/>
    <w:rsid w:val="00903F26"/>
    <w:rsid w:val="009A6F9E"/>
    <w:rsid w:val="00A1201F"/>
    <w:rsid w:val="00A568D3"/>
    <w:rsid w:val="00A87D8B"/>
    <w:rsid w:val="00C962FB"/>
    <w:rsid w:val="00CB65B7"/>
    <w:rsid w:val="00DE5693"/>
    <w:rsid w:val="00E34E9D"/>
    <w:rsid w:val="00FA1F38"/>
    <w:rsid w:val="00FB2C2C"/>
    <w:rsid w:val="02390FD6"/>
    <w:rsid w:val="029B6E53"/>
    <w:rsid w:val="086A4E71"/>
    <w:rsid w:val="0937117D"/>
    <w:rsid w:val="0AC97C19"/>
    <w:rsid w:val="0B7013CA"/>
    <w:rsid w:val="0CB34C38"/>
    <w:rsid w:val="0D5A6B1A"/>
    <w:rsid w:val="0E652AC5"/>
    <w:rsid w:val="0F493A45"/>
    <w:rsid w:val="0F4C683F"/>
    <w:rsid w:val="13300787"/>
    <w:rsid w:val="13BA447B"/>
    <w:rsid w:val="14984F41"/>
    <w:rsid w:val="15340773"/>
    <w:rsid w:val="17332EE7"/>
    <w:rsid w:val="1A184BED"/>
    <w:rsid w:val="1A2A4D7A"/>
    <w:rsid w:val="1C280E4B"/>
    <w:rsid w:val="1D346390"/>
    <w:rsid w:val="1E4C6A51"/>
    <w:rsid w:val="232A616E"/>
    <w:rsid w:val="235D47D5"/>
    <w:rsid w:val="24341B38"/>
    <w:rsid w:val="264E0F18"/>
    <w:rsid w:val="275976FC"/>
    <w:rsid w:val="281D4219"/>
    <w:rsid w:val="28D420F5"/>
    <w:rsid w:val="2B84474B"/>
    <w:rsid w:val="2F320885"/>
    <w:rsid w:val="2F6D4D93"/>
    <w:rsid w:val="35D24C51"/>
    <w:rsid w:val="37DE4095"/>
    <w:rsid w:val="39A93E39"/>
    <w:rsid w:val="3AF02161"/>
    <w:rsid w:val="3AFA209E"/>
    <w:rsid w:val="3BED6F92"/>
    <w:rsid w:val="3CE97499"/>
    <w:rsid w:val="3EA90A54"/>
    <w:rsid w:val="3FA11F97"/>
    <w:rsid w:val="402753DB"/>
    <w:rsid w:val="4197756B"/>
    <w:rsid w:val="433E38CC"/>
    <w:rsid w:val="445B0085"/>
    <w:rsid w:val="44C544B3"/>
    <w:rsid w:val="45122188"/>
    <w:rsid w:val="452C2A0B"/>
    <w:rsid w:val="46741162"/>
    <w:rsid w:val="47FD2C0D"/>
    <w:rsid w:val="48194EF5"/>
    <w:rsid w:val="4835762D"/>
    <w:rsid w:val="49BC0A8C"/>
    <w:rsid w:val="49FA7D16"/>
    <w:rsid w:val="4C7B65E6"/>
    <w:rsid w:val="4D862070"/>
    <w:rsid w:val="4EBE597E"/>
    <w:rsid w:val="4FC7765E"/>
    <w:rsid w:val="50437083"/>
    <w:rsid w:val="50E900A5"/>
    <w:rsid w:val="534F73A8"/>
    <w:rsid w:val="54E95F22"/>
    <w:rsid w:val="54ED452C"/>
    <w:rsid w:val="575D524E"/>
    <w:rsid w:val="578D1CB2"/>
    <w:rsid w:val="58EF77D4"/>
    <w:rsid w:val="5A20608A"/>
    <w:rsid w:val="5C816D99"/>
    <w:rsid w:val="5D203268"/>
    <w:rsid w:val="60934EAD"/>
    <w:rsid w:val="644C2D2B"/>
    <w:rsid w:val="64955AF0"/>
    <w:rsid w:val="6539692F"/>
    <w:rsid w:val="66ED4AB6"/>
    <w:rsid w:val="68050634"/>
    <w:rsid w:val="68D65B26"/>
    <w:rsid w:val="690D0E9A"/>
    <w:rsid w:val="6990089C"/>
    <w:rsid w:val="6D21370B"/>
    <w:rsid w:val="6EC61F26"/>
    <w:rsid w:val="6F6447D9"/>
    <w:rsid w:val="70310109"/>
    <w:rsid w:val="709E514A"/>
    <w:rsid w:val="71491754"/>
    <w:rsid w:val="72A215F4"/>
    <w:rsid w:val="751736EC"/>
    <w:rsid w:val="7556436D"/>
    <w:rsid w:val="761C7A24"/>
    <w:rsid w:val="77065160"/>
    <w:rsid w:val="78C16FED"/>
    <w:rsid w:val="79F81BB7"/>
    <w:rsid w:val="7A06643A"/>
    <w:rsid w:val="7A4D1F51"/>
    <w:rsid w:val="7A612A7B"/>
    <w:rsid w:val="7B204E20"/>
    <w:rsid w:val="7C045812"/>
    <w:rsid w:val="7D7358BD"/>
    <w:rsid w:val="7DF34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13"/>
      <w:ind w:left="705"/>
      <w:outlineLvl w:val="0"/>
    </w:pPr>
    <w:rPr>
      <w:sz w:val="21"/>
      <w:szCs w:val="21"/>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436"/>
    </w:pPr>
    <w:rPr>
      <w:sz w:val="21"/>
      <w:szCs w:val="21"/>
    </w:rPr>
  </w:style>
  <w:style w:type="paragraph" w:styleId="4">
    <w:name w:val="footer"/>
    <w:basedOn w:val="1"/>
    <w:link w:val="13"/>
    <w:qFormat/>
    <w:uiPriority w:val="0"/>
    <w:pPr>
      <w:tabs>
        <w:tab w:val="center" w:pos="4153"/>
        <w:tab w:val="right" w:pos="8306"/>
      </w:tabs>
      <w:snapToGrid w:val="0"/>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List Paragraph"/>
    <w:basedOn w:val="1"/>
    <w:qFormat/>
    <w:uiPriority w:val="1"/>
    <w:pPr>
      <w:spacing w:line="247" w:lineRule="exact"/>
      <w:ind w:left="888" w:hanging="458"/>
    </w:pPr>
  </w:style>
  <w:style w:type="paragraph" w:customStyle="1" w:styleId="11">
    <w:name w:val="Table Paragraph"/>
    <w:basedOn w:val="1"/>
    <w:qFormat/>
    <w:uiPriority w:val="1"/>
  </w:style>
  <w:style w:type="character" w:customStyle="1" w:styleId="12">
    <w:name w:val="页眉 Char"/>
    <w:basedOn w:val="8"/>
    <w:link w:val="5"/>
    <w:qFormat/>
    <w:uiPriority w:val="0"/>
    <w:rPr>
      <w:rFonts w:ascii="宋体" w:hAnsi="宋体" w:cs="宋体"/>
      <w:sz w:val="18"/>
      <w:szCs w:val="18"/>
      <w:lang w:eastAsia="en-US"/>
    </w:rPr>
  </w:style>
  <w:style w:type="character" w:customStyle="1" w:styleId="13">
    <w:name w:val="页脚 Char"/>
    <w:basedOn w:val="8"/>
    <w:link w:val="4"/>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809</Words>
  <Characters>862</Characters>
  <Lines>3</Lines>
  <Paragraphs>1</Paragraphs>
  <TotalTime>3</TotalTime>
  <ScaleCrop>false</ScaleCrop>
  <LinksUpToDate>false</LinksUpToDate>
  <CharactersWithSpaces>933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2019-07-27T10:00:00Z</dcterms:created>
  <dc:creator>Administrator</dc:creator>
  <cp:lastModifiedBy>郝琳娜</cp:lastModifiedBy>
  <dcterms:modified xsi:type="dcterms:W3CDTF">2026-06-17T00:44:16Z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2019-07-27T00:00:00Z</vt:filetime>
  </property>
  <property fmtid="{D5CDD505-2E9C-101B-9397-08002B2CF9AE}" pid="3" name="Creator">
    <vt:lpwstr>Adobe Acrobat Pro DC 17.9.20044</vt:lpwstr>
  </property>
  <property fmtid="{D5CDD505-2E9C-101B-9397-08002B2CF9AE}" pid="4" name="LastSaved">
    <vt:filetime>2019-07-27T00:00:00Z</vt:filetime>
  </property>
  <property fmtid="{D5CDD505-2E9C-101B-9397-08002B2CF9AE}" pid="5" name="KSOProductBuildVer">
    <vt:lpwstr>2052-12.1.0.26375</vt:lpwstr>
  </property>
  <property fmtid="{D5CDD505-2E9C-101B-9397-08002B2CF9AE}" pid="6" name="ICV">
    <vt:lpwstr>D683927710D849F2B5D128BCCAF60FFF_13</vt:lpwstr>
  </property>
  <property fmtid="{D5CDD505-2E9C-101B-9397-08002B2CF9AE}" pid="7" name="KSOTemplateDocerSaveRecord">
    <vt:lpwstr>eyJoZGlkIjoiM2U0YjE4NGI2YjE5ZTY5MTZmZjRjMjhmMWJkYTQ1M2MiLCJ1c2VySWQiOiI1MDQ0MDMxNjMifQ==</vt:lpwstr>
  </property>
</Properties>
</file>