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AD867A">
      <w:pPr>
        <w:keepNext w:val="0"/>
        <w:keepLines w:val="0"/>
        <w:pageBreakBefore w:val="0"/>
        <w:widowControl w:val="0"/>
        <w:kinsoku/>
        <w:wordWrap/>
        <w:overflowPunct w:val="0"/>
        <w:topLinePunct w:val="0"/>
        <w:autoSpaceDE/>
        <w:autoSpaceDN/>
        <w:bidi w:val="0"/>
        <w:adjustRightInd w:val="0"/>
        <w:snapToGrid w:val="0"/>
        <w:spacing w:line="560" w:lineRule="exact"/>
        <w:jc w:val="both"/>
        <w:textAlignment w:val="auto"/>
        <w:rPr>
          <w:rFonts w:hint="eastAsia" w:ascii="方正小标宋_GBK" w:hAnsi="方正小标宋_GBK" w:eastAsia="方正小标宋_GBK" w:cs="方正小标宋_GBK"/>
          <w:sz w:val="44"/>
          <w:szCs w:val="44"/>
          <w:lang w:val="en-US" w:eastAsia="zh-CN"/>
        </w:rPr>
      </w:pPr>
    </w:p>
    <w:p w14:paraId="6808EE3C">
      <w:pPr>
        <w:keepNext w:val="0"/>
        <w:keepLines w:val="0"/>
        <w:pageBreakBefore w:val="0"/>
        <w:widowControl w:val="0"/>
        <w:kinsoku/>
        <w:wordWrap/>
        <w:overflowPunct w:val="0"/>
        <w:topLinePunct w:val="0"/>
        <w:autoSpaceDE/>
        <w:autoSpaceDN/>
        <w:bidi w:val="0"/>
        <w:adjustRightInd w:val="0"/>
        <w:snapToGrid w:val="0"/>
        <w:spacing w:line="600" w:lineRule="exact"/>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2026年呼伦贝尔市扎赉诺尔区民政领域社会工作服务项目服务清单</w:t>
      </w:r>
    </w:p>
    <w:p w14:paraId="32573415">
      <w:pPr>
        <w:keepNext w:val="0"/>
        <w:keepLines w:val="0"/>
        <w:pageBreakBefore w:val="0"/>
        <w:widowControl w:val="0"/>
        <w:kinsoku/>
        <w:wordWrap/>
        <w:overflowPunct w:val="0"/>
        <w:topLinePunct w:val="0"/>
        <w:autoSpaceDE/>
        <w:autoSpaceDN/>
        <w:bidi w:val="0"/>
        <w:adjustRightInd w:val="0"/>
        <w:snapToGrid w:val="0"/>
        <w:spacing w:line="600" w:lineRule="exact"/>
        <w:jc w:val="center"/>
        <w:textAlignment w:val="auto"/>
        <w:rPr>
          <w:rFonts w:hint="eastAsia" w:ascii="方正小标宋_GBK" w:hAnsi="方正小标宋_GBK" w:eastAsia="方正小标宋_GBK" w:cs="方正小标宋_GBK"/>
          <w:sz w:val="44"/>
          <w:szCs w:val="44"/>
          <w:lang w:val="en-US" w:eastAsia="zh-CN"/>
        </w:rPr>
      </w:pPr>
    </w:p>
    <w:p w14:paraId="138F85F7">
      <w:pPr>
        <w:keepNext w:val="0"/>
        <w:keepLines w:val="0"/>
        <w:pageBreakBefore w:val="0"/>
        <w:widowControl w:val="0"/>
        <w:kinsoku/>
        <w:wordWrap/>
        <w:overflowPunct w:val="0"/>
        <w:topLinePunct w:val="0"/>
        <w:autoSpaceDE/>
        <w:autoSpaceDN/>
        <w:bidi w:val="0"/>
        <w:adjustRightInd w:val="0"/>
        <w:snapToGrid w:val="0"/>
        <w:spacing w:line="600" w:lineRule="exact"/>
        <w:ind w:left="0" w:leftChars="0" w:firstLine="640" w:firstLineChars="200"/>
        <w:jc w:val="left"/>
        <w:textAlignment w:val="auto"/>
        <w:rPr>
          <w:rFonts w:hint="eastAsia" w:ascii="黑体" w:hAnsi="黑体" w:eastAsia="黑体" w:cs="黑体"/>
          <w:sz w:val="32"/>
          <w:szCs w:val="32"/>
        </w:rPr>
      </w:pPr>
      <w:r>
        <w:rPr>
          <w:rFonts w:hint="eastAsia" w:ascii="黑体" w:hAnsi="黑体" w:eastAsia="黑体" w:cs="黑体"/>
          <w:sz w:val="32"/>
          <w:szCs w:val="32"/>
        </w:rPr>
        <w:t>一、主要任务</w:t>
      </w:r>
    </w:p>
    <w:p w14:paraId="3DCD2C28">
      <w:pPr>
        <w:keepNext w:val="0"/>
        <w:keepLines w:val="0"/>
        <w:pageBreakBefore w:val="0"/>
        <w:widowControl w:val="0"/>
        <w:kinsoku/>
        <w:wordWrap/>
        <w:overflowPunct w:val="0"/>
        <w:topLinePunct w:val="0"/>
        <w:autoSpaceDE/>
        <w:autoSpaceDN/>
        <w:bidi w:val="0"/>
        <w:adjustRightInd w:val="0"/>
        <w:snapToGrid w:val="0"/>
        <w:spacing w:line="600" w:lineRule="exact"/>
        <w:jc w:val="left"/>
        <w:textAlignment w:val="auto"/>
        <w:rPr>
          <w:rFonts w:hint="eastAsia" w:ascii="方正仿宋_GB2312" w:hAnsi="方正仿宋_GB2312" w:eastAsia="方正仿宋_GB2312" w:cs="方正仿宋_GB2312"/>
          <w:b w:val="0"/>
          <w:bCs w:val="0"/>
          <w:sz w:val="32"/>
          <w:szCs w:val="32"/>
          <w:lang w:val="en-US" w:eastAsia="zh-CN"/>
        </w:rPr>
      </w:pPr>
      <w:r>
        <w:rPr>
          <w:rFonts w:hint="eastAsia" w:ascii="方正仿宋_GB2312" w:hAnsi="方正仿宋_GB2312" w:eastAsia="方正仿宋_GB2312" w:cs="方正仿宋_GB2312"/>
          <w:b w:val="0"/>
          <w:bCs w:val="0"/>
          <w:kern w:val="2"/>
          <w:sz w:val="32"/>
          <w:szCs w:val="32"/>
          <w:lang w:val="en-US" w:eastAsia="zh-CN" w:bidi="ar-SA"/>
        </w:rPr>
        <w:t xml:space="preserve">   </w:t>
      </w:r>
      <w:r>
        <w:rPr>
          <w:rFonts w:hint="eastAsia" w:ascii="方正仿宋_GB2312" w:hAnsi="方正仿宋_GB2312" w:eastAsia="方正仿宋_GB2312" w:cs="方正仿宋_GB2312"/>
          <w:b w:val="0"/>
          <w:bCs w:val="0"/>
          <w:sz w:val="32"/>
          <w:szCs w:val="32"/>
          <w:lang w:val="en-US" w:eastAsia="zh-CN"/>
        </w:rPr>
        <w:t xml:space="preserve"> 根据《2025年呼伦贝尔市民政领域社会工作服务项目服务清单》的通知，采取政府购买服务的方式，支持开展社会工作服务机构实施民政领域社会工作服务项目，持续强化社工站规范化、制度化建设。项目重点聚焦“老小困残”等民政服务对象、社区社会组织培育、慈善资源链接等重点任务，开展专业化、多元化、精细化服务，形成理性平和、宽容接纳、诚信友爱、平等尊重的居民关系，切实增强社区凝聚力、归属感和人文关怀，促进社区文明、和谐与稳定，推动基层社会治理和社会服务高质量发展。</w:t>
      </w:r>
    </w:p>
    <w:p w14:paraId="24418D7F">
      <w:pPr>
        <w:keepNext w:val="0"/>
        <w:keepLines w:val="0"/>
        <w:pageBreakBefore w:val="0"/>
        <w:widowControl w:val="0"/>
        <w:kinsoku/>
        <w:wordWrap/>
        <w:overflowPunct w:val="0"/>
        <w:topLinePunct w:val="0"/>
        <w:autoSpaceDE/>
        <w:autoSpaceDN/>
        <w:bidi w:val="0"/>
        <w:adjustRightInd w:val="0"/>
        <w:snapToGrid w:val="0"/>
        <w:spacing w:line="600" w:lineRule="exact"/>
        <w:ind w:left="0" w:leftChars="0" w:firstLine="640" w:firstLineChars="200"/>
        <w:jc w:val="left"/>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二、服务内容</w:t>
      </w:r>
    </w:p>
    <w:p w14:paraId="2D14592B">
      <w:pPr>
        <w:overflowPunct w:val="0"/>
        <w:adjustRightInd w:val="0"/>
        <w:snapToGrid w:val="0"/>
        <w:spacing w:line="560" w:lineRule="exact"/>
        <w:ind w:firstLine="627" w:firstLineChars="196"/>
        <w:jc w:val="left"/>
        <w:rPr>
          <w:rFonts w:hint="eastAsia" w:ascii="楷体" w:hAnsi="楷体" w:eastAsia="楷体" w:cs="楷体"/>
          <w:b w:val="0"/>
          <w:bCs w:val="0"/>
          <w:sz w:val="32"/>
          <w:szCs w:val="32"/>
        </w:rPr>
      </w:pPr>
      <w:r>
        <w:rPr>
          <w:rFonts w:hint="eastAsia" w:ascii="楷体" w:hAnsi="楷体" w:eastAsia="楷体" w:cs="楷体"/>
          <w:b w:val="0"/>
          <w:bCs w:val="0"/>
          <w:sz w:val="32"/>
          <w:szCs w:val="32"/>
          <w:lang w:eastAsia="zh-CN"/>
        </w:rPr>
        <w:t>（一）</w:t>
      </w:r>
      <w:r>
        <w:rPr>
          <w:rFonts w:hint="eastAsia" w:ascii="楷体" w:hAnsi="楷体" w:eastAsia="楷体" w:cs="楷体"/>
          <w:b w:val="0"/>
          <w:bCs w:val="0"/>
          <w:sz w:val="32"/>
          <w:szCs w:val="32"/>
        </w:rPr>
        <w:t>聚焦重点任务。</w:t>
      </w:r>
    </w:p>
    <w:p w14:paraId="4C7BB1E7">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left"/>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eastAsia="zh-CN"/>
        </w:rPr>
        <w:t>围绕“老小困残”等</w:t>
      </w:r>
      <w:r>
        <w:rPr>
          <w:rFonts w:hint="eastAsia" w:ascii="方正仿宋_GB2312" w:hAnsi="方正仿宋_GB2312" w:eastAsia="方正仿宋_GB2312" w:cs="方正仿宋_GB2312"/>
          <w:sz w:val="32"/>
          <w:szCs w:val="32"/>
          <w:lang w:val="en-US" w:eastAsia="zh-CN"/>
        </w:rPr>
        <w:t>民政服务对象开展</w:t>
      </w:r>
      <w:r>
        <w:rPr>
          <w:rFonts w:hint="eastAsia" w:ascii="方正仿宋_GB2312" w:hAnsi="方正仿宋_GB2312" w:eastAsia="方正仿宋_GB2312" w:cs="方正仿宋_GB2312"/>
          <w:sz w:val="32"/>
          <w:szCs w:val="32"/>
          <w:lang w:eastAsia="zh-CN"/>
        </w:rPr>
        <w:t>专业社会工作服务。</w:t>
      </w:r>
    </w:p>
    <w:p w14:paraId="5AC16EDA">
      <w:pPr>
        <w:overflowPunct w:val="0"/>
        <w:adjustRightInd w:val="0"/>
        <w:snapToGrid w:val="0"/>
        <w:spacing w:line="560" w:lineRule="exact"/>
        <w:ind w:firstLine="627" w:firstLineChars="196"/>
        <w:jc w:val="left"/>
        <w:rPr>
          <w:rFonts w:hint="eastAsia" w:ascii="方正仿宋_GB2312" w:hAnsi="方正仿宋_GB2312" w:eastAsia="方正仿宋_GB2312" w:cs="方正仿宋_GB2312"/>
          <w:b w:val="0"/>
          <w:bCs w:val="0"/>
          <w:color w:val="000000"/>
          <w:sz w:val="32"/>
          <w:szCs w:val="32"/>
          <w:shd w:val="clear" w:color="auto" w:fill="FFFFFF"/>
        </w:rPr>
      </w:pPr>
      <w:r>
        <w:rPr>
          <w:rFonts w:hint="eastAsia" w:ascii="方正仿宋_GB2312" w:hAnsi="方正仿宋_GB2312" w:eastAsia="方正仿宋_GB2312" w:cs="方正仿宋_GB2312"/>
          <w:b w:val="0"/>
          <w:bCs w:val="0"/>
          <w:sz w:val="32"/>
          <w:szCs w:val="32"/>
          <w:lang w:val="en-US" w:eastAsia="zh-CN"/>
        </w:rPr>
        <w:t>1.</w:t>
      </w:r>
      <w:r>
        <w:rPr>
          <w:rFonts w:hint="eastAsia" w:ascii="方正仿宋_GB2312" w:hAnsi="方正仿宋_GB2312" w:eastAsia="方正仿宋_GB2312" w:cs="方正仿宋_GB2312"/>
          <w:b w:val="0"/>
          <w:bCs w:val="0"/>
          <w:sz w:val="32"/>
          <w:szCs w:val="32"/>
        </w:rPr>
        <w:t>在社会救助方面，</w:t>
      </w:r>
      <w:r>
        <w:rPr>
          <w:rFonts w:hint="eastAsia" w:ascii="方正仿宋_GB2312" w:hAnsi="方正仿宋_GB2312" w:eastAsia="方正仿宋_GB2312" w:cs="方正仿宋_GB2312"/>
          <w:b w:val="0"/>
          <w:bCs w:val="0"/>
          <w:color w:val="000000"/>
          <w:sz w:val="32"/>
          <w:szCs w:val="32"/>
          <w:shd w:val="clear" w:color="auto" w:fill="FFFFFF"/>
        </w:rPr>
        <w:t>重点</w:t>
      </w:r>
      <w:r>
        <w:rPr>
          <w:rFonts w:hint="eastAsia" w:ascii="方正仿宋_GB2312" w:hAnsi="方正仿宋_GB2312" w:eastAsia="方正仿宋_GB2312" w:cs="方正仿宋_GB2312"/>
          <w:b w:val="0"/>
          <w:bCs w:val="0"/>
          <w:sz w:val="32"/>
          <w:szCs w:val="32"/>
        </w:rPr>
        <w:t>开展主动发现、家计调查、</w:t>
      </w:r>
      <w:r>
        <w:rPr>
          <w:rFonts w:hint="eastAsia" w:ascii="方正仿宋_GB2312" w:hAnsi="方正仿宋_GB2312" w:eastAsia="方正仿宋_GB2312" w:cs="方正仿宋_GB2312"/>
          <w:b w:val="0"/>
          <w:bCs w:val="0"/>
          <w:color w:val="000000"/>
          <w:sz w:val="32"/>
          <w:szCs w:val="32"/>
          <w:shd w:val="clear" w:color="auto" w:fill="FFFFFF"/>
        </w:rPr>
        <w:t>需求评估、社会融入、心理疏导、能力提升、资源链接等服务。</w:t>
      </w:r>
    </w:p>
    <w:p w14:paraId="7CB1A6D2">
      <w:pPr>
        <w:overflowPunct w:val="0"/>
        <w:adjustRightInd w:val="0"/>
        <w:snapToGrid w:val="0"/>
        <w:spacing w:line="560" w:lineRule="exact"/>
        <w:ind w:firstLine="627" w:firstLineChars="196"/>
        <w:jc w:val="left"/>
        <w:rPr>
          <w:rFonts w:hint="eastAsia" w:ascii="方正仿宋_GB2312" w:hAnsi="方正仿宋_GB2312" w:eastAsia="方正仿宋_GB2312" w:cs="方正仿宋_GB2312"/>
          <w:b w:val="0"/>
          <w:bCs w:val="0"/>
          <w:sz w:val="32"/>
          <w:szCs w:val="32"/>
        </w:rPr>
      </w:pPr>
      <w:r>
        <w:rPr>
          <w:rFonts w:hint="eastAsia" w:ascii="方正仿宋_GB2312" w:hAnsi="方正仿宋_GB2312" w:eastAsia="方正仿宋_GB2312" w:cs="方正仿宋_GB2312"/>
          <w:b w:val="0"/>
          <w:bCs w:val="0"/>
          <w:sz w:val="32"/>
          <w:szCs w:val="32"/>
          <w:lang w:val="en-US" w:eastAsia="zh-CN"/>
        </w:rPr>
        <w:t>2.</w:t>
      </w:r>
      <w:r>
        <w:rPr>
          <w:rFonts w:hint="eastAsia" w:ascii="方正仿宋_GB2312" w:hAnsi="方正仿宋_GB2312" w:eastAsia="方正仿宋_GB2312" w:cs="方正仿宋_GB2312"/>
          <w:b w:val="0"/>
          <w:bCs w:val="0"/>
          <w:sz w:val="32"/>
          <w:szCs w:val="32"/>
        </w:rPr>
        <w:t>在养老服务方面，重点为老年人提供生活照料、精神</w:t>
      </w:r>
      <w:r>
        <w:rPr>
          <w:rFonts w:hint="eastAsia" w:ascii="方正仿宋_GB2312" w:hAnsi="方正仿宋_GB2312" w:eastAsia="方正仿宋_GB2312" w:cs="方正仿宋_GB2312"/>
          <w:b w:val="0"/>
          <w:bCs w:val="0"/>
          <w:sz w:val="32"/>
          <w:szCs w:val="32"/>
          <w:lang w:eastAsia="zh-CN"/>
        </w:rPr>
        <w:t>慰藉</w:t>
      </w:r>
      <w:r>
        <w:rPr>
          <w:rFonts w:hint="eastAsia" w:ascii="方正仿宋_GB2312" w:hAnsi="方正仿宋_GB2312" w:eastAsia="方正仿宋_GB2312" w:cs="方正仿宋_GB2312"/>
          <w:b w:val="0"/>
          <w:bCs w:val="0"/>
          <w:sz w:val="32"/>
          <w:szCs w:val="32"/>
        </w:rPr>
        <w:t>、情绪疏导、危机干预、关系调适、社会参与等服务。</w:t>
      </w:r>
    </w:p>
    <w:p w14:paraId="65F49AE9">
      <w:pPr>
        <w:overflowPunct w:val="0"/>
        <w:adjustRightInd w:val="0"/>
        <w:snapToGrid w:val="0"/>
        <w:spacing w:line="560" w:lineRule="exact"/>
        <w:ind w:firstLine="627" w:firstLineChars="196"/>
        <w:jc w:val="left"/>
        <w:rPr>
          <w:rFonts w:hint="eastAsia" w:ascii="方正仿宋_GB2312" w:hAnsi="方正仿宋_GB2312" w:eastAsia="方正仿宋_GB2312" w:cs="方正仿宋_GB2312"/>
          <w:b w:val="0"/>
          <w:bCs w:val="0"/>
          <w:sz w:val="32"/>
          <w:szCs w:val="32"/>
        </w:rPr>
      </w:pPr>
      <w:r>
        <w:rPr>
          <w:rFonts w:hint="eastAsia" w:ascii="方正仿宋_GB2312" w:hAnsi="方正仿宋_GB2312" w:eastAsia="方正仿宋_GB2312" w:cs="方正仿宋_GB2312"/>
          <w:b w:val="0"/>
          <w:bCs w:val="0"/>
          <w:sz w:val="32"/>
          <w:szCs w:val="32"/>
          <w:lang w:val="en-US" w:eastAsia="zh-CN"/>
        </w:rPr>
        <w:t>3.在儿</w:t>
      </w:r>
      <w:r>
        <w:rPr>
          <w:rFonts w:hint="eastAsia" w:ascii="方正仿宋_GB2312" w:hAnsi="方正仿宋_GB2312" w:eastAsia="方正仿宋_GB2312" w:cs="方正仿宋_GB2312"/>
          <w:b w:val="0"/>
          <w:bCs w:val="0"/>
          <w:sz w:val="32"/>
          <w:szCs w:val="32"/>
        </w:rPr>
        <w:t>童关爱保护方面，重点围绕留守儿童、困境儿童、流动儿童等群体，开展排查探访、监护风险评估、家庭教育指导、政策法规宣传、安全知识宣讲、心理健康关爱服务、转介帮扶等工作。</w:t>
      </w:r>
    </w:p>
    <w:p w14:paraId="277AF4CC">
      <w:pPr>
        <w:overflowPunct w:val="0"/>
        <w:adjustRightInd w:val="0"/>
        <w:snapToGrid w:val="0"/>
        <w:spacing w:line="560" w:lineRule="exact"/>
        <w:ind w:firstLine="627" w:firstLineChars="196"/>
        <w:jc w:val="left"/>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b w:val="0"/>
          <w:bCs w:val="0"/>
          <w:sz w:val="32"/>
          <w:szCs w:val="32"/>
          <w:lang w:val="en-US" w:eastAsia="zh-CN"/>
        </w:rPr>
        <w:t>4.在扶残助残方面，开展康复服</w:t>
      </w:r>
      <w:r>
        <w:rPr>
          <w:rFonts w:hint="eastAsia" w:ascii="方正仿宋_GB2312" w:hAnsi="方正仿宋_GB2312" w:eastAsia="方正仿宋_GB2312" w:cs="方正仿宋_GB2312"/>
          <w:sz w:val="32"/>
          <w:szCs w:val="32"/>
          <w:lang w:val="en-US" w:eastAsia="zh-CN"/>
        </w:rPr>
        <w:t>务、生活照料、技能培训、心理支持、文化娱乐活动等服务。</w:t>
      </w:r>
    </w:p>
    <w:p w14:paraId="2FCD2E92">
      <w:pPr>
        <w:keepNext w:val="0"/>
        <w:keepLines w:val="0"/>
        <w:pageBreakBefore w:val="0"/>
        <w:widowControl w:val="0"/>
        <w:kinsoku/>
        <w:wordWrap/>
        <w:overflowPunct w:val="0"/>
        <w:topLinePunct w:val="0"/>
        <w:autoSpaceDE/>
        <w:autoSpaceDN/>
        <w:bidi w:val="0"/>
        <w:adjustRightInd w:val="0"/>
        <w:snapToGrid w:val="0"/>
        <w:spacing w:line="600" w:lineRule="exact"/>
        <w:ind w:left="0" w:leftChars="0" w:firstLine="640" w:firstLineChars="200"/>
        <w:jc w:val="left"/>
        <w:textAlignment w:val="auto"/>
        <w:rPr>
          <w:rFonts w:hint="eastAsia" w:ascii="方正仿宋_GB2312" w:hAnsi="方正仿宋_GB2312" w:eastAsia="方正仿宋_GB2312" w:cs="方正仿宋_GB2312"/>
          <w:color w:val="000000"/>
          <w:sz w:val="32"/>
          <w:szCs w:val="32"/>
          <w:shd w:val="clear" w:color="auto" w:fill="FFFFFF"/>
        </w:rPr>
      </w:pPr>
      <w:r>
        <w:rPr>
          <w:rFonts w:hint="eastAsia" w:ascii="方正仿宋_GB2312" w:hAnsi="方正仿宋_GB2312" w:eastAsia="方正仿宋_GB2312" w:cs="方正仿宋_GB2312"/>
          <w:b w:val="0"/>
          <w:bCs w:val="0"/>
          <w:sz w:val="32"/>
          <w:szCs w:val="32"/>
          <w:lang w:val="en-US" w:eastAsia="zh-CN"/>
        </w:rPr>
        <w:t>5.在社区社会组</w:t>
      </w:r>
      <w:r>
        <w:rPr>
          <w:rFonts w:hint="eastAsia" w:ascii="方正仿宋_GB2312" w:hAnsi="方正仿宋_GB2312" w:eastAsia="方正仿宋_GB2312" w:cs="方正仿宋_GB2312"/>
          <w:b w:val="0"/>
          <w:bCs w:val="0"/>
          <w:sz w:val="32"/>
          <w:szCs w:val="32"/>
        </w:rPr>
        <w:t>织培育方面，</w:t>
      </w:r>
      <w:r>
        <w:rPr>
          <w:rFonts w:hint="eastAsia" w:ascii="方正仿宋_GB2312" w:hAnsi="方正仿宋_GB2312" w:eastAsia="方正仿宋_GB2312" w:cs="方正仿宋_GB2312"/>
          <w:b w:val="0"/>
          <w:bCs w:val="0"/>
          <w:color w:val="000000"/>
          <w:sz w:val="32"/>
          <w:szCs w:val="32"/>
          <w:shd w:val="clear" w:color="auto" w:fill="FFFFFF"/>
        </w:rPr>
        <w:t>注重社区社会组织培育扶持，加大骨干人才培养力度，帮助规范管理制</w:t>
      </w:r>
      <w:r>
        <w:rPr>
          <w:rFonts w:hint="eastAsia" w:ascii="方正仿宋_GB2312" w:hAnsi="方正仿宋_GB2312" w:eastAsia="方正仿宋_GB2312" w:cs="方正仿宋_GB2312"/>
          <w:color w:val="000000"/>
          <w:sz w:val="32"/>
          <w:szCs w:val="32"/>
          <w:shd w:val="clear" w:color="auto" w:fill="FFFFFF"/>
        </w:rPr>
        <w:t>度和服务流程，协助开展社区协商、社区居民健康、社区群众文化等自助互助服务。</w:t>
      </w:r>
      <w:r>
        <w:rPr>
          <w:rFonts w:hint="eastAsia" w:ascii="方正仿宋_GB2312" w:hAnsi="方正仿宋_GB2312" w:eastAsia="方正仿宋_GB2312" w:cs="方正仿宋_GB2312"/>
          <w:b w:val="0"/>
          <w:bCs w:val="0"/>
          <w:kern w:val="2"/>
          <w:sz w:val="32"/>
          <w:szCs w:val="32"/>
          <w:lang w:val="en-US" w:eastAsia="zh-CN" w:bidi="ar-SA"/>
        </w:rPr>
        <w:t>积极参与社区协商、社区居民健康、社区群众文化、社区环境改善、社区治安管理、社区防灾减灾、外来人口适应、随迁人员社区融入、易地搬迁帮扶安置等工作，进一步提高居民自治能力，提升社区服务精细化水平。</w:t>
      </w:r>
    </w:p>
    <w:p w14:paraId="2FABAF3D">
      <w:pPr>
        <w:overflowPunct w:val="0"/>
        <w:adjustRightInd w:val="0"/>
        <w:snapToGrid w:val="0"/>
        <w:spacing w:line="560" w:lineRule="exact"/>
        <w:ind w:firstLine="627" w:firstLineChars="196"/>
        <w:jc w:val="left"/>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b w:val="0"/>
          <w:bCs w:val="0"/>
          <w:sz w:val="32"/>
          <w:szCs w:val="32"/>
          <w:lang w:val="en-US" w:eastAsia="zh-CN"/>
        </w:rPr>
        <w:t>6.在慈善资</w:t>
      </w:r>
      <w:r>
        <w:rPr>
          <w:rFonts w:hint="eastAsia" w:ascii="方正仿宋_GB2312" w:hAnsi="方正仿宋_GB2312" w:eastAsia="方正仿宋_GB2312" w:cs="方正仿宋_GB2312"/>
          <w:b w:val="0"/>
          <w:bCs w:val="0"/>
          <w:sz w:val="32"/>
          <w:szCs w:val="32"/>
        </w:rPr>
        <w:t>源链接方面，</w:t>
      </w:r>
      <w:r>
        <w:rPr>
          <w:rFonts w:hint="eastAsia" w:ascii="方正仿宋_GB2312" w:hAnsi="方正仿宋_GB2312" w:eastAsia="方正仿宋_GB2312" w:cs="方正仿宋_GB2312"/>
          <w:b w:val="0"/>
          <w:bCs w:val="0"/>
          <w:color w:val="000000"/>
          <w:sz w:val="32"/>
          <w:szCs w:val="32"/>
        </w:rPr>
        <w:t>深</w:t>
      </w:r>
      <w:r>
        <w:rPr>
          <w:rFonts w:hint="eastAsia" w:ascii="方正仿宋_GB2312" w:hAnsi="方正仿宋_GB2312" w:eastAsia="方正仿宋_GB2312" w:cs="方正仿宋_GB2312"/>
          <w:color w:val="000000"/>
          <w:sz w:val="32"/>
          <w:szCs w:val="32"/>
        </w:rPr>
        <w:t>入落实政府救助与慈善帮扶有效衔接工作，</w:t>
      </w:r>
      <w:r>
        <w:rPr>
          <w:rFonts w:hint="eastAsia" w:ascii="方正仿宋_GB2312" w:hAnsi="方正仿宋_GB2312" w:eastAsia="方正仿宋_GB2312" w:cs="方正仿宋_GB2312"/>
          <w:color w:val="000000"/>
          <w:sz w:val="32"/>
          <w:szCs w:val="32"/>
          <w:shd w:val="clear" w:color="auto" w:fill="FFFFFF"/>
        </w:rPr>
        <w:t>联合</w:t>
      </w:r>
      <w:r>
        <w:rPr>
          <w:rFonts w:hint="eastAsia" w:ascii="方正仿宋_GB2312" w:hAnsi="方正仿宋_GB2312" w:eastAsia="方正仿宋_GB2312" w:cs="方正仿宋_GB2312"/>
          <w:color w:val="000000"/>
          <w:sz w:val="32"/>
          <w:szCs w:val="32"/>
        </w:rPr>
        <w:t>具有公开募捐资格的慈善组织，健全困难群体与慈善资源对接机制，精准实施慈善救助帮扶项目</w:t>
      </w:r>
      <w:r>
        <w:rPr>
          <w:rFonts w:hint="eastAsia" w:ascii="方正仿宋_GB2312" w:hAnsi="方正仿宋_GB2312" w:eastAsia="方正仿宋_GB2312" w:cs="方正仿宋_GB2312"/>
          <w:color w:val="000000"/>
          <w:sz w:val="32"/>
          <w:szCs w:val="32"/>
          <w:lang w:eastAsia="zh-CN"/>
        </w:rPr>
        <w:t>；</w:t>
      </w:r>
      <w:r>
        <w:rPr>
          <w:rFonts w:hint="eastAsia" w:ascii="方正仿宋_GB2312" w:hAnsi="方正仿宋_GB2312" w:eastAsia="方正仿宋_GB2312" w:cs="方正仿宋_GB2312"/>
          <w:sz w:val="32"/>
          <w:szCs w:val="32"/>
        </w:rPr>
        <w:t>积极完善“慈善+社工”服务体系。撬动社区力量参与，发展社区慈善，围绕街道社工站、社区慈善项目、社区社会组织、社工服务机构打造“慈善+社工”服务综合体，进一步推动基层治理提质扩能增效</w:t>
      </w:r>
      <w:r>
        <w:rPr>
          <w:rFonts w:hint="eastAsia" w:ascii="方正仿宋_GB2312" w:hAnsi="方正仿宋_GB2312" w:eastAsia="方正仿宋_GB2312" w:cs="方正仿宋_GB2312"/>
          <w:sz w:val="32"/>
          <w:szCs w:val="32"/>
          <w:lang w:eastAsia="zh-CN"/>
        </w:rPr>
        <w:t>。</w:t>
      </w:r>
    </w:p>
    <w:p w14:paraId="7C5F476B">
      <w:pPr>
        <w:keepNext w:val="0"/>
        <w:keepLines w:val="0"/>
        <w:widowControl/>
        <w:suppressLineNumbers w:val="0"/>
        <w:ind w:firstLine="640" w:firstLineChars="200"/>
        <w:jc w:val="left"/>
        <w:rPr>
          <w:rFonts w:hint="default" w:ascii="方正仿宋_GB2312" w:hAnsi="方正仿宋_GB2312" w:eastAsia="方正仿宋_GB2312" w:cs="方正仿宋_GB2312"/>
          <w:b w:val="0"/>
          <w:bCs w:val="0"/>
          <w:sz w:val="32"/>
          <w:szCs w:val="32"/>
          <w:lang w:val="en-US" w:eastAsia="zh-CN"/>
        </w:rPr>
      </w:pPr>
      <w:r>
        <w:rPr>
          <w:rFonts w:hint="eastAsia" w:ascii="方正仿宋_GB2312" w:hAnsi="方正仿宋_GB2312" w:eastAsia="方正仿宋_GB2312" w:cs="方正仿宋_GB2312"/>
          <w:b w:val="0"/>
          <w:bCs w:val="0"/>
          <w:sz w:val="32"/>
          <w:szCs w:val="32"/>
          <w:lang w:val="en-US" w:eastAsia="zh-CN"/>
        </w:rPr>
        <w:t>7.除以上6项服务内容外，各单位在附件内“自选项目”中任选一项开展工作（不得与上述已有服务内容重复）。</w:t>
      </w:r>
    </w:p>
    <w:p w14:paraId="44230488">
      <w:pPr>
        <w:overflowPunct w:val="0"/>
        <w:adjustRightInd w:val="0"/>
        <w:snapToGrid w:val="0"/>
        <w:spacing w:line="560" w:lineRule="exact"/>
        <w:ind w:firstLine="640" w:firstLineChars="200"/>
        <w:jc w:val="left"/>
        <w:rPr>
          <w:rFonts w:hint="eastAsia" w:ascii="方正仿宋_GB2312" w:hAnsi="方正仿宋_GB2312" w:eastAsia="方正仿宋_GB2312" w:cs="方正仿宋_GB2312"/>
          <w:color w:val="000000"/>
          <w:sz w:val="32"/>
          <w:szCs w:val="32"/>
        </w:rPr>
      </w:pPr>
      <w:r>
        <w:rPr>
          <w:rFonts w:hint="eastAsia" w:ascii="楷体" w:hAnsi="楷体" w:eastAsia="楷体" w:cs="楷体"/>
          <w:b w:val="0"/>
          <w:bCs w:val="0"/>
          <w:sz w:val="32"/>
          <w:szCs w:val="32"/>
          <w:lang w:eastAsia="zh-CN"/>
        </w:rPr>
        <w:t>（二）</w:t>
      </w:r>
      <w:r>
        <w:rPr>
          <w:rFonts w:hint="eastAsia" w:ascii="楷体" w:hAnsi="楷体" w:eastAsia="楷体" w:cs="楷体"/>
          <w:b w:val="0"/>
          <w:bCs w:val="0"/>
          <w:sz w:val="32"/>
          <w:szCs w:val="32"/>
        </w:rPr>
        <w:t>提升服务能力。</w:t>
      </w:r>
      <w:r>
        <w:rPr>
          <w:rFonts w:hint="eastAsia" w:ascii="方正仿宋_GB2312" w:hAnsi="方正仿宋_GB2312" w:eastAsia="方正仿宋_GB2312" w:cs="方正仿宋_GB2312"/>
          <w:color w:val="000000"/>
          <w:sz w:val="32"/>
          <w:szCs w:val="32"/>
        </w:rPr>
        <w:t>鼓励支持驻站人员参加社会工作职业水平考试，进一步提升社工站专业社工持证率和转化率。定期组织驻站人员到区内外示范社工站学习交流，</w:t>
      </w:r>
      <w:r>
        <w:rPr>
          <w:rFonts w:hint="eastAsia" w:ascii="方正仿宋_GB2312" w:hAnsi="方正仿宋_GB2312" w:eastAsia="方正仿宋_GB2312" w:cs="方正仿宋_GB2312"/>
          <w:color w:val="000000"/>
          <w:sz w:val="32"/>
          <w:szCs w:val="32"/>
          <w:shd w:val="clear" w:color="auto" w:fill="FFFFFF"/>
        </w:rPr>
        <w:t>采取实务</w:t>
      </w:r>
      <w:r>
        <w:rPr>
          <w:rFonts w:hint="eastAsia" w:ascii="方正仿宋_GB2312" w:hAnsi="方正仿宋_GB2312" w:eastAsia="方正仿宋_GB2312" w:cs="方正仿宋_GB2312"/>
          <w:color w:val="000000"/>
          <w:sz w:val="32"/>
          <w:szCs w:val="32"/>
        </w:rPr>
        <w:t>实训、专项培训、督导教学等措施，切实提升驻站人员专业能力和服务水平。</w:t>
      </w:r>
    </w:p>
    <w:p w14:paraId="3AC0A949">
      <w:pPr>
        <w:pStyle w:val="9"/>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left="645" w:leftChars="0"/>
        <w:jc w:val="left"/>
        <w:textAlignment w:val="auto"/>
        <w:rPr>
          <w:rFonts w:hint="eastAsia" w:ascii="黑体" w:hAnsi="黑体" w:eastAsia="黑体" w:cs="黑体"/>
          <w:sz w:val="32"/>
          <w:szCs w:val="32"/>
          <w:lang w:eastAsia="zh-CN"/>
        </w:rPr>
      </w:pPr>
      <w:r>
        <w:rPr>
          <w:rFonts w:hint="eastAsia" w:ascii="黑体" w:hAnsi="黑体" w:eastAsia="黑体" w:cs="黑体"/>
          <w:sz w:val="32"/>
          <w:szCs w:val="32"/>
          <w:lang w:val="en-US" w:eastAsia="zh-CN"/>
        </w:rPr>
        <w:t>三</w:t>
      </w:r>
      <w:r>
        <w:rPr>
          <w:rFonts w:hint="eastAsia" w:ascii="黑体" w:hAnsi="黑体" w:eastAsia="黑体" w:cs="黑体"/>
          <w:sz w:val="32"/>
          <w:szCs w:val="32"/>
          <w:lang w:eastAsia="zh-CN"/>
        </w:rPr>
        <w:t>、工作要求</w:t>
      </w:r>
    </w:p>
    <w:p w14:paraId="7EBA5E64">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left"/>
        <w:textAlignment w:val="auto"/>
        <w:rPr>
          <w:rFonts w:hint="eastAsia" w:ascii="方正仿宋_GB2312" w:hAnsi="方正仿宋_GB2312" w:eastAsia="方正仿宋_GB2312" w:cs="方正仿宋_GB2312"/>
          <w:color w:val="C00000"/>
          <w:sz w:val="32"/>
          <w:szCs w:val="32"/>
          <w:lang w:val="en-US" w:eastAsia="zh-CN"/>
        </w:rPr>
      </w:pPr>
      <w:r>
        <w:rPr>
          <w:rFonts w:hint="eastAsia" w:ascii="方正仿宋_GB2312" w:hAnsi="方正仿宋_GB2312" w:eastAsia="方正仿宋_GB2312" w:cs="方正仿宋_GB2312"/>
          <w:color w:val="C00000"/>
          <w:sz w:val="32"/>
          <w:szCs w:val="32"/>
          <w:lang w:val="en-US" w:eastAsia="zh-CN"/>
        </w:rPr>
        <w:t>1.承接项目的机构需认真对待此项工作，按照《清单》内容，工作任务全过程必须提供水印照片（带时间、地点）佐证，不得使用重复照片。如无水印照片，将不认定服务次数，需重新开展补足次数。</w:t>
      </w:r>
    </w:p>
    <w:p w14:paraId="1E5BB62B">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left"/>
        <w:textAlignment w:val="auto"/>
        <w:rPr>
          <w:rFonts w:hint="eastAsia" w:ascii="方正仿宋_GB2312" w:hAnsi="方正仿宋_GB2312" w:eastAsia="方正仿宋_GB2312" w:cs="方正仿宋_GB2312"/>
          <w:color w:val="C00000"/>
          <w:sz w:val="32"/>
          <w:szCs w:val="32"/>
          <w:lang w:val="en-US" w:eastAsia="zh-CN"/>
        </w:rPr>
      </w:pPr>
      <w:r>
        <w:rPr>
          <w:rFonts w:hint="eastAsia" w:ascii="方正仿宋_GB2312" w:hAnsi="方正仿宋_GB2312" w:eastAsia="方正仿宋_GB2312" w:cs="方正仿宋_GB2312"/>
          <w:color w:val="C00000"/>
          <w:sz w:val="32"/>
          <w:szCs w:val="32"/>
          <w:lang w:val="en-US" w:eastAsia="zh-CN"/>
        </w:rPr>
        <w:t>2.服务过程留存资料需齐全。室内组织的活动需提供人员签到表及电话。</w:t>
      </w:r>
      <w:r>
        <w:rPr>
          <w:rFonts w:hint="eastAsia" w:ascii="方正仿宋_GB2312" w:hAnsi="方正仿宋_GB2312" w:eastAsia="方正仿宋_GB2312" w:cs="方正仿宋_GB2312"/>
          <w:color w:val="C00000"/>
          <w:sz w:val="32"/>
          <w:szCs w:val="32"/>
          <w:lang w:val="en" w:eastAsia="zh-CN"/>
        </w:rPr>
        <w:t>扎赉诺尔区民政和退役军人事务</w:t>
      </w:r>
      <w:r>
        <w:rPr>
          <w:rFonts w:hint="eastAsia" w:ascii="方正仿宋_GB2312" w:hAnsi="方正仿宋_GB2312" w:eastAsia="方正仿宋_GB2312" w:cs="方正仿宋_GB2312"/>
          <w:color w:val="C00000"/>
          <w:sz w:val="32"/>
          <w:szCs w:val="32"/>
          <w:lang w:val="en-US" w:eastAsia="zh-CN"/>
        </w:rPr>
        <w:t xml:space="preserve">局将进行实地+电话随机抽查，核实活动开展情况。 </w:t>
      </w:r>
    </w:p>
    <w:p w14:paraId="793AD9C9">
      <w:pPr>
        <w:pStyle w:val="2"/>
        <w:keepNext w:val="0"/>
        <w:keepLines w:val="0"/>
        <w:pageBreakBefore w:val="0"/>
        <w:widowControl w:val="0"/>
        <w:kinsoku/>
        <w:wordWrap/>
        <w:topLinePunct w:val="0"/>
        <w:autoSpaceDE/>
        <w:autoSpaceDN/>
        <w:bidi w:val="0"/>
        <w:spacing w:line="560" w:lineRule="exact"/>
        <w:textAlignment w:val="auto"/>
        <w:rPr>
          <w:rFonts w:hint="eastAsia" w:ascii="方正仿宋_GB2312" w:hAnsi="方正仿宋_GB2312" w:eastAsia="方正仿宋_GB2312" w:cs="方正仿宋_GB2312"/>
          <w:color w:val="C00000"/>
          <w:sz w:val="32"/>
          <w:szCs w:val="32"/>
          <w:lang w:val="en-US" w:eastAsia="zh-CN"/>
        </w:rPr>
      </w:pPr>
      <w:r>
        <w:rPr>
          <w:rFonts w:hint="eastAsia" w:ascii="方正仿宋_GB2312" w:hAnsi="方正仿宋_GB2312" w:eastAsia="方正仿宋_GB2312" w:cs="方正仿宋_GB2312"/>
          <w:color w:val="C00000"/>
          <w:sz w:val="32"/>
          <w:szCs w:val="32"/>
          <w:lang w:val="en-US" w:eastAsia="zh-CN"/>
        </w:rPr>
        <w:t xml:space="preserve"> 3.购买服务项目经费，不得购置固定资产;不得购置米面油；燃油费只能用于本地开展实际工作需要，不得用于异地往返。所有活动发放物品，需提供领取单据，小型物品（单价少）需提供合照或领取照片。</w:t>
      </w:r>
    </w:p>
    <w:p w14:paraId="0B67B429">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left"/>
        <w:textAlignment w:val="auto"/>
        <w:rPr>
          <w:rFonts w:hint="default"/>
          <w:lang w:val="en-US" w:eastAsia="zh-CN"/>
        </w:rPr>
      </w:pPr>
      <w:bookmarkStart w:id="0" w:name="_GoBack"/>
      <w:bookmarkEnd w:id="0"/>
      <w:r>
        <w:rPr>
          <w:rFonts w:hint="eastAsia" w:ascii="方正仿宋_GB2312" w:hAnsi="方正仿宋_GB2312" w:eastAsia="方正仿宋_GB2312" w:cs="方正仿宋_GB2312"/>
          <w:color w:val="C00000"/>
          <w:sz w:val="32"/>
          <w:szCs w:val="32"/>
          <w:lang w:val="en-US" w:eastAsia="zh-CN"/>
        </w:rPr>
        <w:t>4.承接机构需通过区民政和退役军人事务局工作小组的验收，并按月度、季度、半年、全年提交相关工作材料和报表。</w:t>
      </w:r>
    </w:p>
    <w:p w14:paraId="32EF2EA9">
      <w:pPr>
        <w:pStyle w:val="2"/>
        <w:keepNext w:val="0"/>
        <w:keepLines w:val="0"/>
        <w:pageBreakBefore w:val="0"/>
        <w:widowControl w:val="0"/>
        <w:kinsoku/>
        <w:wordWrap/>
        <w:topLinePunct w:val="0"/>
        <w:autoSpaceDE/>
        <w:autoSpaceDN/>
        <w:bidi w:val="0"/>
        <w:spacing w:line="560" w:lineRule="exact"/>
        <w:textAlignment w:val="auto"/>
        <w:rPr>
          <w:rFonts w:hint="eastAsia" w:ascii="方正仿宋_GB2312" w:hAnsi="方正仿宋_GB2312" w:eastAsia="方正仿宋_GB2312" w:cs="方正仿宋_GB2312"/>
          <w:color w:val="C00000"/>
          <w:sz w:val="32"/>
          <w:szCs w:val="32"/>
          <w:lang w:val="en-US" w:eastAsia="zh-CN"/>
        </w:rPr>
      </w:pPr>
    </w:p>
    <w:p w14:paraId="5117234C">
      <w:pPr>
        <w:keepNext w:val="0"/>
        <w:keepLines w:val="0"/>
        <w:pageBreakBefore w:val="0"/>
        <w:widowControl w:val="0"/>
        <w:kinsoku/>
        <w:wordWrap/>
        <w:overflowPunct w:val="0"/>
        <w:topLinePunct w:val="0"/>
        <w:autoSpaceDE/>
        <w:autoSpaceDN/>
        <w:bidi w:val="0"/>
        <w:adjustRightInd w:val="0"/>
        <w:snapToGrid w:val="0"/>
        <w:spacing w:line="560" w:lineRule="exact"/>
        <w:ind w:left="1598" w:leftChars="304" w:hanging="960" w:hangingChars="300"/>
        <w:jc w:val="both"/>
        <w:textAlignment w:val="auto"/>
        <w:rPr>
          <w:rFonts w:hint="eastAsia" w:ascii="方正仿宋_GB2312" w:hAnsi="方正仿宋_GB2312" w:eastAsia="方正仿宋_GB2312" w:cs="方正仿宋_GB2312"/>
          <w:color w:val="000000"/>
          <w:sz w:val="32"/>
          <w:szCs w:val="32"/>
          <w:shd w:val="clear" w:color="auto" w:fill="FFFFFF"/>
        </w:rPr>
      </w:pPr>
      <w:r>
        <w:rPr>
          <w:rFonts w:hint="eastAsia" w:ascii="方正仿宋_GB2312" w:hAnsi="方正仿宋_GB2312" w:eastAsia="方正仿宋_GB2312" w:cs="方正仿宋_GB2312"/>
          <w:color w:val="000000"/>
          <w:sz w:val="32"/>
          <w:szCs w:val="32"/>
          <w:shd w:val="clear" w:color="auto" w:fill="FFFFFF"/>
        </w:rPr>
        <w:t>附件：</w:t>
      </w:r>
      <w:r>
        <w:rPr>
          <w:rFonts w:hint="eastAsia" w:ascii="方正仿宋_GB2312" w:hAnsi="方正仿宋_GB2312" w:eastAsia="方正仿宋_GB2312" w:cs="方正仿宋_GB2312"/>
          <w:color w:val="000000"/>
          <w:spacing w:val="-11"/>
          <w:sz w:val="32"/>
          <w:szCs w:val="32"/>
          <w:shd w:val="clear" w:color="auto" w:fill="FFFFFF"/>
          <w:lang w:val="en-US" w:eastAsia="zh-CN"/>
        </w:rPr>
        <w:t>2026年呼伦贝尔</w:t>
      </w:r>
      <w:r>
        <w:rPr>
          <w:rFonts w:hint="eastAsia" w:ascii="方正仿宋_GB2312" w:hAnsi="方正仿宋_GB2312" w:eastAsia="方正仿宋_GB2312" w:cs="方正仿宋_GB2312"/>
          <w:color w:val="000000"/>
          <w:spacing w:val="-11"/>
          <w:sz w:val="32"/>
          <w:szCs w:val="32"/>
          <w:shd w:val="clear" w:color="auto" w:fill="FFFFFF"/>
          <w:lang w:eastAsia="zh-CN"/>
        </w:rPr>
        <w:t>市</w:t>
      </w:r>
      <w:r>
        <w:rPr>
          <w:rFonts w:hint="eastAsia" w:ascii="方正仿宋_GB2312" w:hAnsi="方正仿宋_GB2312" w:eastAsia="方正仿宋_GB2312" w:cs="方正仿宋_GB2312"/>
          <w:spacing w:val="-11"/>
          <w:sz w:val="32"/>
          <w:szCs w:val="32"/>
        </w:rPr>
        <w:t>民政领域社会工作服务</w:t>
      </w:r>
      <w:r>
        <w:rPr>
          <w:rFonts w:hint="eastAsia" w:ascii="方正仿宋_GB2312" w:hAnsi="方正仿宋_GB2312" w:eastAsia="方正仿宋_GB2312" w:cs="方正仿宋_GB2312"/>
          <w:spacing w:val="-11"/>
          <w:sz w:val="32"/>
          <w:szCs w:val="32"/>
          <w:lang w:eastAsia="zh-CN"/>
        </w:rPr>
        <w:t>项目</w:t>
      </w:r>
      <w:r>
        <w:rPr>
          <w:rFonts w:hint="eastAsia" w:ascii="方正仿宋_GB2312" w:hAnsi="方正仿宋_GB2312" w:eastAsia="方正仿宋_GB2312" w:cs="方正仿宋_GB2312"/>
          <w:spacing w:val="-11"/>
          <w:sz w:val="32"/>
          <w:szCs w:val="32"/>
          <w:lang w:val="en-US" w:eastAsia="zh-CN"/>
        </w:rPr>
        <w:t>服务</w:t>
      </w:r>
      <w:r>
        <w:rPr>
          <w:rFonts w:hint="eastAsia" w:ascii="方正仿宋_GB2312" w:hAnsi="方正仿宋_GB2312" w:eastAsia="方正仿宋_GB2312" w:cs="方正仿宋_GB2312"/>
          <w:spacing w:val="-11"/>
          <w:sz w:val="32"/>
          <w:szCs w:val="32"/>
        </w:rPr>
        <w:t>清单</w:t>
      </w:r>
    </w:p>
    <w:p w14:paraId="236A5334">
      <w:pPr>
        <w:keepNext w:val="0"/>
        <w:keepLines w:val="0"/>
        <w:pageBreakBefore w:val="0"/>
        <w:widowControl w:val="0"/>
        <w:kinsoku/>
        <w:wordWrap/>
        <w:overflowPunct w:val="0"/>
        <w:topLinePunct w:val="0"/>
        <w:autoSpaceDE/>
        <w:autoSpaceDN/>
        <w:bidi w:val="0"/>
        <w:adjustRightInd w:val="0"/>
        <w:snapToGrid w:val="0"/>
        <w:spacing w:line="560" w:lineRule="exact"/>
        <w:ind w:firstLine="645"/>
        <w:jc w:val="left"/>
        <w:textAlignment w:val="auto"/>
        <w:rPr>
          <w:rFonts w:hint="eastAsia" w:ascii="方正仿宋_GB2312" w:hAnsi="方正仿宋_GB2312" w:eastAsia="方正仿宋_GB2312" w:cs="方正仿宋_GB2312"/>
          <w:sz w:val="32"/>
          <w:szCs w:val="32"/>
        </w:rPr>
        <w:sectPr>
          <w:footerReference r:id="rId3" w:type="default"/>
          <w:pgSz w:w="11906" w:h="16838"/>
          <w:pgMar w:top="2098" w:right="1531" w:bottom="1984" w:left="1531" w:header="851" w:footer="1531" w:gutter="0"/>
          <w:pgBorders>
            <w:top w:val="none" w:sz="0" w:space="0"/>
            <w:left w:val="none" w:sz="0" w:space="0"/>
            <w:bottom w:val="none" w:sz="0" w:space="0"/>
            <w:right w:val="none" w:sz="0" w:space="0"/>
          </w:pgBorders>
          <w:pgNumType w:fmt="numberInDash" w:start="2"/>
          <w:cols w:space="425" w:num="1"/>
          <w:docGrid w:type="lines" w:linePitch="312" w:charSpace="0"/>
        </w:sectPr>
      </w:pPr>
    </w:p>
    <w:p w14:paraId="7843BBBB">
      <w:pPr>
        <w:keepNext w:val="0"/>
        <w:keepLines w:val="0"/>
        <w:pageBreakBefore w:val="0"/>
        <w:widowControl w:val="0"/>
        <w:kinsoku/>
        <w:wordWrap/>
        <w:overflowPunct w:val="0"/>
        <w:topLinePunct w:val="0"/>
        <w:autoSpaceDE/>
        <w:autoSpaceDN/>
        <w:bidi w:val="0"/>
        <w:adjustRightInd w:val="0"/>
        <w:snapToGrid w:val="0"/>
        <w:spacing w:line="560" w:lineRule="exact"/>
        <w:jc w:val="left"/>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附件</w:t>
      </w:r>
    </w:p>
    <w:p w14:paraId="40745AB2">
      <w:pPr>
        <w:keepNext w:val="0"/>
        <w:keepLines w:val="0"/>
        <w:pageBreakBefore w:val="0"/>
        <w:widowControl w:val="0"/>
        <w:kinsoku/>
        <w:wordWrap/>
        <w:overflowPunct w:val="0"/>
        <w:topLinePunct w:val="0"/>
        <w:autoSpaceDE/>
        <w:autoSpaceDN/>
        <w:bidi w:val="0"/>
        <w:adjustRightInd w:val="0"/>
        <w:snapToGrid w:val="0"/>
        <w:spacing w:line="560" w:lineRule="exact"/>
        <w:jc w:val="left"/>
        <w:textAlignment w:val="auto"/>
        <w:rPr>
          <w:rFonts w:hint="eastAsia" w:ascii="方正仿宋_GB2312" w:hAnsi="方正仿宋_GB2312" w:eastAsia="方正仿宋_GB2312" w:cs="方正仿宋_GB2312"/>
          <w:sz w:val="32"/>
          <w:szCs w:val="32"/>
          <w:lang w:val="en-US" w:eastAsia="zh-CN"/>
        </w:rPr>
      </w:pPr>
    </w:p>
    <w:p w14:paraId="3C4629FE">
      <w:pPr>
        <w:keepNext w:val="0"/>
        <w:keepLines w:val="0"/>
        <w:pageBreakBefore w:val="0"/>
        <w:widowControl w:val="0"/>
        <w:kinsoku/>
        <w:wordWrap/>
        <w:overflowPunct w:val="0"/>
        <w:topLinePunct w:val="0"/>
        <w:autoSpaceDE/>
        <w:autoSpaceDN/>
        <w:bidi w:val="0"/>
        <w:adjustRightInd w:val="0"/>
        <w:snapToGrid w:val="0"/>
        <w:spacing w:line="560" w:lineRule="exact"/>
        <w:jc w:val="center"/>
        <w:textAlignment w:val="auto"/>
        <w:rPr>
          <w:rFonts w:hint="eastAsia" w:ascii="方正小标宋_GBK" w:hAnsi="方正小标宋_GBK" w:eastAsia="方正小标宋_GBK" w:cs="方正小标宋_GBK"/>
          <w:b w:val="0"/>
          <w:bCs/>
          <w:i w:val="0"/>
          <w:color w:val="auto"/>
          <w:kern w:val="0"/>
          <w:sz w:val="44"/>
          <w:szCs w:val="44"/>
          <w:u w:val="none"/>
          <w:lang w:val="en-US" w:eastAsia="zh-CN" w:bidi="ar"/>
        </w:rPr>
      </w:pPr>
      <w:r>
        <w:rPr>
          <w:rFonts w:hint="eastAsia" w:ascii="方正小标宋_GBK" w:hAnsi="方正小标宋_GBK" w:eastAsia="方正小标宋_GBK" w:cs="方正小标宋_GBK"/>
          <w:b w:val="0"/>
          <w:bCs/>
          <w:i w:val="0"/>
          <w:color w:val="auto"/>
          <w:kern w:val="0"/>
          <w:sz w:val="44"/>
          <w:szCs w:val="44"/>
          <w:u w:val="none"/>
          <w:lang w:val="en-US" w:eastAsia="zh-CN" w:bidi="ar"/>
        </w:rPr>
        <w:t>2026年呼伦贝尔市民政领域社会工作服务项目服务清单</w:t>
      </w:r>
    </w:p>
    <w:p w14:paraId="24212D77">
      <w:pPr>
        <w:keepNext w:val="0"/>
        <w:keepLines w:val="0"/>
        <w:pageBreakBefore w:val="0"/>
        <w:widowControl w:val="0"/>
        <w:kinsoku/>
        <w:wordWrap/>
        <w:overflowPunct w:val="0"/>
        <w:topLinePunct w:val="0"/>
        <w:autoSpaceDE/>
        <w:autoSpaceDN/>
        <w:bidi w:val="0"/>
        <w:adjustRightInd w:val="0"/>
        <w:snapToGrid w:val="0"/>
        <w:spacing w:line="560" w:lineRule="exact"/>
        <w:jc w:val="center"/>
        <w:textAlignment w:val="auto"/>
        <w:rPr>
          <w:rFonts w:hint="eastAsia" w:ascii="方正小标宋_GBK" w:hAnsi="方正小标宋_GBK" w:eastAsia="方正小标宋_GBK" w:cs="方正小标宋_GBK"/>
          <w:b w:val="0"/>
          <w:bCs/>
          <w:color w:val="C00000"/>
          <w:sz w:val="28"/>
          <w:szCs w:val="28"/>
          <w:lang w:val="en-US" w:eastAsia="zh-CN"/>
        </w:rPr>
      </w:pPr>
      <w:r>
        <w:rPr>
          <w:rFonts w:hint="eastAsia" w:ascii="方正小标宋_GBK" w:hAnsi="方正小标宋_GBK" w:eastAsia="方正小标宋_GBK" w:cs="方正小标宋_GBK"/>
          <w:b w:val="0"/>
          <w:bCs/>
          <w:i w:val="0"/>
          <w:color w:val="C00000"/>
          <w:kern w:val="0"/>
          <w:sz w:val="28"/>
          <w:szCs w:val="28"/>
          <w:u w:val="none"/>
          <w:lang w:val="en-US" w:eastAsia="zh-CN" w:bidi="ar"/>
        </w:rPr>
        <w:t>（每个乡镇、街道均需按此服务清单独立完成，工作任务全过程必须提供水印照片进行佐证，不得使用重复照片）</w:t>
      </w:r>
    </w:p>
    <w:tbl>
      <w:tblPr>
        <w:tblStyle w:val="6"/>
        <w:tblW w:w="0" w:type="auto"/>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617"/>
        <w:gridCol w:w="717"/>
        <w:gridCol w:w="5975"/>
        <w:gridCol w:w="4095"/>
        <w:gridCol w:w="2495"/>
      </w:tblGrid>
      <w:tr w14:paraId="527C2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trPr>
        <w:tc>
          <w:tcPr>
            <w:tcW w:w="0" w:type="auto"/>
            <w:shd w:val="clear" w:color="auto" w:fill="auto"/>
            <w:noWrap/>
            <w:vAlign w:val="center"/>
          </w:tcPr>
          <w:p w14:paraId="70AC85E4">
            <w:pPr>
              <w:keepNext w:val="0"/>
              <w:keepLines w:val="0"/>
              <w:widowControl/>
              <w:suppressLineNumbers w:val="0"/>
              <w:jc w:val="center"/>
              <w:textAlignment w:val="center"/>
              <w:rPr>
                <w:rFonts w:ascii="华文仿宋" w:hAnsi="华文仿宋" w:eastAsia="华文仿宋" w:cs="华文仿宋"/>
                <w:b/>
                <w:i w:val="0"/>
                <w:color w:val="auto"/>
                <w:sz w:val="20"/>
                <w:szCs w:val="20"/>
                <w:highlight w:val="none"/>
                <w:u w:val="none"/>
              </w:rPr>
            </w:pPr>
            <w:r>
              <w:rPr>
                <w:rFonts w:hint="eastAsia" w:ascii="华文仿宋" w:hAnsi="华文仿宋" w:eastAsia="华文仿宋" w:cs="华文仿宋"/>
                <w:b/>
                <w:i w:val="0"/>
                <w:color w:val="auto"/>
                <w:kern w:val="0"/>
                <w:sz w:val="20"/>
                <w:szCs w:val="20"/>
                <w:highlight w:val="none"/>
                <w:u w:val="none"/>
                <w:lang w:val="en-US" w:eastAsia="zh-CN" w:bidi="ar"/>
              </w:rPr>
              <w:t>序号</w:t>
            </w:r>
          </w:p>
        </w:tc>
        <w:tc>
          <w:tcPr>
            <w:tcW w:w="0" w:type="auto"/>
            <w:shd w:val="clear" w:color="auto" w:fill="auto"/>
            <w:vAlign w:val="center"/>
          </w:tcPr>
          <w:p w14:paraId="29FCA8F7">
            <w:pPr>
              <w:keepNext w:val="0"/>
              <w:keepLines w:val="0"/>
              <w:widowControl/>
              <w:suppressLineNumbers w:val="0"/>
              <w:jc w:val="center"/>
              <w:textAlignment w:val="center"/>
              <w:rPr>
                <w:rFonts w:hint="eastAsia" w:ascii="华文仿宋" w:hAnsi="华文仿宋" w:eastAsia="华文仿宋" w:cs="华文仿宋"/>
                <w:b/>
                <w:i w:val="0"/>
                <w:color w:val="auto"/>
                <w:sz w:val="20"/>
                <w:szCs w:val="20"/>
                <w:highlight w:val="none"/>
                <w:u w:val="none"/>
              </w:rPr>
            </w:pPr>
            <w:r>
              <w:rPr>
                <w:rFonts w:hint="eastAsia" w:ascii="华文仿宋" w:hAnsi="华文仿宋" w:eastAsia="华文仿宋" w:cs="华文仿宋"/>
                <w:b/>
                <w:i w:val="0"/>
                <w:color w:val="auto"/>
                <w:kern w:val="0"/>
                <w:sz w:val="20"/>
                <w:szCs w:val="20"/>
                <w:highlight w:val="none"/>
                <w:u w:val="none"/>
                <w:lang w:val="en-US" w:eastAsia="zh-CN" w:bidi="ar"/>
              </w:rPr>
              <w:t>重点任务</w:t>
            </w:r>
          </w:p>
        </w:tc>
        <w:tc>
          <w:tcPr>
            <w:tcW w:w="0" w:type="auto"/>
            <w:shd w:val="clear" w:color="auto" w:fill="auto"/>
            <w:vAlign w:val="center"/>
          </w:tcPr>
          <w:p w14:paraId="567B5C6C">
            <w:pPr>
              <w:keepNext w:val="0"/>
              <w:keepLines w:val="0"/>
              <w:widowControl/>
              <w:suppressLineNumbers w:val="0"/>
              <w:jc w:val="center"/>
              <w:textAlignment w:val="center"/>
              <w:rPr>
                <w:rFonts w:hint="eastAsia" w:ascii="华文仿宋" w:hAnsi="华文仿宋" w:eastAsia="华文仿宋" w:cs="华文仿宋"/>
                <w:b/>
                <w:i w:val="0"/>
                <w:color w:val="auto"/>
                <w:sz w:val="20"/>
                <w:szCs w:val="20"/>
                <w:highlight w:val="none"/>
                <w:u w:val="none"/>
              </w:rPr>
            </w:pPr>
            <w:r>
              <w:rPr>
                <w:rFonts w:hint="eastAsia" w:ascii="华文仿宋" w:hAnsi="华文仿宋" w:eastAsia="华文仿宋" w:cs="华文仿宋"/>
                <w:b/>
                <w:i w:val="0"/>
                <w:color w:val="auto"/>
                <w:kern w:val="0"/>
                <w:sz w:val="20"/>
                <w:szCs w:val="20"/>
                <w:highlight w:val="none"/>
                <w:u w:val="none"/>
                <w:lang w:val="en-US" w:eastAsia="zh-CN" w:bidi="ar"/>
              </w:rPr>
              <w:t>服务内容</w:t>
            </w:r>
          </w:p>
        </w:tc>
        <w:tc>
          <w:tcPr>
            <w:tcW w:w="0" w:type="auto"/>
            <w:gridSpan w:val="2"/>
            <w:shd w:val="clear" w:color="auto" w:fill="auto"/>
            <w:vAlign w:val="center"/>
          </w:tcPr>
          <w:p w14:paraId="73A0084D">
            <w:pPr>
              <w:keepNext w:val="0"/>
              <w:keepLines w:val="0"/>
              <w:widowControl/>
              <w:suppressLineNumbers w:val="0"/>
              <w:jc w:val="center"/>
              <w:textAlignment w:val="center"/>
              <w:rPr>
                <w:rFonts w:hint="eastAsia" w:ascii="华文仿宋" w:hAnsi="华文仿宋" w:eastAsia="华文仿宋" w:cs="华文仿宋"/>
                <w:b/>
                <w:i w:val="0"/>
                <w:color w:val="auto"/>
                <w:sz w:val="20"/>
                <w:szCs w:val="20"/>
                <w:highlight w:val="none"/>
                <w:u w:val="none"/>
              </w:rPr>
            </w:pPr>
            <w:r>
              <w:rPr>
                <w:rFonts w:hint="eastAsia" w:ascii="华文仿宋" w:hAnsi="华文仿宋" w:eastAsia="华文仿宋" w:cs="华文仿宋"/>
                <w:b/>
                <w:i w:val="0"/>
                <w:color w:val="auto"/>
                <w:kern w:val="0"/>
                <w:sz w:val="20"/>
                <w:szCs w:val="20"/>
                <w:highlight w:val="none"/>
                <w:u w:val="none"/>
                <w:lang w:val="en-US" w:eastAsia="zh-CN" w:bidi="ar"/>
              </w:rPr>
              <w:t>服务标准</w:t>
            </w:r>
          </w:p>
        </w:tc>
      </w:tr>
      <w:tr w14:paraId="5F279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trPr>
        <w:tc>
          <w:tcPr>
            <w:tcW w:w="0" w:type="auto"/>
            <w:vMerge w:val="restart"/>
            <w:shd w:val="clear" w:color="auto" w:fill="auto"/>
            <w:vAlign w:val="center"/>
          </w:tcPr>
          <w:p w14:paraId="42ED226F">
            <w:pPr>
              <w:keepNext w:val="0"/>
              <w:keepLines w:val="0"/>
              <w:widowControl/>
              <w:suppressLineNumbers w:val="0"/>
              <w:jc w:val="center"/>
              <w:textAlignment w:val="center"/>
              <w:rPr>
                <w:rFonts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1</w:t>
            </w:r>
          </w:p>
        </w:tc>
        <w:tc>
          <w:tcPr>
            <w:tcW w:w="0" w:type="auto"/>
            <w:vMerge w:val="restart"/>
            <w:shd w:val="clear" w:color="auto" w:fill="auto"/>
            <w:vAlign w:val="center"/>
          </w:tcPr>
          <w:p w14:paraId="2D3B07C2">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加强社区服务平台建设</w:t>
            </w:r>
          </w:p>
        </w:tc>
        <w:tc>
          <w:tcPr>
            <w:tcW w:w="0" w:type="auto"/>
            <w:vMerge w:val="restart"/>
            <w:shd w:val="clear" w:color="auto" w:fill="auto"/>
            <w:vAlign w:val="center"/>
          </w:tcPr>
          <w:p w14:paraId="0F4DBDF8">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加强阵地建设，统一规范场地和标识、人员着装、设置福彩公益金项目标识、切实做好民政领域社会服务成效宣传展示工作。</w:t>
            </w:r>
          </w:p>
        </w:tc>
        <w:tc>
          <w:tcPr>
            <w:tcW w:w="0" w:type="auto"/>
            <w:gridSpan w:val="2"/>
            <w:shd w:val="clear" w:color="auto" w:fill="auto"/>
            <w:vAlign w:val="center"/>
          </w:tcPr>
          <w:p w14:paraId="4EB65476">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Style w:val="19"/>
                <w:rFonts w:hint="default" w:ascii="FangSong_GB2312" w:hAnsi="FangSong_GB2312" w:cs="FangSong_GB2312"/>
                <w:b w:val="0"/>
                <w:bCs/>
                <w:color w:val="auto"/>
                <w:sz w:val="21"/>
                <w:szCs w:val="21"/>
                <w:lang w:bidi="ar"/>
              </w:rPr>
              <w:t>社工站独立建设，或统筹利用社会救助工作站、养老服务中心（站）、未成年人保护工作站、社会组织孵化基地、慈善服务站、精神障碍康复服务站等民政领域服务阵地，</w:t>
            </w:r>
            <w:r>
              <w:rPr>
                <w:rStyle w:val="19"/>
                <w:rFonts w:hint="eastAsia" w:ascii="FangSong_GB2312" w:hAnsi="FangSong_GB2312" w:cs="FangSong_GB2312"/>
                <w:b w:val="0"/>
                <w:bCs/>
                <w:color w:val="auto"/>
                <w:sz w:val="21"/>
                <w:szCs w:val="21"/>
                <w:lang w:val="en-US" w:eastAsia="zh-CN" w:bidi="ar"/>
              </w:rPr>
              <w:t>或</w:t>
            </w:r>
            <w:r>
              <w:rPr>
                <w:rStyle w:val="19"/>
                <w:rFonts w:hint="default" w:ascii="FangSong_GB2312" w:hAnsi="FangSong_GB2312" w:cs="FangSong_GB2312"/>
                <w:b w:val="0"/>
                <w:bCs/>
                <w:color w:val="auto"/>
                <w:sz w:val="21"/>
                <w:szCs w:val="21"/>
                <w:lang w:bidi="ar"/>
              </w:rPr>
              <w:t>综合利用苏木乡镇（街道）和城乡社区党群服务中心、新时代文明实践站（所）、社区服务中心、基层文化服务阵地等基层公共服务场所设立。</w:t>
            </w:r>
          </w:p>
        </w:tc>
      </w:tr>
      <w:tr w14:paraId="16D3A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trPr>
        <w:tc>
          <w:tcPr>
            <w:tcW w:w="0" w:type="auto"/>
            <w:vMerge w:val="continue"/>
            <w:shd w:val="clear" w:color="auto" w:fill="auto"/>
            <w:vAlign w:val="center"/>
          </w:tcPr>
          <w:p w14:paraId="6B953F48">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19D1C452">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2552CA56">
            <w:pPr>
              <w:jc w:val="center"/>
              <w:rPr>
                <w:rFonts w:hint="eastAsia" w:ascii="CESI仿宋-GB2312" w:hAnsi="CESI仿宋-GB2312" w:eastAsia="CESI仿宋-GB2312" w:cs="CESI仿宋-GB2312"/>
                <w:i w:val="0"/>
                <w:color w:val="auto"/>
                <w:sz w:val="20"/>
                <w:szCs w:val="20"/>
                <w:highlight w:val="none"/>
                <w:u w:val="none"/>
              </w:rPr>
            </w:pPr>
          </w:p>
        </w:tc>
        <w:tc>
          <w:tcPr>
            <w:tcW w:w="0" w:type="auto"/>
            <w:gridSpan w:val="2"/>
            <w:shd w:val="clear" w:color="auto" w:fill="auto"/>
            <w:vAlign w:val="center"/>
          </w:tcPr>
          <w:p w14:paraId="23792AA8">
            <w:pPr>
              <w:widowControl/>
              <w:rPr>
                <w:rStyle w:val="19"/>
                <w:rFonts w:hint="default" w:ascii="FangSong_GB2312" w:hAnsi="FangSong_GB2312" w:cs="FangSong_GB2312"/>
                <w:b w:val="0"/>
                <w:bCs/>
                <w:color w:val="auto"/>
                <w:sz w:val="21"/>
                <w:szCs w:val="21"/>
                <w:lang w:bidi="ar"/>
              </w:rPr>
            </w:pPr>
            <w:r>
              <w:rPr>
                <w:rStyle w:val="19"/>
                <w:rFonts w:hint="default" w:ascii="FangSong_GB2312" w:hAnsi="FangSong_GB2312" w:cs="FangSong_GB2312"/>
                <w:b w:val="0"/>
                <w:bCs/>
                <w:color w:val="auto"/>
                <w:sz w:val="21"/>
                <w:szCs w:val="21"/>
                <w:lang w:bidi="ar"/>
              </w:rPr>
              <w:t>①社工站场地具备满足日常所需的办公场所。</w:t>
            </w:r>
          </w:p>
          <w:p w14:paraId="32F83563">
            <w:pPr>
              <w:keepNext w:val="0"/>
              <w:keepLines w:val="0"/>
              <w:widowControl/>
              <w:suppressLineNumbers w:val="0"/>
              <w:jc w:val="both"/>
              <w:textAlignment w:val="center"/>
              <w:rPr>
                <w:rFonts w:hint="eastAsia" w:ascii="CESI仿宋-GB2312" w:hAnsi="CESI仿宋-GB2312" w:eastAsia="CESI仿宋-GB2312" w:cs="CESI仿宋-GB2312"/>
                <w:i w:val="0"/>
                <w:color w:val="auto"/>
                <w:sz w:val="20"/>
                <w:szCs w:val="20"/>
                <w:highlight w:val="none"/>
                <w:u w:val="none"/>
              </w:rPr>
            </w:pPr>
            <w:r>
              <w:rPr>
                <w:rStyle w:val="19"/>
                <w:rFonts w:hint="default" w:ascii="FangSong_GB2312" w:hAnsi="FangSong_GB2312" w:cs="FangSong_GB2312"/>
                <w:b w:val="0"/>
                <w:bCs/>
                <w:color w:val="auto"/>
                <w:sz w:val="21"/>
                <w:szCs w:val="21"/>
                <w:lang w:bidi="ar"/>
              </w:rPr>
              <w:t>②配备必要的</w:t>
            </w:r>
            <w:r>
              <w:rPr>
                <w:rStyle w:val="19"/>
                <w:rFonts w:hint="default" w:ascii="FangSong_GB2312" w:hAnsi="FangSong_GB2312" w:cs="FangSong_GB2312"/>
                <w:color w:val="auto"/>
                <w:sz w:val="21"/>
                <w:szCs w:val="21"/>
                <w:lang w:bidi="ar"/>
              </w:rPr>
              <w:t>桌椅、电脑、打印机、档案柜</w:t>
            </w:r>
            <w:r>
              <w:rPr>
                <w:rStyle w:val="19"/>
                <w:rFonts w:hint="default" w:ascii="FangSong_GB2312" w:hAnsi="FangSong_GB2312" w:cs="FangSong_GB2312"/>
                <w:b w:val="0"/>
                <w:bCs/>
                <w:color w:val="auto"/>
                <w:sz w:val="21"/>
                <w:szCs w:val="21"/>
                <w:lang w:bidi="ar"/>
              </w:rPr>
              <w:t>等办公设备。</w:t>
            </w:r>
          </w:p>
        </w:tc>
      </w:tr>
      <w:tr w14:paraId="64A97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trPr>
        <w:tc>
          <w:tcPr>
            <w:tcW w:w="0" w:type="auto"/>
            <w:vMerge w:val="continue"/>
            <w:shd w:val="clear" w:color="auto" w:fill="auto"/>
            <w:vAlign w:val="center"/>
          </w:tcPr>
          <w:p w14:paraId="4AC8EC98">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202E896F">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28C6CCB9">
            <w:pPr>
              <w:jc w:val="center"/>
              <w:rPr>
                <w:rFonts w:hint="eastAsia" w:ascii="CESI仿宋-GB2312" w:hAnsi="CESI仿宋-GB2312" w:eastAsia="CESI仿宋-GB2312" w:cs="CESI仿宋-GB2312"/>
                <w:i w:val="0"/>
                <w:color w:val="auto"/>
                <w:sz w:val="20"/>
                <w:szCs w:val="20"/>
                <w:highlight w:val="none"/>
                <w:u w:val="none"/>
              </w:rPr>
            </w:pPr>
          </w:p>
        </w:tc>
        <w:tc>
          <w:tcPr>
            <w:tcW w:w="0" w:type="auto"/>
            <w:gridSpan w:val="2"/>
            <w:shd w:val="clear" w:color="auto" w:fill="auto"/>
            <w:vAlign w:val="center"/>
          </w:tcPr>
          <w:p w14:paraId="796E5727">
            <w:pPr>
              <w:keepNext w:val="0"/>
              <w:keepLines w:val="0"/>
              <w:widowControl/>
              <w:suppressLineNumbers w:val="0"/>
              <w:jc w:val="left"/>
              <w:textAlignment w:val="center"/>
              <w:rPr>
                <w:rFonts w:hint="default" w:ascii="CESI仿宋-GB2312" w:hAnsi="CESI仿宋-GB2312" w:eastAsia="CESI仿宋-GB2312" w:cs="CESI仿宋-GB2312"/>
                <w:i w:val="0"/>
                <w:color w:val="auto"/>
                <w:sz w:val="20"/>
                <w:szCs w:val="20"/>
                <w:highlight w:val="none"/>
                <w:u w:val="none"/>
                <w:lang w:val="en-US"/>
              </w:rPr>
            </w:pPr>
            <w:r>
              <w:rPr>
                <w:rStyle w:val="19"/>
                <w:rFonts w:hint="default" w:ascii="FangSong_GB2312" w:hAnsi="FangSong_GB2312" w:cs="FangSong_GB2312"/>
                <w:b w:val="0"/>
                <w:bCs/>
                <w:color w:val="auto"/>
                <w:sz w:val="21"/>
                <w:szCs w:val="21"/>
                <w:lang w:bidi="ar"/>
              </w:rPr>
              <w:t>社工站服务活动场所布局合理，设立</w:t>
            </w:r>
            <w:r>
              <w:rPr>
                <w:rStyle w:val="19"/>
                <w:rFonts w:hint="default" w:ascii="FangSong_GB2312" w:hAnsi="FangSong_GB2312" w:cs="FangSong_GB2312"/>
                <w:color w:val="auto"/>
                <w:sz w:val="21"/>
                <w:szCs w:val="21"/>
                <w:lang w:bidi="ar"/>
              </w:rPr>
              <w:t>个案咨询室、小组活动室、多功能活动室</w:t>
            </w:r>
            <w:r>
              <w:rPr>
                <w:rStyle w:val="19"/>
                <w:rFonts w:hint="eastAsia" w:ascii="FangSong_GB2312" w:hAnsi="FangSong_GB2312" w:eastAsia="方正仿宋_GBK" w:cs="FangSong_GB2312"/>
                <w:color w:val="auto"/>
                <w:sz w:val="21"/>
                <w:szCs w:val="21"/>
                <w:lang w:eastAsia="zh-CN" w:bidi="ar"/>
              </w:rPr>
              <w:t>等</w:t>
            </w:r>
            <w:r>
              <w:rPr>
                <w:rStyle w:val="19"/>
                <w:rFonts w:hint="default" w:ascii="FangSong_GB2312" w:hAnsi="FangSong_GB2312" w:cs="FangSong_GB2312"/>
                <w:b w:val="0"/>
                <w:bCs/>
                <w:color w:val="auto"/>
                <w:sz w:val="21"/>
                <w:szCs w:val="21"/>
                <w:lang w:bidi="ar"/>
              </w:rPr>
              <w:t>。</w:t>
            </w:r>
            <w:r>
              <w:rPr>
                <w:rFonts w:hint="eastAsia" w:ascii="CESI仿宋-GB2312" w:hAnsi="CESI仿宋-GB2312" w:eastAsia="CESI仿宋-GB2312" w:cs="CESI仿宋-GB2312"/>
                <w:i w:val="0"/>
                <w:color w:val="auto"/>
                <w:kern w:val="0"/>
                <w:sz w:val="20"/>
                <w:szCs w:val="20"/>
                <w:highlight w:val="none"/>
                <w:u w:val="none"/>
                <w:lang w:val="en-US" w:eastAsia="zh-CN" w:bidi="ar"/>
              </w:rPr>
              <w:t>社工站所在社区应提供部分墙体、空间，用于展示社工站的服务内容剪影与文宣设计。</w:t>
            </w:r>
          </w:p>
        </w:tc>
      </w:tr>
      <w:tr w14:paraId="418A7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3B3A5EBC">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4EA9EF7A">
            <w:pPr>
              <w:jc w:val="center"/>
              <w:rPr>
                <w:rFonts w:hint="eastAsia" w:ascii="CESI仿宋-GB2312" w:hAnsi="CESI仿宋-GB2312" w:eastAsia="CESI仿宋-GB2312" w:cs="CESI仿宋-GB2312"/>
                <w:i w:val="0"/>
                <w:color w:val="auto"/>
                <w:sz w:val="20"/>
                <w:szCs w:val="20"/>
                <w:highlight w:val="none"/>
                <w:u w:val="none"/>
              </w:rPr>
            </w:pPr>
          </w:p>
        </w:tc>
        <w:tc>
          <w:tcPr>
            <w:tcW w:w="0" w:type="auto"/>
            <w:vMerge w:val="restart"/>
            <w:shd w:val="clear" w:color="auto" w:fill="auto"/>
            <w:vAlign w:val="center"/>
          </w:tcPr>
          <w:p w14:paraId="1D711FCC">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完善社工站的运行机制、规章制度、服务范围和服务流程等内容。</w:t>
            </w:r>
          </w:p>
        </w:tc>
        <w:tc>
          <w:tcPr>
            <w:tcW w:w="0" w:type="auto"/>
            <w:gridSpan w:val="2"/>
            <w:shd w:val="clear" w:color="auto" w:fill="auto"/>
            <w:vAlign w:val="center"/>
          </w:tcPr>
          <w:p w14:paraId="1EEEC6B4">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人员管理制度</w:t>
            </w:r>
          </w:p>
        </w:tc>
      </w:tr>
      <w:tr w14:paraId="23892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79F6D0B8">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683E0138">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29B37291">
            <w:pPr>
              <w:jc w:val="left"/>
              <w:rPr>
                <w:rFonts w:hint="eastAsia" w:ascii="CESI仿宋-GB2312" w:hAnsi="CESI仿宋-GB2312" w:eastAsia="CESI仿宋-GB2312" w:cs="CESI仿宋-GB2312"/>
                <w:i w:val="0"/>
                <w:color w:val="auto"/>
                <w:sz w:val="20"/>
                <w:szCs w:val="20"/>
                <w:highlight w:val="none"/>
                <w:u w:val="none"/>
              </w:rPr>
            </w:pPr>
          </w:p>
        </w:tc>
        <w:tc>
          <w:tcPr>
            <w:tcW w:w="0" w:type="auto"/>
            <w:gridSpan w:val="2"/>
            <w:shd w:val="clear" w:color="auto" w:fill="auto"/>
            <w:vAlign w:val="center"/>
          </w:tcPr>
          <w:p w14:paraId="2D2D2B3F">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财务管理制度</w:t>
            </w:r>
          </w:p>
        </w:tc>
      </w:tr>
      <w:tr w14:paraId="6C00A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234C2760">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433BF7A3">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13F4DFF0">
            <w:pPr>
              <w:jc w:val="left"/>
              <w:rPr>
                <w:rFonts w:hint="eastAsia" w:ascii="CESI仿宋-GB2312" w:hAnsi="CESI仿宋-GB2312" w:eastAsia="CESI仿宋-GB2312" w:cs="CESI仿宋-GB2312"/>
                <w:i w:val="0"/>
                <w:color w:val="auto"/>
                <w:sz w:val="20"/>
                <w:szCs w:val="20"/>
                <w:highlight w:val="none"/>
                <w:u w:val="none"/>
              </w:rPr>
            </w:pPr>
          </w:p>
        </w:tc>
        <w:tc>
          <w:tcPr>
            <w:tcW w:w="0" w:type="auto"/>
            <w:gridSpan w:val="2"/>
            <w:shd w:val="clear" w:color="auto" w:fill="auto"/>
            <w:vAlign w:val="center"/>
          </w:tcPr>
          <w:p w14:paraId="76A7A7BD">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志愿者管理制度</w:t>
            </w:r>
          </w:p>
        </w:tc>
      </w:tr>
      <w:tr w14:paraId="7C125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0" w:hRule="atLeast"/>
        </w:trPr>
        <w:tc>
          <w:tcPr>
            <w:tcW w:w="0" w:type="auto"/>
            <w:vMerge w:val="continue"/>
            <w:shd w:val="clear" w:color="auto" w:fill="auto"/>
            <w:vAlign w:val="center"/>
          </w:tcPr>
          <w:p w14:paraId="5B28D145">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4FC762DC">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53F07B96">
            <w:pPr>
              <w:jc w:val="left"/>
              <w:rPr>
                <w:rFonts w:hint="eastAsia" w:ascii="CESI仿宋-GB2312" w:hAnsi="CESI仿宋-GB2312" w:eastAsia="CESI仿宋-GB2312" w:cs="CESI仿宋-GB2312"/>
                <w:i w:val="0"/>
                <w:color w:val="auto"/>
                <w:sz w:val="20"/>
                <w:szCs w:val="20"/>
                <w:highlight w:val="none"/>
                <w:u w:val="none"/>
              </w:rPr>
            </w:pPr>
          </w:p>
        </w:tc>
        <w:tc>
          <w:tcPr>
            <w:tcW w:w="0" w:type="auto"/>
            <w:gridSpan w:val="2"/>
            <w:shd w:val="clear" w:color="auto" w:fill="auto"/>
            <w:vAlign w:val="center"/>
          </w:tcPr>
          <w:p w14:paraId="68162FD2">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服务场所使用管理制度</w:t>
            </w:r>
          </w:p>
        </w:tc>
      </w:tr>
      <w:tr w14:paraId="7B681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0" w:type="auto"/>
            <w:vMerge w:val="continue"/>
            <w:shd w:val="clear" w:color="auto" w:fill="auto"/>
            <w:vAlign w:val="center"/>
          </w:tcPr>
          <w:p w14:paraId="536FA342">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6134F294">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48C6F96F">
            <w:pPr>
              <w:jc w:val="left"/>
              <w:rPr>
                <w:rFonts w:hint="eastAsia" w:ascii="CESI仿宋-GB2312" w:hAnsi="CESI仿宋-GB2312" w:eastAsia="CESI仿宋-GB2312" w:cs="CESI仿宋-GB2312"/>
                <w:i w:val="0"/>
                <w:color w:val="auto"/>
                <w:sz w:val="20"/>
                <w:szCs w:val="20"/>
                <w:highlight w:val="none"/>
                <w:u w:val="none"/>
              </w:rPr>
            </w:pPr>
          </w:p>
        </w:tc>
        <w:tc>
          <w:tcPr>
            <w:tcW w:w="0" w:type="auto"/>
            <w:gridSpan w:val="2"/>
            <w:shd w:val="clear" w:color="auto" w:fill="auto"/>
            <w:vAlign w:val="center"/>
          </w:tcPr>
          <w:p w14:paraId="18D7E420">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文书档案管理制度</w:t>
            </w:r>
          </w:p>
        </w:tc>
      </w:tr>
      <w:tr w14:paraId="33DF3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0" w:type="auto"/>
            <w:vMerge w:val="continue"/>
            <w:shd w:val="clear" w:color="auto" w:fill="auto"/>
            <w:vAlign w:val="center"/>
          </w:tcPr>
          <w:p w14:paraId="181E60E3">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09CE396E">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6CF6B507">
            <w:pPr>
              <w:jc w:val="left"/>
              <w:rPr>
                <w:rFonts w:hint="eastAsia" w:ascii="CESI仿宋-GB2312" w:hAnsi="CESI仿宋-GB2312" w:eastAsia="CESI仿宋-GB2312" w:cs="CESI仿宋-GB2312"/>
                <w:i w:val="0"/>
                <w:color w:val="auto"/>
                <w:sz w:val="20"/>
                <w:szCs w:val="20"/>
                <w:highlight w:val="none"/>
                <w:u w:val="none"/>
              </w:rPr>
            </w:pPr>
          </w:p>
        </w:tc>
        <w:tc>
          <w:tcPr>
            <w:tcW w:w="0" w:type="auto"/>
            <w:gridSpan w:val="2"/>
            <w:shd w:val="clear" w:color="auto" w:fill="auto"/>
            <w:vAlign w:val="center"/>
          </w:tcPr>
          <w:p w14:paraId="63C4D7B1">
            <w:pPr>
              <w:keepNext w:val="0"/>
              <w:keepLines w:val="0"/>
              <w:widowControl/>
              <w:suppressLineNumbers w:val="0"/>
              <w:jc w:val="center"/>
              <w:textAlignment w:val="center"/>
              <w:rPr>
                <w:rFonts w:hint="default" w:ascii="CESI仿宋-GB2312" w:hAnsi="CESI仿宋-GB2312" w:eastAsia="CESI仿宋-GB2312" w:cs="CESI仿宋-GB2312"/>
                <w:i w:val="0"/>
                <w:color w:val="auto"/>
                <w:kern w:val="0"/>
                <w:sz w:val="20"/>
                <w:szCs w:val="20"/>
                <w:highlight w:val="none"/>
                <w:u w:val="none"/>
                <w:lang w:val="en-US" w:eastAsia="zh-CN" w:bidi="ar"/>
              </w:rPr>
            </w:pPr>
            <w:r>
              <w:rPr>
                <w:rFonts w:hint="eastAsia" w:ascii="CESI仿宋-GB2312" w:hAnsi="CESI仿宋-GB2312" w:eastAsia="CESI仿宋-GB2312" w:cs="CESI仿宋-GB2312"/>
                <w:i w:val="0"/>
                <w:color w:val="auto"/>
                <w:kern w:val="0"/>
                <w:sz w:val="20"/>
                <w:szCs w:val="20"/>
                <w:highlight w:val="none"/>
                <w:u w:val="none"/>
                <w:lang w:val="en-US" w:eastAsia="zh-CN" w:bidi="ar"/>
              </w:rPr>
              <w:t>人员保密制度</w:t>
            </w:r>
          </w:p>
        </w:tc>
      </w:tr>
      <w:tr w14:paraId="4AAE3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0" w:type="auto"/>
            <w:vMerge w:val="continue"/>
            <w:shd w:val="clear" w:color="auto" w:fill="auto"/>
            <w:vAlign w:val="center"/>
          </w:tcPr>
          <w:p w14:paraId="623DFACB">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328E43D0">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02DA1959">
            <w:pPr>
              <w:jc w:val="left"/>
              <w:rPr>
                <w:rFonts w:hint="eastAsia" w:ascii="CESI仿宋-GB2312" w:hAnsi="CESI仿宋-GB2312" w:eastAsia="CESI仿宋-GB2312" w:cs="CESI仿宋-GB2312"/>
                <w:i w:val="0"/>
                <w:color w:val="auto"/>
                <w:sz w:val="20"/>
                <w:szCs w:val="20"/>
                <w:highlight w:val="none"/>
                <w:u w:val="none"/>
              </w:rPr>
            </w:pPr>
          </w:p>
        </w:tc>
        <w:tc>
          <w:tcPr>
            <w:tcW w:w="0" w:type="auto"/>
            <w:gridSpan w:val="2"/>
            <w:shd w:val="clear" w:color="auto" w:fill="auto"/>
            <w:vAlign w:val="center"/>
          </w:tcPr>
          <w:p w14:paraId="03C3439B">
            <w:pPr>
              <w:keepNext w:val="0"/>
              <w:keepLines w:val="0"/>
              <w:widowControl/>
              <w:suppressLineNumbers w:val="0"/>
              <w:jc w:val="center"/>
              <w:textAlignment w:val="center"/>
              <w:rPr>
                <w:rFonts w:hint="default" w:ascii="CESI仿宋-GB2312" w:hAnsi="CESI仿宋-GB2312" w:eastAsia="CESI仿宋-GB2312" w:cs="CESI仿宋-GB2312"/>
                <w:i w:val="0"/>
                <w:color w:val="auto"/>
                <w:kern w:val="0"/>
                <w:sz w:val="20"/>
                <w:szCs w:val="20"/>
                <w:highlight w:val="none"/>
                <w:u w:val="none"/>
                <w:lang w:val="en-US" w:eastAsia="zh-CN" w:bidi="ar"/>
              </w:rPr>
            </w:pPr>
            <w:r>
              <w:rPr>
                <w:rFonts w:hint="eastAsia" w:ascii="CESI仿宋-GB2312" w:hAnsi="CESI仿宋-GB2312" w:eastAsia="CESI仿宋-GB2312" w:cs="CESI仿宋-GB2312"/>
                <w:i w:val="0"/>
                <w:color w:val="auto"/>
                <w:kern w:val="0"/>
                <w:sz w:val="20"/>
                <w:szCs w:val="20"/>
                <w:highlight w:val="none"/>
                <w:u w:val="none"/>
                <w:lang w:val="en-US" w:eastAsia="zh-CN" w:bidi="ar"/>
              </w:rPr>
              <w:t>人员培训制度</w:t>
            </w:r>
          </w:p>
        </w:tc>
      </w:tr>
      <w:tr w14:paraId="75854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40" w:hRule="atLeast"/>
        </w:trPr>
        <w:tc>
          <w:tcPr>
            <w:tcW w:w="0" w:type="auto"/>
            <w:vMerge w:val="continue"/>
            <w:shd w:val="clear" w:color="auto" w:fill="auto"/>
            <w:vAlign w:val="center"/>
          </w:tcPr>
          <w:p w14:paraId="4A39B6E6">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00A5D5C0">
            <w:pPr>
              <w:jc w:val="center"/>
              <w:rPr>
                <w:rFonts w:hint="eastAsia" w:ascii="CESI仿宋-GB2312" w:hAnsi="CESI仿宋-GB2312" w:eastAsia="CESI仿宋-GB2312" w:cs="CESI仿宋-GB2312"/>
                <w:i w:val="0"/>
                <w:color w:val="auto"/>
                <w:sz w:val="20"/>
                <w:szCs w:val="20"/>
                <w:highlight w:val="none"/>
                <w:u w:val="none"/>
              </w:rPr>
            </w:pPr>
          </w:p>
        </w:tc>
        <w:tc>
          <w:tcPr>
            <w:tcW w:w="0" w:type="auto"/>
            <w:vMerge w:val="restart"/>
            <w:shd w:val="clear" w:color="auto" w:fill="auto"/>
            <w:vAlign w:val="center"/>
          </w:tcPr>
          <w:p w14:paraId="022EFAFE">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规范组织架构与队伍建设。各级民政部门要健全由苏木乡镇（街道）分管领导兼任社工站站长，民政助理员、社会服务项目承接机构负责人任副站长，社会救助协理员、儿童督导员、儿童主任以及持有社工证的社会服务项目人员等为驻站人员的配备机制。</w:t>
            </w:r>
          </w:p>
        </w:tc>
        <w:tc>
          <w:tcPr>
            <w:tcW w:w="0" w:type="auto"/>
            <w:gridSpan w:val="2"/>
            <w:shd w:val="clear" w:color="auto" w:fill="auto"/>
            <w:vAlign w:val="center"/>
          </w:tcPr>
          <w:p w14:paraId="2481D724">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社工站组织架构图</w:t>
            </w:r>
          </w:p>
        </w:tc>
      </w:tr>
      <w:tr w14:paraId="4F7BD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40" w:hRule="atLeast"/>
        </w:trPr>
        <w:tc>
          <w:tcPr>
            <w:tcW w:w="0" w:type="auto"/>
            <w:vMerge w:val="continue"/>
            <w:shd w:val="clear" w:color="auto" w:fill="auto"/>
            <w:vAlign w:val="center"/>
          </w:tcPr>
          <w:p w14:paraId="79AF6286">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3D1587A2">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68C0CD21">
            <w:pPr>
              <w:jc w:val="left"/>
              <w:rPr>
                <w:rFonts w:hint="eastAsia" w:ascii="CESI仿宋-GB2312" w:hAnsi="CESI仿宋-GB2312" w:eastAsia="CESI仿宋-GB2312" w:cs="CESI仿宋-GB2312"/>
                <w:i w:val="0"/>
                <w:color w:val="auto"/>
                <w:sz w:val="20"/>
                <w:szCs w:val="20"/>
                <w:highlight w:val="none"/>
                <w:u w:val="none"/>
              </w:rPr>
            </w:pPr>
          </w:p>
        </w:tc>
        <w:tc>
          <w:tcPr>
            <w:tcW w:w="0" w:type="auto"/>
            <w:shd w:val="clear" w:color="auto" w:fill="auto"/>
            <w:vAlign w:val="center"/>
          </w:tcPr>
          <w:p w14:paraId="5A91C3B2">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驻站社工持证情况</w:t>
            </w:r>
          </w:p>
        </w:tc>
        <w:tc>
          <w:tcPr>
            <w:tcW w:w="0" w:type="auto"/>
            <w:shd w:val="clear" w:color="auto" w:fill="auto"/>
            <w:vAlign w:val="center"/>
          </w:tcPr>
          <w:p w14:paraId="7994B0DE">
            <w:pPr>
              <w:keepNext w:val="0"/>
              <w:keepLines w:val="0"/>
              <w:widowControl/>
              <w:suppressLineNumbers w:val="0"/>
              <w:jc w:val="both"/>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C00000"/>
                <w:kern w:val="0"/>
                <w:sz w:val="20"/>
                <w:szCs w:val="20"/>
                <w:highlight w:val="none"/>
                <w:u w:val="none"/>
                <w:lang w:val="en-US" w:eastAsia="zh-CN" w:bidi="ar"/>
              </w:rPr>
              <w:t>2名驻站社工，至少1人持证</w:t>
            </w:r>
          </w:p>
        </w:tc>
      </w:tr>
      <w:tr w14:paraId="67CCF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20" w:hRule="atLeast"/>
        </w:trPr>
        <w:tc>
          <w:tcPr>
            <w:tcW w:w="0" w:type="auto"/>
            <w:vMerge w:val="restart"/>
            <w:shd w:val="clear" w:color="auto" w:fill="auto"/>
            <w:vAlign w:val="center"/>
          </w:tcPr>
          <w:p w14:paraId="15A8D1A0">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2</w:t>
            </w:r>
          </w:p>
        </w:tc>
        <w:tc>
          <w:tcPr>
            <w:tcW w:w="0" w:type="auto"/>
            <w:vMerge w:val="restart"/>
            <w:shd w:val="clear" w:color="auto" w:fill="auto"/>
            <w:vAlign w:val="center"/>
          </w:tcPr>
          <w:p w14:paraId="4B86E2B0">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社会救助方面</w:t>
            </w:r>
          </w:p>
        </w:tc>
        <w:tc>
          <w:tcPr>
            <w:tcW w:w="0" w:type="auto"/>
            <w:shd w:val="clear" w:color="auto" w:fill="auto"/>
            <w:vAlign w:val="center"/>
          </w:tcPr>
          <w:p w14:paraId="6D7F0FB5">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由辖区提供社会救助人员名单，机构为名单中的人员开展调研，掌握社会救助人员的信息和基本情况，并建立工作台账，协助相关职能部门为其提供相应援助服务，形成需求清单。</w:t>
            </w:r>
          </w:p>
        </w:tc>
        <w:tc>
          <w:tcPr>
            <w:tcW w:w="0" w:type="auto"/>
            <w:vMerge w:val="restart"/>
            <w:shd w:val="clear" w:color="auto" w:fill="auto"/>
            <w:vAlign w:val="center"/>
          </w:tcPr>
          <w:p w14:paraId="2B2ECF63">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按辖区提供的社会救助人员档案数量开展工作</w:t>
            </w:r>
          </w:p>
        </w:tc>
        <w:tc>
          <w:tcPr>
            <w:tcW w:w="0" w:type="auto"/>
            <w:shd w:val="clear" w:color="auto" w:fill="auto"/>
            <w:vAlign w:val="center"/>
          </w:tcPr>
          <w:p w14:paraId="0665F98B">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辖区提供的社会救助人员档案人数</w:t>
            </w:r>
          </w:p>
        </w:tc>
      </w:tr>
      <w:tr w14:paraId="12F27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80" w:hRule="atLeast"/>
        </w:trPr>
        <w:tc>
          <w:tcPr>
            <w:tcW w:w="0" w:type="auto"/>
            <w:vMerge w:val="continue"/>
            <w:shd w:val="clear" w:color="auto" w:fill="auto"/>
            <w:vAlign w:val="center"/>
          </w:tcPr>
          <w:p w14:paraId="624503D6">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7047DCB9">
            <w:pPr>
              <w:jc w:val="center"/>
              <w:rPr>
                <w:rFonts w:hint="eastAsia" w:ascii="CESI仿宋-GB2312" w:hAnsi="CESI仿宋-GB2312" w:eastAsia="CESI仿宋-GB2312" w:cs="CESI仿宋-GB2312"/>
                <w:i w:val="0"/>
                <w:color w:val="auto"/>
                <w:sz w:val="20"/>
                <w:szCs w:val="20"/>
                <w:highlight w:val="none"/>
                <w:u w:val="none"/>
              </w:rPr>
            </w:pPr>
          </w:p>
        </w:tc>
        <w:tc>
          <w:tcPr>
            <w:tcW w:w="0" w:type="auto"/>
            <w:shd w:val="clear" w:color="auto" w:fill="auto"/>
            <w:vAlign w:val="center"/>
          </w:tcPr>
          <w:p w14:paraId="00C278AC">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为服务对象提供相关政策咨询、临时照护、紧急庇护转介、就业援助等服务</w:t>
            </w:r>
          </w:p>
        </w:tc>
        <w:tc>
          <w:tcPr>
            <w:tcW w:w="0" w:type="auto"/>
            <w:vMerge w:val="continue"/>
            <w:shd w:val="clear" w:color="auto" w:fill="auto"/>
            <w:vAlign w:val="center"/>
          </w:tcPr>
          <w:p w14:paraId="1550BC8F">
            <w:pPr>
              <w:jc w:val="center"/>
              <w:rPr>
                <w:rFonts w:hint="eastAsia" w:ascii="CESI仿宋-GB2312" w:hAnsi="CESI仿宋-GB2312" w:eastAsia="CESI仿宋-GB2312" w:cs="CESI仿宋-GB2312"/>
                <w:i w:val="0"/>
                <w:color w:val="auto"/>
                <w:sz w:val="20"/>
                <w:szCs w:val="20"/>
                <w:highlight w:val="none"/>
                <w:u w:val="none"/>
              </w:rPr>
            </w:pPr>
          </w:p>
        </w:tc>
        <w:tc>
          <w:tcPr>
            <w:tcW w:w="0" w:type="auto"/>
            <w:shd w:val="clear" w:color="auto" w:fill="auto"/>
            <w:vAlign w:val="center"/>
          </w:tcPr>
          <w:p w14:paraId="46F69A83">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≥2次/月</w:t>
            </w:r>
          </w:p>
        </w:tc>
      </w:tr>
      <w:tr w14:paraId="57536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20" w:hRule="atLeast"/>
        </w:trPr>
        <w:tc>
          <w:tcPr>
            <w:tcW w:w="0" w:type="auto"/>
            <w:vMerge w:val="continue"/>
            <w:shd w:val="clear" w:color="auto" w:fill="auto"/>
            <w:vAlign w:val="center"/>
          </w:tcPr>
          <w:p w14:paraId="1614FD8D">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7BC9AFF8">
            <w:pPr>
              <w:jc w:val="center"/>
              <w:rPr>
                <w:rFonts w:hint="eastAsia" w:ascii="CESI仿宋-GB2312" w:hAnsi="CESI仿宋-GB2312" w:eastAsia="CESI仿宋-GB2312" w:cs="CESI仿宋-GB2312"/>
                <w:i w:val="0"/>
                <w:color w:val="auto"/>
                <w:sz w:val="20"/>
                <w:szCs w:val="20"/>
                <w:highlight w:val="none"/>
                <w:u w:val="none"/>
              </w:rPr>
            </w:pPr>
          </w:p>
        </w:tc>
        <w:tc>
          <w:tcPr>
            <w:tcW w:w="0" w:type="auto"/>
            <w:shd w:val="clear" w:color="auto" w:fill="auto"/>
            <w:vAlign w:val="center"/>
          </w:tcPr>
          <w:p w14:paraId="4B584C62">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开展物质帮扶、心理咨询、情绪辅导、压力疏解、情感关怀等服务</w:t>
            </w:r>
          </w:p>
        </w:tc>
        <w:tc>
          <w:tcPr>
            <w:tcW w:w="0" w:type="auto"/>
            <w:vMerge w:val="continue"/>
            <w:shd w:val="clear" w:color="auto" w:fill="auto"/>
            <w:vAlign w:val="center"/>
          </w:tcPr>
          <w:p w14:paraId="5AE98FA8">
            <w:pPr>
              <w:jc w:val="center"/>
              <w:rPr>
                <w:rFonts w:hint="eastAsia" w:ascii="CESI仿宋-GB2312" w:hAnsi="CESI仿宋-GB2312" w:eastAsia="CESI仿宋-GB2312" w:cs="CESI仿宋-GB2312"/>
                <w:i w:val="0"/>
                <w:color w:val="auto"/>
                <w:sz w:val="20"/>
                <w:szCs w:val="20"/>
                <w:highlight w:val="none"/>
                <w:u w:val="none"/>
              </w:rPr>
            </w:pPr>
          </w:p>
        </w:tc>
        <w:tc>
          <w:tcPr>
            <w:tcW w:w="0" w:type="auto"/>
            <w:shd w:val="clear" w:color="auto" w:fill="auto"/>
            <w:vAlign w:val="center"/>
          </w:tcPr>
          <w:p w14:paraId="642C46C6">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≥2次/月</w:t>
            </w:r>
          </w:p>
        </w:tc>
      </w:tr>
      <w:tr w14:paraId="7A8DF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20" w:hRule="atLeast"/>
        </w:trPr>
        <w:tc>
          <w:tcPr>
            <w:tcW w:w="0" w:type="auto"/>
            <w:vMerge w:val="continue"/>
            <w:shd w:val="clear" w:color="auto" w:fill="auto"/>
            <w:vAlign w:val="center"/>
          </w:tcPr>
          <w:p w14:paraId="5DBCDD2D">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0A671BDA">
            <w:pPr>
              <w:jc w:val="center"/>
              <w:rPr>
                <w:rFonts w:hint="eastAsia" w:ascii="CESI仿宋-GB2312" w:hAnsi="CESI仿宋-GB2312" w:eastAsia="CESI仿宋-GB2312" w:cs="CESI仿宋-GB2312"/>
                <w:i w:val="0"/>
                <w:color w:val="auto"/>
                <w:sz w:val="20"/>
                <w:szCs w:val="20"/>
                <w:highlight w:val="none"/>
                <w:u w:val="none"/>
              </w:rPr>
            </w:pPr>
          </w:p>
        </w:tc>
        <w:tc>
          <w:tcPr>
            <w:tcW w:w="0" w:type="auto"/>
            <w:vMerge w:val="restart"/>
            <w:shd w:val="clear" w:color="auto" w:fill="auto"/>
            <w:vAlign w:val="center"/>
          </w:tcPr>
          <w:p w14:paraId="4CAF08A6">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对低保低收入家庭、特困家庭等，开展定期巡访和电话问候，积极防范和及时发现意外风险。提高上门服务频率。</w:t>
            </w:r>
          </w:p>
        </w:tc>
        <w:tc>
          <w:tcPr>
            <w:tcW w:w="0" w:type="auto"/>
            <w:shd w:val="clear" w:color="auto" w:fill="auto"/>
            <w:vAlign w:val="center"/>
          </w:tcPr>
          <w:p w14:paraId="7609231C">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建立需要跟踪回访人员台账</w:t>
            </w:r>
          </w:p>
        </w:tc>
        <w:tc>
          <w:tcPr>
            <w:tcW w:w="0" w:type="auto"/>
            <w:shd w:val="clear" w:color="auto" w:fill="auto"/>
            <w:vAlign w:val="center"/>
          </w:tcPr>
          <w:p w14:paraId="4B4FF15F">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台账1份</w:t>
            </w:r>
          </w:p>
        </w:tc>
      </w:tr>
      <w:tr w14:paraId="2D16D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20" w:hRule="atLeast"/>
        </w:trPr>
        <w:tc>
          <w:tcPr>
            <w:tcW w:w="0" w:type="auto"/>
            <w:vMerge w:val="continue"/>
            <w:shd w:val="clear" w:color="auto" w:fill="auto"/>
            <w:vAlign w:val="center"/>
          </w:tcPr>
          <w:p w14:paraId="7C0E6A71">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0916FD97">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2F877968">
            <w:pPr>
              <w:jc w:val="left"/>
              <w:rPr>
                <w:rFonts w:hint="eastAsia" w:ascii="CESI仿宋-GB2312" w:hAnsi="CESI仿宋-GB2312" w:eastAsia="CESI仿宋-GB2312" w:cs="CESI仿宋-GB2312"/>
                <w:i w:val="0"/>
                <w:color w:val="auto"/>
                <w:sz w:val="20"/>
                <w:szCs w:val="20"/>
                <w:highlight w:val="none"/>
                <w:u w:val="none"/>
              </w:rPr>
            </w:pPr>
          </w:p>
        </w:tc>
        <w:tc>
          <w:tcPr>
            <w:tcW w:w="0" w:type="auto"/>
            <w:shd w:val="clear" w:color="auto" w:fill="auto"/>
            <w:vAlign w:val="center"/>
          </w:tcPr>
          <w:p w14:paraId="16E90CD8">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开展回访次数</w:t>
            </w:r>
          </w:p>
        </w:tc>
        <w:tc>
          <w:tcPr>
            <w:tcW w:w="0" w:type="auto"/>
            <w:shd w:val="clear" w:color="auto" w:fill="auto"/>
            <w:vAlign w:val="center"/>
          </w:tcPr>
          <w:p w14:paraId="28CC23C7">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≥1次/季度</w:t>
            </w:r>
          </w:p>
        </w:tc>
      </w:tr>
      <w:tr w14:paraId="57A9A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80" w:hRule="atLeast"/>
        </w:trPr>
        <w:tc>
          <w:tcPr>
            <w:tcW w:w="0" w:type="auto"/>
            <w:vMerge w:val="continue"/>
            <w:shd w:val="clear" w:color="auto" w:fill="auto"/>
            <w:vAlign w:val="center"/>
          </w:tcPr>
          <w:p w14:paraId="1B78E409">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45CCCC33">
            <w:pPr>
              <w:jc w:val="center"/>
              <w:rPr>
                <w:rFonts w:hint="eastAsia" w:ascii="CESI仿宋-GB2312" w:hAnsi="CESI仿宋-GB2312" w:eastAsia="CESI仿宋-GB2312" w:cs="CESI仿宋-GB2312"/>
                <w:i w:val="0"/>
                <w:color w:val="auto"/>
                <w:sz w:val="20"/>
                <w:szCs w:val="20"/>
                <w:highlight w:val="none"/>
                <w:u w:val="none"/>
              </w:rPr>
            </w:pPr>
          </w:p>
        </w:tc>
        <w:tc>
          <w:tcPr>
            <w:tcW w:w="0" w:type="auto"/>
            <w:vMerge w:val="restart"/>
            <w:shd w:val="clear" w:color="auto" w:fill="auto"/>
            <w:vAlign w:val="center"/>
          </w:tcPr>
          <w:p w14:paraId="116DBC28">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按辖区提供的社会救助档案人员中，为有需要的困难人群开展专门的社会工作服务。</w:t>
            </w:r>
          </w:p>
        </w:tc>
        <w:tc>
          <w:tcPr>
            <w:tcW w:w="0" w:type="auto"/>
            <w:shd w:val="clear" w:color="auto" w:fill="auto"/>
            <w:vAlign w:val="center"/>
          </w:tcPr>
          <w:p w14:paraId="07AEE374">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开展个案服务个数</w:t>
            </w:r>
          </w:p>
        </w:tc>
        <w:tc>
          <w:tcPr>
            <w:tcW w:w="0" w:type="auto"/>
            <w:shd w:val="clear" w:color="auto" w:fill="auto"/>
            <w:vAlign w:val="center"/>
          </w:tcPr>
          <w:p w14:paraId="7CC7B1AF">
            <w:pPr>
              <w:keepNext w:val="0"/>
              <w:keepLines w:val="0"/>
              <w:widowControl/>
              <w:suppressLineNumbers w:val="0"/>
              <w:jc w:val="left"/>
              <w:textAlignment w:val="center"/>
              <w:rPr>
                <w:rFonts w:hint="eastAsia" w:ascii="CESI仿宋-GB2312" w:hAnsi="CESI仿宋-GB2312" w:eastAsia="CESI仿宋-GB2312" w:cs="CESI仿宋-GB2312"/>
                <w:i w:val="0"/>
                <w:color w:val="FF0000"/>
                <w:sz w:val="20"/>
                <w:szCs w:val="20"/>
                <w:highlight w:val="none"/>
                <w:u w:val="none"/>
              </w:rPr>
            </w:pPr>
            <w:r>
              <w:rPr>
                <w:rFonts w:hint="eastAsia" w:ascii="CESI仿宋-GB2312" w:hAnsi="CESI仿宋-GB2312" w:eastAsia="CESI仿宋-GB2312" w:cs="CESI仿宋-GB2312"/>
                <w:i w:val="0"/>
                <w:color w:val="FF0000"/>
                <w:kern w:val="0"/>
                <w:sz w:val="20"/>
                <w:szCs w:val="20"/>
                <w:highlight w:val="none"/>
                <w:u w:val="none"/>
                <w:lang w:val="en-US" w:eastAsia="zh-CN" w:bidi="ar"/>
              </w:rPr>
              <w:t>5个个案、每个5节</w:t>
            </w:r>
          </w:p>
        </w:tc>
      </w:tr>
      <w:tr w14:paraId="72933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80" w:hRule="atLeast"/>
        </w:trPr>
        <w:tc>
          <w:tcPr>
            <w:tcW w:w="0" w:type="auto"/>
            <w:vMerge w:val="continue"/>
            <w:shd w:val="clear" w:color="auto" w:fill="auto"/>
            <w:vAlign w:val="center"/>
          </w:tcPr>
          <w:p w14:paraId="72A29174">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08CD1547">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7E97BA7D">
            <w:pPr>
              <w:jc w:val="left"/>
              <w:rPr>
                <w:rFonts w:hint="eastAsia" w:ascii="CESI仿宋-GB2312" w:hAnsi="CESI仿宋-GB2312" w:eastAsia="CESI仿宋-GB2312" w:cs="CESI仿宋-GB2312"/>
                <w:i w:val="0"/>
                <w:color w:val="auto"/>
                <w:sz w:val="20"/>
                <w:szCs w:val="20"/>
                <w:highlight w:val="none"/>
                <w:u w:val="none"/>
              </w:rPr>
            </w:pPr>
          </w:p>
        </w:tc>
        <w:tc>
          <w:tcPr>
            <w:tcW w:w="0" w:type="auto"/>
            <w:shd w:val="clear" w:color="auto" w:fill="auto"/>
            <w:vAlign w:val="center"/>
          </w:tcPr>
          <w:p w14:paraId="3B05263B">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开展小组服务个数</w:t>
            </w:r>
          </w:p>
        </w:tc>
        <w:tc>
          <w:tcPr>
            <w:tcW w:w="0" w:type="auto"/>
            <w:shd w:val="clear" w:color="auto" w:fill="auto"/>
            <w:vAlign w:val="center"/>
          </w:tcPr>
          <w:p w14:paraId="349BD2B8">
            <w:pPr>
              <w:keepNext w:val="0"/>
              <w:keepLines w:val="0"/>
              <w:widowControl/>
              <w:suppressLineNumbers w:val="0"/>
              <w:jc w:val="left"/>
              <w:textAlignment w:val="center"/>
              <w:rPr>
                <w:rFonts w:hint="eastAsia" w:ascii="CESI仿宋-GB2312" w:hAnsi="CESI仿宋-GB2312" w:eastAsia="CESI仿宋-GB2312" w:cs="CESI仿宋-GB2312"/>
                <w:i w:val="0"/>
                <w:color w:val="FF0000"/>
                <w:sz w:val="20"/>
                <w:szCs w:val="20"/>
                <w:highlight w:val="none"/>
                <w:u w:val="none"/>
              </w:rPr>
            </w:pPr>
            <w:r>
              <w:rPr>
                <w:rFonts w:hint="eastAsia" w:ascii="CESI仿宋-GB2312" w:hAnsi="CESI仿宋-GB2312" w:eastAsia="CESI仿宋-GB2312" w:cs="CESI仿宋-GB2312"/>
                <w:i w:val="0"/>
                <w:color w:val="FF0000"/>
                <w:kern w:val="0"/>
                <w:sz w:val="20"/>
                <w:szCs w:val="20"/>
                <w:highlight w:val="none"/>
                <w:u w:val="none"/>
                <w:lang w:val="en-US" w:eastAsia="zh-CN" w:bidi="ar"/>
              </w:rPr>
              <w:t>6个小组、每个5节（每节不得少于6人）</w:t>
            </w:r>
          </w:p>
        </w:tc>
      </w:tr>
      <w:tr w14:paraId="73181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80" w:hRule="atLeast"/>
        </w:trPr>
        <w:tc>
          <w:tcPr>
            <w:tcW w:w="0" w:type="auto"/>
            <w:vMerge w:val="continue"/>
            <w:shd w:val="clear" w:color="auto" w:fill="auto"/>
            <w:vAlign w:val="center"/>
          </w:tcPr>
          <w:p w14:paraId="59F13311">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76407166">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62CDBC22">
            <w:pPr>
              <w:jc w:val="left"/>
              <w:rPr>
                <w:rFonts w:hint="eastAsia" w:ascii="CESI仿宋-GB2312" w:hAnsi="CESI仿宋-GB2312" w:eastAsia="CESI仿宋-GB2312" w:cs="CESI仿宋-GB2312"/>
                <w:i w:val="0"/>
                <w:color w:val="auto"/>
                <w:sz w:val="20"/>
                <w:szCs w:val="20"/>
                <w:highlight w:val="none"/>
                <w:u w:val="none"/>
              </w:rPr>
            </w:pPr>
          </w:p>
        </w:tc>
        <w:tc>
          <w:tcPr>
            <w:tcW w:w="0" w:type="auto"/>
            <w:shd w:val="clear" w:color="auto" w:fill="auto"/>
            <w:vAlign w:val="center"/>
          </w:tcPr>
          <w:p w14:paraId="213B6632">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服务成功案例个数</w:t>
            </w:r>
          </w:p>
        </w:tc>
        <w:tc>
          <w:tcPr>
            <w:tcW w:w="0" w:type="auto"/>
            <w:shd w:val="clear" w:color="auto" w:fill="auto"/>
            <w:vAlign w:val="center"/>
          </w:tcPr>
          <w:p w14:paraId="2D380370">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≥1个</w:t>
            </w:r>
          </w:p>
        </w:tc>
      </w:tr>
      <w:tr w14:paraId="0A008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20" w:hRule="atLeast"/>
        </w:trPr>
        <w:tc>
          <w:tcPr>
            <w:tcW w:w="0" w:type="auto"/>
            <w:vMerge w:val="restart"/>
            <w:shd w:val="clear" w:color="auto" w:fill="auto"/>
            <w:vAlign w:val="center"/>
          </w:tcPr>
          <w:p w14:paraId="2FDDB16D">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3</w:t>
            </w:r>
          </w:p>
        </w:tc>
        <w:tc>
          <w:tcPr>
            <w:tcW w:w="0" w:type="auto"/>
            <w:vMerge w:val="restart"/>
            <w:shd w:val="clear" w:color="auto" w:fill="auto"/>
            <w:vAlign w:val="center"/>
          </w:tcPr>
          <w:p w14:paraId="2461D55D">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养老服务方面</w:t>
            </w:r>
          </w:p>
        </w:tc>
        <w:tc>
          <w:tcPr>
            <w:tcW w:w="0" w:type="auto"/>
            <w:shd w:val="clear" w:color="auto" w:fill="auto"/>
            <w:vAlign w:val="center"/>
          </w:tcPr>
          <w:p w14:paraId="6E57ED0E">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辖区提供困难老人名单，机构为名单人员开展调研，掌握特殊困难老年人群的信息和基本情况，并建立工作台账，协助相关职能部门为其提供相应援助服务，形成需求清单。</w:t>
            </w:r>
          </w:p>
        </w:tc>
        <w:tc>
          <w:tcPr>
            <w:tcW w:w="0" w:type="auto"/>
            <w:vMerge w:val="restart"/>
            <w:shd w:val="clear" w:color="auto" w:fill="auto"/>
            <w:vAlign w:val="center"/>
          </w:tcPr>
          <w:p w14:paraId="2ED22F69">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按辖区提供的困难老人档案数量开展工作</w:t>
            </w:r>
          </w:p>
        </w:tc>
        <w:tc>
          <w:tcPr>
            <w:tcW w:w="0" w:type="auto"/>
            <w:shd w:val="clear" w:color="auto" w:fill="auto"/>
            <w:vAlign w:val="center"/>
          </w:tcPr>
          <w:p w14:paraId="368063D9">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辖区提供的困难老人档案人数</w:t>
            </w:r>
          </w:p>
        </w:tc>
      </w:tr>
      <w:tr w14:paraId="07F43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60" w:hRule="atLeast"/>
        </w:trPr>
        <w:tc>
          <w:tcPr>
            <w:tcW w:w="0" w:type="auto"/>
            <w:vMerge w:val="continue"/>
            <w:shd w:val="clear" w:color="auto" w:fill="auto"/>
            <w:vAlign w:val="center"/>
          </w:tcPr>
          <w:p w14:paraId="2802293C">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309CB480">
            <w:pPr>
              <w:jc w:val="center"/>
              <w:rPr>
                <w:rFonts w:hint="eastAsia" w:ascii="CESI仿宋-GB2312" w:hAnsi="CESI仿宋-GB2312" w:eastAsia="CESI仿宋-GB2312" w:cs="CESI仿宋-GB2312"/>
                <w:i w:val="0"/>
                <w:color w:val="auto"/>
                <w:sz w:val="20"/>
                <w:szCs w:val="20"/>
                <w:highlight w:val="none"/>
                <w:u w:val="none"/>
              </w:rPr>
            </w:pPr>
          </w:p>
        </w:tc>
        <w:tc>
          <w:tcPr>
            <w:tcW w:w="0" w:type="auto"/>
            <w:shd w:val="clear" w:color="auto" w:fill="auto"/>
            <w:vAlign w:val="center"/>
          </w:tcPr>
          <w:p w14:paraId="6239CF9D">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协助做好养老服务政策宣传、摸底调查、福利保障等服务，链接社区照顾、日托、居家养老、医疗健康等服务资源，及时做好服务转介。提供学习增能、临时帮困、居家安全、文化娱乐以及政策咨询等服务。</w:t>
            </w:r>
          </w:p>
        </w:tc>
        <w:tc>
          <w:tcPr>
            <w:tcW w:w="0" w:type="auto"/>
            <w:vMerge w:val="continue"/>
            <w:shd w:val="clear" w:color="auto" w:fill="auto"/>
            <w:vAlign w:val="center"/>
          </w:tcPr>
          <w:p w14:paraId="160C3A1F">
            <w:pPr>
              <w:jc w:val="center"/>
              <w:rPr>
                <w:rFonts w:hint="eastAsia" w:ascii="CESI仿宋-GB2312" w:hAnsi="CESI仿宋-GB2312" w:eastAsia="CESI仿宋-GB2312" w:cs="CESI仿宋-GB2312"/>
                <w:i w:val="0"/>
                <w:color w:val="auto"/>
                <w:sz w:val="20"/>
                <w:szCs w:val="20"/>
                <w:highlight w:val="none"/>
                <w:u w:val="none"/>
              </w:rPr>
            </w:pPr>
          </w:p>
        </w:tc>
        <w:tc>
          <w:tcPr>
            <w:tcW w:w="0" w:type="auto"/>
            <w:shd w:val="clear" w:color="auto" w:fill="auto"/>
            <w:vAlign w:val="center"/>
          </w:tcPr>
          <w:p w14:paraId="54BB38F7">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≥2次/月</w:t>
            </w:r>
          </w:p>
        </w:tc>
      </w:tr>
      <w:tr w14:paraId="3D84D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80" w:hRule="atLeast"/>
        </w:trPr>
        <w:tc>
          <w:tcPr>
            <w:tcW w:w="0" w:type="auto"/>
            <w:vMerge w:val="continue"/>
            <w:shd w:val="clear" w:color="auto" w:fill="auto"/>
            <w:vAlign w:val="center"/>
          </w:tcPr>
          <w:p w14:paraId="547B2AA1">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62A7A8CB">
            <w:pPr>
              <w:jc w:val="center"/>
              <w:rPr>
                <w:rFonts w:hint="eastAsia" w:ascii="CESI仿宋-GB2312" w:hAnsi="CESI仿宋-GB2312" w:eastAsia="CESI仿宋-GB2312" w:cs="CESI仿宋-GB2312"/>
                <w:i w:val="0"/>
                <w:color w:val="auto"/>
                <w:sz w:val="20"/>
                <w:szCs w:val="20"/>
                <w:highlight w:val="none"/>
                <w:u w:val="none"/>
              </w:rPr>
            </w:pPr>
          </w:p>
        </w:tc>
        <w:tc>
          <w:tcPr>
            <w:tcW w:w="0" w:type="auto"/>
            <w:shd w:val="clear" w:color="auto" w:fill="auto"/>
            <w:vAlign w:val="center"/>
          </w:tcPr>
          <w:p w14:paraId="4E30DC42">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开展心理情绪辅导、健康管理支援，疾病预防支援、权益保障支援、代际关系协调、社会适应支援、社交支援、社会参与支援等服务。</w:t>
            </w:r>
          </w:p>
        </w:tc>
        <w:tc>
          <w:tcPr>
            <w:tcW w:w="0" w:type="auto"/>
            <w:vMerge w:val="continue"/>
            <w:shd w:val="clear" w:color="auto" w:fill="auto"/>
            <w:vAlign w:val="center"/>
          </w:tcPr>
          <w:p w14:paraId="10933D6A">
            <w:pPr>
              <w:jc w:val="center"/>
              <w:rPr>
                <w:rFonts w:hint="eastAsia" w:ascii="CESI仿宋-GB2312" w:hAnsi="CESI仿宋-GB2312" w:eastAsia="CESI仿宋-GB2312" w:cs="CESI仿宋-GB2312"/>
                <w:i w:val="0"/>
                <w:color w:val="auto"/>
                <w:sz w:val="20"/>
                <w:szCs w:val="20"/>
                <w:highlight w:val="none"/>
                <w:u w:val="none"/>
              </w:rPr>
            </w:pPr>
          </w:p>
        </w:tc>
        <w:tc>
          <w:tcPr>
            <w:tcW w:w="0" w:type="auto"/>
            <w:shd w:val="clear" w:color="auto" w:fill="auto"/>
            <w:vAlign w:val="center"/>
          </w:tcPr>
          <w:p w14:paraId="40F935B0">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≥2次/月</w:t>
            </w:r>
          </w:p>
        </w:tc>
      </w:tr>
      <w:tr w14:paraId="46640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0" w:hRule="atLeast"/>
        </w:trPr>
        <w:tc>
          <w:tcPr>
            <w:tcW w:w="0" w:type="auto"/>
            <w:vMerge w:val="continue"/>
            <w:shd w:val="clear" w:color="auto" w:fill="auto"/>
            <w:vAlign w:val="center"/>
          </w:tcPr>
          <w:p w14:paraId="700E8711">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39475F6F">
            <w:pPr>
              <w:jc w:val="center"/>
              <w:rPr>
                <w:rFonts w:hint="eastAsia" w:ascii="CESI仿宋-GB2312" w:hAnsi="CESI仿宋-GB2312" w:eastAsia="CESI仿宋-GB2312" w:cs="CESI仿宋-GB2312"/>
                <w:i w:val="0"/>
                <w:color w:val="auto"/>
                <w:sz w:val="20"/>
                <w:szCs w:val="20"/>
                <w:highlight w:val="none"/>
                <w:u w:val="none"/>
              </w:rPr>
            </w:pPr>
          </w:p>
        </w:tc>
        <w:tc>
          <w:tcPr>
            <w:tcW w:w="0" w:type="auto"/>
            <w:vMerge w:val="restart"/>
            <w:shd w:val="clear" w:color="auto" w:fill="auto"/>
            <w:vAlign w:val="center"/>
          </w:tcPr>
          <w:p w14:paraId="6F9362CD">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对独自生活的特困、空巢、留守等老年人开展定期巡访和电话问候，积极防范和及时发现意外风险。对散居在家的失能、半失能老年人加强关注，提高上门服务频率。</w:t>
            </w:r>
          </w:p>
        </w:tc>
        <w:tc>
          <w:tcPr>
            <w:tcW w:w="0" w:type="auto"/>
            <w:shd w:val="clear" w:color="auto" w:fill="auto"/>
            <w:vAlign w:val="center"/>
          </w:tcPr>
          <w:p w14:paraId="24558AF9">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建立需要跟踪回访人员台账</w:t>
            </w:r>
          </w:p>
        </w:tc>
        <w:tc>
          <w:tcPr>
            <w:tcW w:w="0" w:type="auto"/>
            <w:shd w:val="clear" w:color="auto" w:fill="auto"/>
            <w:vAlign w:val="center"/>
          </w:tcPr>
          <w:p w14:paraId="5F6B215F">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台账1份</w:t>
            </w:r>
          </w:p>
        </w:tc>
      </w:tr>
      <w:tr w14:paraId="01826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80" w:hRule="atLeast"/>
        </w:trPr>
        <w:tc>
          <w:tcPr>
            <w:tcW w:w="0" w:type="auto"/>
            <w:vMerge w:val="continue"/>
            <w:shd w:val="clear" w:color="auto" w:fill="auto"/>
            <w:vAlign w:val="center"/>
          </w:tcPr>
          <w:p w14:paraId="7D1C5613">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11D5EEA4">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525E7374">
            <w:pPr>
              <w:jc w:val="left"/>
              <w:rPr>
                <w:rFonts w:hint="eastAsia" w:ascii="CESI仿宋-GB2312" w:hAnsi="CESI仿宋-GB2312" w:eastAsia="CESI仿宋-GB2312" w:cs="CESI仿宋-GB2312"/>
                <w:i w:val="0"/>
                <w:color w:val="auto"/>
                <w:sz w:val="20"/>
                <w:szCs w:val="20"/>
                <w:highlight w:val="none"/>
                <w:u w:val="none"/>
              </w:rPr>
            </w:pPr>
          </w:p>
        </w:tc>
        <w:tc>
          <w:tcPr>
            <w:tcW w:w="0" w:type="auto"/>
            <w:shd w:val="clear" w:color="auto" w:fill="auto"/>
            <w:vAlign w:val="center"/>
          </w:tcPr>
          <w:p w14:paraId="1FCDFDFC">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开展回访次数</w:t>
            </w:r>
          </w:p>
        </w:tc>
        <w:tc>
          <w:tcPr>
            <w:tcW w:w="0" w:type="auto"/>
            <w:shd w:val="clear" w:color="auto" w:fill="auto"/>
            <w:vAlign w:val="center"/>
          </w:tcPr>
          <w:p w14:paraId="48CD3DFF">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≥1次/季度</w:t>
            </w:r>
          </w:p>
        </w:tc>
      </w:tr>
      <w:tr w14:paraId="69DE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80" w:hRule="atLeast"/>
        </w:trPr>
        <w:tc>
          <w:tcPr>
            <w:tcW w:w="0" w:type="auto"/>
            <w:vMerge w:val="continue"/>
            <w:shd w:val="clear" w:color="auto" w:fill="auto"/>
            <w:vAlign w:val="center"/>
          </w:tcPr>
          <w:p w14:paraId="12192601">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5E842E86">
            <w:pPr>
              <w:jc w:val="center"/>
              <w:rPr>
                <w:rFonts w:hint="eastAsia" w:ascii="CESI仿宋-GB2312" w:hAnsi="CESI仿宋-GB2312" w:eastAsia="CESI仿宋-GB2312" w:cs="CESI仿宋-GB2312"/>
                <w:i w:val="0"/>
                <w:color w:val="auto"/>
                <w:sz w:val="20"/>
                <w:szCs w:val="20"/>
                <w:highlight w:val="none"/>
                <w:u w:val="none"/>
              </w:rPr>
            </w:pPr>
          </w:p>
        </w:tc>
        <w:tc>
          <w:tcPr>
            <w:tcW w:w="0" w:type="auto"/>
            <w:vMerge w:val="restart"/>
            <w:shd w:val="clear" w:color="auto" w:fill="auto"/>
            <w:vAlign w:val="center"/>
          </w:tcPr>
          <w:p w14:paraId="6556151B">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按辖区提供的困难老人档案人员中，为有需要的老人开展专门的社会工作服务。</w:t>
            </w:r>
          </w:p>
        </w:tc>
        <w:tc>
          <w:tcPr>
            <w:tcW w:w="0" w:type="auto"/>
            <w:shd w:val="clear" w:color="auto" w:fill="auto"/>
            <w:vAlign w:val="center"/>
          </w:tcPr>
          <w:p w14:paraId="1FC8EE3A">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开展个案服务个数</w:t>
            </w:r>
          </w:p>
        </w:tc>
        <w:tc>
          <w:tcPr>
            <w:tcW w:w="0" w:type="auto"/>
            <w:shd w:val="clear" w:color="auto" w:fill="auto"/>
            <w:vAlign w:val="center"/>
          </w:tcPr>
          <w:p w14:paraId="5C2FCA02">
            <w:pPr>
              <w:keepNext w:val="0"/>
              <w:keepLines w:val="0"/>
              <w:widowControl/>
              <w:suppressLineNumbers w:val="0"/>
              <w:jc w:val="left"/>
              <w:textAlignment w:val="center"/>
              <w:rPr>
                <w:rFonts w:hint="eastAsia" w:ascii="CESI仿宋-GB2312" w:hAnsi="CESI仿宋-GB2312" w:eastAsia="CESI仿宋-GB2312" w:cs="CESI仿宋-GB2312"/>
                <w:i w:val="0"/>
                <w:color w:val="C00000"/>
                <w:sz w:val="20"/>
                <w:szCs w:val="20"/>
                <w:highlight w:val="none"/>
                <w:u w:val="none"/>
              </w:rPr>
            </w:pPr>
            <w:r>
              <w:rPr>
                <w:rFonts w:hint="eastAsia" w:ascii="CESI仿宋-GB2312" w:hAnsi="CESI仿宋-GB2312" w:eastAsia="CESI仿宋-GB2312" w:cs="CESI仿宋-GB2312"/>
                <w:i w:val="0"/>
                <w:color w:val="C00000"/>
                <w:kern w:val="0"/>
                <w:sz w:val="20"/>
                <w:szCs w:val="20"/>
                <w:highlight w:val="none"/>
                <w:u w:val="none"/>
                <w:lang w:val="en-US" w:eastAsia="zh-CN" w:bidi="ar"/>
              </w:rPr>
              <w:t>5个个案、每个5节</w:t>
            </w:r>
          </w:p>
        </w:tc>
      </w:tr>
      <w:tr w14:paraId="11EFB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80" w:hRule="atLeast"/>
        </w:trPr>
        <w:tc>
          <w:tcPr>
            <w:tcW w:w="0" w:type="auto"/>
            <w:vMerge w:val="continue"/>
            <w:shd w:val="clear" w:color="auto" w:fill="auto"/>
            <w:vAlign w:val="center"/>
          </w:tcPr>
          <w:p w14:paraId="61A56266">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33A200A3">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57EAE8E3">
            <w:pPr>
              <w:jc w:val="left"/>
              <w:rPr>
                <w:rFonts w:hint="eastAsia" w:ascii="CESI仿宋-GB2312" w:hAnsi="CESI仿宋-GB2312" w:eastAsia="CESI仿宋-GB2312" w:cs="CESI仿宋-GB2312"/>
                <w:i w:val="0"/>
                <w:color w:val="auto"/>
                <w:sz w:val="20"/>
                <w:szCs w:val="20"/>
                <w:highlight w:val="none"/>
                <w:u w:val="none"/>
              </w:rPr>
            </w:pPr>
          </w:p>
        </w:tc>
        <w:tc>
          <w:tcPr>
            <w:tcW w:w="0" w:type="auto"/>
            <w:shd w:val="clear" w:color="auto" w:fill="auto"/>
            <w:vAlign w:val="center"/>
          </w:tcPr>
          <w:p w14:paraId="4226F3F4">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开展小组服务个数</w:t>
            </w:r>
          </w:p>
        </w:tc>
        <w:tc>
          <w:tcPr>
            <w:tcW w:w="0" w:type="auto"/>
            <w:shd w:val="clear" w:color="auto" w:fill="auto"/>
            <w:vAlign w:val="center"/>
          </w:tcPr>
          <w:p w14:paraId="01B0B744">
            <w:pPr>
              <w:keepNext w:val="0"/>
              <w:keepLines w:val="0"/>
              <w:widowControl/>
              <w:suppressLineNumbers w:val="0"/>
              <w:jc w:val="left"/>
              <w:textAlignment w:val="center"/>
              <w:rPr>
                <w:rFonts w:hint="eastAsia" w:ascii="CESI仿宋-GB2312" w:hAnsi="CESI仿宋-GB2312" w:eastAsia="CESI仿宋-GB2312" w:cs="CESI仿宋-GB2312"/>
                <w:i w:val="0"/>
                <w:color w:val="C00000"/>
                <w:sz w:val="20"/>
                <w:szCs w:val="20"/>
                <w:highlight w:val="none"/>
                <w:u w:val="none"/>
              </w:rPr>
            </w:pPr>
            <w:r>
              <w:rPr>
                <w:rFonts w:hint="eastAsia" w:ascii="CESI仿宋-GB2312" w:hAnsi="CESI仿宋-GB2312" w:eastAsia="CESI仿宋-GB2312" w:cs="CESI仿宋-GB2312"/>
                <w:i w:val="0"/>
                <w:color w:val="C00000"/>
                <w:kern w:val="0"/>
                <w:sz w:val="20"/>
                <w:szCs w:val="20"/>
                <w:highlight w:val="none"/>
                <w:u w:val="none"/>
                <w:lang w:val="en-US" w:eastAsia="zh-CN" w:bidi="ar"/>
              </w:rPr>
              <w:t>6个小组、每个5节</w:t>
            </w:r>
            <w:r>
              <w:rPr>
                <w:rFonts w:hint="eastAsia" w:ascii="CESI仿宋-GB2312" w:hAnsi="CESI仿宋-GB2312" w:eastAsia="CESI仿宋-GB2312" w:cs="CESI仿宋-GB2312"/>
                <w:i w:val="0"/>
                <w:color w:val="FF0000"/>
                <w:kern w:val="0"/>
                <w:sz w:val="20"/>
                <w:szCs w:val="20"/>
                <w:highlight w:val="none"/>
                <w:u w:val="none"/>
                <w:lang w:val="en-US" w:eastAsia="zh-CN" w:bidi="ar"/>
              </w:rPr>
              <w:t>（每节不得少于6人）</w:t>
            </w:r>
          </w:p>
        </w:tc>
      </w:tr>
      <w:tr w14:paraId="75813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80" w:hRule="atLeast"/>
        </w:trPr>
        <w:tc>
          <w:tcPr>
            <w:tcW w:w="0" w:type="auto"/>
            <w:vMerge w:val="continue"/>
            <w:shd w:val="clear" w:color="auto" w:fill="auto"/>
            <w:vAlign w:val="center"/>
          </w:tcPr>
          <w:p w14:paraId="03D4336A">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33E5E09D">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74274465">
            <w:pPr>
              <w:jc w:val="left"/>
              <w:rPr>
                <w:rFonts w:hint="eastAsia" w:ascii="CESI仿宋-GB2312" w:hAnsi="CESI仿宋-GB2312" w:eastAsia="CESI仿宋-GB2312" w:cs="CESI仿宋-GB2312"/>
                <w:i w:val="0"/>
                <w:color w:val="auto"/>
                <w:sz w:val="20"/>
                <w:szCs w:val="20"/>
                <w:highlight w:val="none"/>
                <w:u w:val="none"/>
              </w:rPr>
            </w:pPr>
          </w:p>
        </w:tc>
        <w:tc>
          <w:tcPr>
            <w:tcW w:w="0" w:type="auto"/>
            <w:shd w:val="clear" w:color="auto" w:fill="auto"/>
            <w:vAlign w:val="center"/>
          </w:tcPr>
          <w:p w14:paraId="01F9F8AD">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服务成功案例个数</w:t>
            </w:r>
          </w:p>
        </w:tc>
        <w:tc>
          <w:tcPr>
            <w:tcW w:w="0" w:type="auto"/>
            <w:shd w:val="clear" w:color="auto" w:fill="auto"/>
            <w:vAlign w:val="center"/>
          </w:tcPr>
          <w:p w14:paraId="30204AB3">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≥1个</w:t>
            </w:r>
          </w:p>
        </w:tc>
      </w:tr>
      <w:tr w14:paraId="02604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80" w:hRule="atLeast"/>
        </w:trPr>
        <w:tc>
          <w:tcPr>
            <w:tcW w:w="0" w:type="auto"/>
            <w:vMerge w:val="restart"/>
            <w:shd w:val="clear" w:color="auto" w:fill="auto"/>
            <w:vAlign w:val="center"/>
          </w:tcPr>
          <w:p w14:paraId="6C80E3C5">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4</w:t>
            </w:r>
          </w:p>
        </w:tc>
        <w:tc>
          <w:tcPr>
            <w:tcW w:w="0" w:type="auto"/>
            <w:vMerge w:val="restart"/>
            <w:shd w:val="clear" w:color="auto" w:fill="auto"/>
            <w:vAlign w:val="center"/>
          </w:tcPr>
          <w:p w14:paraId="6004075A">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儿童关爱保护方面</w:t>
            </w:r>
          </w:p>
        </w:tc>
        <w:tc>
          <w:tcPr>
            <w:tcW w:w="0" w:type="auto"/>
            <w:shd w:val="clear" w:color="auto" w:fill="auto"/>
            <w:vAlign w:val="center"/>
          </w:tcPr>
          <w:p w14:paraId="4E3BFD09">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辖区提供困境儿童名单，机构为名单中的人员开展调研，掌握困境儿童人群的信息和基本情况，并建立工作台账，协助相关职能部门为其提供相应援助服务，形成需求清单。</w:t>
            </w:r>
          </w:p>
        </w:tc>
        <w:tc>
          <w:tcPr>
            <w:tcW w:w="0" w:type="auto"/>
            <w:vMerge w:val="restart"/>
            <w:shd w:val="clear" w:color="auto" w:fill="auto"/>
            <w:vAlign w:val="center"/>
          </w:tcPr>
          <w:p w14:paraId="004D7BFF">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按辖区提供的困境儿童档案数量开展工作</w:t>
            </w:r>
          </w:p>
        </w:tc>
        <w:tc>
          <w:tcPr>
            <w:tcW w:w="0" w:type="auto"/>
            <w:shd w:val="clear" w:color="auto" w:fill="auto"/>
            <w:vAlign w:val="center"/>
          </w:tcPr>
          <w:p w14:paraId="30D6B5D0">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辖区提供的困境儿童档案数量</w:t>
            </w:r>
          </w:p>
        </w:tc>
      </w:tr>
      <w:tr w14:paraId="5341C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20" w:hRule="atLeast"/>
        </w:trPr>
        <w:tc>
          <w:tcPr>
            <w:tcW w:w="0" w:type="auto"/>
            <w:vMerge w:val="continue"/>
            <w:shd w:val="clear" w:color="auto" w:fill="auto"/>
            <w:vAlign w:val="center"/>
          </w:tcPr>
          <w:p w14:paraId="000C3DE4">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19083632">
            <w:pPr>
              <w:jc w:val="center"/>
              <w:rPr>
                <w:rFonts w:hint="eastAsia" w:ascii="CESI仿宋-GB2312" w:hAnsi="CESI仿宋-GB2312" w:eastAsia="CESI仿宋-GB2312" w:cs="CESI仿宋-GB2312"/>
                <w:i w:val="0"/>
                <w:color w:val="auto"/>
                <w:sz w:val="20"/>
                <w:szCs w:val="20"/>
                <w:highlight w:val="none"/>
                <w:u w:val="none"/>
              </w:rPr>
            </w:pPr>
          </w:p>
        </w:tc>
        <w:tc>
          <w:tcPr>
            <w:tcW w:w="0" w:type="auto"/>
            <w:shd w:val="clear" w:color="auto" w:fill="auto"/>
            <w:vAlign w:val="center"/>
          </w:tcPr>
          <w:p w14:paraId="5998AD52">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协助相关职能部门和镇街儿童督导员、村居儿童主任落实各项社会救助服务，并链接安置、供养、收养、入学、就业、庇护、救助、资源链接等各种服务资源，提供转介服务。</w:t>
            </w:r>
          </w:p>
        </w:tc>
        <w:tc>
          <w:tcPr>
            <w:tcW w:w="0" w:type="auto"/>
            <w:vMerge w:val="continue"/>
            <w:shd w:val="clear" w:color="auto" w:fill="auto"/>
            <w:vAlign w:val="center"/>
          </w:tcPr>
          <w:p w14:paraId="0C862C9D">
            <w:pPr>
              <w:jc w:val="center"/>
              <w:rPr>
                <w:rFonts w:hint="eastAsia" w:ascii="CESI仿宋-GB2312" w:hAnsi="CESI仿宋-GB2312" w:eastAsia="CESI仿宋-GB2312" w:cs="CESI仿宋-GB2312"/>
                <w:i w:val="0"/>
                <w:color w:val="auto"/>
                <w:sz w:val="20"/>
                <w:szCs w:val="20"/>
                <w:highlight w:val="none"/>
                <w:u w:val="none"/>
              </w:rPr>
            </w:pPr>
          </w:p>
        </w:tc>
        <w:tc>
          <w:tcPr>
            <w:tcW w:w="0" w:type="auto"/>
            <w:shd w:val="clear" w:color="auto" w:fill="auto"/>
            <w:vAlign w:val="center"/>
          </w:tcPr>
          <w:p w14:paraId="1A6C1EE9">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≥2次/月</w:t>
            </w:r>
          </w:p>
        </w:tc>
      </w:tr>
      <w:tr w14:paraId="54D90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60" w:hRule="atLeast"/>
        </w:trPr>
        <w:tc>
          <w:tcPr>
            <w:tcW w:w="0" w:type="auto"/>
            <w:vMerge w:val="continue"/>
            <w:shd w:val="clear" w:color="auto" w:fill="auto"/>
            <w:vAlign w:val="center"/>
          </w:tcPr>
          <w:p w14:paraId="040251D1">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15B96F40">
            <w:pPr>
              <w:jc w:val="center"/>
              <w:rPr>
                <w:rFonts w:hint="eastAsia" w:ascii="CESI仿宋-GB2312" w:hAnsi="CESI仿宋-GB2312" w:eastAsia="CESI仿宋-GB2312" w:cs="CESI仿宋-GB2312"/>
                <w:i w:val="0"/>
                <w:color w:val="auto"/>
                <w:sz w:val="20"/>
                <w:szCs w:val="20"/>
                <w:highlight w:val="none"/>
                <w:u w:val="none"/>
              </w:rPr>
            </w:pPr>
          </w:p>
        </w:tc>
        <w:tc>
          <w:tcPr>
            <w:tcW w:w="0" w:type="auto"/>
            <w:shd w:val="clear" w:color="auto" w:fill="auto"/>
            <w:vAlign w:val="center"/>
          </w:tcPr>
          <w:p w14:paraId="29A92CA3">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为有需要的社区儿童提供情绪辅导、减压疏导、能力提升、关系调适、心理辅导等支援服务。</w:t>
            </w:r>
            <w:r>
              <w:rPr>
                <w:rFonts w:hint="eastAsia" w:ascii="CESI仿宋-GB2312" w:hAnsi="CESI仿宋-GB2312" w:eastAsia="CESI仿宋-GB2312" w:cs="CESI仿宋-GB2312"/>
                <w:i w:val="0"/>
                <w:color w:val="auto"/>
                <w:kern w:val="0"/>
                <w:sz w:val="20"/>
                <w:szCs w:val="20"/>
                <w:highlight w:val="none"/>
                <w:u w:val="none"/>
                <w:lang w:val="en-US" w:eastAsia="zh-CN" w:bidi="ar"/>
              </w:rPr>
              <w:br w:type="textWrapping"/>
            </w:r>
            <w:r>
              <w:rPr>
                <w:rFonts w:hint="eastAsia" w:ascii="CESI仿宋-GB2312" w:hAnsi="CESI仿宋-GB2312" w:eastAsia="CESI仿宋-GB2312" w:cs="CESI仿宋-GB2312"/>
                <w:i w:val="0"/>
                <w:color w:val="auto"/>
                <w:kern w:val="0"/>
                <w:sz w:val="20"/>
                <w:szCs w:val="20"/>
                <w:highlight w:val="none"/>
                <w:u w:val="none"/>
                <w:lang w:val="en-US" w:eastAsia="zh-CN" w:bidi="ar"/>
              </w:rPr>
              <w:t>为有需要的社区儿童家庭提供亲职教育、紧急援助、学业援助、认知辅导、减压疏解等服务。</w:t>
            </w:r>
          </w:p>
        </w:tc>
        <w:tc>
          <w:tcPr>
            <w:tcW w:w="0" w:type="auto"/>
            <w:vMerge w:val="continue"/>
            <w:shd w:val="clear" w:color="auto" w:fill="auto"/>
            <w:vAlign w:val="center"/>
          </w:tcPr>
          <w:p w14:paraId="6DE4105A">
            <w:pPr>
              <w:jc w:val="center"/>
              <w:rPr>
                <w:rFonts w:hint="eastAsia" w:ascii="CESI仿宋-GB2312" w:hAnsi="CESI仿宋-GB2312" w:eastAsia="CESI仿宋-GB2312" w:cs="CESI仿宋-GB2312"/>
                <w:i w:val="0"/>
                <w:color w:val="auto"/>
                <w:sz w:val="20"/>
                <w:szCs w:val="20"/>
                <w:highlight w:val="none"/>
                <w:u w:val="none"/>
              </w:rPr>
            </w:pPr>
          </w:p>
        </w:tc>
        <w:tc>
          <w:tcPr>
            <w:tcW w:w="0" w:type="auto"/>
            <w:shd w:val="clear" w:color="auto" w:fill="auto"/>
            <w:vAlign w:val="center"/>
          </w:tcPr>
          <w:p w14:paraId="045073B0">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≥2次/月</w:t>
            </w:r>
          </w:p>
        </w:tc>
      </w:tr>
      <w:tr w14:paraId="4BA0F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00" w:hRule="atLeast"/>
        </w:trPr>
        <w:tc>
          <w:tcPr>
            <w:tcW w:w="0" w:type="auto"/>
            <w:vMerge w:val="continue"/>
            <w:shd w:val="clear" w:color="auto" w:fill="auto"/>
            <w:vAlign w:val="center"/>
          </w:tcPr>
          <w:p w14:paraId="2FAE9C8F">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74EBA577">
            <w:pPr>
              <w:jc w:val="center"/>
              <w:rPr>
                <w:rFonts w:hint="eastAsia" w:ascii="CESI仿宋-GB2312" w:hAnsi="CESI仿宋-GB2312" w:eastAsia="CESI仿宋-GB2312" w:cs="CESI仿宋-GB2312"/>
                <w:i w:val="0"/>
                <w:color w:val="auto"/>
                <w:sz w:val="20"/>
                <w:szCs w:val="20"/>
                <w:highlight w:val="none"/>
                <w:u w:val="none"/>
              </w:rPr>
            </w:pPr>
          </w:p>
        </w:tc>
        <w:tc>
          <w:tcPr>
            <w:tcW w:w="0" w:type="auto"/>
            <w:vMerge w:val="restart"/>
            <w:shd w:val="clear" w:color="auto" w:fill="auto"/>
            <w:vAlign w:val="center"/>
          </w:tcPr>
          <w:p w14:paraId="4BDF0575">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对困境儿童、留守儿童、低保低收入家庭、特困失独家庭等，开展定期巡访和电话问候，积极防范和及时发现意外风险。提高上门服务频率。</w:t>
            </w:r>
          </w:p>
        </w:tc>
        <w:tc>
          <w:tcPr>
            <w:tcW w:w="0" w:type="auto"/>
            <w:shd w:val="clear" w:color="auto" w:fill="auto"/>
            <w:vAlign w:val="center"/>
          </w:tcPr>
          <w:p w14:paraId="09F66924">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建立需要跟踪回访人员台账</w:t>
            </w:r>
          </w:p>
        </w:tc>
        <w:tc>
          <w:tcPr>
            <w:tcW w:w="0" w:type="auto"/>
            <w:shd w:val="clear" w:color="auto" w:fill="auto"/>
            <w:vAlign w:val="center"/>
          </w:tcPr>
          <w:p w14:paraId="09F7B42A">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台账1份</w:t>
            </w:r>
          </w:p>
        </w:tc>
      </w:tr>
      <w:tr w14:paraId="6A990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00" w:hRule="atLeast"/>
        </w:trPr>
        <w:tc>
          <w:tcPr>
            <w:tcW w:w="0" w:type="auto"/>
            <w:vMerge w:val="continue"/>
            <w:shd w:val="clear" w:color="auto" w:fill="auto"/>
            <w:vAlign w:val="center"/>
          </w:tcPr>
          <w:p w14:paraId="437580F1">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6851D8DB">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38349468">
            <w:pPr>
              <w:jc w:val="left"/>
              <w:rPr>
                <w:rFonts w:hint="eastAsia" w:ascii="CESI仿宋-GB2312" w:hAnsi="CESI仿宋-GB2312" w:eastAsia="CESI仿宋-GB2312" w:cs="CESI仿宋-GB2312"/>
                <w:i w:val="0"/>
                <w:color w:val="auto"/>
                <w:sz w:val="20"/>
                <w:szCs w:val="20"/>
                <w:highlight w:val="none"/>
                <w:u w:val="none"/>
              </w:rPr>
            </w:pPr>
          </w:p>
        </w:tc>
        <w:tc>
          <w:tcPr>
            <w:tcW w:w="0" w:type="auto"/>
            <w:shd w:val="clear" w:color="auto" w:fill="auto"/>
            <w:vAlign w:val="center"/>
          </w:tcPr>
          <w:p w14:paraId="23BE63E2">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开展回访次数</w:t>
            </w:r>
          </w:p>
        </w:tc>
        <w:tc>
          <w:tcPr>
            <w:tcW w:w="0" w:type="auto"/>
            <w:shd w:val="clear" w:color="auto" w:fill="auto"/>
            <w:vAlign w:val="center"/>
          </w:tcPr>
          <w:p w14:paraId="56CAC62A">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≥1次/季度</w:t>
            </w:r>
          </w:p>
        </w:tc>
      </w:tr>
      <w:tr w14:paraId="6C074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60" w:hRule="atLeast"/>
        </w:trPr>
        <w:tc>
          <w:tcPr>
            <w:tcW w:w="0" w:type="auto"/>
            <w:vMerge w:val="continue"/>
            <w:shd w:val="clear" w:color="auto" w:fill="auto"/>
            <w:vAlign w:val="center"/>
          </w:tcPr>
          <w:p w14:paraId="6CCBB130">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345EDB44">
            <w:pPr>
              <w:jc w:val="center"/>
              <w:rPr>
                <w:rFonts w:hint="eastAsia" w:ascii="CESI仿宋-GB2312" w:hAnsi="CESI仿宋-GB2312" w:eastAsia="CESI仿宋-GB2312" w:cs="CESI仿宋-GB2312"/>
                <w:i w:val="0"/>
                <w:color w:val="auto"/>
                <w:sz w:val="20"/>
                <w:szCs w:val="20"/>
                <w:highlight w:val="none"/>
                <w:u w:val="none"/>
              </w:rPr>
            </w:pPr>
          </w:p>
        </w:tc>
        <w:tc>
          <w:tcPr>
            <w:tcW w:w="0" w:type="auto"/>
            <w:vMerge w:val="restart"/>
            <w:shd w:val="clear" w:color="auto" w:fill="auto"/>
            <w:vAlign w:val="center"/>
          </w:tcPr>
          <w:p w14:paraId="23754FBA">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按辖区提供的困境儿童档案人员，为有需要的儿童开展专门的社会工作服务。</w:t>
            </w:r>
          </w:p>
        </w:tc>
        <w:tc>
          <w:tcPr>
            <w:tcW w:w="0" w:type="auto"/>
            <w:shd w:val="clear" w:color="auto" w:fill="auto"/>
            <w:vAlign w:val="center"/>
          </w:tcPr>
          <w:p w14:paraId="3EBDF043">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开展个案服务个数</w:t>
            </w:r>
          </w:p>
        </w:tc>
        <w:tc>
          <w:tcPr>
            <w:tcW w:w="0" w:type="auto"/>
            <w:shd w:val="clear" w:color="auto" w:fill="auto"/>
            <w:vAlign w:val="center"/>
          </w:tcPr>
          <w:p w14:paraId="3F532093">
            <w:pPr>
              <w:keepNext w:val="0"/>
              <w:keepLines w:val="0"/>
              <w:widowControl/>
              <w:suppressLineNumbers w:val="0"/>
              <w:jc w:val="left"/>
              <w:textAlignment w:val="center"/>
              <w:rPr>
                <w:rFonts w:hint="eastAsia" w:ascii="CESI仿宋-GB2312" w:hAnsi="CESI仿宋-GB2312" w:eastAsia="CESI仿宋-GB2312" w:cs="CESI仿宋-GB2312"/>
                <w:i w:val="0"/>
                <w:color w:val="C00000"/>
                <w:sz w:val="20"/>
                <w:szCs w:val="20"/>
                <w:highlight w:val="none"/>
                <w:u w:val="none"/>
              </w:rPr>
            </w:pPr>
            <w:r>
              <w:rPr>
                <w:rFonts w:hint="eastAsia" w:ascii="CESI仿宋-GB2312" w:hAnsi="CESI仿宋-GB2312" w:eastAsia="CESI仿宋-GB2312" w:cs="CESI仿宋-GB2312"/>
                <w:i w:val="0"/>
                <w:color w:val="C00000"/>
                <w:kern w:val="0"/>
                <w:sz w:val="20"/>
                <w:szCs w:val="20"/>
                <w:highlight w:val="none"/>
                <w:u w:val="none"/>
                <w:lang w:val="en-US" w:eastAsia="zh-CN" w:bidi="ar"/>
              </w:rPr>
              <w:t>5个个案、每个5节</w:t>
            </w:r>
          </w:p>
        </w:tc>
      </w:tr>
      <w:tr w14:paraId="3D7D6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60" w:hRule="atLeast"/>
        </w:trPr>
        <w:tc>
          <w:tcPr>
            <w:tcW w:w="0" w:type="auto"/>
            <w:vMerge w:val="continue"/>
            <w:shd w:val="clear" w:color="auto" w:fill="auto"/>
            <w:vAlign w:val="center"/>
          </w:tcPr>
          <w:p w14:paraId="25336E29">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488277EB">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1E2CAC64">
            <w:pPr>
              <w:jc w:val="left"/>
              <w:rPr>
                <w:rFonts w:hint="eastAsia" w:ascii="CESI仿宋-GB2312" w:hAnsi="CESI仿宋-GB2312" w:eastAsia="CESI仿宋-GB2312" w:cs="CESI仿宋-GB2312"/>
                <w:i w:val="0"/>
                <w:color w:val="auto"/>
                <w:sz w:val="20"/>
                <w:szCs w:val="20"/>
                <w:highlight w:val="none"/>
                <w:u w:val="none"/>
              </w:rPr>
            </w:pPr>
          </w:p>
        </w:tc>
        <w:tc>
          <w:tcPr>
            <w:tcW w:w="0" w:type="auto"/>
            <w:shd w:val="clear" w:color="auto" w:fill="auto"/>
            <w:vAlign w:val="center"/>
          </w:tcPr>
          <w:p w14:paraId="0DC338BE">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开展小组服务个数</w:t>
            </w:r>
          </w:p>
        </w:tc>
        <w:tc>
          <w:tcPr>
            <w:tcW w:w="0" w:type="auto"/>
            <w:shd w:val="clear" w:color="auto" w:fill="auto"/>
            <w:vAlign w:val="center"/>
          </w:tcPr>
          <w:p w14:paraId="3D4C2AE0">
            <w:pPr>
              <w:keepNext w:val="0"/>
              <w:keepLines w:val="0"/>
              <w:widowControl/>
              <w:suppressLineNumbers w:val="0"/>
              <w:jc w:val="left"/>
              <w:textAlignment w:val="center"/>
              <w:rPr>
                <w:rFonts w:hint="eastAsia" w:ascii="CESI仿宋-GB2312" w:hAnsi="CESI仿宋-GB2312" w:eastAsia="CESI仿宋-GB2312" w:cs="CESI仿宋-GB2312"/>
                <w:i w:val="0"/>
                <w:color w:val="C00000"/>
                <w:sz w:val="20"/>
                <w:szCs w:val="20"/>
                <w:highlight w:val="none"/>
                <w:u w:val="none"/>
              </w:rPr>
            </w:pPr>
            <w:r>
              <w:rPr>
                <w:rFonts w:hint="eastAsia" w:ascii="CESI仿宋-GB2312" w:hAnsi="CESI仿宋-GB2312" w:eastAsia="CESI仿宋-GB2312" w:cs="CESI仿宋-GB2312"/>
                <w:i w:val="0"/>
                <w:color w:val="C00000"/>
                <w:kern w:val="0"/>
                <w:sz w:val="20"/>
                <w:szCs w:val="20"/>
                <w:highlight w:val="none"/>
                <w:u w:val="none"/>
                <w:lang w:val="en-US" w:eastAsia="zh-CN" w:bidi="ar"/>
              </w:rPr>
              <w:t>6个小组、每个5节</w:t>
            </w:r>
            <w:r>
              <w:rPr>
                <w:rFonts w:hint="eastAsia" w:ascii="CESI仿宋-GB2312" w:hAnsi="CESI仿宋-GB2312" w:eastAsia="CESI仿宋-GB2312" w:cs="CESI仿宋-GB2312"/>
                <w:i w:val="0"/>
                <w:color w:val="FF0000"/>
                <w:kern w:val="0"/>
                <w:sz w:val="20"/>
                <w:szCs w:val="20"/>
                <w:highlight w:val="none"/>
                <w:u w:val="none"/>
                <w:lang w:val="en-US" w:eastAsia="zh-CN" w:bidi="ar"/>
              </w:rPr>
              <w:t>（每节不得少于6人）</w:t>
            </w:r>
          </w:p>
        </w:tc>
      </w:tr>
      <w:tr w14:paraId="2E872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60" w:hRule="atLeast"/>
        </w:trPr>
        <w:tc>
          <w:tcPr>
            <w:tcW w:w="0" w:type="auto"/>
            <w:vMerge w:val="continue"/>
            <w:shd w:val="clear" w:color="auto" w:fill="auto"/>
            <w:vAlign w:val="center"/>
          </w:tcPr>
          <w:p w14:paraId="53128556">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6CAA1B60">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6E9BADF6">
            <w:pPr>
              <w:jc w:val="left"/>
              <w:rPr>
                <w:rFonts w:hint="eastAsia" w:ascii="CESI仿宋-GB2312" w:hAnsi="CESI仿宋-GB2312" w:eastAsia="CESI仿宋-GB2312" w:cs="CESI仿宋-GB2312"/>
                <w:i w:val="0"/>
                <w:color w:val="auto"/>
                <w:sz w:val="20"/>
                <w:szCs w:val="20"/>
                <w:highlight w:val="none"/>
                <w:u w:val="none"/>
              </w:rPr>
            </w:pPr>
          </w:p>
        </w:tc>
        <w:tc>
          <w:tcPr>
            <w:tcW w:w="0" w:type="auto"/>
            <w:shd w:val="clear" w:color="auto" w:fill="auto"/>
            <w:vAlign w:val="center"/>
          </w:tcPr>
          <w:p w14:paraId="716D5B63">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服务成功案例个数</w:t>
            </w:r>
          </w:p>
        </w:tc>
        <w:tc>
          <w:tcPr>
            <w:tcW w:w="0" w:type="auto"/>
            <w:shd w:val="clear" w:color="auto" w:fill="auto"/>
            <w:vAlign w:val="center"/>
          </w:tcPr>
          <w:p w14:paraId="0009B200">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≥1个</w:t>
            </w:r>
          </w:p>
        </w:tc>
      </w:tr>
      <w:tr w14:paraId="4E9C1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20" w:hRule="atLeast"/>
        </w:trPr>
        <w:tc>
          <w:tcPr>
            <w:tcW w:w="0" w:type="auto"/>
            <w:vMerge w:val="restart"/>
            <w:shd w:val="clear" w:color="auto" w:fill="auto"/>
            <w:vAlign w:val="center"/>
          </w:tcPr>
          <w:p w14:paraId="16646358">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5</w:t>
            </w:r>
          </w:p>
        </w:tc>
        <w:tc>
          <w:tcPr>
            <w:tcW w:w="0" w:type="auto"/>
            <w:vMerge w:val="restart"/>
            <w:shd w:val="clear" w:color="auto" w:fill="auto"/>
            <w:vAlign w:val="center"/>
          </w:tcPr>
          <w:p w14:paraId="616A69CC">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扶残助残方面</w:t>
            </w:r>
          </w:p>
        </w:tc>
        <w:tc>
          <w:tcPr>
            <w:tcW w:w="0" w:type="auto"/>
            <w:shd w:val="clear" w:color="auto" w:fill="auto"/>
            <w:vAlign w:val="center"/>
          </w:tcPr>
          <w:p w14:paraId="24CA9375">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辖区提供残疾人名单，机构为名单人员开展调研掌握特殊困难老年人群的信息和基本情况，并建立工作台账，协助相关职能部门为其提供相应援助服务，形成需求清单。</w:t>
            </w:r>
          </w:p>
        </w:tc>
        <w:tc>
          <w:tcPr>
            <w:tcW w:w="0" w:type="auto"/>
            <w:vMerge w:val="restart"/>
            <w:shd w:val="clear" w:color="auto" w:fill="auto"/>
            <w:vAlign w:val="center"/>
          </w:tcPr>
          <w:p w14:paraId="528FFC31">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由辖区提供的残疾人档案总人数</w:t>
            </w:r>
          </w:p>
        </w:tc>
        <w:tc>
          <w:tcPr>
            <w:tcW w:w="0" w:type="auto"/>
            <w:shd w:val="clear" w:color="auto" w:fill="auto"/>
            <w:vAlign w:val="center"/>
          </w:tcPr>
          <w:p w14:paraId="7010B36D">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辖区提供的社会残疾人档案人数</w:t>
            </w:r>
          </w:p>
        </w:tc>
      </w:tr>
      <w:tr w14:paraId="6C33E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00" w:hRule="atLeast"/>
        </w:trPr>
        <w:tc>
          <w:tcPr>
            <w:tcW w:w="0" w:type="auto"/>
            <w:vMerge w:val="continue"/>
            <w:shd w:val="clear" w:color="auto" w:fill="auto"/>
            <w:vAlign w:val="center"/>
          </w:tcPr>
          <w:p w14:paraId="7DD73684">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5E81C668">
            <w:pPr>
              <w:jc w:val="center"/>
              <w:rPr>
                <w:rFonts w:hint="eastAsia" w:ascii="CESI仿宋-GB2312" w:hAnsi="CESI仿宋-GB2312" w:eastAsia="CESI仿宋-GB2312" w:cs="CESI仿宋-GB2312"/>
                <w:i w:val="0"/>
                <w:color w:val="auto"/>
                <w:sz w:val="20"/>
                <w:szCs w:val="20"/>
                <w:highlight w:val="none"/>
                <w:u w:val="none"/>
              </w:rPr>
            </w:pPr>
          </w:p>
        </w:tc>
        <w:tc>
          <w:tcPr>
            <w:tcW w:w="0" w:type="auto"/>
            <w:shd w:val="clear" w:color="auto" w:fill="auto"/>
            <w:vAlign w:val="center"/>
          </w:tcPr>
          <w:p w14:paraId="26683A19">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提供残疾人提供困难帮扶与资源链接，协助相关职能部门落实各项社会救助服务，做好政策宣传、福利保障等服务、医疗健康等服务资源，并链接安置、供养、住房、就业、庇护、救助等各种服务资源，提供转介服务。</w:t>
            </w:r>
          </w:p>
        </w:tc>
        <w:tc>
          <w:tcPr>
            <w:tcW w:w="0" w:type="auto"/>
            <w:vMerge w:val="continue"/>
            <w:shd w:val="clear" w:color="auto" w:fill="auto"/>
            <w:vAlign w:val="center"/>
          </w:tcPr>
          <w:p w14:paraId="5B848E7D">
            <w:pPr>
              <w:jc w:val="center"/>
              <w:rPr>
                <w:rFonts w:hint="eastAsia" w:ascii="CESI仿宋-GB2312" w:hAnsi="CESI仿宋-GB2312" w:eastAsia="CESI仿宋-GB2312" w:cs="CESI仿宋-GB2312"/>
                <w:i w:val="0"/>
                <w:color w:val="auto"/>
                <w:sz w:val="20"/>
                <w:szCs w:val="20"/>
                <w:highlight w:val="none"/>
                <w:u w:val="none"/>
              </w:rPr>
            </w:pPr>
          </w:p>
        </w:tc>
        <w:tc>
          <w:tcPr>
            <w:tcW w:w="0" w:type="auto"/>
            <w:shd w:val="clear" w:color="auto" w:fill="auto"/>
            <w:vAlign w:val="center"/>
          </w:tcPr>
          <w:p w14:paraId="2F2DBFE1">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≥2次/月</w:t>
            </w:r>
          </w:p>
        </w:tc>
      </w:tr>
      <w:tr w14:paraId="3A390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40" w:hRule="atLeast"/>
        </w:trPr>
        <w:tc>
          <w:tcPr>
            <w:tcW w:w="0" w:type="auto"/>
            <w:vMerge w:val="continue"/>
            <w:shd w:val="clear" w:color="auto" w:fill="auto"/>
            <w:vAlign w:val="center"/>
          </w:tcPr>
          <w:p w14:paraId="6A9DA575">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5CF72755">
            <w:pPr>
              <w:jc w:val="center"/>
              <w:rPr>
                <w:rFonts w:hint="eastAsia" w:ascii="CESI仿宋-GB2312" w:hAnsi="CESI仿宋-GB2312" w:eastAsia="CESI仿宋-GB2312" w:cs="CESI仿宋-GB2312"/>
                <w:i w:val="0"/>
                <w:color w:val="auto"/>
                <w:sz w:val="20"/>
                <w:szCs w:val="20"/>
                <w:highlight w:val="none"/>
                <w:u w:val="none"/>
              </w:rPr>
            </w:pPr>
          </w:p>
        </w:tc>
        <w:tc>
          <w:tcPr>
            <w:tcW w:w="0" w:type="auto"/>
            <w:shd w:val="clear" w:color="auto" w:fill="auto"/>
            <w:vAlign w:val="center"/>
          </w:tcPr>
          <w:p w14:paraId="4CD19FD2">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为有需要的社区残疾人提供生理、心理、精神与社会康复等服务。</w:t>
            </w:r>
            <w:r>
              <w:rPr>
                <w:rFonts w:hint="eastAsia" w:ascii="CESI仿宋-GB2312" w:hAnsi="CESI仿宋-GB2312" w:eastAsia="CESI仿宋-GB2312" w:cs="CESI仿宋-GB2312"/>
                <w:i w:val="0"/>
                <w:color w:val="auto"/>
                <w:kern w:val="0"/>
                <w:sz w:val="20"/>
                <w:szCs w:val="20"/>
                <w:highlight w:val="none"/>
                <w:u w:val="none"/>
                <w:lang w:val="en-US" w:eastAsia="zh-CN" w:bidi="ar"/>
              </w:rPr>
              <w:br w:type="textWrapping"/>
            </w:r>
            <w:r>
              <w:rPr>
                <w:rFonts w:hint="eastAsia" w:ascii="CESI仿宋-GB2312" w:hAnsi="CESI仿宋-GB2312" w:eastAsia="CESI仿宋-GB2312" w:cs="CESI仿宋-GB2312"/>
                <w:i w:val="0"/>
                <w:color w:val="auto"/>
                <w:kern w:val="0"/>
                <w:sz w:val="20"/>
                <w:szCs w:val="20"/>
                <w:highlight w:val="none"/>
                <w:u w:val="none"/>
                <w:lang w:val="en-US" w:eastAsia="zh-CN" w:bidi="ar"/>
              </w:rPr>
              <w:t>提供家庭支持、社区康复和社会融入等服务。</w:t>
            </w:r>
            <w:r>
              <w:rPr>
                <w:rFonts w:hint="eastAsia" w:ascii="CESI仿宋-GB2312" w:hAnsi="CESI仿宋-GB2312" w:eastAsia="CESI仿宋-GB2312" w:cs="CESI仿宋-GB2312"/>
                <w:i w:val="0"/>
                <w:color w:val="auto"/>
                <w:kern w:val="0"/>
                <w:sz w:val="20"/>
                <w:szCs w:val="20"/>
                <w:highlight w:val="none"/>
                <w:u w:val="none"/>
                <w:lang w:val="en-US" w:eastAsia="zh-CN" w:bidi="ar"/>
              </w:rPr>
              <w:br w:type="textWrapping"/>
            </w:r>
            <w:r>
              <w:rPr>
                <w:rFonts w:hint="eastAsia" w:ascii="CESI仿宋-GB2312" w:hAnsi="CESI仿宋-GB2312" w:eastAsia="CESI仿宋-GB2312" w:cs="CESI仿宋-GB2312"/>
                <w:i w:val="0"/>
                <w:color w:val="auto"/>
                <w:kern w:val="0"/>
                <w:sz w:val="20"/>
                <w:szCs w:val="20"/>
                <w:highlight w:val="none"/>
                <w:u w:val="none"/>
                <w:lang w:val="en-US" w:eastAsia="zh-CN" w:bidi="ar"/>
              </w:rPr>
              <w:t>提供文娱康乐、能力提升、居家安全等服务。</w:t>
            </w:r>
          </w:p>
        </w:tc>
        <w:tc>
          <w:tcPr>
            <w:tcW w:w="0" w:type="auto"/>
            <w:vMerge w:val="continue"/>
            <w:shd w:val="clear" w:color="auto" w:fill="auto"/>
            <w:vAlign w:val="center"/>
          </w:tcPr>
          <w:p w14:paraId="51FA855D">
            <w:pPr>
              <w:jc w:val="center"/>
              <w:rPr>
                <w:rFonts w:hint="eastAsia" w:ascii="CESI仿宋-GB2312" w:hAnsi="CESI仿宋-GB2312" w:eastAsia="CESI仿宋-GB2312" w:cs="CESI仿宋-GB2312"/>
                <w:i w:val="0"/>
                <w:color w:val="auto"/>
                <w:sz w:val="20"/>
                <w:szCs w:val="20"/>
                <w:highlight w:val="none"/>
                <w:u w:val="none"/>
              </w:rPr>
            </w:pPr>
          </w:p>
        </w:tc>
        <w:tc>
          <w:tcPr>
            <w:tcW w:w="0" w:type="auto"/>
            <w:shd w:val="clear" w:color="auto" w:fill="auto"/>
            <w:vAlign w:val="center"/>
          </w:tcPr>
          <w:p w14:paraId="344D5D0B">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≥2次/月</w:t>
            </w:r>
          </w:p>
        </w:tc>
      </w:tr>
      <w:tr w14:paraId="49C44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0" w:hRule="atLeast"/>
        </w:trPr>
        <w:tc>
          <w:tcPr>
            <w:tcW w:w="0" w:type="auto"/>
            <w:vMerge w:val="continue"/>
            <w:shd w:val="clear" w:color="auto" w:fill="auto"/>
            <w:vAlign w:val="center"/>
          </w:tcPr>
          <w:p w14:paraId="1B383C57">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49BBED7B">
            <w:pPr>
              <w:jc w:val="center"/>
              <w:rPr>
                <w:rFonts w:hint="eastAsia" w:ascii="CESI仿宋-GB2312" w:hAnsi="CESI仿宋-GB2312" w:eastAsia="CESI仿宋-GB2312" w:cs="CESI仿宋-GB2312"/>
                <w:i w:val="0"/>
                <w:color w:val="auto"/>
                <w:sz w:val="20"/>
                <w:szCs w:val="20"/>
                <w:highlight w:val="none"/>
                <w:u w:val="none"/>
              </w:rPr>
            </w:pPr>
          </w:p>
        </w:tc>
        <w:tc>
          <w:tcPr>
            <w:tcW w:w="0" w:type="auto"/>
            <w:vMerge w:val="restart"/>
            <w:shd w:val="clear" w:color="auto" w:fill="auto"/>
            <w:vAlign w:val="center"/>
          </w:tcPr>
          <w:p w14:paraId="2E04DD7D">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对独自生活的特困残疾人及其家庭等，开展定期巡访和电话问候，积极防范和及时发现意外风险。提高上门服务频率。</w:t>
            </w:r>
          </w:p>
        </w:tc>
        <w:tc>
          <w:tcPr>
            <w:tcW w:w="0" w:type="auto"/>
            <w:shd w:val="clear" w:color="auto" w:fill="auto"/>
            <w:vAlign w:val="center"/>
          </w:tcPr>
          <w:p w14:paraId="4F31D904">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建立需要跟踪回访人员台账</w:t>
            </w:r>
          </w:p>
        </w:tc>
        <w:tc>
          <w:tcPr>
            <w:tcW w:w="0" w:type="auto"/>
            <w:shd w:val="clear" w:color="auto" w:fill="auto"/>
            <w:vAlign w:val="center"/>
          </w:tcPr>
          <w:p w14:paraId="078E6D62">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台账1份</w:t>
            </w:r>
          </w:p>
        </w:tc>
      </w:tr>
      <w:tr w14:paraId="72297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0" w:hRule="atLeast"/>
        </w:trPr>
        <w:tc>
          <w:tcPr>
            <w:tcW w:w="0" w:type="auto"/>
            <w:vMerge w:val="continue"/>
            <w:shd w:val="clear" w:color="auto" w:fill="auto"/>
            <w:vAlign w:val="center"/>
          </w:tcPr>
          <w:p w14:paraId="29422634">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0317F538">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55041E5F">
            <w:pPr>
              <w:jc w:val="left"/>
              <w:rPr>
                <w:rFonts w:hint="eastAsia" w:ascii="CESI仿宋-GB2312" w:hAnsi="CESI仿宋-GB2312" w:eastAsia="CESI仿宋-GB2312" w:cs="CESI仿宋-GB2312"/>
                <w:i w:val="0"/>
                <w:color w:val="auto"/>
                <w:sz w:val="20"/>
                <w:szCs w:val="20"/>
                <w:highlight w:val="none"/>
                <w:u w:val="none"/>
              </w:rPr>
            </w:pPr>
          </w:p>
        </w:tc>
        <w:tc>
          <w:tcPr>
            <w:tcW w:w="0" w:type="auto"/>
            <w:shd w:val="clear" w:color="auto" w:fill="auto"/>
            <w:vAlign w:val="center"/>
          </w:tcPr>
          <w:p w14:paraId="364C0597">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开展回访次数</w:t>
            </w:r>
          </w:p>
        </w:tc>
        <w:tc>
          <w:tcPr>
            <w:tcW w:w="0" w:type="auto"/>
            <w:shd w:val="clear" w:color="auto" w:fill="auto"/>
            <w:vAlign w:val="center"/>
          </w:tcPr>
          <w:p w14:paraId="7BC94BC9">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≥1次/季度</w:t>
            </w:r>
          </w:p>
        </w:tc>
      </w:tr>
      <w:tr w14:paraId="4AED7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0" w:hRule="atLeast"/>
        </w:trPr>
        <w:tc>
          <w:tcPr>
            <w:tcW w:w="0" w:type="auto"/>
            <w:vMerge w:val="continue"/>
            <w:shd w:val="clear" w:color="auto" w:fill="auto"/>
            <w:vAlign w:val="center"/>
          </w:tcPr>
          <w:p w14:paraId="684459DC">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1097C48C">
            <w:pPr>
              <w:jc w:val="center"/>
              <w:rPr>
                <w:rFonts w:hint="eastAsia" w:ascii="CESI仿宋-GB2312" w:hAnsi="CESI仿宋-GB2312" w:eastAsia="CESI仿宋-GB2312" w:cs="CESI仿宋-GB2312"/>
                <w:i w:val="0"/>
                <w:color w:val="auto"/>
                <w:sz w:val="20"/>
                <w:szCs w:val="20"/>
                <w:highlight w:val="none"/>
                <w:u w:val="none"/>
              </w:rPr>
            </w:pPr>
          </w:p>
        </w:tc>
        <w:tc>
          <w:tcPr>
            <w:tcW w:w="0" w:type="auto"/>
            <w:vMerge w:val="restart"/>
            <w:shd w:val="clear" w:color="auto" w:fill="auto"/>
            <w:vAlign w:val="center"/>
          </w:tcPr>
          <w:p w14:paraId="17969FEA">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按辖区提供的残疾人档案人员，为有需要的残疾人开展专门的社会工作服务。</w:t>
            </w:r>
          </w:p>
        </w:tc>
        <w:tc>
          <w:tcPr>
            <w:tcW w:w="0" w:type="auto"/>
            <w:shd w:val="clear" w:color="auto" w:fill="auto"/>
            <w:vAlign w:val="center"/>
          </w:tcPr>
          <w:p w14:paraId="31F664B5">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开展个案服务个数</w:t>
            </w:r>
          </w:p>
        </w:tc>
        <w:tc>
          <w:tcPr>
            <w:tcW w:w="0" w:type="auto"/>
            <w:shd w:val="clear" w:color="auto" w:fill="auto"/>
            <w:vAlign w:val="center"/>
          </w:tcPr>
          <w:p w14:paraId="6C7E1D08">
            <w:pPr>
              <w:keepNext w:val="0"/>
              <w:keepLines w:val="0"/>
              <w:widowControl/>
              <w:suppressLineNumbers w:val="0"/>
              <w:jc w:val="left"/>
              <w:textAlignment w:val="center"/>
              <w:rPr>
                <w:rFonts w:hint="eastAsia" w:ascii="CESI仿宋-GB2312" w:hAnsi="CESI仿宋-GB2312" w:eastAsia="CESI仿宋-GB2312" w:cs="CESI仿宋-GB2312"/>
                <w:i w:val="0"/>
                <w:color w:val="C00000"/>
                <w:sz w:val="20"/>
                <w:szCs w:val="20"/>
                <w:highlight w:val="none"/>
                <w:u w:val="none"/>
              </w:rPr>
            </w:pPr>
            <w:r>
              <w:rPr>
                <w:rFonts w:hint="eastAsia" w:ascii="CESI仿宋-GB2312" w:hAnsi="CESI仿宋-GB2312" w:eastAsia="CESI仿宋-GB2312" w:cs="CESI仿宋-GB2312"/>
                <w:i w:val="0"/>
                <w:color w:val="C00000"/>
                <w:kern w:val="0"/>
                <w:sz w:val="20"/>
                <w:szCs w:val="20"/>
                <w:highlight w:val="none"/>
                <w:u w:val="none"/>
                <w:lang w:val="en-US" w:eastAsia="zh-CN" w:bidi="ar"/>
              </w:rPr>
              <w:t>5个个案、每个5节</w:t>
            </w:r>
          </w:p>
        </w:tc>
      </w:tr>
      <w:tr w14:paraId="20965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0" w:hRule="atLeast"/>
        </w:trPr>
        <w:tc>
          <w:tcPr>
            <w:tcW w:w="0" w:type="auto"/>
            <w:vMerge w:val="continue"/>
            <w:shd w:val="clear" w:color="auto" w:fill="auto"/>
            <w:vAlign w:val="center"/>
          </w:tcPr>
          <w:p w14:paraId="7A20C3D2">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3A469783">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5F1690A3">
            <w:pPr>
              <w:jc w:val="left"/>
              <w:rPr>
                <w:rFonts w:hint="eastAsia" w:ascii="CESI仿宋-GB2312" w:hAnsi="CESI仿宋-GB2312" w:eastAsia="CESI仿宋-GB2312" w:cs="CESI仿宋-GB2312"/>
                <w:i w:val="0"/>
                <w:color w:val="auto"/>
                <w:sz w:val="20"/>
                <w:szCs w:val="20"/>
                <w:highlight w:val="none"/>
                <w:u w:val="none"/>
              </w:rPr>
            </w:pPr>
          </w:p>
        </w:tc>
        <w:tc>
          <w:tcPr>
            <w:tcW w:w="0" w:type="auto"/>
            <w:shd w:val="clear" w:color="auto" w:fill="auto"/>
            <w:vAlign w:val="center"/>
          </w:tcPr>
          <w:p w14:paraId="10F04D96">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开展小组服务个数</w:t>
            </w:r>
          </w:p>
        </w:tc>
        <w:tc>
          <w:tcPr>
            <w:tcW w:w="0" w:type="auto"/>
            <w:shd w:val="clear" w:color="auto" w:fill="auto"/>
            <w:vAlign w:val="center"/>
          </w:tcPr>
          <w:p w14:paraId="3E82B020">
            <w:pPr>
              <w:keepNext w:val="0"/>
              <w:keepLines w:val="0"/>
              <w:widowControl/>
              <w:suppressLineNumbers w:val="0"/>
              <w:jc w:val="left"/>
              <w:textAlignment w:val="center"/>
              <w:rPr>
                <w:rFonts w:hint="eastAsia" w:ascii="CESI仿宋-GB2312" w:hAnsi="CESI仿宋-GB2312" w:eastAsia="CESI仿宋-GB2312" w:cs="CESI仿宋-GB2312"/>
                <w:i w:val="0"/>
                <w:color w:val="C00000"/>
                <w:sz w:val="20"/>
                <w:szCs w:val="20"/>
                <w:highlight w:val="none"/>
                <w:u w:val="none"/>
              </w:rPr>
            </w:pPr>
            <w:r>
              <w:rPr>
                <w:rFonts w:hint="eastAsia" w:ascii="CESI仿宋-GB2312" w:hAnsi="CESI仿宋-GB2312" w:eastAsia="CESI仿宋-GB2312" w:cs="CESI仿宋-GB2312"/>
                <w:i w:val="0"/>
                <w:color w:val="C00000"/>
                <w:kern w:val="0"/>
                <w:sz w:val="20"/>
                <w:szCs w:val="20"/>
                <w:highlight w:val="none"/>
                <w:u w:val="none"/>
                <w:lang w:val="en-US" w:eastAsia="zh-CN" w:bidi="ar"/>
              </w:rPr>
              <w:t>6个小组、每个5节</w:t>
            </w:r>
            <w:r>
              <w:rPr>
                <w:rFonts w:hint="eastAsia" w:ascii="CESI仿宋-GB2312" w:hAnsi="CESI仿宋-GB2312" w:eastAsia="CESI仿宋-GB2312" w:cs="CESI仿宋-GB2312"/>
                <w:i w:val="0"/>
                <w:color w:val="FF0000"/>
                <w:kern w:val="0"/>
                <w:sz w:val="20"/>
                <w:szCs w:val="20"/>
                <w:highlight w:val="none"/>
                <w:u w:val="none"/>
                <w:lang w:val="en-US" w:eastAsia="zh-CN" w:bidi="ar"/>
              </w:rPr>
              <w:t>（每节不得少于6人）</w:t>
            </w:r>
          </w:p>
        </w:tc>
      </w:tr>
      <w:tr w14:paraId="6E6E2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0" w:hRule="atLeast"/>
        </w:trPr>
        <w:tc>
          <w:tcPr>
            <w:tcW w:w="0" w:type="auto"/>
            <w:vMerge w:val="continue"/>
            <w:shd w:val="clear" w:color="auto" w:fill="auto"/>
            <w:vAlign w:val="center"/>
          </w:tcPr>
          <w:p w14:paraId="7F382D4C">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070A5701">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0DFAC90B">
            <w:pPr>
              <w:jc w:val="left"/>
              <w:rPr>
                <w:rFonts w:hint="eastAsia" w:ascii="CESI仿宋-GB2312" w:hAnsi="CESI仿宋-GB2312" w:eastAsia="CESI仿宋-GB2312" w:cs="CESI仿宋-GB2312"/>
                <w:i w:val="0"/>
                <w:color w:val="auto"/>
                <w:sz w:val="20"/>
                <w:szCs w:val="20"/>
                <w:highlight w:val="none"/>
                <w:u w:val="none"/>
              </w:rPr>
            </w:pPr>
          </w:p>
        </w:tc>
        <w:tc>
          <w:tcPr>
            <w:tcW w:w="0" w:type="auto"/>
            <w:shd w:val="clear" w:color="auto" w:fill="auto"/>
            <w:vAlign w:val="center"/>
          </w:tcPr>
          <w:p w14:paraId="679597C9">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服务成功案例个数</w:t>
            </w:r>
          </w:p>
        </w:tc>
        <w:tc>
          <w:tcPr>
            <w:tcW w:w="0" w:type="auto"/>
            <w:shd w:val="clear" w:color="auto" w:fill="auto"/>
            <w:vAlign w:val="center"/>
          </w:tcPr>
          <w:p w14:paraId="75476736">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≥1个</w:t>
            </w:r>
          </w:p>
        </w:tc>
      </w:tr>
      <w:tr w14:paraId="03D3F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80" w:hRule="atLeast"/>
        </w:trPr>
        <w:tc>
          <w:tcPr>
            <w:tcW w:w="0" w:type="auto"/>
            <w:vMerge w:val="restart"/>
            <w:shd w:val="clear" w:color="auto" w:fill="auto"/>
            <w:vAlign w:val="center"/>
          </w:tcPr>
          <w:p w14:paraId="43958860">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6</w:t>
            </w:r>
          </w:p>
        </w:tc>
        <w:tc>
          <w:tcPr>
            <w:tcW w:w="0" w:type="auto"/>
            <w:vMerge w:val="restart"/>
            <w:shd w:val="clear" w:color="auto" w:fill="auto"/>
            <w:vAlign w:val="center"/>
          </w:tcPr>
          <w:p w14:paraId="6C1C9117">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培育壮大社区社会组织</w:t>
            </w:r>
          </w:p>
        </w:tc>
        <w:tc>
          <w:tcPr>
            <w:tcW w:w="0" w:type="auto"/>
            <w:shd w:val="clear" w:color="auto" w:fill="auto"/>
            <w:vAlign w:val="center"/>
          </w:tcPr>
          <w:p w14:paraId="4B2D2352">
            <w:pPr>
              <w:widowControl/>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动员引导城乡居民根据生产生活需求、本地风俗、个人兴趣爱好等成立各类社区服务类、公益慈善类、志愿服务类、居民互助类、文体活动类社区社会组织。</w:t>
            </w:r>
            <w:r>
              <w:rPr>
                <w:rStyle w:val="19"/>
                <w:rFonts w:hint="default" w:ascii="FangSong_GB2312" w:hAnsi="FangSong_GB2312" w:cs="FangSong_GB2312"/>
                <w:b w:val="0"/>
                <w:bCs/>
                <w:color w:val="auto"/>
                <w:sz w:val="21"/>
                <w:szCs w:val="21"/>
                <w:lang w:bidi="ar"/>
              </w:rPr>
              <w:t>帮助社区社会组织建立工作管理制度，规范服务标准，健全参与机制。</w:t>
            </w:r>
          </w:p>
        </w:tc>
        <w:tc>
          <w:tcPr>
            <w:tcW w:w="0" w:type="auto"/>
            <w:shd w:val="clear" w:color="auto" w:fill="auto"/>
            <w:vAlign w:val="center"/>
          </w:tcPr>
          <w:p w14:paraId="10AF799B">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r>
              <w:rPr>
                <w:rFonts w:hint="eastAsia" w:ascii="CESI仿宋-GB2312" w:hAnsi="CESI仿宋-GB2312" w:eastAsia="CESI仿宋-GB2312" w:cs="CESI仿宋-GB2312"/>
                <w:i w:val="0"/>
                <w:color w:val="auto"/>
                <w:kern w:val="0"/>
                <w:sz w:val="20"/>
                <w:szCs w:val="20"/>
                <w:highlight w:val="none"/>
                <w:u w:val="none"/>
                <w:lang w:val="en-US" w:eastAsia="zh-CN" w:bidi="ar"/>
              </w:rPr>
              <w:t>帮助培育社区社会组织个数</w:t>
            </w:r>
          </w:p>
          <w:p w14:paraId="7368EA7A">
            <w:pPr>
              <w:pStyle w:val="2"/>
              <w:rPr>
                <w:rFonts w:hint="eastAsia"/>
              </w:rPr>
            </w:pPr>
            <w:r>
              <w:rPr>
                <w:rStyle w:val="19"/>
                <w:rFonts w:hint="default" w:ascii="FangSong_GB2312" w:hAnsi="FangSong_GB2312" w:cs="FangSong_GB2312"/>
                <w:b w:val="0"/>
                <w:bCs/>
                <w:color w:val="auto"/>
                <w:sz w:val="21"/>
                <w:szCs w:val="21"/>
                <w:lang w:bidi="ar"/>
              </w:rPr>
              <w:t>（需提供所培育社区社会组织情况、帮助建立制度的相关文件）</w:t>
            </w:r>
          </w:p>
        </w:tc>
        <w:tc>
          <w:tcPr>
            <w:tcW w:w="0" w:type="auto"/>
            <w:shd w:val="clear" w:color="auto" w:fill="auto"/>
            <w:vAlign w:val="center"/>
          </w:tcPr>
          <w:p w14:paraId="6DD866FA">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≥1个</w:t>
            </w:r>
          </w:p>
        </w:tc>
      </w:tr>
      <w:tr w14:paraId="67A95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60" w:hRule="atLeast"/>
        </w:trPr>
        <w:tc>
          <w:tcPr>
            <w:tcW w:w="0" w:type="auto"/>
            <w:vMerge w:val="continue"/>
            <w:shd w:val="clear" w:color="auto" w:fill="auto"/>
            <w:vAlign w:val="center"/>
          </w:tcPr>
          <w:p w14:paraId="2DAF7240">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7D899AFE">
            <w:pPr>
              <w:jc w:val="left"/>
              <w:rPr>
                <w:rFonts w:hint="eastAsia" w:ascii="CESI仿宋-GB2312" w:hAnsi="CESI仿宋-GB2312" w:eastAsia="CESI仿宋-GB2312" w:cs="CESI仿宋-GB2312"/>
                <w:i w:val="0"/>
                <w:color w:val="auto"/>
                <w:sz w:val="20"/>
                <w:szCs w:val="20"/>
                <w:highlight w:val="none"/>
                <w:u w:val="none"/>
              </w:rPr>
            </w:pPr>
          </w:p>
        </w:tc>
        <w:tc>
          <w:tcPr>
            <w:tcW w:w="0" w:type="auto"/>
            <w:shd w:val="clear" w:color="auto" w:fill="auto"/>
            <w:vAlign w:val="center"/>
          </w:tcPr>
          <w:p w14:paraId="4BEBDB89">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以满足社区居民需求为导向，指导社区社会组织开展参与社区协商、社区居民健康、社区群众文化、社区环境改善、社区治安管理、社区防灾减灾、外来人口适应、随迁人员社区融入、易地搬迁帮扶等工作。</w:t>
            </w:r>
          </w:p>
        </w:tc>
        <w:tc>
          <w:tcPr>
            <w:tcW w:w="0" w:type="auto"/>
            <w:shd w:val="clear" w:color="auto" w:fill="auto"/>
            <w:vAlign w:val="center"/>
          </w:tcPr>
          <w:p w14:paraId="6971C5B7">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组织社区社会组织开展活动次数</w:t>
            </w:r>
          </w:p>
        </w:tc>
        <w:tc>
          <w:tcPr>
            <w:tcW w:w="0" w:type="auto"/>
            <w:shd w:val="clear" w:color="auto" w:fill="auto"/>
            <w:vAlign w:val="center"/>
          </w:tcPr>
          <w:p w14:paraId="2F85511C">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≥1次/月</w:t>
            </w:r>
          </w:p>
        </w:tc>
      </w:tr>
      <w:tr w14:paraId="78010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80" w:hRule="atLeast"/>
        </w:trPr>
        <w:tc>
          <w:tcPr>
            <w:tcW w:w="0" w:type="auto"/>
            <w:vMerge w:val="continue"/>
            <w:shd w:val="clear" w:color="auto" w:fill="auto"/>
            <w:vAlign w:val="center"/>
          </w:tcPr>
          <w:p w14:paraId="423FA3F0">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15036448">
            <w:pPr>
              <w:jc w:val="left"/>
              <w:rPr>
                <w:rFonts w:hint="eastAsia" w:ascii="CESI仿宋-GB2312" w:hAnsi="CESI仿宋-GB2312" w:eastAsia="CESI仿宋-GB2312" w:cs="CESI仿宋-GB2312"/>
                <w:i w:val="0"/>
                <w:color w:val="auto"/>
                <w:sz w:val="20"/>
                <w:szCs w:val="20"/>
                <w:highlight w:val="none"/>
                <w:u w:val="none"/>
              </w:rPr>
            </w:pPr>
          </w:p>
        </w:tc>
        <w:tc>
          <w:tcPr>
            <w:tcW w:w="0" w:type="auto"/>
            <w:vMerge w:val="restart"/>
            <w:shd w:val="clear" w:color="auto" w:fill="auto"/>
            <w:vAlign w:val="center"/>
          </w:tcPr>
          <w:p w14:paraId="011F12B2">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为社区社会组织人员提供社会工作专业培训，加强能力建设，链接资源提供业务咨询。</w:t>
            </w:r>
          </w:p>
        </w:tc>
        <w:tc>
          <w:tcPr>
            <w:tcW w:w="0" w:type="auto"/>
            <w:shd w:val="clear" w:color="auto" w:fill="auto"/>
            <w:vAlign w:val="center"/>
          </w:tcPr>
          <w:p w14:paraId="6358A1CB">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培养社区社会组织骨干人数</w:t>
            </w:r>
          </w:p>
        </w:tc>
        <w:tc>
          <w:tcPr>
            <w:tcW w:w="0" w:type="auto"/>
            <w:shd w:val="clear" w:color="auto" w:fill="auto"/>
            <w:vAlign w:val="center"/>
          </w:tcPr>
          <w:p w14:paraId="613D7927">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≥3人</w:t>
            </w:r>
          </w:p>
        </w:tc>
      </w:tr>
      <w:tr w14:paraId="17AB4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00" w:hRule="atLeast"/>
        </w:trPr>
        <w:tc>
          <w:tcPr>
            <w:tcW w:w="0" w:type="auto"/>
            <w:vMerge w:val="continue"/>
            <w:shd w:val="clear" w:color="auto" w:fill="auto"/>
            <w:vAlign w:val="center"/>
          </w:tcPr>
          <w:p w14:paraId="535ECCF5">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371913F2">
            <w:pPr>
              <w:jc w:val="left"/>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12A403E4">
            <w:pPr>
              <w:jc w:val="left"/>
              <w:rPr>
                <w:rFonts w:hint="eastAsia" w:ascii="CESI仿宋-GB2312" w:hAnsi="CESI仿宋-GB2312" w:eastAsia="CESI仿宋-GB2312" w:cs="CESI仿宋-GB2312"/>
                <w:i w:val="0"/>
                <w:color w:val="auto"/>
                <w:sz w:val="20"/>
                <w:szCs w:val="20"/>
                <w:highlight w:val="none"/>
                <w:u w:val="none"/>
              </w:rPr>
            </w:pPr>
          </w:p>
        </w:tc>
        <w:tc>
          <w:tcPr>
            <w:tcW w:w="0" w:type="auto"/>
            <w:shd w:val="clear" w:color="auto" w:fill="auto"/>
            <w:vAlign w:val="center"/>
          </w:tcPr>
          <w:p w14:paraId="77BA6798">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为社区社会组织人员提供社会工作专业培训次数</w:t>
            </w:r>
          </w:p>
        </w:tc>
        <w:tc>
          <w:tcPr>
            <w:tcW w:w="0" w:type="auto"/>
            <w:shd w:val="clear" w:color="auto" w:fill="auto"/>
            <w:vAlign w:val="center"/>
          </w:tcPr>
          <w:p w14:paraId="38734C5F">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≥1次</w:t>
            </w:r>
          </w:p>
        </w:tc>
      </w:tr>
      <w:tr w14:paraId="74E7A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40" w:hRule="atLeast"/>
        </w:trPr>
        <w:tc>
          <w:tcPr>
            <w:tcW w:w="0" w:type="auto"/>
            <w:vMerge w:val="restart"/>
            <w:shd w:val="clear" w:color="auto" w:fill="auto"/>
            <w:vAlign w:val="center"/>
          </w:tcPr>
          <w:p w14:paraId="419559F1">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7</w:t>
            </w:r>
          </w:p>
        </w:tc>
        <w:tc>
          <w:tcPr>
            <w:tcW w:w="0" w:type="auto"/>
            <w:vMerge w:val="restart"/>
            <w:shd w:val="clear" w:color="auto" w:fill="auto"/>
            <w:vAlign w:val="center"/>
          </w:tcPr>
          <w:p w14:paraId="088DBFD8">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链接社会各方慈善资源</w:t>
            </w:r>
          </w:p>
        </w:tc>
        <w:tc>
          <w:tcPr>
            <w:tcW w:w="0" w:type="auto"/>
            <w:vMerge w:val="restart"/>
            <w:shd w:val="clear" w:color="auto" w:fill="auto"/>
            <w:vAlign w:val="center"/>
          </w:tcPr>
          <w:p w14:paraId="5765B746">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充分发挥慈善组织募集功能和慈善超市的专项服务优势，探索建立社区慈善救助基金和社区服务专项基金，形成慈善资源共募共用共享机制。以项目化方式助力社区社会组织和社区服务的发展，为社区治理创新提供资金支持。</w:t>
            </w:r>
          </w:p>
        </w:tc>
        <w:tc>
          <w:tcPr>
            <w:tcW w:w="0" w:type="auto"/>
            <w:shd w:val="clear" w:color="auto" w:fill="auto"/>
            <w:vAlign w:val="center"/>
          </w:tcPr>
          <w:p w14:paraId="1711E53A">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与慈善组织共募资金数量</w:t>
            </w:r>
          </w:p>
        </w:tc>
        <w:tc>
          <w:tcPr>
            <w:tcW w:w="0" w:type="auto"/>
            <w:shd w:val="clear" w:color="auto" w:fill="auto"/>
            <w:vAlign w:val="center"/>
          </w:tcPr>
          <w:p w14:paraId="7D160AA2">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000000" w:themeColor="text1"/>
                <w:kern w:val="0"/>
                <w:sz w:val="20"/>
                <w:szCs w:val="20"/>
                <w:highlight w:val="none"/>
                <w:u w:val="none"/>
                <w:lang w:val="en-US" w:eastAsia="zh-CN" w:bidi="ar"/>
                <w14:textFill>
                  <w14:solidFill>
                    <w14:schemeClr w14:val="tx1"/>
                  </w14:solidFill>
                </w14:textFill>
              </w:rPr>
              <w:t>≥1万</w:t>
            </w:r>
          </w:p>
        </w:tc>
      </w:tr>
      <w:tr w14:paraId="66575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0" w:hRule="atLeast"/>
        </w:trPr>
        <w:tc>
          <w:tcPr>
            <w:tcW w:w="0" w:type="auto"/>
            <w:vMerge w:val="continue"/>
            <w:shd w:val="clear" w:color="auto" w:fill="auto"/>
            <w:vAlign w:val="center"/>
          </w:tcPr>
          <w:p w14:paraId="728D23BC">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5E902D82">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010345F7">
            <w:pPr>
              <w:jc w:val="left"/>
              <w:rPr>
                <w:rFonts w:hint="eastAsia" w:ascii="CESI仿宋-GB2312" w:hAnsi="CESI仿宋-GB2312" w:eastAsia="CESI仿宋-GB2312" w:cs="CESI仿宋-GB2312"/>
                <w:i w:val="0"/>
                <w:color w:val="auto"/>
                <w:sz w:val="20"/>
                <w:szCs w:val="20"/>
                <w:highlight w:val="none"/>
                <w:u w:val="none"/>
              </w:rPr>
            </w:pPr>
          </w:p>
        </w:tc>
        <w:tc>
          <w:tcPr>
            <w:tcW w:w="0" w:type="auto"/>
            <w:shd w:val="clear" w:color="auto" w:fill="auto"/>
            <w:vAlign w:val="center"/>
          </w:tcPr>
          <w:p w14:paraId="0BD85249">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开展慈善项目个数</w:t>
            </w:r>
          </w:p>
        </w:tc>
        <w:tc>
          <w:tcPr>
            <w:tcW w:w="0" w:type="auto"/>
            <w:shd w:val="clear" w:color="auto" w:fill="auto"/>
            <w:vAlign w:val="center"/>
          </w:tcPr>
          <w:p w14:paraId="28C8EF0E">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lang w:val="en-US" w:eastAsia="zh-CN"/>
              </w:rPr>
            </w:pPr>
            <w:r>
              <w:rPr>
                <w:rFonts w:hint="eastAsia" w:ascii="CESI仿宋-GB2312" w:hAnsi="CESI仿宋-GB2312" w:eastAsia="CESI仿宋-GB2312" w:cs="CESI仿宋-GB2312"/>
                <w:i w:val="0"/>
                <w:color w:val="auto"/>
                <w:kern w:val="0"/>
                <w:sz w:val="20"/>
                <w:szCs w:val="20"/>
                <w:highlight w:val="none"/>
                <w:u w:val="none"/>
                <w:lang w:val="en-US" w:eastAsia="zh-CN" w:bidi="ar"/>
              </w:rPr>
              <w:t>≥1个</w:t>
            </w:r>
          </w:p>
        </w:tc>
      </w:tr>
      <w:tr w14:paraId="54AD5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00" w:hRule="atLeast"/>
        </w:trPr>
        <w:tc>
          <w:tcPr>
            <w:tcW w:w="0" w:type="auto"/>
            <w:vMerge w:val="continue"/>
            <w:shd w:val="clear" w:color="auto" w:fill="auto"/>
            <w:vAlign w:val="center"/>
          </w:tcPr>
          <w:p w14:paraId="27375161">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42419C60">
            <w:pPr>
              <w:jc w:val="center"/>
              <w:rPr>
                <w:rFonts w:hint="eastAsia" w:ascii="CESI仿宋-GB2312" w:hAnsi="CESI仿宋-GB2312" w:eastAsia="CESI仿宋-GB2312" w:cs="CESI仿宋-GB2312"/>
                <w:i w:val="0"/>
                <w:color w:val="auto"/>
                <w:sz w:val="20"/>
                <w:szCs w:val="20"/>
                <w:highlight w:val="none"/>
                <w:u w:val="none"/>
              </w:rPr>
            </w:pPr>
          </w:p>
        </w:tc>
        <w:tc>
          <w:tcPr>
            <w:tcW w:w="0" w:type="auto"/>
            <w:vMerge w:val="restart"/>
            <w:shd w:val="clear" w:color="auto" w:fill="auto"/>
            <w:vAlign w:val="center"/>
          </w:tcPr>
          <w:p w14:paraId="710E32CF">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制定社区慈善救助实施计划，集中优质资源，协助为有迫切需求的困难群众实施慈善救助，帮助其摆脱困境。</w:t>
            </w:r>
          </w:p>
        </w:tc>
        <w:tc>
          <w:tcPr>
            <w:tcW w:w="0" w:type="auto"/>
            <w:shd w:val="clear" w:color="auto" w:fill="auto"/>
            <w:vAlign w:val="center"/>
          </w:tcPr>
          <w:p w14:paraId="3E1A0B4A">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协助为有迫切需求的困难群众实施慈善救助次数</w:t>
            </w:r>
          </w:p>
        </w:tc>
        <w:tc>
          <w:tcPr>
            <w:tcW w:w="0" w:type="auto"/>
            <w:shd w:val="clear" w:color="auto" w:fill="auto"/>
            <w:vAlign w:val="center"/>
          </w:tcPr>
          <w:p w14:paraId="3D600762">
            <w:pPr>
              <w:keepNext w:val="0"/>
              <w:keepLines w:val="0"/>
              <w:widowControl/>
              <w:suppressLineNumbers w:val="0"/>
              <w:jc w:val="center"/>
              <w:textAlignment w:val="center"/>
              <w:rPr>
                <w:rFonts w:hint="default" w:ascii="CESI仿宋-GB2312" w:hAnsi="CESI仿宋-GB2312" w:eastAsia="CESI仿宋-GB2312" w:cs="CESI仿宋-GB2312"/>
                <w:i w:val="0"/>
                <w:color w:val="auto"/>
                <w:sz w:val="20"/>
                <w:szCs w:val="20"/>
                <w:highlight w:val="none"/>
                <w:u w:val="none"/>
                <w:lang w:val="en-US"/>
              </w:rPr>
            </w:pPr>
            <w:r>
              <w:rPr>
                <w:rFonts w:hint="eastAsia" w:ascii="CESI仿宋-GB2312" w:hAnsi="CESI仿宋-GB2312" w:eastAsia="CESI仿宋-GB2312" w:cs="CESI仿宋-GB2312"/>
                <w:i w:val="0"/>
                <w:color w:val="auto"/>
                <w:kern w:val="0"/>
                <w:sz w:val="20"/>
                <w:szCs w:val="20"/>
                <w:highlight w:val="none"/>
                <w:u w:val="none"/>
                <w:lang w:val="en-US" w:eastAsia="zh-CN" w:bidi="ar"/>
              </w:rPr>
              <w:t>≥1次/季度</w:t>
            </w:r>
          </w:p>
        </w:tc>
      </w:tr>
      <w:tr w14:paraId="2B955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00" w:hRule="atLeast"/>
        </w:trPr>
        <w:tc>
          <w:tcPr>
            <w:tcW w:w="0" w:type="auto"/>
            <w:vMerge w:val="continue"/>
            <w:shd w:val="clear" w:color="auto" w:fill="auto"/>
            <w:vAlign w:val="center"/>
          </w:tcPr>
          <w:p w14:paraId="59BD7597">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25FA12A7">
            <w:pPr>
              <w:jc w:val="center"/>
              <w:rPr>
                <w:rFonts w:hint="eastAsia" w:ascii="CESI仿宋-GB2312" w:hAnsi="CESI仿宋-GB2312" w:eastAsia="CESI仿宋-GB2312" w:cs="CESI仿宋-GB2312"/>
                <w:i w:val="0"/>
                <w:color w:val="auto"/>
                <w:sz w:val="20"/>
                <w:szCs w:val="20"/>
                <w:highlight w:val="none"/>
                <w:u w:val="none"/>
              </w:rPr>
            </w:pPr>
          </w:p>
        </w:tc>
        <w:tc>
          <w:tcPr>
            <w:tcW w:w="0" w:type="auto"/>
            <w:vMerge w:val="continue"/>
            <w:shd w:val="clear" w:color="auto" w:fill="auto"/>
            <w:vAlign w:val="center"/>
          </w:tcPr>
          <w:p w14:paraId="61C1837E">
            <w:pPr>
              <w:jc w:val="left"/>
              <w:rPr>
                <w:rFonts w:hint="eastAsia" w:ascii="CESI仿宋-GB2312" w:hAnsi="CESI仿宋-GB2312" w:eastAsia="CESI仿宋-GB2312" w:cs="CESI仿宋-GB2312"/>
                <w:i w:val="0"/>
                <w:color w:val="auto"/>
                <w:sz w:val="20"/>
                <w:szCs w:val="20"/>
                <w:highlight w:val="none"/>
                <w:u w:val="none"/>
              </w:rPr>
            </w:pPr>
          </w:p>
        </w:tc>
        <w:tc>
          <w:tcPr>
            <w:tcW w:w="0" w:type="auto"/>
            <w:shd w:val="clear" w:color="auto" w:fill="auto"/>
            <w:vAlign w:val="center"/>
          </w:tcPr>
          <w:p w14:paraId="59011A3F">
            <w:pPr>
              <w:keepNext w:val="0"/>
              <w:keepLines w:val="0"/>
              <w:widowControl/>
              <w:suppressLineNumbers w:val="0"/>
              <w:jc w:val="left"/>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协助为有迫切需求的困难群众实施慈善救助资金数</w:t>
            </w:r>
          </w:p>
        </w:tc>
        <w:tc>
          <w:tcPr>
            <w:tcW w:w="0" w:type="auto"/>
            <w:shd w:val="clear" w:color="auto" w:fill="auto"/>
            <w:vAlign w:val="center"/>
          </w:tcPr>
          <w:p w14:paraId="20B8D95B">
            <w:pPr>
              <w:keepNext w:val="0"/>
              <w:keepLines w:val="0"/>
              <w:widowControl/>
              <w:suppressLineNumbers w:val="0"/>
              <w:jc w:val="center"/>
              <w:textAlignment w:val="center"/>
              <w:rPr>
                <w:rFonts w:hint="eastAsia" w:ascii="CESI仿宋-GB2312" w:hAnsi="CESI仿宋-GB2312" w:eastAsia="CESI仿宋-GB2312" w:cs="CESI仿宋-GB2312"/>
                <w:i w:val="0"/>
                <w:color w:val="auto"/>
                <w:sz w:val="20"/>
                <w:szCs w:val="20"/>
                <w:highlight w:val="none"/>
                <w:u w:val="none"/>
              </w:rPr>
            </w:pPr>
            <w:r>
              <w:rPr>
                <w:rFonts w:hint="eastAsia" w:ascii="CESI仿宋-GB2312" w:hAnsi="CESI仿宋-GB2312" w:eastAsia="CESI仿宋-GB2312" w:cs="CESI仿宋-GB2312"/>
                <w:i w:val="0"/>
                <w:color w:val="auto"/>
                <w:kern w:val="0"/>
                <w:sz w:val="20"/>
                <w:szCs w:val="20"/>
                <w:highlight w:val="none"/>
                <w:u w:val="none"/>
                <w:lang w:val="en-US" w:eastAsia="zh-CN" w:bidi="ar"/>
              </w:rPr>
              <w:t>≥1000元/次</w:t>
            </w:r>
          </w:p>
        </w:tc>
      </w:tr>
      <w:tr w14:paraId="2DC78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00" w:hRule="atLeast"/>
        </w:trPr>
        <w:tc>
          <w:tcPr>
            <w:tcW w:w="0" w:type="auto"/>
            <w:vMerge w:val="restart"/>
            <w:shd w:val="clear" w:color="auto" w:fill="auto"/>
            <w:vAlign w:val="center"/>
          </w:tcPr>
          <w:p w14:paraId="2550CCC9">
            <w:pPr>
              <w:jc w:val="center"/>
              <w:rPr>
                <w:rFonts w:hint="eastAsia" w:ascii="CESI仿宋-GB2312" w:hAnsi="CESI仿宋-GB2312" w:eastAsia="CESI仿宋-GB2312" w:cs="CESI仿宋-GB2312"/>
                <w:i w:val="0"/>
                <w:color w:val="auto"/>
                <w:sz w:val="20"/>
                <w:szCs w:val="20"/>
                <w:highlight w:val="none"/>
                <w:u w:val="none"/>
                <w:lang w:val="en-US" w:eastAsia="zh-CN"/>
              </w:rPr>
            </w:pPr>
            <w:r>
              <w:rPr>
                <w:rFonts w:hint="eastAsia" w:ascii="CESI仿宋-GB2312" w:hAnsi="CESI仿宋-GB2312" w:eastAsia="CESI仿宋-GB2312" w:cs="CESI仿宋-GB2312"/>
                <w:i w:val="0"/>
                <w:color w:val="auto"/>
                <w:sz w:val="20"/>
                <w:szCs w:val="20"/>
                <w:highlight w:val="none"/>
                <w:u w:val="none"/>
                <w:lang w:val="en-US" w:eastAsia="zh-CN"/>
              </w:rPr>
              <w:t>8</w:t>
            </w:r>
          </w:p>
        </w:tc>
        <w:tc>
          <w:tcPr>
            <w:tcW w:w="0" w:type="auto"/>
            <w:vMerge w:val="restart"/>
            <w:shd w:val="clear" w:color="auto" w:fill="auto"/>
            <w:vAlign w:val="center"/>
          </w:tcPr>
          <w:p w14:paraId="6B56E24B">
            <w:pPr>
              <w:jc w:val="center"/>
              <w:rPr>
                <w:rFonts w:hint="eastAsia" w:ascii="CESI仿宋-GB2312" w:hAnsi="CESI仿宋-GB2312" w:eastAsia="CESI仿宋-GB2312" w:cs="CESI仿宋-GB2312"/>
                <w:i w:val="0"/>
                <w:color w:val="auto"/>
                <w:sz w:val="20"/>
                <w:szCs w:val="20"/>
                <w:highlight w:val="none"/>
                <w:u w:val="none"/>
                <w:lang w:val="en-US" w:eastAsia="zh-CN"/>
              </w:rPr>
            </w:pPr>
            <w:r>
              <w:rPr>
                <w:rFonts w:hint="eastAsia" w:ascii="CESI仿宋-GB2312" w:hAnsi="CESI仿宋-GB2312" w:eastAsia="CESI仿宋-GB2312" w:cs="CESI仿宋-GB2312"/>
                <w:i w:val="0"/>
                <w:color w:val="auto"/>
                <w:sz w:val="20"/>
                <w:szCs w:val="20"/>
                <w:highlight w:val="none"/>
                <w:u w:val="none"/>
                <w:lang w:val="en-US" w:eastAsia="zh-CN"/>
              </w:rPr>
              <w:t>自选项目</w:t>
            </w:r>
          </w:p>
        </w:tc>
        <w:tc>
          <w:tcPr>
            <w:tcW w:w="0" w:type="auto"/>
            <w:shd w:val="clear" w:color="auto" w:fill="auto"/>
            <w:vAlign w:val="center"/>
          </w:tcPr>
          <w:p w14:paraId="1EAECF9C">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r>
              <w:rPr>
                <w:rFonts w:hint="eastAsia" w:ascii="CESI仿宋-GB2312" w:hAnsi="CESI仿宋-GB2312" w:eastAsia="CESI仿宋-GB2312" w:cs="CESI仿宋-GB2312"/>
                <w:i w:val="0"/>
                <w:color w:val="auto"/>
                <w:kern w:val="0"/>
                <w:sz w:val="20"/>
                <w:szCs w:val="20"/>
                <w:highlight w:val="none"/>
                <w:u w:val="none"/>
                <w:lang w:val="en-US" w:eastAsia="zh-CN" w:bidi="ar"/>
              </w:rPr>
              <w:t>对特殊困难老年人的基本生活、安全风险、家庭赡养、关爱保护等情况进行探访，提供远程服务、健康指导、常规生理指数监测、中医护理等,并对探访对象实行台账式管理。</w:t>
            </w:r>
          </w:p>
        </w:tc>
        <w:tc>
          <w:tcPr>
            <w:tcW w:w="0" w:type="auto"/>
            <w:shd w:val="clear" w:color="auto" w:fill="auto"/>
            <w:vAlign w:val="center"/>
          </w:tcPr>
          <w:p w14:paraId="3680F884">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r>
              <w:rPr>
                <w:rFonts w:hint="eastAsia" w:ascii="CESI仿宋-GB2312" w:hAnsi="CESI仿宋-GB2312" w:eastAsia="CESI仿宋-GB2312" w:cs="CESI仿宋-GB2312"/>
                <w:i w:val="0"/>
                <w:color w:val="auto"/>
                <w:kern w:val="0"/>
                <w:sz w:val="20"/>
                <w:szCs w:val="20"/>
                <w:highlight w:val="none"/>
                <w:u w:val="none"/>
                <w:lang w:val="en-US" w:eastAsia="zh-CN" w:bidi="ar"/>
              </w:rPr>
              <w:t>独居、空巢、留守、失能、失智、分散供养特困人员、计划生育特殊家庭老年人等特殊困难老年人</w:t>
            </w:r>
          </w:p>
        </w:tc>
        <w:tc>
          <w:tcPr>
            <w:tcW w:w="0" w:type="auto"/>
            <w:vMerge w:val="restart"/>
            <w:shd w:val="clear" w:color="auto" w:fill="auto"/>
            <w:vAlign w:val="center"/>
          </w:tcPr>
          <w:p w14:paraId="74B3BCBA">
            <w:pPr>
              <w:keepNext w:val="0"/>
              <w:keepLines w:val="0"/>
              <w:widowControl/>
              <w:suppressLineNumbers w:val="0"/>
              <w:jc w:val="center"/>
              <w:textAlignment w:val="center"/>
              <w:rPr>
                <w:rFonts w:hint="default" w:ascii="CESI仿宋-GB2312" w:hAnsi="CESI仿宋-GB2312" w:eastAsia="CESI仿宋-GB2312" w:cs="CESI仿宋-GB2312"/>
                <w:i w:val="0"/>
                <w:color w:val="auto"/>
                <w:kern w:val="0"/>
                <w:sz w:val="20"/>
                <w:szCs w:val="20"/>
                <w:highlight w:val="none"/>
                <w:u w:val="none"/>
                <w:lang w:val="en-US" w:eastAsia="zh-CN" w:bidi="ar"/>
              </w:rPr>
            </w:pPr>
            <w:r>
              <w:rPr>
                <w:rFonts w:hint="eastAsia" w:ascii="CESI仿宋-GB2312" w:hAnsi="CESI仿宋-GB2312" w:eastAsia="CESI仿宋-GB2312" w:cs="CESI仿宋-GB2312"/>
                <w:i w:val="0"/>
                <w:color w:val="auto"/>
                <w:kern w:val="0"/>
                <w:sz w:val="20"/>
                <w:szCs w:val="20"/>
                <w:highlight w:val="none"/>
                <w:u w:val="none"/>
                <w:lang w:val="en-US" w:eastAsia="zh-CN" w:bidi="ar"/>
              </w:rPr>
              <w:t>同序号“2.3.4.5”标准一致</w:t>
            </w:r>
          </w:p>
        </w:tc>
      </w:tr>
      <w:tr w14:paraId="669BB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00" w:hRule="atLeast"/>
        </w:trPr>
        <w:tc>
          <w:tcPr>
            <w:tcW w:w="0" w:type="auto"/>
            <w:vMerge w:val="continue"/>
            <w:shd w:val="clear" w:color="auto" w:fill="auto"/>
          </w:tcPr>
          <w:p w14:paraId="52EC0294">
            <w:pPr>
              <w:jc w:val="center"/>
              <w:rPr>
                <w:rFonts w:hint="eastAsia" w:ascii="CESI仿宋-GB2312" w:hAnsi="CESI仿宋-GB2312" w:eastAsia="CESI仿宋-GB2312" w:cs="CESI仿宋-GB2312"/>
                <w:i w:val="0"/>
                <w:color w:val="auto"/>
                <w:sz w:val="20"/>
                <w:szCs w:val="20"/>
                <w:highlight w:val="none"/>
                <w:u w:val="none"/>
                <w:lang w:val="en-US" w:eastAsia="zh-CN"/>
              </w:rPr>
            </w:pPr>
          </w:p>
        </w:tc>
        <w:tc>
          <w:tcPr>
            <w:tcW w:w="0" w:type="auto"/>
            <w:vMerge w:val="continue"/>
            <w:shd w:val="clear" w:color="auto" w:fill="auto"/>
          </w:tcPr>
          <w:p w14:paraId="484E57B7">
            <w:pPr>
              <w:jc w:val="center"/>
              <w:rPr>
                <w:rFonts w:hint="eastAsia" w:ascii="CESI仿宋-GB2312" w:hAnsi="CESI仿宋-GB2312" w:eastAsia="CESI仿宋-GB2312" w:cs="CESI仿宋-GB2312"/>
                <w:i w:val="0"/>
                <w:color w:val="auto"/>
                <w:sz w:val="20"/>
                <w:szCs w:val="20"/>
                <w:highlight w:val="none"/>
                <w:u w:val="none"/>
                <w:lang w:val="en-US" w:eastAsia="zh-CN"/>
              </w:rPr>
            </w:pPr>
          </w:p>
        </w:tc>
        <w:tc>
          <w:tcPr>
            <w:tcW w:w="0" w:type="auto"/>
            <w:shd w:val="clear" w:color="auto" w:fill="auto"/>
            <w:vAlign w:val="center"/>
          </w:tcPr>
          <w:p w14:paraId="7C4F2E05">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r>
              <w:rPr>
                <w:rFonts w:hint="eastAsia" w:ascii="CESI仿宋-GB2312" w:hAnsi="CESI仿宋-GB2312" w:eastAsia="CESI仿宋-GB2312" w:cs="CESI仿宋-GB2312"/>
                <w:i w:val="0"/>
                <w:color w:val="auto"/>
                <w:kern w:val="0"/>
                <w:sz w:val="20"/>
                <w:szCs w:val="20"/>
                <w:highlight w:val="none"/>
                <w:u w:val="none"/>
                <w:lang w:val="en-US" w:eastAsia="zh-CN" w:bidi="ar"/>
              </w:rPr>
              <w:t>协调推动嘎查（村）干部、网格员、健康低龄老年人等爱心人士积极参与互助养老服务，组建志愿服务队伍，根据困难老年人的实际需求，提供巡视探视、心理慰藉、生活照料、紧急援助等互助关爱服务。</w:t>
            </w:r>
          </w:p>
        </w:tc>
        <w:tc>
          <w:tcPr>
            <w:tcW w:w="0" w:type="auto"/>
            <w:shd w:val="clear" w:color="auto" w:fill="auto"/>
            <w:vAlign w:val="center"/>
          </w:tcPr>
          <w:p w14:paraId="29AEF55D">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r>
              <w:rPr>
                <w:rFonts w:hint="eastAsia" w:ascii="CESI仿宋-GB2312" w:hAnsi="CESI仿宋-GB2312" w:eastAsia="CESI仿宋-GB2312" w:cs="CESI仿宋-GB2312"/>
                <w:i w:val="0"/>
                <w:color w:val="auto"/>
                <w:kern w:val="0"/>
                <w:sz w:val="20"/>
                <w:szCs w:val="20"/>
                <w:highlight w:val="none"/>
                <w:u w:val="none"/>
                <w:lang w:val="en-US" w:eastAsia="zh-CN" w:bidi="ar"/>
              </w:rPr>
              <w:t>农村牧区老年人</w:t>
            </w:r>
          </w:p>
        </w:tc>
        <w:tc>
          <w:tcPr>
            <w:tcW w:w="0" w:type="auto"/>
            <w:vMerge w:val="continue"/>
            <w:shd w:val="clear" w:color="auto" w:fill="auto"/>
          </w:tcPr>
          <w:p w14:paraId="40C8641D">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p>
        </w:tc>
      </w:tr>
      <w:tr w14:paraId="15C8B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00" w:hRule="atLeast"/>
        </w:trPr>
        <w:tc>
          <w:tcPr>
            <w:tcW w:w="0" w:type="auto"/>
            <w:vMerge w:val="continue"/>
            <w:shd w:val="clear" w:color="auto" w:fill="auto"/>
          </w:tcPr>
          <w:p w14:paraId="70E7F15B">
            <w:pPr>
              <w:jc w:val="center"/>
              <w:rPr>
                <w:rFonts w:hint="eastAsia" w:ascii="CESI仿宋-GB2312" w:hAnsi="CESI仿宋-GB2312" w:eastAsia="CESI仿宋-GB2312" w:cs="CESI仿宋-GB2312"/>
                <w:i w:val="0"/>
                <w:color w:val="auto"/>
                <w:sz w:val="20"/>
                <w:szCs w:val="20"/>
                <w:highlight w:val="none"/>
                <w:u w:val="none"/>
                <w:lang w:val="en-US" w:eastAsia="zh-CN"/>
              </w:rPr>
            </w:pPr>
          </w:p>
        </w:tc>
        <w:tc>
          <w:tcPr>
            <w:tcW w:w="0" w:type="auto"/>
            <w:vMerge w:val="continue"/>
            <w:shd w:val="clear" w:color="auto" w:fill="auto"/>
          </w:tcPr>
          <w:p w14:paraId="5C833BA0">
            <w:pPr>
              <w:jc w:val="center"/>
              <w:rPr>
                <w:rFonts w:hint="eastAsia" w:ascii="CESI仿宋-GB2312" w:hAnsi="CESI仿宋-GB2312" w:eastAsia="CESI仿宋-GB2312" w:cs="CESI仿宋-GB2312"/>
                <w:i w:val="0"/>
                <w:color w:val="auto"/>
                <w:sz w:val="20"/>
                <w:szCs w:val="20"/>
                <w:highlight w:val="none"/>
                <w:u w:val="none"/>
                <w:lang w:val="en-US" w:eastAsia="zh-CN"/>
              </w:rPr>
            </w:pPr>
          </w:p>
        </w:tc>
        <w:tc>
          <w:tcPr>
            <w:tcW w:w="0" w:type="auto"/>
            <w:shd w:val="clear" w:color="auto" w:fill="auto"/>
            <w:vAlign w:val="center"/>
          </w:tcPr>
          <w:p w14:paraId="470092BE">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r>
              <w:rPr>
                <w:rFonts w:hint="eastAsia" w:ascii="CESI仿宋-GB2312" w:hAnsi="CESI仿宋-GB2312" w:eastAsia="CESI仿宋-GB2312" w:cs="CESI仿宋-GB2312"/>
                <w:i w:val="0"/>
                <w:color w:val="auto"/>
                <w:kern w:val="0"/>
                <w:sz w:val="20"/>
                <w:szCs w:val="20"/>
                <w:highlight w:val="none"/>
                <w:u w:val="none"/>
                <w:lang w:val="en-US" w:eastAsia="zh-CN" w:bidi="ar"/>
              </w:rPr>
              <w:t>开展课后辅导、户外拓展、成长陪伴、职业技能培训、社会融入等服务，以及爱国主义、安全常识、传统文化、社会劳动实践教育。</w:t>
            </w:r>
          </w:p>
        </w:tc>
        <w:tc>
          <w:tcPr>
            <w:tcW w:w="0" w:type="auto"/>
            <w:shd w:val="clear" w:color="auto" w:fill="auto"/>
            <w:vAlign w:val="center"/>
          </w:tcPr>
          <w:p w14:paraId="33DF36F1">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r>
              <w:rPr>
                <w:rFonts w:hint="eastAsia" w:ascii="CESI仿宋-GB2312" w:hAnsi="CESI仿宋-GB2312" w:eastAsia="CESI仿宋-GB2312" w:cs="CESI仿宋-GB2312"/>
                <w:i w:val="0"/>
                <w:color w:val="auto"/>
                <w:kern w:val="0"/>
                <w:sz w:val="20"/>
                <w:szCs w:val="20"/>
                <w:highlight w:val="none"/>
                <w:u w:val="none"/>
                <w:lang w:val="en-US" w:eastAsia="zh-CN" w:bidi="ar"/>
              </w:rPr>
              <w:t>留守儿童、重点关爱流动儿童和困境儿童</w:t>
            </w:r>
          </w:p>
        </w:tc>
        <w:tc>
          <w:tcPr>
            <w:tcW w:w="0" w:type="auto"/>
            <w:vMerge w:val="continue"/>
            <w:shd w:val="clear" w:color="auto" w:fill="auto"/>
          </w:tcPr>
          <w:p w14:paraId="2BA246EB">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p>
        </w:tc>
      </w:tr>
      <w:tr w14:paraId="02E10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00" w:hRule="atLeast"/>
        </w:trPr>
        <w:tc>
          <w:tcPr>
            <w:tcW w:w="0" w:type="auto"/>
            <w:vMerge w:val="continue"/>
            <w:shd w:val="clear" w:color="auto" w:fill="auto"/>
          </w:tcPr>
          <w:p w14:paraId="2E55B2A2">
            <w:pPr>
              <w:jc w:val="center"/>
              <w:rPr>
                <w:rFonts w:hint="eastAsia" w:ascii="CESI仿宋-GB2312" w:hAnsi="CESI仿宋-GB2312" w:eastAsia="CESI仿宋-GB2312" w:cs="CESI仿宋-GB2312"/>
                <w:i w:val="0"/>
                <w:color w:val="auto"/>
                <w:sz w:val="20"/>
                <w:szCs w:val="20"/>
                <w:highlight w:val="none"/>
                <w:u w:val="none"/>
                <w:lang w:val="en-US" w:eastAsia="zh-CN"/>
              </w:rPr>
            </w:pPr>
          </w:p>
        </w:tc>
        <w:tc>
          <w:tcPr>
            <w:tcW w:w="0" w:type="auto"/>
            <w:vMerge w:val="continue"/>
            <w:shd w:val="clear" w:color="auto" w:fill="auto"/>
          </w:tcPr>
          <w:p w14:paraId="07E7F27B">
            <w:pPr>
              <w:jc w:val="center"/>
              <w:rPr>
                <w:rFonts w:hint="eastAsia" w:ascii="CESI仿宋-GB2312" w:hAnsi="CESI仿宋-GB2312" w:eastAsia="CESI仿宋-GB2312" w:cs="CESI仿宋-GB2312"/>
                <w:i w:val="0"/>
                <w:color w:val="auto"/>
                <w:sz w:val="20"/>
                <w:szCs w:val="20"/>
                <w:highlight w:val="none"/>
                <w:u w:val="none"/>
                <w:lang w:val="en-US" w:eastAsia="zh-CN"/>
              </w:rPr>
            </w:pPr>
          </w:p>
        </w:tc>
        <w:tc>
          <w:tcPr>
            <w:tcW w:w="0" w:type="auto"/>
            <w:shd w:val="clear" w:color="auto" w:fill="auto"/>
            <w:vAlign w:val="center"/>
          </w:tcPr>
          <w:p w14:paraId="3C21CDDE">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r>
              <w:rPr>
                <w:rFonts w:hint="eastAsia" w:ascii="CESI仿宋-GB2312" w:hAnsi="CESI仿宋-GB2312" w:eastAsia="CESI仿宋-GB2312" w:cs="CESI仿宋-GB2312"/>
                <w:i w:val="0"/>
                <w:color w:val="auto"/>
                <w:kern w:val="0"/>
                <w:sz w:val="20"/>
                <w:szCs w:val="20"/>
                <w:highlight w:val="none"/>
                <w:u w:val="none"/>
                <w:lang w:val="en-US" w:eastAsia="zh-CN" w:bidi="ar"/>
              </w:rPr>
              <w:t>为面临多重困境、情况复杂的困境儿童开展个案管理，加强儿童风险识别培训，为有需求的困境儿童提供精准转介服务，建立儿童保护个案管理相关机制（个案转介、个案会商、个案标准等）。</w:t>
            </w:r>
          </w:p>
        </w:tc>
        <w:tc>
          <w:tcPr>
            <w:tcW w:w="0" w:type="auto"/>
            <w:shd w:val="clear" w:color="auto" w:fill="auto"/>
            <w:vAlign w:val="center"/>
          </w:tcPr>
          <w:p w14:paraId="2BAB5944">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r>
              <w:rPr>
                <w:rFonts w:hint="eastAsia" w:ascii="CESI仿宋-GB2312" w:hAnsi="CESI仿宋-GB2312" w:eastAsia="CESI仿宋-GB2312" w:cs="CESI仿宋-GB2312"/>
                <w:i w:val="0"/>
                <w:color w:val="auto"/>
                <w:kern w:val="0"/>
                <w:sz w:val="20"/>
                <w:szCs w:val="20"/>
                <w:highlight w:val="none"/>
                <w:u w:val="none"/>
                <w:lang w:val="en-US" w:eastAsia="zh-CN" w:bidi="ar"/>
              </w:rPr>
              <w:t>留守儿童、重点关爱流动儿童和困境儿童</w:t>
            </w:r>
          </w:p>
        </w:tc>
        <w:tc>
          <w:tcPr>
            <w:tcW w:w="0" w:type="auto"/>
            <w:vMerge w:val="continue"/>
            <w:shd w:val="clear" w:color="auto" w:fill="auto"/>
          </w:tcPr>
          <w:p w14:paraId="77DB6CE1">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p>
        </w:tc>
      </w:tr>
      <w:tr w14:paraId="2D796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00" w:hRule="atLeast"/>
        </w:trPr>
        <w:tc>
          <w:tcPr>
            <w:tcW w:w="0" w:type="auto"/>
            <w:vMerge w:val="continue"/>
            <w:shd w:val="clear" w:color="auto" w:fill="auto"/>
          </w:tcPr>
          <w:p w14:paraId="0A3FFA81">
            <w:pPr>
              <w:jc w:val="center"/>
              <w:rPr>
                <w:rFonts w:hint="eastAsia" w:ascii="CESI仿宋-GB2312" w:hAnsi="CESI仿宋-GB2312" w:eastAsia="CESI仿宋-GB2312" w:cs="CESI仿宋-GB2312"/>
                <w:i w:val="0"/>
                <w:color w:val="auto"/>
                <w:sz w:val="20"/>
                <w:szCs w:val="20"/>
                <w:highlight w:val="none"/>
                <w:u w:val="none"/>
                <w:lang w:val="en-US" w:eastAsia="zh-CN"/>
              </w:rPr>
            </w:pPr>
          </w:p>
        </w:tc>
        <w:tc>
          <w:tcPr>
            <w:tcW w:w="0" w:type="auto"/>
            <w:vMerge w:val="continue"/>
            <w:shd w:val="clear" w:color="auto" w:fill="auto"/>
          </w:tcPr>
          <w:p w14:paraId="0AC3B39D">
            <w:pPr>
              <w:jc w:val="center"/>
              <w:rPr>
                <w:rFonts w:hint="eastAsia" w:ascii="CESI仿宋-GB2312" w:hAnsi="CESI仿宋-GB2312" w:eastAsia="CESI仿宋-GB2312" w:cs="CESI仿宋-GB2312"/>
                <w:i w:val="0"/>
                <w:color w:val="auto"/>
                <w:sz w:val="20"/>
                <w:szCs w:val="20"/>
                <w:highlight w:val="none"/>
                <w:u w:val="none"/>
                <w:lang w:val="en-US" w:eastAsia="zh-CN"/>
              </w:rPr>
            </w:pPr>
          </w:p>
        </w:tc>
        <w:tc>
          <w:tcPr>
            <w:tcW w:w="0" w:type="auto"/>
            <w:shd w:val="clear" w:color="auto" w:fill="auto"/>
            <w:vAlign w:val="center"/>
          </w:tcPr>
          <w:p w14:paraId="7B826C6C">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r>
              <w:rPr>
                <w:rFonts w:hint="eastAsia" w:ascii="CESI仿宋-GB2312" w:hAnsi="CESI仿宋-GB2312" w:eastAsia="CESI仿宋-GB2312" w:cs="CESI仿宋-GB2312"/>
                <w:i w:val="0"/>
                <w:color w:val="auto"/>
                <w:kern w:val="0"/>
                <w:sz w:val="20"/>
                <w:szCs w:val="20"/>
                <w:highlight w:val="none"/>
                <w:u w:val="none"/>
                <w:lang w:val="en-US" w:eastAsia="zh-CN" w:bidi="ar"/>
              </w:rPr>
              <w:t>通过个案、小组、社区等社会工作专业方法，为有需求的儿童提供专业社会工作支持性、保护性、补充性、替代性服务。</w:t>
            </w:r>
          </w:p>
        </w:tc>
        <w:tc>
          <w:tcPr>
            <w:tcW w:w="0" w:type="auto"/>
            <w:shd w:val="clear" w:color="auto" w:fill="auto"/>
            <w:vAlign w:val="center"/>
          </w:tcPr>
          <w:p w14:paraId="6C91329F">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r>
              <w:rPr>
                <w:rFonts w:hint="eastAsia" w:ascii="CESI仿宋-GB2312" w:hAnsi="CESI仿宋-GB2312" w:eastAsia="CESI仿宋-GB2312" w:cs="CESI仿宋-GB2312"/>
                <w:i w:val="0"/>
                <w:color w:val="auto"/>
                <w:kern w:val="0"/>
                <w:sz w:val="20"/>
                <w:szCs w:val="20"/>
                <w:highlight w:val="none"/>
                <w:u w:val="none"/>
                <w:lang w:val="en-US" w:eastAsia="zh-CN" w:bidi="ar"/>
              </w:rPr>
              <w:t>留守儿童、重点关爱流动儿童和困境儿童</w:t>
            </w:r>
          </w:p>
        </w:tc>
        <w:tc>
          <w:tcPr>
            <w:tcW w:w="0" w:type="auto"/>
            <w:vMerge w:val="continue"/>
            <w:shd w:val="clear" w:color="auto" w:fill="auto"/>
          </w:tcPr>
          <w:p w14:paraId="4D6B898E">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p>
        </w:tc>
      </w:tr>
      <w:tr w14:paraId="11BA1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00" w:hRule="atLeast"/>
        </w:trPr>
        <w:tc>
          <w:tcPr>
            <w:tcW w:w="0" w:type="auto"/>
            <w:vMerge w:val="continue"/>
            <w:shd w:val="clear" w:color="auto" w:fill="auto"/>
          </w:tcPr>
          <w:p w14:paraId="75B81C13">
            <w:pPr>
              <w:jc w:val="center"/>
              <w:rPr>
                <w:rFonts w:hint="eastAsia" w:ascii="CESI仿宋-GB2312" w:hAnsi="CESI仿宋-GB2312" w:eastAsia="CESI仿宋-GB2312" w:cs="CESI仿宋-GB2312"/>
                <w:i w:val="0"/>
                <w:color w:val="auto"/>
                <w:sz w:val="20"/>
                <w:szCs w:val="20"/>
                <w:highlight w:val="none"/>
                <w:u w:val="none"/>
                <w:lang w:val="en-US" w:eastAsia="zh-CN"/>
              </w:rPr>
            </w:pPr>
          </w:p>
        </w:tc>
        <w:tc>
          <w:tcPr>
            <w:tcW w:w="0" w:type="auto"/>
            <w:vMerge w:val="continue"/>
            <w:shd w:val="clear" w:color="auto" w:fill="auto"/>
          </w:tcPr>
          <w:p w14:paraId="5A10FF42">
            <w:pPr>
              <w:jc w:val="center"/>
              <w:rPr>
                <w:rFonts w:hint="eastAsia" w:ascii="CESI仿宋-GB2312" w:hAnsi="CESI仿宋-GB2312" w:eastAsia="CESI仿宋-GB2312" w:cs="CESI仿宋-GB2312"/>
                <w:i w:val="0"/>
                <w:color w:val="auto"/>
                <w:sz w:val="20"/>
                <w:szCs w:val="20"/>
                <w:highlight w:val="none"/>
                <w:u w:val="none"/>
                <w:lang w:val="en-US" w:eastAsia="zh-CN"/>
              </w:rPr>
            </w:pPr>
          </w:p>
        </w:tc>
        <w:tc>
          <w:tcPr>
            <w:tcW w:w="0" w:type="auto"/>
            <w:shd w:val="clear" w:color="auto" w:fill="auto"/>
            <w:vAlign w:val="center"/>
          </w:tcPr>
          <w:p w14:paraId="14317EC7">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r>
              <w:rPr>
                <w:rFonts w:hint="eastAsia" w:ascii="CESI仿宋-GB2312" w:hAnsi="CESI仿宋-GB2312" w:eastAsia="CESI仿宋-GB2312" w:cs="CESI仿宋-GB2312"/>
                <w:i w:val="0"/>
                <w:color w:val="auto"/>
                <w:kern w:val="0"/>
                <w:sz w:val="20"/>
                <w:szCs w:val="20"/>
                <w:highlight w:val="none"/>
                <w:u w:val="none"/>
                <w:lang w:val="en-US" w:eastAsia="zh-CN" w:bidi="ar"/>
              </w:rPr>
              <w:t>提供家庭教育和法律维权支持，开展自身安全教育，提升自身安全意识，防范性侵害。结合留守妇女农业知识和能力，因地制宜开展可持续生计，提高家庭收入，提升妇女家庭地位和社区地位。</w:t>
            </w:r>
          </w:p>
        </w:tc>
        <w:tc>
          <w:tcPr>
            <w:tcW w:w="0" w:type="auto"/>
            <w:shd w:val="clear" w:color="auto" w:fill="auto"/>
            <w:vAlign w:val="center"/>
          </w:tcPr>
          <w:p w14:paraId="685DF5E6">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r>
              <w:rPr>
                <w:rFonts w:hint="eastAsia" w:ascii="CESI仿宋-GB2312" w:hAnsi="CESI仿宋-GB2312" w:eastAsia="CESI仿宋-GB2312" w:cs="CESI仿宋-GB2312"/>
                <w:i w:val="0"/>
                <w:color w:val="auto"/>
                <w:kern w:val="0"/>
                <w:sz w:val="20"/>
                <w:szCs w:val="20"/>
                <w:highlight w:val="none"/>
                <w:u w:val="none"/>
                <w:lang w:val="en-US" w:eastAsia="zh-CN" w:bidi="ar"/>
              </w:rPr>
              <w:t>留守妇女</w:t>
            </w:r>
          </w:p>
        </w:tc>
        <w:tc>
          <w:tcPr>
            <w:tcW w:w="0" w:type="auto"/>
            <w:vMerge w:val="continue"/>
            <w:shd w:val="clear" w:color="auto" w:fill="auto"/>
          </w:tcPr>
          <w:p w14:paraId="71D12425">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p>
        </w:tc>
      </w:tr>
      <w:tr w14:paraId="0238D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00" w:hRule="atLeast"/>
        </w:trPr>
        <w:tc>
          <w:tcPr>
            <w:tcW w:w="0" w:type="auto"/>
            <w:vMerge w:val="continue"/>
            <w:shd w:val="clear" w:color="auto" w:fill="auto"/>
          </w:tcPr>
          <w:p w14:paraId="3C4B607B">
            <w:pPr>
              <w:jc w:val="center"/>
              <w:rPr>
                <w:rFonts w:hint="eastAsia" w:ascii="CESI仿宋-GB2312" w:hAnsi="CESI仿宋-GB2312" w:eastAsia="CESI仿宋-GB2312" w:cs="CESI仿宋-GB2312"/>
                <w:i w:val="0"/>
                <w:color w:val="auto"/>
                <w:sz w:val="20"/>
                <w:szCs w:val="20"/>
                <w:highlight w:val="none"/>
                <w:u w:val="none"/>
                <w:lang w:val="en-US" w:eastAsia="zh-CN"/>
              </w:rPr>
            </w:pPr>
          </w:p>
        </w:tc>
        <w:tc>
          <w:tcPr>
            <w:tcW w:w="0" w:type="auto"/>
            <w:vMerge w:val="continue"/>
            <w:shd w:val="clear" w:color="auto" w:fill="auto"/>
          </w:tcPr>
          <w:p w14:paraId="55776237">
            <w:pPr>
              <w:jc w:val="center"/>
              <w:rPr>
                <w:rFonts w:hint="eastAsia" w:ascii="CESI仿宋-GB2312" w:hAnsi="CESI仿宋-GB2312" w:eastAsia="CESI仿宋-GB2312" w:cs="CESI仿宋-GB2312"/>
                <w:i w:val="0"/>
                <w:color w:val="auto"/>
                <w:sz w:val="20"/>
                <w:szCs w:val="20"/>
                <w:highlight w:val="none"/>
                <w:u w:val="none"/>
                <w:lang w:val="en-US" w:eastAsia="zh-CN"/>
              </w:rPr>
            </w:pPr>
          </w:p>
        </w:tc>
        <w:tc>
          <w:tcPr>
            <w:tcW w:w="0" w:type="auto"/>
            <w:shd w:val="clear" w:color="auto" w:fill="auto"/>
            <w:vAlign w:val="center"/>
          </w:tcPr>
          <w:p w14:paraId="785FE2BE">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r>
              <w:rPr>
                <w:rFonts w:hint="eastAsia" w:ascii="CESI仿宋-GB2312" w:hAnsi="CESI仿宋-GB2312" w:eastAsia="CESI仿宋-GB2312" w:cs="CESI仿宋-GB2312"/>
                <w:i w:val="0"/>
                <w:color w:val="auto"/>
                <w:kern w:val="0"/>
                <w:sz w:val="20"/>
                <w:szCs w:val="20"/>
                <w:highlight w:val="none"/>
                <w:u w:val="none"/>
                <w:lang w:val="en-US" w:eastAsia="zh-CN" w:bidi="ar"/>
              </w:rPr>
              <w:t>重点培育和孵化为低保对象、特困人员、空巢老人、农村留守人员、困境儿童、残疾人、困难家庭等特定群体服务的社区社会组织，引导和支持社区社会组织为社区困难群体提供生活照料、文体娱乐、人文关怀、精神慰藉等各类社会服务。</w:t>
            </w:r>
          </w:p>
        </w:tc>
        <w:tc>
          <w:tcPr>
            <w:tcW w:w="0" w:type="auto"/>
            <w:shd w:val="clear" w:color="auto" w:fill="auto"/>
            <w:vAlign w:val="center"/>
          </w:tcPr>
          <w:p w14:paraId="5CDE26E8">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r>
              <w:rPr>
                <w:rFonts w:hint="eastAsia" w:ascii="CESI仿宋-GB2312" w:hAnsi="CESI仿宋-GB2312" w:eastAsia="CESI仿宋-GB2312" w:cs="CESI仿宋-GB2312"/>
                <w:i w:val="0"/>
                <w:color w:val="auto"/>
                <w:kern w:val="0"/>
                <w:sz w:val="20"/>
                <w:szCs w:val="20"/>
                <w:highlight w:val="none"/>
                <w:u w:val="none"/>
                <w:lang w:val="en-US" w:eastAsia="zh-CN" w:bidi="ar"/>
              </w:rPr>
              <w:t>各类民政服务对象、社区社会组织</w:t>
            </w:r>
          </w:p>
        </w:tc>
        <w:tc>
          <w:tcPr>
            <w:tcW w:w="0" w:type="auto"/>
            <w:vMerge w:val="continue"/>
            <w:shd w:val="clear" w:color="auto" w:fill="auto"/>
          </w:tcPr>
          <w:p w14:paraId="2295B498">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p>
        </w:tc>
      </w:tr>
      <w:tr w14:paraId="766AB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00" w:hRule="atLeast"/>
        </w:trPr>
        <w:tc>
          <w:tcPr>
            <w:tcW w:w="0" w:type="auto"/>
            <w:vMerge w:val="continue"/>
            <w:shd w:val="clear" w:color="auto" w:fill="auto"/>
          </w:tcPr>
          <w:p w14:paraId="495CC52B">
            <w:pPr>
              <w:jc w:val="center"/>
              <w:rPr>
                <w:rFonts w:hint="eastAsia" w:ascii="CESI仿宋-GB2312" w:hAnsi="CESI仿宋-GB2312" w:eastAsia="CESI仿宋-GB2312" w:cs="CESI仿宋-GB2312"/>
                <w:i w:val="0"/>
                <w:color w:val="auto"/>
                <w:sz w:val="20"/>
                <w:szCs w:val="20"/>
                <w:highlight w:val="none"/>
                <w:u w:val="none"/>
                <w:lang w:val="en-US" w:eastAsia="zh-CN"/>
              </w:rPr>
            </w:pPr>
          </w:p>
        </w:tc>
        <w:tc>
          <w:tcPr>
            <w:tcW w:w="0" w:type="auto"/>
            <w:vMerge w:val="continue"/>
            <w:shd w:val="clear" w:color="auto" w:fill="auto"/>
          </w:tcPr>
          <w:p w14:paraId="3978067F">
            <w:pPr>
              <w:jc w:val="center"/>
              <w:rPr>
                <w:rFonts w:hint="eastAsia" w:ascii="CESI仿宋-GB2312" w:hAnsi="CESI仿宋-GB2312" w:eastAsia="CESI仿宋-GB2312" w:cs="CESI仿宋-GB2312"/>
                <w:i w:val="0"/>
                <w:color w:val="auto"/>
                <w:sz w:val="20"/>
                <w:szCs w:val="20"/>
                <w:highlight w:val="none"/>
                <w:u w:val="none"/>
                <w:lang w:val="en-US" w:eastAsia="zh-CN"/>
              </w:rPr>
            </w:pPr>
          </w:p>
        </w:tc>
        <w:tc>
          <w:tcPr>
            <w:tcW w:w="0" w:type="auto"/>
            <w:shd w:val="clear" w:color="auto" w:fill="auto"/>
            <w:vAlign w:val="center"/>
          </w:tcPr>
          <w:p w14:paraId="033FD496">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r>
              <w:rPr>
                <w:rFonts w:hint="eastAsia" w:ascii="CESI仿宋-GB2312" w:hAnsi="CESI仿宋-GB2312" w:eastAsia="CESI仿宋-GB2312" w:cs="CESI仿宋-GB2312"/>
                <w:i w:val="0"/>
                <w:color w:val="auto"/>
                <w:kern w:val="0"/>
                <w:sz w:val="20"/>
                <w:szCs w:val="20"/>
                <w:highlight w:val="none"/>
                <w:u w:val="none"/>
                <w:lang w:val="en-US" w:eastAsia="zh-CN" w:bidi="ar"/>
              </w:rPr>
              <w:t>针对新增低保对象及新办残疾人证的残疾人，开展专项政策宣讲，确保惠民政策应知尽知。与苏木乡镇（街道）、嘎查村（社区）共享新办残疾人证或新入低保的残疾人名单，以及死亡、退出低保、纳入特困、领取工伤保险生活护理费、监狱服刑、孤儿基本生活保障、户籍迁出的残疾人名单。协助苏木乡镇（街道）、嘎查村（社区）完成辖区内享受残疾人两项补贴的残疾人生存认证，核查残疾人两项补贴疑点数据，追缴违规享受补贴人员的补助资金。</w:t>
            </w:r>
          </w:p>
        </w:tc>
        <w:tc>
          <w:tcPr>
            <w:tcW w:w="0" w:type="auto"/>
            <w:shd w:val="clear" w:color="auto" w:fill="auto"/>
            <w:vAlign w:val="center"/>
          </w:tcPr>
          <w:p w14:paraId="1736F0AD">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r>
              <w:rPr>
                <w:rFonts w:hint="eastAsia" w:ascii="CESI仿宋-GB2312" w:hAnsi="CESI仿宋-GB2312" w:eastAsia="CESI仿宋-GB2312" w:cs="CESI仿宋-GB2312"/>
                <w:i w:val="0"/>
                <w:color w:val="auto"/>
                <w:kern w:val="0"/>
                <w:sz w:val="20"/>
                <w:szCs w:val="20"/>
                <w:highlight w:val="none"/>
                <w:u w:val="none"/>
                <w:lang w:val="en-US" w:eastAsia="zh-CN" w:bidi="ar"/>
              </w:rPr>
              <w:t>困难残疾人、重度残疾人</w:t>
            </w:r>
          </w:p>
        </w:tc>
        <w:tc>
          <w:tcPr>
            <w:tcW w:w="0" w:type="auto"/>
            <w:vMerge w:val="continue"/>
            <w:shd w:val="clear" w:color="auto" w:fill="auto"/>
          </w:tcPr>
          <w:p w14:paraId="1457A548">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p>
        </w:tc>
      </w:tr>
      <w:tr w14:paraId="3D846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00" w:hRule="atLeast"/>
        </w:trPr>
        <w:tc>
          <w:tcPr>
            <w:tcW w:w="0" w:type="auto"/>
            <w:vMerge w:val="continue"/>
            <w:shd w:val="clear" w:color="auto" w:fill="auto"/>
          </w:tcPr>
          <w:p w14:paraId="6828F179">
            <w:pPr>
              <w:jc w:val="center"/>
              <w:rPr>
                <w:rFonts w:hint="eastAsia" w:ascii="CESI仿宋-GB2312" w:hAnsi="CESI仿宋-GB2312" w:eastAsia="CESI仿宋-GB2312" w:cs="CESI仿宋-GB2312"/>
                <w:i w:val="0"/>
                <w:color w:val="auto"/>
                <w:sz w:val="20"/>
                <w:szCs w:val="20"/>
                <w:highlight w:val="none"/>
                <w:u w:val="none"/>
                <w:lang w:val="en-US" w:eastAsia="zh-CN"/>
              </w:rPr>
            </w:pPr>
          </w:p>
        </w:tc>
        <w:tc>
          <w:tcPr>
            <w:tcW w:w="0" w:type="auto"/>
            <w:vMerge w:val="continue"/>
            <w:shd w:val="clear" w:color="auto" w:fill="auto"/>
          </w:tcPr>
          <w:p w14:paraId="6B9BFA77">
            <w:pPr>
              <w:jc w:val="center"/>
              <w:rPr>
                <w:rFonts w:hint="eastAsia" w:ascii="CESI仿宋-GB2312" w:hAnsi="CESI仿宋-GB2312" w:eastAsia="CESI仿宋-GB2312" w:cs="CESI仿宋-GB2312"/>
                <w:i w:val="0"/>
                <w:color w:val="auto"/>
                <w:sz w:val="20"/>
                <w:szCs w:val="20"/>
                <w:highlight w:val="none"/>
                <w:u w:val="none"/>
                <w:lang w:val="en-US" w:eastAsia="zh-CN"/>
              </w:rPr>
            </w:pPr>
          </w:p>
        </w:tc>
        <w:tc>
          <w:tcPr>
            <w:tcW w:w="0" w:type="auto"/>
            <w:shd w:val="clear" w:color="auto" w:fill="auto"/>
            <w:vAlign w:val="center"/>
          </w:tcPr>
          <w:p w14:paraId="123B09AE">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r>
              <w:rPr>
                <w:rFonts w:hint="eastAsia" w:ascii="CESI仿宋-GB2312" w:hAnsi="CESI仿宋-GB2312" w:eastAsia="CESI仿宋-GB2312" w:cs="CESI仿宋-GB2312"/>
                <w:i w:val="0"/>
                <w:color w:val="auto"/>
                <w:kern w:val="0"/>
                <w:sz w:val="20"/>
                <w:szCs w:val="20"/>
                <w:highlight w:val="none"/>
                <w:u w:val="none"/>
                <w:lang w:val="en-US" w:eastAsia="zh-CN" w:bidi="ar"/>
              </w:rPr>
              <w:t>协助摸排社区内有托养照护服务需求的重度残疾人和有辅具需求的困难残疾人底数（包括假肢、矫形器类，肢体类辅具助行器等，听力类辅具助听器等，视力类辅具助视器等，移动类辅具轮椅等，洗浴类辅具洗澡椅等，生活护理类护理床等需求），及时收集相关人员信息推送至辖区内养老院或残疾人托养机构。协助当地民政部门完成各类辅助器具的适配、发放工作，并上传验收资料，做好康复辅助器具租赁和展示推广等相关工作。</w:t>
            </w:r>
          </w:p>
        </w:tc>
        <w:tc>
          <w:tcPr>
            <w:tcW w:w="0" w:type="auto"/>
            <w:shd w:val="clear" w:color="auto" w:fill="auto"/>
            <w:vAlign w:val="center"/>
          </w:tcPr>
          <w:p w14:paraId="56E4F6F2">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r>
              <w:rPr>
                <w:rFonts w:hint="eastAsia" w:ascii="CESI仿宋-GB2312" w:hAnsi="CESI仿宋-GB2312" w:eastAsia="CESI仿宋-GB2312" w:cs="CESI仿宋-GB2312"/>
                <w:i w:val="0"/>
                <w:color w:val="auto"/>
                <w:kern w:val="0"/>
                <w:sz w:val="20"/>
                <w:szCs w:val="20"/>
                <w:highlight w:val="none"/>
                <w:u w:val="none"/>
                <w:lang w:val="en-US" w:eastAsia="zh-CN" w:bidi="ar"/>
              </w:rPr>
              <w:t>肢体残疾人</w:t>
            </w:r>
          </w:p>
        </w:tc>
        <w:tc>
          <w:tcPr>
            <w:tcW w:w="0" w:type="auto"/>
            <w:vMerge w:val="continue"/>
            <w:shd w:val="clear" w:color="auto" w:fill="auto"/>
          </w:tcPr>
          <w:p w14:paraId="4FA902A9">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p>
        </w:tc>
      </w:tr>
      <w:tr w14:paraId="52C7D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00" w:hRule="atLeast"/>
        </w:trPr>
        <w:tc>
          <w:tcPr>
            <w:tcW w:w="0" w:type="auto"/>
            <w:vMerge w:val="continue"/>
            <w:shd w:val="clear" w:color="auto" w:fill="auto"/>
          </w:tcPr>
          <w:p w14:paraId="470DF396">
            <w:pPr>
              <w:jc w:val="center"/>
              <w:rPr>
                <w:rFonts w:hint="eastAsia" w:ascii="CESI仿宋-GB2312" w:hAnsi="CESI仿宋-GB2312" w:eastAsia="CESI仿宋-GB2312" w:cs="CESI仿宋-GB2312"/>
                <w:i w:val="0"/>
                <w:color w:val="auto"/>
                <w:sz w:val="20"/>
                <w:szCs w:val="20"/>
                <w:highlight w:val="none"/>
                <w:u w:val="none"/>
                <w:lang w:val="en-US" w:eastAsia="zh-CN"/>
              </w:rPr>
            </w:pPr>
          </w:p>
        </w:tc>
        <w:tc>
          <w:tcPr>
            <w:tcW w:w="0" w:type="auto"/>
            <w:vMerge w:val="continue"/>
            <w:shd w:val="clear" w:color="auto" w:fill="auto"/>
          </w:tcPr>
          <w:p w14:paraId="67A0D621">
            <w:pPr>
              <w:jc w:val="center"/>
              <w:rPr>
                <w:rFonts w:hint="eastAsia" w:ascii="CESI仿宋-GB2312" w:hAnsi="CESI仿宋-GB2312" w:eastAsia="CESI仿宋-GB2312" w:cs="CESI仿宋-GB2312"/>
                <w:i w:val="0"/>
                <w:color w:val="auto"/>
                <w:sz w:val="20"/>
                <w:szCs w:val="20"/>
                <w:highlight w:val="none"/>
                <w:u w:val="none"/>
                <w:lang w:val="en-US" w:eastAsia="zh-CN"/>
              </w:rPr>
            </w:pPr>
          </w:p>
        </w:tc>
        <w:tc>
          <w:tcPr>
            <w:tcW w:w="0" w:type="auto"/>
            <w:shd w:val="clear" w:color="auto" w:fill="auto"/>
            <w:vAlign w:val="center"/>
          </w:tcPr>
          <w:p w14:paraId="4FCE6801">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r>
              <w:rPr>
                <w:rFonts w:hint="eastAsia" w:ascii="CESI仿宋-GB2312" w:hAnsi="CESI仿宋-GB2312" w:eastAsia="CESI仿宋-GB2312" w:cs="CESI仿宋-GB2312"/>
                <w:i w:val="0"/>
                <w:color w:val="auto"/>
                <w:kern w:val="0"/>
                <w:sz w:val="20"/>
                <w:szCs w:val="20"/>
                <w:highlight w:val="none"/>
                <w:u w:val="none"/>
                <w:lang w:val="en-US" w:eastAsia="zh-CN" w:bidi="ar"/>
              </w:rPr>
              <w:t>协助做好社区居民精神卫生福利政策宣传工作，配合开展入户走访，特困、低保、流浪人员中精神障碍患者的摸排、探访工作，发现从精神卫生机构、精神卫生福利机构等医疗部门医治出院的人员，及时将信息推送至社区。</w:t>
            </w:r>
          </w:p>
        </w:tc>
        <w:tc>
          <w:tcPr>
            <w:tcW w:w="0" w:type="auto"/>
            <w:shd w:val="clear" w:color="auto" w:fill="auto"/>
            <w:vAlign w:val="center"/>
          </w:tcPr>
          <w:p w14:paraId="7AF79173">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r>
              <w:rPr>
                <w:rFonts w:hint="eastAsia" w:ascii="CESI仿宋-GB2312" w:hAnsi="CESI仿宋-GB2312" w:eastAsia="CESI仿宋-GB2312" w:cs="CESI仿宋-GB2312"/>
                <w:i w:val="0"/>
                <w:color w:val="auto"/>
                <w:kern w:val="0"/>
                <w:sz w:val="20"/>
                <w:szCs w:val="20"/>
                <w:highlight w:val="none"/>
                <w:u w:val="none"/>
                <w:lang w:val="en-US" w:eastAsia="zh-CN" w:bidi="ar"/>
              </w:rPr>
              <w:t>精神残疾人</w:t>
            </w:r>
          </w:p>
        </w:tc>
        <w:tc>
          <w:tcPr>
            <w:tcW w:w="0" w:type="auto"/>
            <w:vMerge w:val="continue"/>
            <w:shd w:val="clear" w:color="auto" w:fill="auto"/>
          </w:tcPr>
          <w:p w14:paraId="6CA182D1">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p>
        </w:tc>
      </w:tr>
      <w:tr w14:paraId="231DA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00" w:hRule="atLeast"/>
        </w:trPr>
        <w:tc>
          <w:tcPr>
            <w:tcW w:w="0" w:type="auto"/>
            <w:vMerge w:val="continue"/>
            <w:shd w:val="clear" w:color="auto" w:fill="auto"/>
          </w:tcPr>
          <w:p w14:paraId="28688E45">
            <w:pPr>
              <w:jc w:val="center"/>
              <w:rPr>
                <w:rFonts w:hint="eastAsia" w:ascii="CESI仿宋-GB2312" w:hAnsi="CESI仿宋-GB2312" w:eastAsia="CESI仿宋-GB2312" w:cs="CESI仿宋-GB2312"/>
                <w:i w:val="0"/>
                <w:color w:val="auto"/>
                <w:sz w:val="20"/>
                <w:szCs w:val="20"/>
                <w:highlight w:val="none"/>
                <w:u w:val="none"/>
                <w:lang w:val="en-US" w:eastAsia="zh-CN"/>
              </w:rPr>
            </w:pPr>
          </w:p>
        </w:tc>
        <w:tc>
          <w:tcPr>
            <w:tcW w:w="0" w:type="auto"/>
            <w:vMerge w:val="continue"/>
            <w:shd w:val="clear" w:color="auto" w:fill="auto"/>
          </w:tcPr>
          <w:p w14:paraId="75697490">
            <w:pPr>
              <w:jc w:val="center"/>
              <w:rPr>
                <w:rFonts w:hint="eastAsia" w:ascii="CESI仿宋-GB2312" w:hAnsi="CESI仿宋-GB2312" w:eastAsia="CESI仿宋-GB2312" w:cs="CESI仿宋-GB2312"/>
                <w:i w:val="0"/>
                <w:color w:val="auto"/>
                <w:sz w:val="20"/>
                <w:szCs w:val="20"/>
                <w:highlight w:val="none"/>
                <w:u w:val="none"/>
                <w:lang w:val="en-US" w:eastAsia="zh-CN"/>
              </w:rPr>
            </w:pPr>
          </w:p>
        </w:tc>
        <w:tc>
          <w:tcPr>
            <w:tcW w:w="0" w:type="auto"/>
            <w:shd w:val="clear" w:color="auto" w:fill="auto"/>
            <w:vAlign w:val="center"/>
          </w:tcPr>
          <w:p w14:paraId="78811732">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r>
              <w:rPr>
                <w:rFonts w:hint="eastAsia" w:ascii="CESI仿宋-GB2312" w:hAnsi="CESI仿宋-GB2312" w:eastAsia="CESI仿宋-GB2312" w:cs="CESI仿宋-GB2312"/>
                <w:i w:val="0"/>
                <w:color w:val="auto"/>
                <w:kern w:val="0"/>
                <w:sz w:val="20"/>
                <w:szCs w:val="20"/>
                <w:highlight w:val="none"/>
                <w:u w:val="none"/>
                <w:lang w:val="en-US" w:eastAsia="zh-CN" w:bidi="ar"/>
              </w:rPr>
              <w:t>及时报告流浪乞讨人员线索，参与流浪乞讨人员源头预防工作，开展政策法治宣传，对流浪乞讨人员及其家庭进行疏导、帮扶，促使其家庭依法履行赡养、抚养责任和义务，使流浪乞讨人员融入正常社会生活。</w:t>
            </w:r>
          </w:p>
        </w:tc>
        <w:tc>
          <w:tcPr>
            <w:tcW w:w="0" w:type="auto"/>
            <w:shd w:val="clear" w:color="auto" w:fill="auto"/>
            <w:vAlign w:val="center"/>
          </w:tcPr>
          <w:p w14:paraId="01DC9F9E">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r>
              <w:rPr>
                <w:rFonts w:hint="eastAsia" w:ascii="CESI仿宋-GB2312" w:hAnsi="CESI仿宋-GB2312" w:eastAsia="CESI仿宋-GB2312" w:cs="CESI仿宋-GB2312"/>
                <w:i w:val="0"/>
                <w:color w:val="auto"/>
                <w:kern w:val="0"/>
                <w:sz w:val="20"/>
                <w:szCs w:val="20"/>
                <w:highlight w:val="none"/>
                <w:u w:val="none"/>
                <w:lang w:val="en-US" w:eastAsia="zh-CN" w:bidi="ar"/>
              </w:rPr>
              <w:t>流浪乞讨人员及其家庭</w:t>
            </w:r>
          </w:p>
        </w:tc>
        <w:tc>
          <w:tcPr>
            <w:tcW w:w="0" w:type="auto"/>
            <w:vMerge w:val="continue"/>
            <w:shd w:val="clear" w:color="auto" w:fill="auto"/>
          </w:tcPr>
          <w:p w14:paraId="2AAC59B7">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p>
        </w:tc>
      </w:tr>
      <w:tr w14:paraId="76E7B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00" w:hRule="atLeast"/>
        </w:trPr>
        <w:tc>
          <w:tcPr>
            <w:tcW w:w="0" w:type="auto"/>
            <w:vMerge w:val="continue"/>
            <w:shd w:val="clear" w:color="auto" w:fill="auto"/>
          </w:tcPr>
          <w:p w14:paraId="662201B8">
            <w:pPr>
              <w:jc w:val="center"/>
              <w:rPr>
                <w:rFonts w:hint="eastAsia" w:ascii="CESI仿宋-GB2312" w:hAnsi="CESI仿宋-GB2312" w:eastAsia="CESI仿宋-GB2312" w:cs="CESI仿宋-GB2312"/>
                <w:i w:val="0"/>
                <w:color w:val="auto"/>
                <w:sz w:val="20"/>
                <w:szCs w:val="20"/>
                <w:highlight w:val="none"/>
                <w:u w:val="none"/>
                <w:lang w:val="en-US" w:eastAsia="zh-CN"/>
              </w:rPr>
            </w:pPr>
          </w:p>
        </w:tc>
        <w:tc>
          <w:tcPr>
            <w:tcW w:w="0" w:type="auto"/>
            <w:vMerge w:val="continue"/>
            <w:shd w:val="clear" w:color="auto" w:fill="auto"/>
          </w:tcPr>
          <w:p w14:paraId="233621E6">
            <w:pPr>
              <w:jc w:val="center"/>
              <w:rPr>
                <w:rFonts w:hint="eastAsia" w:ascii="CESI仿宋-GB2312" w:hAnsi="CESI仿宋-GB2312" w:eastAsia="CESI仿宋-GB2312" w:cs="CESI仿宋-GB2312"/>
                <w:i w:val="0"/>
                <w:color w:val="auto"/>
                <w:sz w:val="20"/>
                <w:szCs w:val="20"/>
                <w:highlight w:val="none"/>
                <w:u w:val="none"/>
                <w:lang w:val="en-US" w:eastAsia="zh-CN"/>
              </w:rPr>
            </w:pPr>
          </w:p>
        </w:tc>
        <w:tc>
          <w:tcPr>
            <w:tcW w:w="0" w:type="auto"/>
            <w:shd w:val="clear" w:color="auto" w:fill="auto"/>
            <w:vAlign w:val="center"/>
          </w:tcPr>
          <w:p w14:paraId="1D6CEBF5">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r>
              <w:rPr>
                <w:rFonts w:hint="eastAsia" w:ascii="CESI仿宋-GB2312" w:hAnsi="CESI仿宋-GB2312" w:eastAsia="CESI仿宋-GB2312" w:cs="CESI仿宋-GB2312"/>
                <w:i w:val="0"/>
                <w:color w:val="auto"/>
                <w:kern w:val="0"/>
                <w:sz w:val="20"/>
                <w:szCs w:val="20"/>
                <w:highlight w:val="none"/>
                <w:u w:val="none"/>
                <w:lang w:val="en-US" w:eastAsia="zh-CN" w:bidi="ar"/>
              </w:rPr>
              <w:t>协助社区根据需要开展婚姻家庭辅导服务（婚前辅导、离婚辅导、婚姻家庭矛盾调解）。协助推进婚俗改革，对抵制高价彩礼、大操大办、铺张浪费等方面进行宣传引导。</w:t>
            </w:r>
          </w:p>
        </w:tc>
        <w:tc>
          <w:tcPr>
            <w:tcW w:w="0" w:type="auto"/>
            <w:shd w:val="clear" w:color="auto" w:fill="auto"/>
            <w:vAlign w:val="center"/>
          </w:tcPr>
          <w:p w14:paraId="124FE28E">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r>
              <w:rPr>
                <w:rFonts w:hint="eastAsia" w:ascii="CESI仿宋-GB2312" w:hAnsi="CESI仿宋-GB2312" w:eastAsia="CESI仿宋-GB2312" w:cs="CESI仿宋-GB2312"/>
                <w:i w:val="0"/>
                <w:color w:val="auto"/>
                <w:kern w:val="0"/>
                <w:sz w:val="20"/>
                <w:szCs w:val="20"/>
                <w:highlight w:val="none"/>
                <w:u w:val="none"/>
                <w:lang w:val="en-US" w:eastAsia="zh-CN" w:bidi="ar"/>
              </w:rPr>
              <w:t>适婚人员及到登记处办理离婚手续人员</w:t>
            </w:r>
          </w:p>
        </w:tc>
        <w:tc>
          <w:tcPr>
            <w:tcW w:w="0" w:type="auto"/>
            <w:vMerge w:val="continue"/>
            <w:shd w:val="clear" w:color="auto" w:fill="auto"/>
          </w:tcPr>
          <w:p w14:paraId="639445D5">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p>
        </w:tc>
      </w:tr>
      <w:tr w14:paraId="44904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00" w:hRule="atLeast"/>
        </w:trPr>
        <w:tc>
          <w:tcPr>
            <w:tcW w:w="0" w:type="auto"/>
            <w:vMerge w:val="continue"/>
            <w:shd w:val="clear" w:color="auto" w:fill="auto"/>
          </w:tcPr>
          <w:p w14:paraId="5B49A928">
            <w:pPr>
              <w:jc w:val="center"/>
              <w:rPr>
                <w:rFonts w:hint="eastAsia" w:ascii="CESI仿宋-GB2312" w:hAnsi="CESI仿宋-GB2312" w:eastAsia="CESI仿宋-GB2312" w:cs="CESI仿宋-GB2312"/>
                <w:i w:val="0"/>
                <w:color w:val="auto"/>
                <w:sz w:val="20"/>
                <w:szCs w:val="20"/>
                <w:highlight w:val="none"/>
                <w:u w:val="none"/>
                <w:lang w:val="en-US" w:eastAsia="zh-CN"/>
              </w:rPr>
            </w:pPr>
          </w:p>
        </w:tc>
        <w:tc>
          <w:tcPr>
            <w:tcW w:w="0" w:type="auto"/>
            <w:vMerge w:val="continue"/>
            <w:shd w:val="clear" w:color="auto" w:fill="auto"/>
          </w:tcPr>
          <w:p w14:paraId="27E1E7B8">
            <w:pPr>
              <w:jc w:val="center"/>
              <w:rPr>
                <w:rFonts w:hint="eastAsia" w:ascii="CESI仿宋-GB2312" w:hAnsi="CESI仿宋-GB2312" w:eastAsia="CESI仿宋-GB2312" w:cs="CESI仿宋-GB2312"/>
                <w:i w:val="0"/>
                <w:color w:val="auto"/>
                <w:sz w:val="20"/>
                <w:szCs w:val="20"/>
                <w:highlight w:val="none"/>
                <w:u w:val="none"/>
                <w:lang w:val="en-US" w:eastAsia="zh-CN"/>
              </w:rPr>
            </w:pPr>
          </w:p>
        </w:tc>
        <w:tc>
          <w:tcPr>
            <w:tcW w:w="0" w:type="auto"/>
            <w:shd w:val="clear" w:color="auto" w:fill="auto"/>
            <w:vAlign w:val="center"/>
          </w:tcPr>
          <w:p w14:paraId="4F2D1D16">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r>
              <w:rPr>
                <w:rFonts w:hint="eastAsia" w:ascii="CESI仿宋-GB2312" w:hAnsi="CESI仿宋-GB2312" w:eastAsia="CESI仿宋-GB2312" w:cs="CESI仿宋-GB2312"/>
                <w:i w:val="0"/>
                <w:color w:val="auto"/>
                <w:kern w:val="0"/>
                <w:sz w:val="20"/>
                <w:szCs w:val="20"/>
                <w:highlight w:val="none"/>
                <w:u w:val="none"/>
                <w:lang w:val="en-US" w:eastAsia="zh-CN" w:bidi="ar"/>
              </w:rPr>
              <w:t>协助符合条件的对象办理殡葬基本服务费用减免，享受惠民殡葬政策，摸排当地死亡人员土葬情况，及时将相关信息报送至苏木乡镇（街道）民政办，配合做好补贴资金的停发工作。协助摸排违建墓地基本情况及整治效果的评估工作。</w:t>
            </w:r>
          </w:p>
        </w:tc>
        <w:tc>
          <w:tcPr>
            <w:tcW w:w="0" w:type="auto"/>
            <w:shd w:val="clear" w:color="auto" w:fill="auto"/>
            <w:vAlign w:val="center"/>
          </w:tcPr>
          <w:p w14:paraId="063767F4">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r>
              <w:rPr>
                <w:rFonts w:hint="eastAsia" w:ascii="CESI仿宋-GB2312" w:hAnsi="CESI仿宋-GB2312" w:eastAsia="CESI仿宋-GB2312" w:cs="CESI仿宋-GB2312"/>
                <w:i w:val="0"/>
                <w:color w:val="auto"/>
                <w:kern w:val="0"/>
                <w:sz w:val="20"/>
                <w:szCs w:val="20"/>
                <w:highlight w:val="none"/>
                <w:u w:val="none"/>
                <w:lang w:val="en-US" w:eastAsia="zh-CN" w:bidi="ar"/>
              </w:rPr>
              <w:t>死亡人员家属</w:t>
            </w:r>
          </w:p>
        </w:tc>
        <w:tc>
          <w:tcPr>
            <w:tcW w:w="0" w:type="auto"/>
            <w:vMerge w:val="continue"/>
            <w:shd w:val="clear" w:color="auto" w:fill="auto"/>
          </w:tcPr>
          <w:p w14:paraId="21E5486D">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p>
        </w:tc>
      </w:tr>
      <w:tr w14:paraId="65318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00" w:hRule="atLeast"/>
        </w:trPr>
        <w:tc>
          <w:tcPr>
            <w:tcW w:w="0" w:type="auto"/>
            <w:vMerge w:val="continue"/>
            <w:shd w:val="clear" w:color="auto" w:fill="auto"/>
          </w:tcPr>
          <w:p w14:paraId="38427670">
            <w:pPr>
              <w:jc w:val="center"/>
              <w:rPr>
                <w:rFonts w:hint="eastAsia" w:ascii="CESI仿宋-GB2312" w:hAnsi="CESI仿宋-GB2312" w:eastAsia="CESI仿宋-GB2312" w:cs="CESI仿宋-GB2312"/>
                <w:i w:val="0"/>
                <w:color w:val="auto"/>
                <w:sz w:val="20"/>
                <w:szCs w:val="20"/>
                <w:highlight w:val="none"/>
                <w:u w:val="none"/>
                <w:lang w:val="en-US" w:eastAsia="zh-CN"/>
              </w:rPr>
            </w:pPr>
          </w:p>
        </w:tc>
        <w:tc>
          <w:tcPr>
            <w:tcW w:w="0" w:type="auto"/>
            <w:vMerge w:val="continue"/>
            <w:shd w:val="clear" w:color="auto" w:fill="auto"/>
          </w:tcPr>
          <w:p w14:paraId="6016AA9A">
            <w:pPr>
              <w:jc w:val="center"/>
              <w:rPr>
                <w:rFonts w:hint="eastAsia" w:ascii="CESI仿宋-GB2312" w:hAnsi="CESI仿宋-GB2312" w:eastAsia="CESI仿宋-GB2312" w:cs="CESI仿宋-GB2312"/>
                <w:i w:val="0"/>
                <w:color w:val="auto"/>
                <w:sz w:val="20"/>
                <w:szCs w:val="20"/>
                <w:highlight w:val="none"/>
                <w:u w:val="none"/>
                <w:lang w:val="en-US" w:eastAsia="zh-CN"/>
              </w:rPr>
            </w:pPr>
          </w:p>
        </w:tc>
        <w:tc>
          <w:tcPr>
            <w:tcW w:w="0" w:type="auto"/>
            <w:shd w:val="clear" w:color="auto" w:fill="auto"/>
            <w:vAlign w:val="center"/>
          </w:tcPr>
          <w:p w14:paraId="6D828F11">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r>
              <w:rPr>
                <w:rFonts w:hint="eastAsia" w:ascii="CESI仿宋-GB2312" w:hAnsi="CESI仿宋-GB2312" w:eastAsia="CESI仿宋-GB2312" w:cs="CESI仿宋-GB2312"/>
                <w:i w:val="0"/>
                <w:color w:val="auto"/>
                <w:kern w:val="0"/>
                <w:sz w:val="20"/>
                <w:szCs w:val="20"/>
                <w:highlight w:val="none"/>
                <w:u w:val="none"/>
                <w:lang w:val="en-US" w:eastAsia="zh-CN" w:bidi="ar"/>
              </w:rPr>
              <w:t xml:space="preserve">开展社会工作专业督导，采取实务实训、专项培训、督导教学等措施，评估服务成果，解决服务难题，提升驻站人员专业能力和服务水平。 </w:t>
            </w:r>
          </w:p>
        </w:tc>
        <w:tc>
          <w:tcPr>
            <w:tcW w:w="0" w:type="auto"/>
            <w:shd w:val="clear" w:color="auto" w:fill="auto"/>
            <w:vAlign w:val="center"/>
          </w:tcPr>
          <w:p w14:paraId="1DC82A14">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r>
              <w:rPr>
                <w:rFonts w:hint="eastAsia" w:ascii="CESI仿宋-GB2312" w:hAnsi="CESI仿宋-GB2312" w:eastAsia="CESI仿宋-GB2312" w:cs="CESI仿宋-GB2312"/>
                <w:i w:val="0"/>
                <w:color w:val="auto"/>
                <w:kern w:val="0"/>
                <w:sz w:val="20"/>
                <w:szCs w:val="20"/>
                <w:highlight w:val="none"/>
                <w:u w:val="none"/>
                <w:lang w:val="en-US" w:eastAsia="zh-CN" w:bidi="ar"/>
              </w:rPr>
              <w:t>社工站驻站人员</w:t>
            </w:r>
          </w:p>
        </w:tc>
        <w:tc>
          <w:tcPr>
            <w:tcW w:w="0" w:type="auto"/>
            <w:vMerge w:val="continue"/>
            <w:shd w:val="clear" w:color="auto" w:fill="auto"/>
          </w:tcPr>
          <w:p w14:paraId="5501DBEE">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p>
        </w:tc>
      </w:tr>
      <w:tr w14:paraId="70267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00" w:hRule="atLeast"/>
        </w:trPr>
        <w:tc>
          <w:tcPr>
            <w:tcW w:w="0" w:type="auto"/>
            <w:vMerge w:val="restart"/>
            <w:shd w:val="clear" w:color="auto" w:fill="auto"/>
            <w:vAlign w:val="center"/>
          </w:tcPr>
          <w:p w14:paraId="2209E940">
            <w:pPr>
              <w:jc w:val="center"/>
              <w:rPr>
                <w:rFonts w:hint="default" w:ascii="CESI仿宋-GB2312" w:hAnsi="CESI仿宋-GB2312" w:eastAsia="CESI仿宋-GB2312" w:cs="CESI仿宋-GB2312"/>
                <w:i w:val="0"/>
                <w:color w:val="auto"/>
                <w:sz w:val="20"/>
                <w:szCs w:val="20"/>
                <w:highlight w:val="none"/>
                <w:u w:val="none"/>
                <w:lang w:val="en-US" w:eastAsia="zh-CN"/>
              </w:rPr>
            </w:pPr>
            <w:r>
              <w:rPr>
                <w:rFonts w:hint="eastAsia" w:ascii="CESI仿宋-GB2312" w:hAnsi="CESI仿宋-GB2312" w:eastAsia="CESI仿宋-GB2312" w:cs="CESI仿宋-GB2312"/>
                <w:i w:val="0"/>
                <w:color w:val="auto"/>
                <w:sz w:val="20"/>
                <w:szCs w:val="20"/>
                <w:highlight w:val="none"/>
                <w:u w:val="none"/>
                <w:lang w:val="en-US" w:eastAsia="zh-CN"/>
              </w:rPr>
              <w:t>9</w:t>
            </w:r>
          </w:p>
        </w:tc>
        <w:tc>
          <w:tcPr>
            <w:tcW w:w="0" w:type="auto"/>
            <w:vMerge w:val="restart"/>
            <w:shd w:val="clear" w:color="auto" w:fill="auto"/>
            <w:vAlign w:val="center"/>
          </w:tcPr>
          <w:p w14:paraId="6428228C">
            <w:pPr>
              <w:jc w:val="center"/>
              <w:rPr>
                <w:rFonts w:hint="eastAsia" w:ascii="CESI仿宋-GB2312" w:hAnsi="CESI仿宋-GB2312" w:eastAsia="CESI仿宋-GB2312" w:cs="CESI仿宋-GB2312"/>
                <w:i w:val="0"/>
                <w:color w:val="auto"/>
                <w:sz w:val="20"/>
                <w:szCs w:val="20"/>
                <w:highlight w:val="none"/>
                <w:u w:val="none"/>
                <w:lang w:val="en-US" w:eastAsia="zh-CN"/>
              </w:rPr>
            </w:pPr>
            <w:r>
              <w:rPr>
                <w:rFonts w:hint="eastAsia" w:ascii="CESI仿宋-GB2312" w:hAnsi="CESI仿宋-GB2312" w:eastAsia="CESI仿宋-GB2312" w:cs="CESI仿宋-GB2312"/>
                <w:i w:val="0"/>
                <w:color w:val="auto"/>
                <w:sz w:val="20"/>
                <w:szCs w:val="20"/>
                <w:highlight w:val="none"/>
                <w:u w:val="none"/>
                <w:lang w:val="en-US" w:eastAsia="zh-CN"/>
              </w:rPr>
              <w:t>服务成效</w:t>
            </w:r>
          </w:p>
        </w:tc>
        <w:tc>
          <w:tcPr>
            <w:tcW w:w="0" w:type="auto"/>
            <w:shd w:val="clear" w:color="auto" w:fill="auto"/>
            <w:vAlign w:val="center"/>
          </w:tcPr>
          <w:p w14:paraId="3B5BF101">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r>
              <w:rPr>
                <w:rFonts w:hint="default" w:ascii="CESI仿宋-GB2312" w:hAnsi="CESI仿宋-GB2312" w:eastAsia="CESI仿宋-GB2312" w:cs="CESI仿宋-GB2312"/>
                <w:i w:val="0"/>
                <w:color w:val="auto"/>
                <w:kern w:val="0"/>
                <w:sz w:val="20"/>
                <w:szCs w:val="20"/>
                <w:highlight w:val="none"/>
                <w:u w:val="none"/>
                <w:lang w:val="en-US" w:eastAsia="zh-CN" w:bidi="ar"/>
              </w:rPr>
              <w:t>结合当地实际，打造至少1个</w:t>
            </w:r>
            <w:r>
              <w:rPr>
                <w:rFonts w:hint="eastAsia" w:ascii="CESI仿宋-GB2312" w:hAnsi="CESI仿宋-GB2312" w:eastAsia="CESI仿宋-GB2312" w:cs="CESI仿宋-GB2312"/>
                <w:i w:val="0"/>
                <w:color w:val="auto"/>
                <w:kern w:val="0"/>
                <w:sz w:val="20"/>
                <w:szCs w:val="20"/>
                <w:highlight w:val="none"/>
                <w:u w:val="none"/>
                <w:lang w:val="en-US" w:eastAsia="zh-CN" w:bidi="ar"/>
              </w:rPr>
              <w:t>民政社工站</w:t>
            </w:r>
            <w:r>
              <w:rPr>
                <w:rFonts w:hint="default" w:ascii="CESI仿宋-GB2312" w:hAnsi="CESI仿宋-GB2312" w:eastAsia="CESI仿宋-GB2312" w:cs="CESI仿宋-GB2312"/>
                <w:i w:val="0"/>
                <w:color w:val="auto"/>
                <w:kern w:val="0"/>
                <w:sz w:val="20"/>
                <w:szCs w:val="20"/>
                <w:highlight w:val="none"/>
                <w:u w:val="none"/>
                <w:lang w:val="en-US" w:eastAsia="zh-CN" w:bidi="ar"/>
              </w:rPr>
              <w:t>服务品牌。</w:t>
            </w:r>
          </w:p>
        </w:tc>
        <w:tc>
          <w:tcPr>
            <w:tcW w:w="0" w:type="auto"/>
            <w:shd w:val="clear" w:color="auto" w:fill="auto"/>
            <w:vAlign w:val="center"/>
          </w:tcPr>
          <w:p w14:paraId="5A32DDE8">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p>
        </w:tc>
        <w:tc>
          <w:tcPr>
            <w:tcW w:w="0" w:type="auto"/>
            <w:shd w:val="clear" w:color="auto" w:fill="auto"/>
          </w:tcPr>
          <w:p w14:paraId="0078D60F">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p>
        </w:tc>
      </w:tr>
      <w:tr w14:paraId="58AE0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00" w:hRule="atLeast"/>
        </w:trPr>
        <w:tc>
          <w:tcPr>
            <w:tcW w:w="0" w:type="auto"/>
            <w:vMerge w:val="continue"/>
            <w:shd w:val="clear" w:color="auto" w:fill="auto"/>
          </w:tcPr>
          <w:p w14:paraId="43AD5CA3">
            <w:pPr>
              <w:jc w:val="center"/>
              <w:rPr>
                <w:rFonts w:hint="eastAsia" w:ascii="CESI仿宋-GB2312" w:hAnsi="CESI仿宋-GB2312" w:eastAsia="CESI仿宋-GB2312" w:cs="CESI仿宋-GB2312"/>
                <w:i w:val="0"/>
                <w:color w:val="auto"/>
                <w:sz w:val="20"/>
                <w:szCs w:val="20"/>
                <w:highlight w:val="none"/>
                <w:u w:val="none"/>
                <w:lang w:val="en-US" w:eastAsia="zh-CN"/>
              </w:rPr>
            </w:pPr>
          </w:p>
        </w:tc>
        <w:tc>
          <w:tcPr>
            <w:tcW w:w="0" w:type="auto"/>
            <w:vMerge w:val="continue"/>
            <w:shd w:val="clear" w:color="auto" w:fill="auto"/>
          </w:tcPr>
          <w:p w14:paraId="4CAD4B85">
            <w:pPr>
              <w:jc w:val="center"/>
              <w:rPr>
                <w:rFonts w:hint="eastAsia" w:ascii="CESI仿宋-GB2312" w:hAnsi="CESI仿宋-GB2312" w:eastAsia="CESI仿宋-GB2312" w:cs="CESI仿宋-GB2312"/>
                <w:i w:val="0"/>
                <w:color w:val="auto"/>
                <w:sz w:val="20"/>
                <w:szCs w:val="20"/>
                <w:highlight w:val="none"/>
                <w:u w:val="none"/>
                <w:lang w:val="en-US" w:eastAsia="zh-CN"/>
              </w:rPr>
            </w:pPr>
          </w:p>
        </w:tc>
        <w:tc>
          <w:tcPr>
            <w:tcW w:w="0" w:type="auto"/>
            <w:shd w:val="clear" w:color="auto" w:fill="auto"/>
            <w:vAlign w:val="center"/>
          </w:tcPr>
          <w:p w14:paraId="3480A857">
            <w:pPr>
              <w:keepNext w:val="0"/>
              <w:keepLines w:val="0"/>
              <w:widowControl/>
              <w:suppressLineNumbers w:val="0"/>
              <w:jc w:val="left"/>
              <w:textAlignment w:val="center"/>
              <w:rPr>
                <w:rFonts w:hint="default" w:ascii="CESI仿宋-GB2312" w:hAnsi="CESI仿宋-GB2312" w:eastAsia="CESI仿宋-GB2312" w:cs="CESI仿宋-GB2312"/>
                <w:i w:val="0"/>
                <w:color w:val="auto"/>
                <w:kern w:val="0"/>
                <w:sz w:val="20"/>
                <w:szCs w:val="20"/>
                <w:highlight w:val="none"/>
                <w:u w:val="none"/>
                <w:lang w:val="en-US" w:eastAsia="zh-CN" w:bidi="ar"/>
              </w:rPr>
            </w:pPr>
            <w:r>
              <w:rPr>
                <w:rFonts w:hint="default" w:ascii="CESI仿宋-GB2312" w:hAnsi="CESI仿宋-GB2312" w:eastAsia="CESI仿宋-GB2312" w:cs="CESI仿宋-GB2312"/>
                <w:i w:val="0"/>
                <w:color w:val="auto"/>
                <w:kern w:val="0"/>
                <w:sz w:val="20"/>
                <w:szCs w:val="20"/>
                <w:highlight w:val="none"/>
                <w:u w:val="none"/>
                <w:lang w:val="en-US" w:eastAsia="zh-CN" w:bidi="ar"/>
              </w:rPr>
              <w:t>充分利用</w:t>
            </w:r>
            <w:r>
              <w:rPr>
                <w:rFonts w:hint="eastAsia" w:ascii="CESI仿宋-GB2312" w:hAnsi="CESI仿宋-GB2312" w:eastAsia="CESI仿宋-GB2312" w:cs="CESI仿宋-GB2312"/>
                <w:i w:val="0"/>
                <w:color w:val="auto"/>
                <w:kern w:val="0"/>
                <w:sz w:val="20"/>
                <w:szCs w:val="20"/>
                <w:highlight w:val="none"/>
                <w:u w:val="none"/>
                <w:lang w:val="en-US" w:eastAsia="zh-CN" w:bidi="ar"/>
              </w:rPr>
              <w:t>承接项目社会组织</w:t>
            </w:r>
            <w:r>
              <w:rPr>
                <w:rFonts w:hint="default" w:ascii="CESI仿宋-GB2312" w:hAnsi="CESI仿宋-GB2312" w:eastAsia="CESI仿宋-GB2312" w:cs="CESI仿宋-GB2312"/>
                <w:i w:val="0"/>
                <w:color w:val="auto"/>
                <w:kern w:val="0"/>
                <w:sz w:val="20"/>
                <w:szCs w:val="20"/>
                <w:highlight w:val="none"/>
                <w:u w:val="none"/>
                <w:lang w:val="en-US" w:eastAsia="zh-CN" w:bidi="ar"/>
              </w:rPr>
              <w:t>微信公众号、苏木乡镇（街道）微信公众号或其他媒体渠道发布</w:t>
            </w:r>
            <w:r>
              <w:rPr>
                <w:rFonts w:hint="eastAsia" w:ascii="CESI仿宋-GB2312" w:hAnsi="CESI仿宋-GB2312" w:eastAsia="CESI仿宋-GB2312" w:cs="CESI仿宋-GB2312"/>
                <w:i w:val="0"/>
                <w:color w:val="auto"/>
                <w:kern w:val="0"/>
                <w:sz w:val="20"/>
                <w:szCs w:val="20"/>
                <w:highlight w:val="none"/>
                <w:u w:val="none"/>
                <w:lang w:val="en-US" w:eastAsia="zh-CN" w:bidi="ar"/>
              </w:rPr>
              <w:t>民政社工</w:t>
            </w:r>
            <w:r>
              <w:rPr>
                <w:rFonts w:hint="default" w:ascii="CESI仿宋-GB2312" w:hAnsi="CESI仿宋-GB2312" w:eastAsia="CESI仿宋-GB2312" w:cs="CESI仿宋-GB2312"/>
                <w:i w:val="0"/>
                <w:color w:val="auto"/>
                <w:kern w:val="0"/>
                <w:sz w:val="20"/>
                <w:szCs w:val="20"/>
                <w:highlight w:val="none"/>
                <w:u w:val="none"/>
                <w:lang w:val="en-US" w:eastAsia="zh-CN" w:bidi="ar"/>
              </w:rPr>
              <w:t>站基本情况、服务内容及工作动态等，加强服务的管理和推广。</w:t>
            </w:r>
          </w:p>
        </w:tc>
        <w:tc>
          <w:tcPr>
            <w:tcW w:w="0" w:type="auto"/>
            <w:shd w:val="clear" w:color="auto" w:fill="auto"/>
            <w:vAlign w:val="center"/>
          </w:tcPr>
          <w:p w14:paraId="0E97290B">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p>
        </w:tc>
        <w:tc>
          <w:tcPr>
            <w:tcW w:w="0" w:type="auto"/>
            <w:shd w:val="clear" w:color="auto" w:fill="auto"/>
          </w:tcPr>
          <w:p w14:paraId="082DD501">
            <w:pPr>
              <w:keepNext w:val="0"/>
              <w:keepLines w:val="0"/>
              <w:widowControl/>
              <w:suppressLineNumbers w:val="0"/>
              <w:jc w:val="left"/>
              <w:textAlignment w:val="center"/>
              <w:rPr>
                <w:rFonts w:hint="eastAsia" w:ascii="CESI仿宋-GB2312" w:hAnsi="CESI仿宋-GB2312" w:eastAsia="CESI仿宋-GB2312" w:cs="CESI仿宋-GB2312"/>
                <w:i w:val="0"/>
                <w:color w:val="auto"/>
                <w:kern w:val="0"/>
                <w:sz w:val="20"/>
                <w:szCs w:val="20"/>
                <w:highlight w:val="none"/>
                <w:u w:val="none"/>
                <w:lang w:val="en-US" w:eastAsia="zh-CN" w:bidi="ar"/>
              </w:rPr>
            </w:pPr>
          </w:p>
        </w:tc>
      </w:tr>
    </w:tbl>
    <w:p w14:paraId="4F669334">
      <w:pPr>
        <w:keepNext w:val="0"/>
        <w:keepLines w:val="0"/>
        <w:pageBreakBefore w:val="0"/>
        <w:widowControl w:val="0"/>
        <w:kinsoku/>
        <w:wordWrap/>
        <w:overflowPunct w:val="0"/>
        <w:topLinePunct w:val="0"/>
        <w:autoSpaceDE/>
        <w:autoSpaceDN/>
        <w:bidi w:val="0"/>
        <w:adjustRightInd w:val="0"/>
        <w:snapToGrid w:val="0"/>
        <w:spacing w:line="560" w:lineRule="exact"/>
        <w:jc w:val="left"/>
        <w:textAlignment w:val="auto"/>
        <w:rPr>
          <w:rFonts w:hint="eastAsia" w:ascii="方正仿宋_GB2312" w:hAnsi="方正仿宋_GB2312" w:eastAsia="方正仿宋_GB2312" w:cs="方正仿宋_GB2312"/>
          <w:sz w:val="32"/>
          <w:szCs w:val="32"/>
          <w:lang w:val="en-US" w:eastAsia="zh-CN"/>
        </w:rPr>
      </w:pPr>
    </w:p>
    <w:sectPr>
      <w:footerReference r:id="rId4" w:type="default"/>
      <w:pgSz w:w="16838" w:h="11906" w:orient="landscape"/>
      <w:pgMar w:top="1701" w:right="1531" w:bottom="1701" w:left="1531" w:header="851" w:footer="1304" w:gutter="0"/>
      <w:pgBorders>
        <w:top w:val="none" w:sz="0" w:space="0"/>
        <w:left w:val="none" w:sz="0" w:space="0"/>
        <w:bottom w:val="none" w:sz="0" w:space="0"/>
        <w:right w:val="none" w:sz="0" w:space="0"/>
      </w:pgBorders>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仿宋_GB2312">
    <w:panose1 w:val="02000000000000000000"/>
    <w:charset w:val="86"/>
    <w:family w:val="auto"/>
    <w:pitch w:val="default"/>
    <w:sig w:usb0="A00002BF" w:usb1="184F6CFA" w:usb2="00000012" w:usb3="00000000" w:csb0="00040001" w:csb1="00000000"/>
  </w:font>
  <w:font w:name="楷体">
    <w:altName w:val="方正楷体_GBK"/>
    <w:panose1 w:val="02010609060101010101"/>
    <w:charset w:val="86"/>
    <w:family w:val="auto"/>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CESI仿宋-GB2312">
    <w:panose1 w:val="02000500000000000000"/>
    <w:charset w:val="86"/>
    <w:family w:val="auto"/>
    <w:pitch w:val="default"/>
    <w:sig w:usb0="800002AF" w:usb1="084F6CF8" w:usb2="00000010" w:usb3="00000000" w:csb0="0004000F" w:csb1="00000000"/>
  </w:font>
  <w:font w:name="FangSong_GB2312">
    <w:altName w:val="方正仿宋_GBK"/>
    <w:panose1 w:val="02010609060101010101"/>
    <w:charset w:val="86"/>
    <w:family w:val="modern"/>
    <w:pitch w:val="default"/>
    <w:sig w:usb0="00000000" w:usb1="00000000" w:usb2="00000016" w:usb3="00000000" w:csb0="00040001"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6A824">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3BEB33">
                          <w:pPr>
                            <w:pStyle w:val="4"/>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- 1 -</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13BEB33">
                    <w:pPr>
                      <w:pStyle w:val="4"/>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- 1 -</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B9E92">
    <w:pPr>
      <w:pStyle w:val="4"/>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7C1269">
                          <w:pPr>
                            <w:pStyle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- 4 -</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27C1269">
                    <w:pPr>
                      <w:pStyle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- 4 -</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A94"/>
    <w:rsid w:val="000201B2"/>
    <w:rsid w:val="00033EE7"/>
    <w:rsid w:val="00053477"/>
    <w:rsid w:val="000B1AE7"/>
    <w:rsid w:val="000D074B"/>
    <w:rsid w:val="000E3F46"/>
    <w:rsid w:val="000F0D1F"/>
    <w:rsid w:val="001414D8"/>
    <w:rsid w:val="0016251D"/>
    <w:rsid w:val="00185301"/>
    <w:rsid w:val="001D110D"/>
    <w:rsid w:val="001D58E7"/>
    <w:rsid w:val="001F45DF"/>
    <w:rsid w:val="00237618"/>
    <w:rsid w:val="00274287"/>
    <w:rsid w:val="00294E09"/>
    <w:rsid w:val="002C0635"/>
    <w:rsid w:val="002D1A94"/>
    <w:rsid w:val="00305076"/>
    <w:rsid w:val="003C15D4"/>
    <w:rsid w:val="003C4767"/>
    <w:rsid w:val="0046603E"/>
    <w:rsid w:val="004A2060"/>
    <w:rsid w:val="004C1FA4"/>
    <w:rsid w:val="005B1DD5"/>
    <w:rsid w:val="005B31F5"/>
    <w:rsid w:val="005D73FD"/>
    <w:rsid w:val="006352E7"/>
    <w:rsid w:val="00646132"/>
    <w:rsid w:val="006E716B"/>
    <w:rsid w:val="006F3C8E"/>
    <w:rsid w:val="007169E9"/>
    <w:rsid w:val="00751C77"/>
    <w:rsid w:val="007752A2"/>
    <w:rsid w:val="00777FA7"/>
    <w:rsid w:val="00797698"/>
    <w:rsid w:val="007F082F"/>
    <w:rsid w:val="007F0D65"/>
    <w:rsid w:val="007F4E30"/>
    <w:rsid w:val="0087677B"/>
    <w:rsid w:val="00881D67"/>
    <w:rsid w:val="00897099"/>
    <w:rsid w:val="008D2774"/>
    <w:rsid w:val="009769EA"/>
    <w:rsid w:val="00A264C6"/>
    <w:rsid w:val="00AA13BF"/>
    <w:rsid w:val="00B562AF"/>
    <w:rsid w:val="00B75264"/>
    <w:rsid w:val="00BF38D4"/>
    <w:rsid w:val="00C001CF"/>
    <w:rsid w:val="00C91065"/>
    <w:rsid w:val="00CD161A"/>
    <w:rsid w:val="00DA4213"/>
    <w:rsid w:val="00E0079B"/>
    <w:rsid w:val="00E07E57"/>
    <w:rsid w:val="00E35A7D"/>
    <w:rsid w:val="00EB37F2"/>
    <w:rsid w:val="00EC6FC0"/>
    <w:rsid w:val="02F90313"/>
    <w:rsid w:val="05A52BAD"/>
    <w:rsid w:val="0E3EED66"/>
    <w:rsid w:val="0FA6162C"/>
    <w:rsid w:val="12CB25A5"/>
    <w:rsid w:val="15393AE8"/>
    <w:rsid w:val="18960988"/>
    <w:rsid w:val="18EE1A65"/>
    <w:rsid w:val="1A9377AB"/>
    <w:rsid w:val="1AD74442"/>
    <w:rsid w:val="1F3261A4"/>
    <w:rsid w:val="23FC4BB7"/>
    <w:rsid w:val="25021F1A"/>
    <w:rsid w:val="27B5468E"/>
    <w:rsid w:val="28BE6BDA"/>
    <w:rsid w:val="2919672D"/>
    <w:rsid w:val="2FD8767E"/>
    <w:rsid w:val="33AF1808"/>
    <w:rsid w:val="3F87F361"/>
    <w:rsid w:val="3FFB9A17"/>
    <w:rsid w:val="418036D2"/>
    <w:rsid w:val="553F45D6"/>
    <w:rsid w:val="56800083"/>
    <w:rsid w:val="57553F62"/>
    <w:rsid w:val="57DC0AB0"/>
    <w:rsid w:val="57EC7918"/>
    <w:rsid w:val="5977134B"/>
    <w:rsid w:val="5EF869F3"/>
    <w:rsid w:val="633A772C"/>
    <w:rsid w:val="63EE32D2"/>
    <w:rsid w:val="69FE3AEE"/>
    <w:rsid w:val="6C6E6497"/>
    <w:rsid w:val="6C7B65B0"/>
    <w:rsid w:val="6E2132DC"/>
    <w:rsid w:val="6FA91276"/>
    <w:rsid w:val="70FF102A"/>
    <w:rsid w:val="736E46F1"/>
    <w:rsid w:val="737179C9"/>
    <w:rsid w:val="75025959"/>
    <w:rsid w:val="75FFF40D"/>
    <w:rsid w:val="7706569B"/>
    <w:rsid w:val="790D06E8"/>
    <w:rsid w:val="7A46732E"/>
    <w:rsid w:val="7C8A6622"/>
    <w:rsid w:val="7CFFB14E"/>
    <w:rsid w:val="7D8A3F94"/>
    <w:rsid w:val="7DFDF735"/>
    <w:rsid w:val="7DFE3A3F"/>
    <w:rsid w:val="7E555EAF"/>
    <w:rsid w:val="7E7FC03E"/>
    <w:rsid w:val="7F5FE446"/>
    <w:rsid w:val="7F79C340"/>
    <w:rsid w:val="7FBD77AC"/>
    <w:rsid w:val="7FFA0AAE"/>
    <w:rsid w:val="8EE9B295"/>
    <w:rsid w:val="A3BD3764"/>
    <w:rsid w:val="BB4389BD"/>
    <w:rsid w:val="BFFF4518"/>
    <w:rsid w:val="C1FF2465"/>
    <w:rsid w:val="CDCFAAEE"/>
    <w:rsid w:val="D7DEEC30"/>
    <w:rsid w:val="DBB5E994"/>
    <w:rsid w:val="DFFEE436"/>
    <w:rsid w:val="E79A3B4B"/>
    <w:rsid w:val="EFDFDD64"/>
    <w:rsid w:val="F4DCB714"/>
    <w:rsid w:val="FAF41BE0"/>
    <w:rsid w:val="FDFF38AD"/>
    <w:rsid w:val="FFB792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unhideWhenUsed/>
    <w:qFormat/>
    <w:uiPriority w:val="99"/>
    <w:pPr>
      <w:ind w:firstLine="420" w:firstLineChars="100"/>
    </w:pPr>
  </w:style>
  <w:style w:type="paragraph" w:styleId="3">
    <w:name w:val="Body Text"/>
    <w:basedOn w:val="1"/>
    <w:qFormat/>
    <w:uiPriority w:val="99"/>
    <w:pPr>
      <w:spacing w:after="120"/>
      <w:ind w:firstLine="640" w:firstLineChars="200"/>
    </w:pPr>
    <w:rPr>
      <w:rFonts w:ascii="仿宋" w:hAnsi="仿宋" w:eastAsia="仿宋"/>
      <w:sz w:val="32"/>
      <w:szCs w:val="32"/>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9">
    <w:name w:val="List Paragraph"/>
    <w:basedOn w:val="1"/>
    <w:qFormat/>
    <w:uiPriority w:val="34"/>
    <w:pPr>
      <w:ind w:firstLine="420" w:firstLineChars="200"/>
    </w:pPr>
  </w:style>
  <w:style w:type="character" w:customStyle="1" w:styleId="10">
    <w:name w:val="页眉 Char"/>
    <w:basedOn w:val="8"/>
    <w:link w:val="5"/>
    <w:qFormat/>
    <w:uiPriority w:val="99"/>
    <w:rPr>
      <w:sz w:val="18"/>
      <w:szCs w:val="18"/>
    </w:rPr>
  </w:style>
  <w:style w:type="character" w:customStyle="1" w:styleId="11">
    <w:name w:val="页脚 Char"/>
    <w:basedOn w:val="8"/>
    <w:link w:val="4"/>
    <w:qFormat/>
    <w:uiPriority w:val="99"/>
    <w:rPr>
      <w:sz w:val="18"/>
      <w:szCs w:val="18"/>
    </w:rPr>
  </w:style>
  <w:style w:type="character" w:customStyle="1" w:styleId="12">
    <w:name w:val="font81"/>
    <w:basedOn w:val="8"/>
    <w:qFormat/>
    <w:uiPriority w:val="0"/>
    <w:rPr>
      <w:rFonts w:hint="eastAsia" w:ascii="宋体" w:hAnsi="宋体" w:eastAsia="宋体" w:cs="宋体"/>
      <w:color w:val="000000"/>
      <w:sz w:val="48"/>
      <w:szCs w:val="48"/>
      <w:u w:val="none"/>
    </w:rPr>
  </w:style>
  <w:style w:type="character" w:customStyle="1" w:styleId="13">
    <w:name w:val="font91"/>
    <w:basedOn w:val="8"/>
    <w:qFormat/>
    <w:uiPriority w:val="0"/>
    <w:rPr>
      <w:rFonts w:hint="eastAsia" w:ascii="宋体" w:hAnsi="宋体" w:eastAsia="宋体" w:cs="宋体"/>
      <w:color w:val="000000"/>
      <w:sz w:val="24"/>
      <w:szCs w:val="24"/>
      <w:u w:val="none"/>
    </w:rPr>
  </w:style>
  <w:style w:type="character" w:customStyle="1" w:styleId="14">
    <w:name w:val="font110"/>
    <w:basedOn w:val="8"/>
    <w:qFormat/>
    <w:uiPriority w:val="0"/>
    <w:rPr>
      <w:rFonts w:hint="eastAsia" w:ascii="宋体" w:hAnsi="宋体" w:eastAsia="宋体" w:cs="宋体"/>
      <w:color w:val="0812DE"/>
      <w:sz w:val="24"/>
      <w:szCs w:val="24"/>
      <w:u w:val="none"/>
    </w:rPr>
  </w:style>
  <w:style w:type="character" w:customStyle="1" w:styleId="15">
    <w:name w:val="font151"/>
    <w:basedOn w:val="8"/>
    <w:qFormat/>
    <w:uiPriority w:val="0"/>
    <w:rPr>
      <w:rFonts w:hint="eastAsia" w:ascii="宋体" w:hAnsi="宋体" w:eastAsia="宋体" w:cs="宋体"/>
      <w:color w:val="0812DE"/>
      <w:sz w:val="22"/>
      <w:szCs w:val="22"/>
      <w:u w:val="none"/>
    </w:rPr>
  </w:style>
  <w:style w:type="character" w:customStyle="1" w:styleId="16">
    <w:name w:val="font131"/>
    <w:basedOn w:val="8"/>
    <w:qFormat/>
    <w:uiPriority w:val="0"/>
    <w:rPr>
      <w:rFonts w:hint="eastAsia" w:ascii="宋体" w:hAnsi="宋体" w:eastAsia="宋体" w:cs="宋体"/>
      <w:color w:val="000000"/>
      <w:sz w:val="22"/>
      <w:szCs w:val="22"/>
      <w:u w:val="none"/>
    </w:rPr>
  </w:style>
  <w:style w:type="character" w:customStyle="1" w:styleId="17">
    <w:name w:val="font01"/>
    <w:basedOn w:val="8"/>
    <w:qFormat/>
    <w:uiPriority w:val="0"/>
    <w:rPr>
      <w:rFonts w:hint="eastAsia" w:ascii="宋体" w:hAnsi="宋体" w:eastAsia="宋体" w:cs="宋体"/>
      <w:color w:val="FF0000"/>
      <w:sz w:val="22"/>
      <w:szCs w:val="22"/>
      <w:u w:val="none"/>
    </w:rPr>
  </w:style>
  <w:style w:type="character" w:customStyle="1" w:styleId="18">
    <w:name w:val="font101"/>
    <w:basedOn w:val="8"/>
    <w:qFormat/>
    <w:uiPriority w:val="0"/>
    <w:rPr>
      <w:rFonts w:hint="eastAsia" w:ascii="方正仿宋_GBK" w:hAnsi="方正仿宋_GBK" w:eastAsia="方正仿宋_GBK" w:cs="方正仿宋_GBK"/>
      <w:color w:val="000000"/>
      <w:sz w:val="24"/>
      <w:szCs w:val="24"/>
      <w:u w:val="none"/>
    </w:rPr>
  </w:style>
  <w:style w:type="character" w:customStyle="1" w:styleId="19">
    <w:name w:val="font121"/>
    <w:basedOn w:val="8"/>
    <w:qFormat/>
    <w:uiPriority w:val="0"/>
    <w:rPr>
      <w:rFonts w:hint="eastAsia" w:ascii="方正仿宋_GBK" w:hAnsi="方正仿宋_GBK" w:eastAsia="方正仿宋_GBK" w:cs="方正仿宋_GBK"/>
      <w:color w:val="FF0000"/>
      <w:sz w:val="24"/>
      <w:szCs w:val="24"/>
      <w:u w:val="none"/>
    </w:rPr>
  </w:style>
  <w:style w:type="character" w:customStyle="1" w:styleId="20">
    <w:name w:val="font141"/>
    <w:basedOn w:val="8"/>
    <w:qFormat/>
    <w:uiPriority w:val="0"/>
    <w:rPr>
      <w:rFonts w:hint="eastAsia" w:ascii="宋体" w:hAnsi="宋体" w:eastAsia="宋体" w:cs="宋体"/>
      <w:color w:val="FF0000"/>
      <w:sz w:val="24"/>
      <w:szCs w:val="24"/>
      <w:u w:val="none"/>
    </w:rPr>
  </w:style>
  <w:style w:type="character" w:customStyle="1" w:styleId="21">
    <w:name w:val="font171"/>
    <w:basedOn w:val="8"/>
    <w:qFormat/>
    <w:uiPriority w:val="0"/>
    <w:rPr>
      <w:rFonts w:hint="eastAsia" w:ascii="宋体" w:hAnsi="宋体" w:eastAsia="宋体" w:cs="宋体"/>
      <w:color w:val="0812DE"/>
      <w:sz w:val="21"/>
      <w:szCs w:val="21"/>
      <w:u w:val="none"/>
    </w:rPr>
  </w:style>
  <w:style w:type="character" w:customStyle="1" w:styleId="22">
    <w:name w:val="font41"/>
    <w:basedOn w:val="8"/>
    <w:qFormat/>
    <w:uiPriority w:val="0"/>
    <w:rPr>
      <w:rFonts w:hint="eastAsia" w:ascii="宋体" w:hAnsi="宋体" w:eastAsia="宋体" w:cs="宋体"/>
      <w:color w:val="FF0000"/>
      <w:sz w:val="21"/>
      <w:szCs w:val="21"/>
      <w:u w:val="none"/>
    </w:rPr>
  </w:style>
  <w:style w:type="character" w:customStyle="1" w:styleId="23">
    <w:name w:val="font51"/>
    <w:basedOn w:val="8"/>
    <w:qFormat/>
    <w:uiPriority w:val="0"/>
    <w:rPr>
      <w:rFonts w:hint="eastAsia" w:ascii="宋体" w:hAnsi="宋体" w:eastAsia="宋体" w:cs="宋体"/>
      <w:color w:val="0000FF"/>
      <w:sz w:val="21"/>
      <w:szCs w:val="21"/>
      <w:u w:val="none"/>
    </w:rPr>
  </w:style>
  <w:style w:type="character" w:customStyle="1" w:styleId="24">
    <w:name w:val="font161"/>
    <w:basedOn w:val="8"/>
    <w:qFormat/>
    <w:uiPriority w:val="0"/>
    <w:rPr>
      <w:rFonts w:ascii="方正书宋_GBK" w:hAnsi="方正书宋_GBK" w:eastAsia="方正书宋_GBK" w:cs="方正书宋_GBK"/>
      <w:color w:val="0812DE"/>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15</Pages>
  <Words>1771</Words>
  <Characters>1804</Characters>
  <Lines>8</Lines>
  <Paragraphs>2</Paragraphs>
  <TotalTime>3</TotalTime>
  <ScaleCrop>false</ScaleCrop>
  <LinksUpToDate>false</LinksUpToDate>
  <CharactersWithSpaces>1820</CharactersWithSpaces>
  <Application>WPS Office_12.1.2.24730_F1E327BC-269C-435d-A152-05C5408002CA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2024-03-16T01:09:00Z</dcterms:created>
  <dc:creator>FBW</dc:creator>
  <cp:lastModifiedBy>张娜</cp:lastModifiedBy>
  <cp:lastPrinted>2025-11-06T03:34:00Z</cp:lastPrinted>
  <dcterms:modified xsi:type="dcterms:W3CDTF">2026-04-22T15:25:23Z</dcterms:modified>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2052-12.1.2.24730</vt:lpwstr>
  </property>
  <property fmtid="{D5CDD505-2E9C-101B-9397-08002B2CF9AE}" pid="3" name="KSOTemplateDocerSaveRecord">
    <vt:lpwstr>eyJoZGlkIjoiNmNhMWQ5ZWQ3YjM0YTBiYWJiMmNlYTRiYzg4NjM1YWMiLCJ1c2VySWQiOiI1MDk3NTA5NzIifQ==</vt:lpwstr>
  </property>
  <property fmtid="{D5CDD505-2E9C-101B-9397-08002B2CF9AE}" pid="4" name="ICV">
    <vt:lpwstr>787325865F52445894BCD69D241EB94E_13</vt:lpwstr>
  </property>
</Properties>
</file>