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CA30F5">
      <w:pPr>
        <w:pStyle w:val="4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分项报价明细表</w:t>
      </w:r>
    </w:p>
    <w:p w14:paraId="77D78DB4">
      <w:pPr>
        <w:bidi w:val="0"/>
        <w:rPr>
          <w:rFonts w:hint="eastAsia"/>
          <w:lang w:val="en-US" w:eastAsia="zh-CN"/>
        </w:rPr>
      </w:pPr>
    </w:p>
    <w:p w14:paraId="42DB9BD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 xml:space="preserve">项目编号： </w:t>
      </w:r>
    </w:p>
    <w:p w14:paraId="11B3328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项目名称：</w:t>
      </w:r>
      <w:bookmarkStart w:id="0" w:name="_GoBack"/>
      <w:bookmarkEnd w:id="0"/>
    </w:p>
    <w:p w14:paraId="21B5AE3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cs="宋体"/>
          <w:b w:val="0"/>
          <w:bCs w:val="0"/>
          <w:color w:val="000000"/>
          <w:kern w:val="0"/>
          <w:sz w:val="28"/>
          <w:szCs w:val="28"/>
          <w:highlight w:val="none"/>
          <w:lang w:val="en-US" w:eastAsia="zh-CN" w:bidi="ar"/>
        </w:rPr>
        <w:t>供应商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 xml:space="preserve">名称：                                             </w:t>
      </w:r>
    </w:p>
    <w:tbl>
      <w:tblPr>
        <w:tblStyle w:val="8"/>
        <w:tblW w:w="142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1356"/>
        <w:gridCol w:w="1329"/>
        <w:gridCol w:w="4587"/>
        <w:gridCol w:w="1436"/>
        <w:gridCol w:w="1564"/>
        <w:gridCol w:w="1190"/>
        <w:gridCol w:w="857"/>
        <w:gridCol w:w="1252"/>
      </w:tblGrid>
      <w:tr w14:paraId="486EE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714" w:type="dxa"/>
            <w:noWrap w:val="0"/>
            <w:vAlign w:val="center"/>
          </w:tcPr>
          <w:p w14:paraId="406EFBC2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356" w:type="dxa"/>
            <w:noWrap w:val="0"/>
            <w:vAlign w:val="center"/>
          </w:tcPr>
          <w:p w14:paraId="63CFC8C1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服务名称</w:t>
            </w:r>
          </w:p>
        </w:tc>
        <w:tc>
          <w:tcPr>
            <w:tcW w:w="1329" w:type="dxa"/>
            <w:noWrap w:val="0"/>
            <w:vAlign w:val="center"/>
          </w:tcPr>
          <w:p w14:paraId="6A7B6B72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服务范围</w:t>
            </w:r>
          </w:p>
        </w:tc>
        <w:tc>
          <w:tcPr>
            <w:tcW w:w="4587" w:type="dxa"/>
            <w:noWrap w:val="0"/>
            <w:vAlign w:val="center"/>
          </w:tcPr>
          <w:p w14:paraId="3620EE91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服务要求</w:t>
            </w:r>
          </w:p>
        </w:tc>
        <w:tc>
          <w:tcPr>
            <w:tcW w:w="1436" w:type="dxa"/>
            <w:noWrap w:val="0"/>
            <w:vAlign w:val="center"/>
          </w:tcPr>
          <w:p w14:paraId="1D2AE379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服务期限</w:t>
            </w:r>
          </w:p>
        </w:tc>
        <w:tc>
          <w:tcPr>
            <w:tcW w:w="1564" w:type="dxa"/>
            <w:noWrap w:val="0"/>
            <w:vAlign w:val="center"/>
          </w:tcPr>
          <w:p w14:paraId="1A66AA57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服务标准</w:t>
            </w:r>
          </w:p>
        </w:tc>
        <w:tc>
          <w:tcPr>
            <w:tcW w:w="1190" w:type="dxa"/>
            <w:noWrap w:val="0"/>
            <w:vAlign w:val="center"/>
          </w:tcPr>
          <w:p w14:paraId="4872EDD3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响应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单价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（元）</w:t>
            </w:r>
          </w:p>
        </w:tc>
        <w:tc>
          <w:tcPr>
            <w:tcW w:w="857" w:type="dxa"/>
            <w:noWrap w:val="0"/>
            <w:vAlign w:val="center"/>
          </w:tcPr>
          <w:p w14:paraId="754660F3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数量</w:t>
            </w:r>
          </w:p>
        </w:tc>
        <w:tc>
          <w:tcPr>
            <w:tcW w:w="1252" w:type="dxa"/>
            <w:noWrap w:val="0"/>
            <w:vAlign w:val="center"/>
          </w:tcPr>
          <w:p w14:paraId="0D3683D4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响应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总价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（元）</w:t>
            </w:r>
          </w:p>
        </w:tc>
      </w:tr>
      <w:tr w14:paraId="0E5F5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14" w:type="dxa"/>
            <w:noWrap w:val="0"/>
            <w:vAlign w:val="center"/>
          </w:tcPr>
          <w:p w14:paraId="311E30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56" w:type="dxa"/>
            <w:noWrap w:val="0"/>
            <w:vAlign w:val="center"/>
          </w:tcPr>
          <w:p w14:paraId="033932E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乒乓球</w:t>
            </w:r>
          </w:p>
          <w:p w14:paraId="181F8F9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项目</w:t>
            </w:r>
          </w:p>
        </w:tc>
        <w:tc>
          <w:tcPr>
            <w:tcW w:w="1329" w:type="dxa"/>
            <w:noWrap w:val="0"/>
            <w:vAlign w:val="center"/>
          </w:tcPr>
          <w:p w14:paraId="4FC54D5E">
            <w:pPr>
              <w:pStyle w:val="11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负责乒乓球项目竞赛组织保障、竞赛器材保障、竞赛场地保障、裁判员劳务差旅保障、后勤服务保障。</w:t>
            </w:r>
          </w:p>
          <w:p w14:paraId="16742246">
            <w:pPr>
              <w:pStyle w:val="11"/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4587" w:type="dxa"/>
            <w:vMerge w:val="restart"/>
            <w:noWrap w:val="0"/>
            <w:vAlign w:val="center"/>
          </w:tcPr>
          <w:p w14:paraId="6DF31858">
            <w:pPr>
              <w:pStyle w:val="11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竞赛组织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保障</w:t>
            </w:r>
          </w:p>
          <w:p w14:paraId="00BB5992">
            <w:pPr>
              <w:pStyle w:val="11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（1）提供完整赛事策划方案，涵盖赛事流程设计、组织协调、进度管控等，保障赛事从筹备到结束全流程顺畅运行，服务周期含赛前筹备、比赛期间及赛后收尾。</w:t>
            </w:r>
          </w:p>
          <w:p w14:paraId="6A192F74">
            <w:pPr>
              <w:pStyle w:val="11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（2）配合竞委会制订赛事组织实施方案、赛事风险评估方案、赛事风险应急预案、医疗救治应急预案，做好赛事组织，确保赛事活动顺利举行。</w:t>
            </w:r>
          </w:p>
          <w:p w14:paraId="2433A856">
            <w:pPr>
              <w:pStyle w:val="11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（3）负责整理一套完整的赛事总结报告资料，包括但不限于：秩序册 、成绩册，实施过程照片、视频、签领表等内容。</w:t>
            </w:r>
          </w:p>
          <w:p w14:paraId="2DC77E9B">
            <w:pPr>
              <w:pStyle w:val="11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竞赛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器材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保障</w:t>
            </w:r>
          </w:p>
          <w:p w14:paraId="0988C6F9">
            <w:pPr>
              <w:pStyle w:val="11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（1）制定计时设备和竞赛辅助器材清单。</w:t>
            </w:r>
          </w:p>
          <w:p w14:paraId="420C3700">
            <w:pPr>
              <w:pStyle w:val="11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）提供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计时记分设备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等竞赛器材，满足比赛要求、保障赛事正常运行。</w:t>
            </w:r>
          </w:p>
          <w:p w14:paraId="4AF6A1EC">
            <w:pPr>
              <w:pStyle w:val="11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）提供裁判员比赛用品、耗材，提供电脑打印机等通用器材，满足赛事需求。</w:t>
            </w:r>
          </w:p>
          <w:p w14:paraId="1D0C0CBB">
            <w:pPr>
              <w:pStyle w:val="11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（4）负责赛事期间所需器材、设备的出入库管理、转运。</w:t>
            </w:r>
          </w:p>
          <w:p w14:paraId="04418A6F">
            <w:pPr>
              <w:pStyle w:val="11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竞赛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场地保障</w:t>
            </w:r>
          </w:p>
          <w:p w14:paraId="10792996">
            <w:pPr>
              <w:pStyle w:val="11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（1）制定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地布置实施方案，按照方案布置赛场，保障赛事顺利进行。</w:t>
            </w:r>
          </w:p>
          <w:p w14:paraId="74A4B95E">
            <w:pPr>
              <w:pStyle w:val="11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（2）制定场地氛围营造实施方案，按照方案进行氛围营造，物料设计、制作和安装工作。</w:t>
            </w:r>
          </w:p>
          <w:p w14:paraId="3FD522A3">
            <w:pPr>
              <w:pStyle w:val="11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4、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裁判员劳务、差旅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保障</w:t>
            </w:r>
          </w:p>
          <w:p w14:paraId="3A77ADB7">
            <w:pPr>
              <w:pStyle w:val="11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（1）制定裁判员劳务保障方案，按照自治区十六运标准承担裁判员劳务费。其中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乒乓球项目裁判员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约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60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人，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羽毛球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项目裁判员约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60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人，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网球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项目裁判员约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60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人，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橄榄球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项目裁判员约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30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人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 w14:paraId="5AF3A4F9">
            <w:pPr>
              <w:pStyle w:val="11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（2）制定裁判员差旅保障方案，按照自治区十六运标准承担裁判员差旅费。</w:t>
            </w:r>
          </w:p>
          <w:p w14:paraId="58CA08B9">
            <w:pPr>
              <w:pStyle w:val="11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后勤服务保障</w:t>
            </w:r>
          </w:p>
          <w:p w14:paraId="61213A65">
            <w:pPr>
              <w:pStyle w:val="11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制定后勤服务保障方案，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负责相关工作人员的分工、调配和组织安排工作。 </w:t>
            </w:r>
          </w:p>
          <w:p w14:paraId="2C952D0B">
            <w:pPr>
              <w:pStyle w:val="11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负责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为裁判员、工作人员购买赛事保险。</w:t>
            </w:r>
          </w:p>
          <w:p w14:paraId="7F2A894A">
            <w:pPr>
              <w:pStyle w:val="11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（3）负责配合公安、卫健等相关单位做好赛事保障。 </w:t>
            </w:r>
          </w:p>
          <w:p w14:paraId="4A75E986"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服务质量要求</w:t>
            </w:r>
          </w:p>
          <w:p w14:paraId="68E6317E">
            <w:pPr>
              <w:pStyle w:val="11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（1）所有搭建物料需符合安全标准，确保赛事期间无安全隐患；设备设施需提前调试，保障正常运行。</w:t>
            </w:r>
          </w:p>
          <w:p w14:paraId="01071A5C">
            <w:pPr>
              <w:pStyle w:val="11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（2）后勤保障服务需及时响应，满足赛事各类需求。        </w:t>
            </w:r>
          </w:p>
          <w:p w14:paraId="52341CA3">
            <w:pPr>
              <w:pStyle w:val="11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、服务周期要求：整体服务周期为自合同签订之日起至服务工作全部结束止，服务商需严格按照赛事日程完成各项服务。</w:t>
            </w:r>
          </w:p>
        </w:tc>
        <w:tc>
          <w:tcPr>
            <w:tcW w:w="1436" w:type="dxa"/>
            <w:vMerge w:val="restart"/>
            <w:noWrap w:val="0"/>
            <w:vAlign w:val="center"/>
          </w:tcPr>
          <w:p w14:paraId="3FB29D99">
            <w:pPr>
              <w:pStyle w:val="11"/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合同签订后至赛事服务全部工作</w:t>
            </w:r>
          </w:p>
          <w:p w14:paraId="0D76CC12">
            <w:pPr>
              <w:pStyle w:val="11"/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结束</w:t>
            </w:r>
          </w:p>
        </w:tc>
        <w:tc>
          <w:tcPr>
            <w:tcW w:w="1564" w:type="dxa"/>
            <w:vMerge w:val="restart"/>
            <w:noWrap w:val="0"/>
            <w:vAlign w:val="center"/>
          </w:tcPr>
          <w:p w14:paraId="4E80F761">
            <w:pPr>
              <w:pStyle w:val="11"/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  <w:t>符合国家现行行业服务标准的规定，满足采购人采购需求。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交付验收标准依次序对照适用标准为：①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符合中华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人民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 xml:space="preserve">共和国国家安全质量标 </w:t>
            </w:r>
          </w:p>
          <w:p w14:paraId="72A34AF0">
            <w:pPr>
              <w:pStyle w:val="11"/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准或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行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业标准；②符合采购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文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件和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响应文件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承诺中响应的合理最佳配置及各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项要求。</w:t>
            </w:r>
          </w:p>
        </w:tc>
        <w:tc>
          <w:tcPr>
            <w:tcW w:w="1190" w:type="dxa"/>
            <w:noWrap w:val="0"/>
            <w:vAlign w:val="center"/>
          </w:tcPr>
          <w:p w14:paraId="0194CD3A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857" w:type="dxa"/>
            <w:noWrap w:val="0"/>
            <w:vAlign w:val="center"/>
          </w:tcPr>
          <w:p w14:paraId="6D1ACF94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252" w:type="dxa"/>
            <w:noWrap w:val="0"/>
            <w:vAlign w:val="center"/>
          </w:tcPr>
          <w:p w14:paraId="7534A4B7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</w:tr>
      <w:tr w14:paraId="49A31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714" w:type="dxa"/>
            <w:noWrap w:val="0"/>
            <w:vAlign w:val="center"/>
          </w:tcPr>
          <w:p w14:paraId="6BFF86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356" w:type="dxa"/>
            <w:noWrap w:val="0"/>
            <w:vAlign w:val="center"/>
          </w:tcPr>
          <w:p w14:paraId="769684A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羽毛球</w:t>
            </w:r>
          </w:p>
          <w:p w14:paraId="6897124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项目</w:t>
            </w:r>
          </w:p>
        </w:tc>
        <w:tc>
          <w:tcPr>
            <w:tcW w:w="1329" w:type="dxa"/>
            <w:noWrap w:val="0"/>
            <w:vAlign w:val="center"/>
          </w:tcPr>
          <w:p w14:paraId="5D1C1129">
            <w:pPr>
              <w:pStyle w:val="11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负责羽毛球项目竞赛组织保障、竞赛器材保障、竞赛场地保障、裁判员劳务差旅保障、后勤服务保障。</w:t>
            </w:r>
          </w:p>
          <w:p w14:paraId="5285619E">
            <w:pPr>
              <w:pStyle w:val="11"/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4587" w:type="dxa"/>
            <w:vMerge w:val="continue"/>
            <w:noWrap w:val="0"/>
            <w:vAlign w:val="center"/>
          </w:tcPr>
          <w:p w14:paraId="064C51A9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436" w:type="dxa"/>
            <w:vMerge w:val="continue"/>
            <w:noWrap w:val="0"/>
            <w:vAlign w:val="center"/>
          </w:tcPr>
          <w:p w14:paraId="35D7E857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564" w:type="dxa"/>
            <w:vMerge w:val="continue"/>
            <w:noWrap w:val="0"/>
            <w:vAlign w:val="center"/>
          </w:tcPr>
          <w:p w14:paraId="74613F37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90" w:type="dxa"/>
            <w:noWrap w:val="0"/>
            <w:vAlign w:val="center"/>
          </w:tcPr>
          <w:p w14:paraId="34CA606E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857" w:type="dxa"/>
            <w:noWrap w:val="0"/>
            <w:vAlign w:val="center"/>
          </w:tcPr>
          <w:p w14:paraId="4F6EA8F5">
            <w:pPr>
              <w:widowControl w:val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252" w:type="dxa"/>
            <w:noWrap w:val="0"/>
            <w:vAlign w:val="center"/>
          </w:tcPr>
          <w:p w14:paraId="64190C05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</w:tr>
      <w:tr w14:paraId="5D7DF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714" w:type="dxa"/>
            <w:noWrap w:val="0"/>
            <w:vAlign w:val="center"/>
          </w:tcPr>
          <w:p w14:paraId="72AE19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356" w:type="dxa"/>
            <w:noWrap w:val="0"/>
            <w:vAlign w:val="center"/>
          </w:tcPr>
          <w:p w14:paraId="6C0CC98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网球项目</w:t>
            </w:r>
          </w:p>
        </w:tc>
        <w:tc>
          <w:tcPr>
            <w:tcW w:w="1329" w:type="dxa"/>
            <w:noWrap w:val="0"/>
            <w:vAlign w:val="center"/>
          </w:tcPr>
          <w:p w14:paraId="6B63152E">
            <w:pPr>
              <w:pStyle w:val="11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负责网球项目竞赛组织保障、竞赛器材保障、竞赛场地保障、裁判员劳务差旅保障、后勤服务保障。</w:t>
            </w:r>
          </w:p>
        </w:tc>
        <w:tc>
          <w:tcPr>
            <w:tcW w:w="4587" w:type="dxa"/>
            <w:vMerge w:val="continue"/>
            <w:noWrap w:val="0"/>
            <w:vAlign w:val="center"/>
          </w:tcPr>
          <w:p w14:paraId="1C3C0AA9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436" w:type="dxa"/>
            <w:vMerge w:val="continue"/>
            <w:noWrap w:val="0"/>
            <w:vAlign w:val="center"/>
          </w:tcPr>
          <w:p w14:paraId="165B2DAC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564" w:type="dxa"/>
            <w:vMerge w:val="continue"/>
            <w:noWrap w:val="0"/>
            <w:vAlign w:val="center"/>
          </w:tcPr>
          <w:p w14:paraId="256792B1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90" w:type="dxa"/>
            <w:noWrap w:val="0"/>
            <w:vAlign w:val="center"/>
          </w:tcPr>
          <w:p w14:paraId="211A27BC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857" w:type="dxa"/>
            <w:noWrap w:val="0"/>
            <w:vAlign w:val="center"/>
          </w:tcPr>
          <w:p w14:paraId="407E341A">
            <w:pPr>
              <w:widowControl w:val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252" w:type="dxa"/>
            <w:noWrap w:val="0"/>
            <w:vAlign w:val="center"/>
          </w:tcPr>
          <w:p w14:paraId="018EE8EF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</w:tr>
      <w:tr w14:paraId="52CB3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5" w:hRule="atLeast"/>
        </w:trPr>
        <w:tc>
          <w:tcPr>
            <w:tcW w:w="714" w:type="dxa"/>
            <w:noWrap w:val="0"/>
            <w:vAlign w:val="center"/>
          </w:tcPr>
          <w:p w14:paraId="5EC708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356" w:type="dxa"/>
            <w:noWrap w:val="0"/>
            <w:vAlign w:val="center"/>
          </w:tcPr>
          <w:p w14:paraId="6354ACA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橄榄球</w:t>
            </w:r>
          </w:p>
          <w:p w14:paraId="04E05FC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项目</w:t>
            </w:r>
          </w:p>
        </w:tc>
        <w:tc>
          <w:tcPr>
            <w:tcW w:w="1329" w:type="dxa"/>
            <w:noWrap w:val="0"/>
            <w:vAlign w:val="center"/>
          </w:tcPr>
          <w:p w14:paraId="6003A9DF">
            <w:pPr>
              <w:pStyle w:val="11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负责橄榄球项目竞赛组织保障、竞赛器材保障、竞赛场地保障、裁判员劳务差旅保障、后勤服务保障。</w:t>
            </w:r>
          </w:p>
          <w:p w14:paraId="54A27E98">
            <w:pPr>
              <w:pStyle w:val="11"/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4587" w:type="dxa"/>
            <w:vMerge w:val="continue"/>
            <w:noWrap w:val="0"/>
            <w:vAlign w:val="center"/>
          </w:tcPr>
          <w:p w14:paraId="33269956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436" w:type="dxa"/>
            <w:vMerge w:val="continue"/>
            <w:noWrap w:val="0"/>
            <w:vAlign w:val="center"/>
          </w:tcPr>
          <w:p w14:paraId="327DB184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564" w:type="dxa"/>
            <w:vMerge w:val="continue"/>
            <w:noWrap w:val="0"/>
            <w:vAlign w:val="center"/>
          </w:tcPr>
          <w:p w14:paraId="343F7CEC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90" w:type="dxa"/>
            <w:noWrap w:val="0"/>
            <w:vAlign w:val="center"/>
          </w:tcPr>
          <w:p w14:paraId="78F1709B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857" w:type="dxa"/>
            <w:noWrap w:val="0"/>
            <w:vAlign w:val="center"/>
          </w:tcPr>
          <w:p w14:paraId="4469B004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252" w:type="dxa"/>
            <w:noWrap w:val="0"/>
            <w:vAlign w:val="center"/>
          </w:tcPr>
          <w:p w14:paraId="64187F4D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</w:tr>
    </w:tbl>
    <w:p w14:paraId="3B2CD00E">
      <w:pPr>
        <w:bidi w:val="0"/>
        <w:rPr>
          <w:rFonts w:hint="eastAsia"/>
          <w:lang w:val="en-US" w:eastAsia="zh-CN"/>
        </w:rPr>
      </w:pPr>
    </w:p>
    <w:p w14:paraId="619D462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620" w:firstLineChars="2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</w:pPr>
      <w:r>
        <w:rPr>
          <w:rFonts w:hint="eastAsia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color w:val="000000"/>
          <w:kern w:val="0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  <w:t xml:space="preserve">（盖章）： </w:t>
      </w:r>
    </w:p>
    <w:p w14:paraId="44BE100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  <w:t>年   月  日</w:t>
      </w:r>
    </w:p>
    <w:p w14:paraId="4A947A71">
      <w:pPr>
        <w:tabs>
          <w:tab w:val="left" w:pos="3344"/>
        </w:tabs>
        <w:bidi w:val="0"/>
        <w:jc w:val="left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说明：本分项报价明细表必须附在投标文件中一起上传，如不上传视为无效投标。</w:t>
      </w:r>
    </w:p>
    <w:p w14:paraId="271B7373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0ADBE7F3">
      <w:pPr>
        <w:tabs>
          <w:tab w:val="left" w:pos="3344"/>
        </w:tabs>
        <w:bidi w:val="0"/>
        <w:jc w:val="left"/>
        <w:rPr>
          <w:rFonts w:hint="eastAsia"/>
          <w:b/>
          <w:bCs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4D3274"/>
    <w:rsid w:val="336A5172"/>
    <w:rsid w:val="349A6E48"/>
    <w:rsid w:val="55D874CD"/>
    <w:rsid w:val="614D3274"/>
    <w:rsid w:val="696B1208"/>
    <w:rsid w:val="7599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首行缩进 21"/>
    <w:basedOn w:val="3"/>
    <w:qFormat/>
    <w:uiPriority w:val="0"/>
    <w:pPr>
      <w:ind w:firstLine="420" w:firstLineChars="200"/>
    </w:pPr>
  </w:style>
  <w:style w:type="paragraph" w:customStyle="1" w:styleId="3">
    <w:name w:val="正文文本缩进1"/>
    <w:basedOn w:val="1"/>
    <w:qFormat/>
    <w:uiPriority w:val="0"/>
    <w:pPr>
      <w:ind w:left="420" w:leftChars="200"/>
    </w:pPr>
    <w:rPr>
      <w:rFonts w:ascii="Calibri" w:hAnsi="Calibri" w:cs="Calibri"/>
    </w:rPr>
  </w:style>
  <w:style w:type="paragraph" w:styleId="5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6">
    <w:name w:val="Body Text First Indent"/>
    <w:basedOn w:val="5"/>
    <w:qFormat/>
    <w:uiPriority w:val="99"/>
    <w:pPr>
      <w:ind w:firstLine="420" w:firstLineChars="100"/>
    </w:p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1146</Words>
  <Characters>1150</Characters>
  <Lines>0</Lines>
  <Paragraphs>0</Paragraphs>
  <TotalTime>0</TotalTime>
  <ScaleCrop>false</ScaleCrop>
  <LinksUpToDate>false</LinksUpToDate>
  <CharactersWithSpaces>1215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2026-05-15T10:58:00Z</dcterms:created>
  <dc:creator>传奇</dc:creator>
  <cp:lastModifiedBy>传奇</cp:lastModifiedBy>
  <dcterms:modified xsi:type="dcterms:W3CDTF">2026-06-06T03:05:05Z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EE6F883FE54C4615823670485F28DBED_11</vt:lpwstr>
  </property>
  <property fmtid="{D5CDD505-2E9C-101B-9397-08002B2CF9AE}" pid="4" name="KSOTemplateDocerSaveRecord">
    <vt:lpwstr>eyJoZGlkIjoiN2ViNjBlNDg1MTJhNWJhOWM5YmJiNmZmOWM0Nzc4ZTgiLCJ1c2VySWQiOiI0MjEzNDk2ODkifQ==</vt:lpwstr>
  </property>
</Properties>
</file>