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0EF1F">
      <w:pPr>
        <w:spacing w:before="191"/>
      </w:pPr>
      <w:bookmarkStart w:id="0" w:name="_GoBack"/>
      <w:bookmarkEnd w:id="0"/>
    </w:p>
    <w:tbl>
      <w:tblPr>
        <w:tblStyle w:val="5"/>
        <w:tblW w:w="10165" w:type="dxa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4"/>
        <w:gridCol w:w="4176"/>
        <w:gridCol w:w="2965"/>
      </w:tblGrid>
      <w:tr w14:paraId="077C14F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3024" w:type="dxa"/>
            <w:tcBorders>
              <w:top w:val="nil"/>
              <w:left w:val="nil"/>
            </w:tcBorders>
            <w:vAlign w:val="top"/>
          </w:tcPr>
          <w:p w14:paraId="35C84380">
            <w:pPr>
              <w:rPr>
                <w:rFonts w:ascii="Arial"/>
                <w:sz w:val="21"/>
              </w:rPr>
            </w:pPr>
          </w:p>
        </w:tc>
        <w:tc>
          <w:tcPr>
            <w:tcW w:w="4176" w:type="dxa"/>
            <w:tcBorders>
              <w:top w:val="nil"/>
            </w:tcBorders>
            <w:vAlign w:val="top"/>
          </w:tcPr>
          <w:p w14:paraId="387A9D40">
            <w:pPr>
              <w:spacing w:line="349" w:lineRule="auto"/>
              <w:rPr>
                <w:rFonts w:ascii="Arial"/>
                <w:sz w:val="21"/>
              </w:rPr>
            </w:pPr>
          </w:p>
          <w:p w14:paraId="387FA555">
            <w:pPr>
              <w:pStyle w:val="6"/>
              <w:spacing w:before="114" w:line="224" w:lineRule="auto"/>
              <w:ind w:left="1157"/>
              <w:outlineLvl w:val="0"/>
              <w:rPr>
                <w:sz w:val="35"/>
                <w:szCs w:val="35"/>
              </w:rPr>
            </w:pPr>
            <w:r>
              <w:rPr>
                <w:spacing w:val="-8"/>
                <w:sz w:val="35"/>
                <w:szCs w:val="35"/>
              </w:rPr>
              <w:t>总</w:t>
            </w:r>
            <w:r>
              <w:rPr>
                <w:spacing w:val="35"/>
                <w:sz w:val="35"/>
                <w:szCs w:val="35"/>
              </w:rPr>
              <w:t xml:space="preserve">  </w:t>
            </w:r>
            <w:r>
              <w:rPr>
                <w:spacing w:val="-8"/>
                <w:sz w:val="35"/>
                <w:szCs w:val="35"/>
              </w:rPr>
              <w:t>说</w:t>
            </w:r>
            <w:r>
              <w:rPr>
                <w:spacing w:val="50"/>
                <w:sz w:val="35"/>
                <w:szCs w:val="35"/>
              </w:rPr>
              <w:t xml:space="preserve">  </w:t>
            </w:r>
            <w:r>
              <w:rPr>
                <w:spacing w:val="-8"/>
                <w:sz w:val="35"/>
                <w:szCs w:val="35"/>
              </w:rPr>
              <w:t>明</w:t>
            </w:r>
          </w:p>
        </w:tc>
        <w:tc>
          <w:tcPr>
            <w:tcW w:w="2965" w:type="dxa"/>
            <w:tcBorders>
              <w:top w:val="nil"/>
              <w:right w:val="single" w:color="FFFFFF" w:sz="2" w:space="0"/>
            </w:tcBorders>
            <w:vAlign w:val="top"/>
          </w:tcPr>
          <w:p w14:paraId="2E62C520">
            <w:pPr>
              <w:rPr>
                <w:rFonts w:ascii="Arial"/>
                <w:sz w:val="21"/>
              </w:rPr>
            </w:pPr>
          </w:p>
        </w:tc>
      </w:tr>
      <w:tr w14:paraId="0171004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024" w:type="dxa"/>
            <w:tcBorders>
              <w:left w:val="nil"/>
              <w:bottom w:val="single" w:color="FFFFFF" w:sz="2" w:space="0"/>
            </w:tcBorders>
            <w:vAlign w:val="top"/>
          </w:tcPr>
          <w:p w14:paraId="6DC80E82">
            <w:pPr>
              <w:pStyle w:val="6"/>
              <w:spacing w:before="22" w:line="213" w:lineRule="auto"/>
              <w:ind w:left="37" w:right="113" w:firstLine="1"/>
              <w:rPr>
                <w:sz w:val="17"/>
                <w:szCs w:val="17"/>
              </w:rPr>
            </w:pPr>
            <w:r>
              <w:rPr>
                <w:spacing w:val="9"/>
                <w:sz w:val="17"/>
                <w:szCs w:val="17"/>
              </w:rPr>
              <w:t>工程名称：鄂尔多斯市东胜区一中南</w:t>
            </w:r>
            <w:r>
              <w:rPr>
                <w:spacing w:val="8"/>
                <w:sz w:val="17"/>
                <w:szCs w:val="17"/>
              </w:rPr>
              <w:t>校区危房加固及改造</w:t>
            </w:r>
          </w:p>
        </w:tc>
        <w:tc>
          <w:tcPr>
            <w:tcW w:w="4176" w:type="dxa"/>
            <w:tcBorders>
              <w:bottom w:val="single" w:color="FFFFFF" w:sz="2" w:space="0"/>
            </w:tcBorders>
            <w:vAlign w:val="top"/>
          </w:tcPr>
          <w:p w14:paraId="333E96DF">
            <w:pPr>
              <w:rPr>
                <w:rFonts w:ascii="Arial"/>
                <w:sz w:val="21"/>
              </w:rPr>
            </w:pPr>
          </w:p>
        </w:tc>
        <w:tc>
          <w:tcPr>
            <w:tcW w:w="2965" w:type="dxa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 w14:paraId="0FBAC9DF">
            <w:pPr>
              <w:pStyle w:val="6"/>
              <w:spacing w:before="23" w:line="230" w:lineRule="auto"/>
              <w:ind w:right="23"/>
              <w:jc w:val="right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第</w:t>
            </w:r>
            <w:r>
              <w:rPr>
                <w:spacing w:val="15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1</w:t>
            </w:r>
            <w:r>
              <w:rPr>
                <w:spacing w:val="11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页</w:t>
            </w:r>
            <w:r>
              <w:rPr>
                <w:spacing w:val="8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共</w:t>
            </w:r>
            <w:r>
              <w:rPr>
                <w:spacing w:val="9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2</w:t>
            </w:r>
            <w:r>
              <w:rPr>
                <w:spacing w:val="11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页</w:t>
            </w:r>
          </w:p>
        </w:tc>
      </w:tr>
    </w:tbl>
    <w:p w14:paraId="2E7C0583">
      <w:pPr>
        <w:spacing w:line="136" w:lineRule="auto"/>
        <w:rPr>
          <w:rFonts w:ascii="Arial"/>
          <w:sz w:val="2"/>
        </w:rPr>
      </w:pPr>
    </w:p>
    <w:tbl>
      <w:tblPr>
        <w:tblStyle w:val="5"/>
        <w:tblW w:w="10174" w:type="dxa"/>
        <w:tblInd w:w="2" w:type="dxa"/>
        <w:tblBorders>
          <w:top w:val="single" w:color="000000" w:sz="4" w:space="0"/>
          <w:left w:val="single" w:color="000000" w:sz="2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4"/>
      </w:tblGrid>
      <w:tr w14:paraId="661F6E5C">
        <w:tblPrEx>
          <w:tblBorders>
            <w:top w:val="single" w:color="000000" w:sz="4" w:space="0"/>
            <w:left w:val="single" w:color="000000" w:sz="2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6" w:hRule="atLeast"/>
        </w:trPr>
        <w:tc>
          <w:tcPr>
            <w:tcW w:w="10174" w:type="dxa"/>
            <w:vAlign w:val="top"/>
          </w:tcPr>
          <w:p w14:paraId="1AFB12BE">
            <w:pPr>
              <w:pStyle w:val="6"/>
              <w:spacing w:before="18" w:line="195" w:lineRule="auto"/>
              <w:ind w:left="57" w:right="157" w:firstLine="13"/>
            </w:pPr>
            <w:r>
              <w:rPr>
                <w:spacing w:val="13"/>
              </w:rPr>
              <w:t>1.本清单的工程量，依据设计图纸，有关的施工及技术标准、规范和安全管理规</w:t>
            </w:r>
            <w:r>
              <w:rPr>
                <w:spacing w:val="-6"/>
              </w:rPr>
              <w:t>定等。</w:t>
            </w:r>
          </w:p>
          <w:p w14:paraId="20B53996">
            <w:pPr>
              <w:pStyle w:val="6"/>
              <w:spacing w:before="3" w:line="194" w:lineRule="auto"/>
              <w:ind w:left="53" w:right="217" w:firstLine="1"/>
            </w:pPr>
            <w:r>
              <w:rPr>
                <w:spacing w:val="11"/>
              </w:rPr>
              <w:t xml:space="preserve">2.依据《建设工程工程量清单计价规范》 </w:t>
            </w:r>
            <w:r>
              <w:t>GB</w:t>
            </w:r>
            <w:r>
              <w:rPr>
                <w:spacing w:val="11"/>
              </w:rPr>
              <w:t xml:space="preserve"> 50500-2013、《市</w:t>
            </w:r>
            <w:r>
              <w:rPr>
                <w:spacing w:val="10"/>
              </w:rPr>
              <w:t>政工程工程量计</w:t>
            </w:r>
            <w:r>
              <w:rPr>
                <w:spacing w:val="11"/>
              </w:rPr>
              <w:t>算规范》</w:t>
            </w:r>
            <w:r>
              <w:t>GB</w:t>
            </w:r>
            <w:r>
              <w:rPr>
                <w:spacing w:val="11"/>
              </w:rPr>
              <w:t xml:space="preserve"> 50857-2013、《园林工程工程量计算规范》 </w:t>
            </w:r>
            <w:r>
              <w:t>GB</w:t>
            </w:r>
            <w:r>
              <w:rPr>
                <w:spacing w:val="41"/>
              </w:rPr>
              <w:t xml:space="preserve"> </w:t>
            </w:r>
            <w:r>
              <w:rPr>
                <w:spacing w:val="11"/>
              </w:rPr>
              <w:t>50858-2013、</w:t>
            </w:r>
            <w:r>
              <w:rPr>
                <w:spacing w:val="10"/>
              </w:rPr>
              <w:t>《房</w:t>
            </w:r>
            <w:r>
              <w:rPr>
                <w:spacing w:val="11"/>
              </w:rPr>
              <w:t xml:space="preserve">屋建筑与装饰工程工程量计算规范》 </w:t>
            </w:r>
            <w:r>
              <w:t>GB</w:t>
            </w:r>
            <w:r>
              <w:rPr>
                <w:spacing w:val="11"/>
              </w:rPr>
              <w:t xml:space="preserve"> 50854-2013、《通用</w:t>
            </w:r>
            <w:r>
              <w:rPr>
                <w:spacing w:val="10"/>
              </w:rPr>
              <w:t>安装工程工程量计</w:t>
            </w:r>
            <w:r>
              <w:rPr>
                <w:spacing w:val="13"/>
              </w:rPr>
              <w:t>算规范》</w:t>
            </w:r>
            <w:r>
              <w:t>GB</w:t>
            </w:r>
            <w:r>
              <w:rPr>
                <w:spacing w:val="13"/>
              </w:rPr>
              <w:t xml:space="preserve"> 50856-2013、有关现行国家及地方行业规范、标准。</w:t>
            </w:r>
          </w:p>
          <w:p w14:paraId="4FB7850C">
            <w:pPr>
              <w:pStyle w:val="6"/>
              <w:spacing w:line="194" w:lineRule="auto"/>
              <w:ind w:left="50"/>
            </w:pPr>
            <w:r>
              <w:rPr>
                <w:spacing w:val="2"/>
              </w:rPr>
              <w:t>三、定额套用：</w:t>
            </w:r>
          </w:p>
          <w:p w14:paraId="7EE11A6B">
            <w:pPr>
              <w:pStyle w:val="6"/>
              <w:spacing w:line="194" w:lineRule="auto"/>
              <w:ind w:left="71"/>
            </w:pPr>
            <w:r>
              <w:rPr>
                <w:spacing w:val="12"/>
              </w:rPr>
              <w:t>1.2017年《内蒙古自治区市政工程预算定额》</w:t>
            </w:r>
          </w:p>
          <w:p w14:paraId="21AFFE00">
            <w:pPr>
              <w:pStyle w:val="6"/>
              <w:spacing w:before="1" w:line="194" w:lineRule="auto"/>
              <w:ind w:left="54"/>
            </w:pPr>
            <w:r>
              <w:rPr>
                <w:spacing w:val="13"/>
              </w:rPr>
              <w:t>2.2017年《内蒙古自治区园林绿化工程预算定额》</w:t>
            </w:r>
          </w:p>
          <w:p w14:paraId="29A9DAF1">
            <w:pPr>
              <w:pStyle w:val="6"/>
              <w:spacing w:before="1" w:line="194" w:lineRule="auto"/>
              <w:ind w:left="49" w:right="3408" w:firstLine="6"/>
            </w:pPr>
            <w:r>
              <w:rPr>
                <w:spacing w:val="13"/>
              </w:rPr>
              <w:t>3. 2017年《内蒙古自治区建筑与装饰工程预算定额》</w:t>
            </w:r>
            <w:r>
              <w:rPr>
                <w:spacing w:val="5"/>
              </w:rPr>
              <w:t xml:space="preserve"> </w:t>
            </w:r>
            <w:r>
              <w:rPr>
                <w:spacing w:val="13"/>
              </w:rPr>
              <w:t>4.2017年《内蒙古自治区安装工程预算定额》</w:t>
            </w:r>
          </w:p>
          <w:p w14:paraId="40BF12F3">
            <w:pPr>
              <w:pStyle w:val="6"/>
              <w:spacing w:before="1" w:line="194" w:lineRule="auto"/>
              <w:ind w:left="56"/>
            </w:pPr>
            <w:r>
              <w:rPr>
                <w:spacing w:val="13"/>
              </w:rPr>
              <w:t>5.2017年《内蒙古自治区建设工程费用</w:t>
            </w:r>
            <w:r>
              <w:rPr>
                <w:spacing w:val="12"/>
              </w:rPr>
              <w:t>定额》</w:t>
            </w:r>
          </w:p>
          <w:p w14:paraId="58AA47C0">
            <w:pPr>
              <w:pStyle w:val="6"/>
              <w:spacing w:before="1" w:line="194" w:lineRule="auto"/>
              <w:ind w:left="53"/>
            </w:pPr>
            <w:r>
              <w:rPr>
                <w:spacing w:val="10"/>
              </w:rPr>
              <w:t>6.</w:t>
            </w:r>
            <w:r>
              <w:rPr>
                <w:spacing w:val="-77"/>
              </w:rPr>
              <w:t xml:space="preserve"> </w:t>
            </w:r>
            <w:r>
              <w:rPr>
                <w:spacing w:val="10"/>
              </w:rPr>
              <w:t>内蒙古自治区相关法律、法规文件</w:t>
            </w:r>
          </w:p>
          <w:p w14:paraId="1DC5D73B">
            <w:pPr>
              <w:pStyle w:val="6"/>
              <w:spacing w:line="194" w:lineRule="auto"/>
              <w:ind w:left="77"/>
            </w:pPr>
            <w:r>
              <w:rPr>
                <w:spacing w:val="-2"/>
              </w:rPr>
              <w:t>四、材料价差：</w:t>
            </w:r>
          </w:p>
          <w:p w14:paraId="0A2F5562">
            <w:pPr>
              <w:pStyle w:val="6"/>
              <w:spacing w:before="3" w:line="194" w:lineRule="auto"/>
              <w:ind w:left="50" w:right="172"/>
            </w:pPr>
            <w:r>
              <w:rPr>
                <w:spacing w:val="14"/>
              </w:rPr>
              <w:t>材料价格优先执行《东胜工程造价信息》材料信息价，最后执行《内蒙古专业测</w:t>
            </w:r>
            <w:r>
              <w:rPr>
                <w:spacing w:val="13"/>
              </w:rPr>
              <w:t>定价》，对于工程造价信息没有发布价格信息的材料，根据</w:t>
            </w:r>
            <w:r>
              <w:rPr>
                <w:spacing w:val="12"/>
              </w:rPr>
              <w:t>市场三方询价进入。</w:t>
            </w:r>
            <w:r>
              <w:rPr>
                <w:spacing w:val="13"/>
              </w:rPr>
              <w:t>信息价执行发图前一期的信息价</w:t>
            </w:r>
          </w:p>
          <w:p w14:paraId="333CA182">
            <w:pPr>
              <w:pStyle w:val="6"/>
              <w:spacing w:before="1" w:line="194" w:lineRule="auto"/>
              <w:ind w:left="55"/>
            </w:pPr>
            <w:r>
              <w:rPr>
                <w:spacing w:val="1"/>
              </w:rPr>
              <w:t>五、其它说明：</w:t>
            </w:r>
          </w:p>
          <w:p w14:paraId="596C4CB5">
            <w:pPr>
              <w:pStyle w:val="6"/>
              <w:spacing w:before="1" w:line="194" w:lineRule="auto"/>
              <w:ind w:left="54" w:right="157" w:firstLine="17"/>
            </w:pPr>
            <w:r>
              <w:rPr>
                <w:spacing w:val="13"/>
              </w:rPr>
              <w:t>1.税金：依据《关于调整内蒙古自治区建设工程计价依据增值税税率的通知》内</w:t>
            </w:r>
            <w:r>
              <w:rPr>
                <w:spacing w:val="6"/>
              </w:rPr>
              <w:t>建工【2019】</w:t>
            </w:r>
            <w:r>
              <w:rPr>
                <w:spacing w:val="-72"/>
              </w:rPr>
              <w:t xml:space="preserve"> </w:t>
            </w:r>
            <w:r>
              <w:rPr>
                <w:spacing w:val="6"/>
              </w:rPr>
              <w:t>113号文件。</w:t>
            </w:r>
          </w:p>
          <w:p w14:paraId="43514777">
            <w:pPr>
              <w:pStyle w:val="6"/>
              <w:spacing w:before="1" w:line="210" w:lineRule="auto"/>
              <w:ind w:left="56" w:right="157" w:hanging="2"/>
            </w:pPr>
            <w:r>
              <w:rPr>
                <w:spacing w:val="14"/>
              </w:rPr>
              <w:t>2.规费：依据《关于调整内蒙古自治区建设工程计价依据规费中养老保险费的通</w:t>
            </w:r>
            <w:r>
              <w:rPr>
                <w:spacing w:val="11"/>
              </w:rPr>
              <w:t>知》内建标函【2019】468号文件。</w:t>
            </w:r>
          </w:p>
        </w:tc>
      </w:tr>
    </w:tbl>
    <w:p w14:paraId="371619D4">
      <w:pPr>
        <w:pStyle w:val="2"/>
        <w:spacing w:line="246" w:lineRule="auto"/>
      </w:pPr>
    </w:p>
    <w:p w14:paraId="2D75A112">
      <w:pPr>
        <w:pStyle w:val="2"/>
        <w:spacing w:line="246" w:lineRule="auto"/>
      </w:pPr>
    </w:p>
    <w:p w14:paraId="156F4200">
      <w:pPr>
        <w:pStyle w:val="2"/>
        <w:spacing w:line="246" w:lineRule="auto"/>
      </w:pPr>
    </w:p>
    <w:p w14:paraId="146C8E29">
      <w:pPr>
        <w:pStyle w:val="2"/>
        <w:spacing w:line="246" w:lineRule="auto"/>
      </w:pPr>
    </w:p>
    <w:p w14:paraId="252FE2F4">
      <w:pPr>
        <w:pStyle w:val="2"/>
        <w:spacing w:line="246" w:lineRule="auto"/>
      </w:pPr>
    </w:p>
    <w:p w14:paraId="493A9A20">
      <w:pPr>
        <w:pStyle w:val="2"/>
        <w:spacing w:line="246" w:lineRule="auto"/>
      </w:pPr>
    </w:p>
    <w:p w14:paraId="3D08FD06">
      <w:pPr>
        <w:pStyle w:val="2"/>
        <w:spacing w:line="246" w:lineRule="auto"/>
      </w:pPr>
    </w:p>
    <w:p w14:paraId="367D8AE5">
      <w:pPr>
        <w:pStyle w:val="2"/>
        <w:spacing w:line="246" w:lineRule="auto"/>
      </w:pPr>
    </w:p>
    <w:p w14:paraId="422F1236">
      <w:pPr>
        <w:pStyle w:val="2"/>
        <w:spacing w:line="246" w:lineRule="auto"/>
      </w:pPr>
    </w:p>
    <w:p w14:paraId="17F2CAD8">
      <w:pPr>
        <w:pStyle w:val="2"/>
        <w:spacing w:line="246" w:lineRule="auto"/>
      </w:pPr>
    </w:p>
    <w:p w14:paraId="52788B36">
      <w:pPr>
        <w:pStyle w:val="2"/>
        <w:spacing w:line="247" w:lineRule="auto"/>
      </w:pPr>
    </w:p>
    <w:p w14:paraId="16E9B338">
      <w:pPr>
        <w:pStyle w:val="2"/>
        <w:spacing w:line="247" w:lineRule="auto"/>
      </w:pPr>
    </w:p>
    <w:p w14:paraId="21251650">
      <w:pPr>
        <w:pStyle w:val="2"/>
        <w:spacing w:line="247" w:lineRule="auto"/>
      </w:pPr>
    </w:p>
    <w:p w14:paraId="345DE5B4">
      <w:pPr>
        <w:pStyle w:val="2"/>
        <w:spacing w:line="247" w:lineRule="auto"/>
      </w:pPr>
    </w:p>
    <w:p w14:paraId="101A2C7C">
      <w:pPr>
        <w:pStyle w:val="2"/>
        <w:spacing w:line="247" w:lineRule="auto"/>
      </w:pPr>
    </w:p>
    <w:p w14:paraId="485242CC">
      <w:pPr>
        <w:pStyle w:val="2"/>
        <w:spacing w:line="247" w:lineRule="auto"/>
      </w:pPr>
    </w:p>
    <w:p w14:paraId="4365A8A5">
      <w:pPr>
        <w:pStyle w:val="2"/>
        <w:spacing w:line="247" w:lineRule="auto"/>
      </w:pPr>
    </w:p>
    <w:p w14:paraId="0307CA98">
      <w:pPr>
        <w:pStyle w:val="2"/>
        <w:spacing w:line="247" w:lineRule="auto"/>
      </w:pPr>
    </w:p>
    <w:p w14:paraId="2C8940E8">
      <w:pPr>
        <w:pStyle w:val="2"/>
        <w:spacing w:line="247" w:lineRule="auto"/>
      </w:pPr>
    </w:p>
    <w:p w14:paraId="64B2DC10">
      <w:pPr>
        <w:pStyle w:val="2"/>
        <w:spacing w:line="247" w:lineRule="auto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154940</wp:posOffset>
            </wp:positionV>
            <wp:extent cx="6456045" cy="1905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6136" cy="19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36CCD9">
      <w:pPr>
        <w:spacing w:before="55" w:line="232" w:lineRule="auto"/>
        <w:ind w:left="9693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4"/>
          <w:sz w:val="17"/>
          <w:szCs w:val="17"/>
        </w:rPr>
        <w:t>表-01</w:t>
      </w:r>
    </w:p>
    <w:sectPr>
      <w:headerReference r:id="rId5" w:type="default"/>
      <w:pgSz w:w="11960" w:h="16880"/>
      <w:pgMar w:top="400" w:right="924" w:bottom="0" w:left="85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C235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8D611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494</Words>
  <Characters>585</Characters>
  <TotalTime>0</TotalTime>
  <ScaleCrop>false</ScaleCrop>
  <LinksUpToDate>false</LinksUpToDate>
  <CharactersWithSpaces>611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2026-07-14T13:03:00Z</dcterms:created>
  <dc:creator>Administrator</dc:creator>
  <cp:keywords>GrandReport</cp:keywords>
  <cp:lastModifiedBy>白旭芳</cp:lastModifiedBy>
  <dcterms:modified xsi:type="dcterms:W3CDTF">2026-07-20T08:34:54Z</dcterms:modified>
  <dc:subject>None</dc:subject>
  <dc:title>GrandReport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2026-07-20T16:34:46Z</vt:filetime>
  </property>
  <property fmtid="{D5CDD505-2E9C-101B-9397-08002B2CF9AE}" pid="4" name="KSOProductBuildVer">
    <vt:lpwstr>2052-12.1.0.26895</vt:lpwstr>
  </property>
  <property fmtid="{D5CDD505-2E9C-101B-9397-08002B2CF9AE}" pid="5" name="ICV">
    <vt:lpwstr>6C6E23E0DA074BF59DA79387E92A927D_13</vt:lpwstr>
  </property>
</Properties>
</file>