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Lines="50" w:afterLines="100" w:line="360" w:lineRule="auto"/>
        <w:jc w:val="center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原交通运输分局办公楼维修改造工程</w:t>
      </w:r>
    </w:p>
    <w:p>
      <w:pPr>
        <w:shd w:val="clear" w:color="000000" w:fill="FFFFFF"/>
        <w:jc w:val="center"/>
        <w:rPr>
          <w:rFonts w:hint="eastAsia" w:ascii="宋体" w:hAnsi="宋体"/>
          <w:b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b/>
          <w:sz w:val="44"/>
          <w:szCs w:val="44"/>
          <w:highlight w:val="none"/>
          <w:lang w:eastAsia="zh-CN"/>
        </w:rPr>
        <w:t>工程量清单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zh-CN"/>
        </w:rPr>
        <w:t>项目</w:t>
      </w:r>
      <w:r>
        <w:rPr>
          <w:rFonts w:ascii="黑体" w:hAnsi="黑体" w:eastAsia="黑体"/>
          <w:sz w:val="32"/>
          <w:szCs w:val="32"/>
          <w:lang w:val="zh-CN"/>
        </w:rPr>
        <w:t>基本情况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  <w:highlight w:val="none"/>
        </w:rPr>
        <w:t>）  设计单位：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中亿和信设计集团有限公司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工程概况：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原交通运输分局办公楼维修改造工程包含：外墙、门窗、室内墙面及顶棚腻子、道路及标线、围墙涂料及坎墙文化砖、灯具、采暖拆除换新等工程。</w:t>
      </w:r>
    </w:p>
    <w:p>
      <w:pPr>
        <w:ind w:firstLine="320" w:firstLineChars="1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 w:cs="Times New Roman"/>
          <w:sz w:val="32"/>
          <w:szCs w:val="32"/>
        </w:rPr>
        <w:t>编制原则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 w:cs="Times New Roman"/>
          <w:sz w:val="32"/>
          <w:szCs w:val="32"/>
        </w:rPr>
        <w:t>（一）本着合理、客观、科学的原则，执行国家和自治区制定的工程造价管理规定，根据工程的实际情况，合理确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定</w:t>
      </w:r>
      <w:r>
        <w:rPr>
          <w:rFonts w:hint="eastAsia" w:ascii="仿宋" w:hAnsi="仿宋" w:eastAsia="仿宋" w:cs="Times New Roman"/>
          <w:sz w:val="32"/>
          <w:szCs w:val="32"/>
        </w:rPr>
        <w:t>该工程的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工程量清单</w:t>
      </w:r>
      <w:r>
        <w:rPr>
          <w:rFonts w:hint="eastAsia" w:ascii="仿宋" w:hAnsi="仿宋" w:eastAsia="仿宋" w:cs="Times New Roman"/>
          <w:sz w:val="32"/>
          <w:szCs w:val="32"/>
        </w:rPr>
        <w:t>；</w:t>
      </w:r>
    </w:p>
    <w:p>
      <w:pPr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Times New Roman"/>
          <w:sz w:val="32"/>
          <w:szCs w:val="32"/>
        </w:rPr>
        <w:t>）《工程造价咨询企业管理办法》（中华人民共和国建设部令[2006]第149号）；</w:t>
      </w:r>
    </w:p>
    <w:p>
      <w:pPr>
        <w:spacing w:line="580" w:lineRule="exact"/>
        <w:ind w:firstLine="6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Times New Roman"/>
          <w:sz w:val="32"/>
          <w:szCs w:val="32"/>
        </w:rPr>
        <w:t>）《工程造价咨询单位执业行为准则》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</w:rPr>
        <w:t>《造价工程师职业道德行为准则》（中价协[2002]第015号）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三、编制依据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图纸、设计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图纸答疑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为依据进行编制；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《建设工程工程量清单计价标准》（GB/T 50500-2024）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《房屋建筑与装饰工程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计量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规范》（GB/T50854-2024）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《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通用安装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计量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规范》（GB/T50856-2024）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《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市政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计量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规范》（GB/T50857-2024）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2017届《内蒙古自治区建设工程费用定额》、《内蒙古自治区房屋建筑与装饰工程预算定额》、《内蒙古自治区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通用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安装工程预算定额》、《内蒙古自治区市政工程预算定额》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《内蒙古自治区房屋修缮工程预算定额》(2021)</w:t>
      </w:r>
      <w:r>
        <w:rPr>
          <w:rFonts w:hint="eastAsia" w:ascii="仿宋" w:hAnsi="仿宋" w:eastAsia="仿宋" w:cs="Times New Roman"/>
          <w:sz w:val="32"/>
          <w:szCs w:val="32"/>
        </w:rPr>
        <w:t>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Times New Roman"/>
          <w:sz w:val="32"/>
          <w:szCs w:val="32"/>
        </w:rPr>
        <w:t>《建设工程造价咨询规范》（GB/T 51095-2015）；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相关政策性文件，增值税税率为9%（见内建标【2019】113号文）；</w:t>
      </w:r>
    </w:p>
    <w:p>
      <w:pPr>
        <w:ind w:firstLine="640" w:firstLineChars="200"/>
        <w:rPr>
          <w:rFonts w:hint="default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</w:rPr>
        <w:t>说明事项</w:t>
      </w:r>
    </w:p>
    <w:p>
      <w:pPr>
        <w:pStyle w:val="2"/>
        <w:ind w:firstLine="640" w:firstLineChars="200"/>
        <w:rPr>
          <w:rFonts w:hint="eastAsia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  <w:t>1、垃圾消纳费暂估综合单价为80元/m³；</w:t>
      </w:r>
    </w:p>
    <w:p>
      <w:pPr>
        <w:ind w:firstLine="640"/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2、暂列金额97000元（不含税）详见暂列金单位工程其他项目清单与计价汇总表，招投标时不得作为竞争性费用，严格按清单计价规范计取9%税金后进行编制,若清单电子招标书中本项费用不显示金额，投标单位严格按照本说明执行。</w:t>
      </w:r>
    </w:p>
    <w:p>
      <w:pPr>
        <w:widowControl w:val="0"/>
        <w:numPr>
          <w:numId w:val="0"/>
        </w:numPr>
        <w:wordWrap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</w:pPr>
    </w:p>
    <w:p>
      <w:pPr>
        <w:pStyle w:val="2"/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</w:pPr>
    </w:p>
    <w:p>
      <w:pPr>
        <w:pStyle w:val="2"/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</w:pPr>
    </w:p>
    <w:p>
      <w:pPr>
        <w:pStyle w:val="2"/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4768"/>
        </w:tabs>
        <w:jc w:val="left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tabs>
          <w:tab w:val="left" w:pos="6279"/>
        </w:tabs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headerReference r:id="rId4" w:type="default"/>
      <w:footerReference r:id="rId6" w:type="default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  <w:pBdr>
        <w:bottom w:val="none" w:color="auto" w:sz="0" w:space="1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  <w:pBdr>
        <w:bottom w:val="none" w:color="auto" w:sz="0" w:space="1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1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next w:val="2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</w:style>
  <w:style w:type="paragraph" w:styleId="2">
    <w:name w:val="Body Text"/>
    <w:basedOn w:val="1"/>
    <w:link w:val="15"/>
  </w:style>
  <w:style w:type="character" w:customStyle="1" w:styleId="3">
    <w:name w:val="正文文本 Char"/>
    <w:link w:val="2"/>
    <w:semiHidden/>
    <w:rPr>
      <w:rFonts w:ascii="宋体" w:hAnsi="宋体" w:eastAsia="宋体"/>
      <w:sz w:val="28"/>
    </w:rPr>
  </w:style>
  <w:style w:type="character" w:customStyle="1" w:styleId="4">
    <w:name w:val="日期 Char"/>
    <w:basedOn w:val="5"/>
    <w:link w:val="6"/>
    <w:semiHidden/>
    <w:rPr/>
  </w:style>
  <w:style w:type="paragraph" w:customStyle="1" w:styleId="6">
    <w:name w:val="Date"/>
    <w:basedOn w:val="1"/>
    <w:next w:val="1"/>
    <w:link w:val="4"/>
    <w:pPr>
      <w:ind w:left="100" w:leftChars="2500"/>
    </w:pPr>
  </w:style>
  <w:style w:type="character" w:customStyle="1" w:styleId="7">
    <w:name w:val="批注框文本 Char"/>
    <w:basedOn w:val="5"/>
    <w:link w:val="8"/>
    <w:semiHidden/>
    <w:rPr>
      <w:sz w:val="18"/>
      <w:szCs w:val="18"/>
    </w:rPr>
  </w:style>
  <w:style w:type="paragraph" w:customStyle="1" w:styleId="8">
    <w:name w:val="批注框文本1"/>
    <w:basedOn w:val="1"/>
    <w:link w:val="7"/>
    <w:rPr>
      <w:sz w:val="18"/>
      <w:szCs w:val="18"/>
    </w:rPr>
  </w:style>
  <w:style w:type="paragraph" w:styleId="9">
    <w:name w:val="footer"/>
    <w:basedOn w:val="1"/>
    <w:link w:val="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0">
    <w:name w:val="页脚 Char"/>
    <w:basedOn w:val="5"/>
    <w:link w:val="9"/>
    <w:semiHidden/>
    <w:rPr>
      <w:sz w:val="18"/>
      <w:szCs w:val="18"/>
    </w:rPr>
  </w:style>
  <w:style w:type="paragraph" w:styleId="11">
    <w:name w:val="header"/>
    <w:basedOn w:val="1"/>
    <w:link w:val="12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页眉 Char"/>
    <w:basedOn w:val="5"/>
    <w:link w:val="11"/>
    <w:semiHidden/>
    <w:rPr>
      <w:sz w:val="18"/>
      <w:szCs w:val="18"/>
    </w:rPr>
  </w:style>
  <w:style w:type="paragraph" w:customStyle="1" w:styleId="13">
    <w:name w:val="Normal (Web)"/>
    <w:basedOn w:val="1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14">
    <w:name w:val="List Paragraph"/>
    <w:basedOn w:val="1"/>
    <w:pPr>
      <w:ind w:firstLine="420" w:firstLineChars="200"/>
    </w:pPr>
  </w:style>
  <w:style w:type="character" w:customStyle="1" w:styleId="15">
    <w:name w:val="正文文本 Char1"/>
    <w:basedOn w:val="5"/>
    <w:link w:val="2"/>
    <w:semiHidden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2</Pages>
  <Words>690</Words>
  <Characters>801</Characters>
  <Lines>14</Lines>
  <Paragraphs>4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2017-05-14T01:47:00Z</dcterms:created>
  <dc:creator>SkyUN.Org</dc:creator>
  <cp:lastPrinted>2026-05-25T23:01:00Z</cp:lastPrinted>
  <dcterms:modified xsi:type="dcterms:W3CDTF">2026-09-09T09:23:22Z</dcterms:modified>
  <dc:title>晓嬡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49F09B7EE4684BA49EAEE116FFDD2851_13</vt:lpwstr>
  </property>
  <property fmtid="{D5CDD505-2E9C-101B-9397-08002B2CF9AE}" pid="4" name="KSOTemplateDocerSaveRecord">
    <vt:lpwstr>eyJoZGlkIjoiY2MzNDllMzI0NTI0NzliZWQ5MGIyZTUzM2Y3MTBiZDMiLCJ1c2VySWQiOiIzNzA0NDM0MjIifQ==</vt:lpwstr>
  </property>
</Properties>
</file>