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1434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92"/>
        <w:gridCol w:w="7774"/>
        <w:gridCol w:w="892"/>
        <w:gridCol w:w="892"/>
        <w:gridCol w:w="1347"/>
        <w:gridCol w:w="1634"/>
        <w:gridCol w:w="909"/>
      </w:tblGrid>
      <w:tr w14:paraId="509F0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1" w:hRule="atLeast"/>
        </w:trPr>
        <w:tc>
          <w:tcPr>
            <w:tcW w:w="14340"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71173">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40"/>
                <w:szCs w:val="40"/>
                <w:u w:val="none"/>
                <w:lang w:val="en-US" w:eastAsia="zh-CN" w:bidi="ar"/>
              </w:rPr>
              <w:t>汇总表</w:t>
            </w:r>
          </w:p>
        </w:tc>
      </w:tr>
      <w:tr w14:paraId="63144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90B1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56C61">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分类</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6890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A265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数量</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B9D52">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单价</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05703">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金额</w:t>
            </w: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F536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备注</w:t>
            </w:r>
          </w:p>
        </w:tc>
      </w:tr>
      <w:tr w14:paraId="6E492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EA8F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702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物理吊装实验室</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C099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间</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97251">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2</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A68F3">
            <w:pPr>
              <w:keepNext w:val="0"/>
              <w:keepLines w:val="0"/>
              <w:widowControl/>
              <w:suppressLineNumbers w:val="0"/>
              <w:jc w:val="center"/>
              <w:textAlignment w:val="center"/>
              <w:rPr>
                <w:rFonts w:hint="default" w:ascii="宋体" w:hAnsi="宋体" w:eastAsia="宋体" w:cs="宋体"/>
                <w:b/>
                <w:bCs/>
                <w:i w:val="0"/>
                <w:iCs w:val="0"/>
                <w:color w:val="auto"/>
                <w:sz w:val="22"/>
                <w:szCs w:val="22"/>
                <w:u w:val="none"/>
                <w:lang w:val="en-US"/>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78C5F">
            <w:pPr>
              <w:keepNext w:val="0"/>
              <w:keepLines w:val="0"/>
              <w:widowControl/>
              <w:suppressLineNumbers w:val="0"/>
              <w:jc w:val="center"/>
              <w:textAlignment w:val="center"/>
              <w:rPr>
                <w:rFonts w:hint="default" w:ascii="宋体" w:hAnsi="宋体" w:eastAsia="宋体" w:cs="宋体"/>
                <w:b/>
                <w:bCs/>
                <w:i w:val="0"/>
                <w:iCs w:val="0"/>
                <w:color w:val="auto"/>
                <w:sz w:val="22"/>
                <w:szCs w:val="22"/>
                <w:u w:val="none"/>
                <w:lang w:val="en-US"/>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F8D78">
            <w:pPr>
              <w:jc w:val="center"/>
              <w:rPr>
                <w:rFonts w:hint="eastAsia" w:ascii="宋体" w:hAnsi="宋体" w:eastAsia="宋体" w:cs="宋体"/>
                <w:b w:val="0"/>
                <w:bCs w:val="0"/>
                <w:i w:val="0"/>
                <w:iCs w:val="0"/>
                <w:color w:val="auto"/>
                <w:sz w:val="22"/>
                <w:szCs w:val="22"/>
                <w:u w:val="none"/>
              </w:rPr>
            </w:pPr>
          </w:p>
        </w:tc>
      </w:tr>
      <w:tr w14:paraId="5EC8F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00CF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2</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7F73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化学吊装实验室</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B24E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间</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A1B19">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2</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32F00">
            <w:pPr>
              <w:keepNext w:val="0"/>
              <w:keepLines w:val="0"/>
              <w:widowControl/>
              <w:suppressLineNumbers w:val="0"/>
              <w:jc w:val="center"/>
              <w:textAlignment w:val="center"/>
              <w:rPr>
                <w:rFonts w:hint="default" w:ascii="宋体" w:hAnsi="宋体" w:eastAsia="宋体" w:cs="宋体"/>
                <w:b/>
                <w:bCs/>
                <w:i w:val="0"/>
                <w:iCs w:val="0"/>
                <w:color w:val="auto"/>
                <w:sz w:val="22"/>
                <w:szCs w:val="22"/>
                <w:u w:val="none"/>
                <w:lang w:val="en-US"/>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3D4B5">
            <w:pPr>
              <w:keepNext w:val="0"/>
              <w:keepLines w:val="0"/>
              <w:widowControl/>
              <w:suppressLineNumbers w:val="0"/>
              <w:jc w:val="center"/>
              <w:textAlignment w:val="center"/>
              <w:rPr>
                <w:rFonts w:hint="default" w:ascii="宋体" w:hAnsi="宋体" w:eastAsia="宋体" w:cs="宋体"/>
                <w:b/>
                <w:bCs/>
                <w:i w:val="0"/>
                <w:iCs w:val="0"/>
                <w:color w:val="auto"/>
                <w:sz w:val="22"/>
                <w:szCs w:val="22"/>
                <w:u w:val="none"/>
                <w:lang w:val="en-US"/>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0F0C8">
            <w:pPr>
              <w:jc w:val="center"/>
              <w:rPr>
                <w:rFonts w:hint="eastAsia" w:ascii="宋体" w:hAnsi="宋体" w:eastAsia="宋体" w:cs="宋体"/>
                <w:b w:val="0"/>
                <w:bCs w:val="0"/>
                <w:i w:val="0"/>
                <w:iCs w:val="0"/>
                <w:color w:val="auto"/>
                <w:sz w:val="22"/>
                <w:szCs w:val="22"/>
                <w:u w:val="none"/>
              </w:rPr>
            </w:pPr>
          </w:p>
        </w:tc>
      </w:tr>
      <w:tr w14:paraId="582BC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9F4EF">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3</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7040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生物吊装实验室</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5AAA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间</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5A83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2</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89319">
            <w:pPr>
              <w:keepNext w:val="0"/>
              <w:keepLines w:val="0"/>
              <w:widowControl/>
              <w:suppressLineNumbers w:val="0"/>
              <w:jc w:val="center"/>
              <w:textAlignment w:val="center"/>
              <w:rPr>
                <w:rFonts w:hint="default" w:ascii="宋体" w:hAnsi="宋体" w:eastAsia="宋体" w:cs="宋体"/>
                <w:b/>
                <w:bCs/>
                <w:i w:val="0"/>
                <w:iCs w:val="0"/>
                <w:color w:val="auto"/>
                <w:sz w:val="22"/>
                <w:szCs w:val="22"/>
                <w:u w:val="none"/>
                <w:lang w:val="en-US"/>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091E5">
            <w:pPr>
              <w:keepNext w:val="0"/>
              <w:keepLines w:val="0"/>
              <w:widowControl/>
              <w:suppressLineNumbers w:val="0"/>
              <w:jc w:val="center"/>
              <w:textAlignment w:val="center"/>
              <w:rPr>
                <w:rFonts w:hint="default" w:ascii="宋体" w:hAnsi="宋体" w:eastAsia="宋体" w:cs="宋体"/>
                <w:b/>
                <w:bCs/>
                <w:i w:val="0"/>
                <w:iCs w:val="0"/>
                <w:color w:val="auto"/>
                <w:sz w:val="22"/>
                <w:szCs w:val="22"/>
                <w:u w:val="none"/>
                <w:lang w:val="en-US"/>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216BD">
            <w:pPr>
              <w:jc w:val="center"/>
              <w:rPr>
                <w:rFonts w:hint="eastAsia" w:ascii="宋体" w:hAnsi="宋体" w:eastAsia="宋体" w:cs="宋体"/>
                <w:b w:val="0"/>
                <w:bCs w:val="0"/>
                <w:i w:val="0"/>
                <w:iCs w:val="0"/>
                <w:color w:val="auto"/>
                <w:sz w:val="22"/>
                <w:szCs w:val="22"/>
                <w:u w:val="none"/>
              </w:rPr>
            </w:pPr>
          </w:p>
        </w:tc>
      </w:tr>
      <w:tr w14:paraId="397F1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8523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4</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D98A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物理准备室</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A771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间</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FC603">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CA3D3">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10D8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E36A1">
            <w:pPr>
              <w:jc w:val="center"/>
              <w:rPr>
                <w:rFonts w:hint="eastAsia" w:ascii="宋体" w:hAnsi="宋体" w:eastAsia="宋体" w:cs="宋体"/>
                <w:b w:val="0"/>
                <w:bCs w:val="0"/>
                <w:i w:val="0"/>
                <w:iCs w:val="0"/>
                <w:color w:val="auto"/>
                <w:sz w:val="22"/>
                <w:szCs w:val="22"/>
                <w:u w:val="none"/>
              </w:rPr>
            </w:pPr>
          </w:p>
        </w:tc>
      </w:tr>
      <w:tr w14:paraId="4DAEB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6EF1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5</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15F65">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物理仪器室</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A9F45">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间</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472A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62D2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B07E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56412">
            <w:pPr>
              <w:jc w:val="center"/>
              <w:rPr>
                <w:rFonts w:hint="eastAsia" w:ascii="宋体" w:hAnsi="宋体" w:eastAsia="宋体" w:cs="宋体"/>
                <w:b w:val="0"/>
                <w:bCs w:val="0"/>
                <w:i w:val="0"/>
                <w:iCs w:val="0"/>
                <w:color w:val="auto"/>
                <w:sz w:val="22"/>
                <w:szCs w:val="22"/>
                <w:u w:val="none"/>
              </w:rPr>
            </w:pPr>
          </w:p>
        </w:tc>
      </w:tr>
      <w:tr w14:paraId="4FA2E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3C25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6</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F06B2">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化学准备室</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F8096">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间</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26F4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5B6E3">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ABDA2">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683EF">
            <w:pPr>
              <w:jc w:val="center"/>
              <w:rPr>
                <w:rFonts w:hint="eastAsia" w:ascii="宋体" w:hAnsi="宋体" w:eastAsia="宋体" w:cs="宋体"/>
                <w:b w:val="0"/>
                <w:bCs w:val="0"/>
                <w:i w:val="0"/>
                <w:iCs w:val="0"/>
                <w:color w:val="auto"/>
                <w:sz w:val="22"/>
                <w:szCs w:val="22"/>
                <w:u w:val="none"/>
              </w:rPr>
            </w:pPr>
          </w:p>
        </w:tc>
      </w:tr>
      <w:tr w14:paraId="08B42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D5BF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7</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A068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化学仪器室</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15802">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间</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3A80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FE942">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3CBBF">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F748E">
            <w:pPr>
              <w:jc w:val="center"/>
              <w:rPr>
                <w:rFonts w:hint="eastAsia" w:ascii="宋体" w:hAnsi="宋体" w:eastAsia="宋体" w:cs="宋体"/>
                <w:b w:val="0"/>
                <w:bCs w:val="0"/>
                <w:i w:val="0"/>
                <w:iCs w:val="0"/>
                <w:color w:val="auto"/>
                <w:sz w:val="22"/>
                <w:szCs w:val="22"/>
                <w:u w:val="none"/>
              </w:rPr>
            </w:pPr>
          </w:p>
        </w:tc>
      </w:tr>
      <w:tr w14:paraId="7F97D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DCB9F">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8</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45DC2">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危险药品室</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9C302">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间</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C5801">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40348">
            <w:pPr>
              <w:keepNext w:val="0"/>
              <w:keepLines w:val="0"/>
              <w:widowControl/>
              <w:suppressLineNumbers w:val="0"/>
              <w:jc w:val="center"/>
              <w:textAlignment w:val="center"/>
              <w:rPr>
                <w:rFonts w:hint="default" w:ascii="宋体" w:hAnsi="宋体" w:eastAsia="宋体" w:cs="宋体"/>
                <w:b/>
                <w:bCs/>
                <w:i w:val="0"/>
                <w:iCs w:val="0"/>
                <w:color w:val="auto"/>
                <w:sz w:val="22"/>
                <w:szCs w:val="22"/>
                <w:u w:val="none"/>
                <w:lang w:val="en-US"/>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5B5FB">
            <w:pPr>
              <w:keepNext w:val="0"/>
              <w:keepLines w:val="0"/>
              <w:widowControl/>
              <w:suppressLineNumbers w:val="0"/>
              <w:jc w:val="center"/>
              <w:textAlignment w:val="center"/>
              <w:rPr>
                <w:rFonts w:hint="default" w:ascii="宋体" w:hAnsi="宋体" w:eastAsia="宋体" w:cs="宋体"/>
                <w:b/>
                <w:bCs/>
                <w:i w:val="0"/>
                <w:iCs w:val="0"/>
                <w:color w:val="auto"/>
                <w:sz w:val="22"/>
                <w:szCs w:val="22"/>
                <w:u w:val="none"/>
                <w:lang w:val="en-US"/>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EBC9B">
            <w:pPr>
              <w:jc w:val="center"/>
              <w:rPr>
                <w:rFonts w:hint="eastAsia" w:ascii="宋体" w:hAnsi="宋体" w:eastAsia="宋体" w:cs="宋体"/>
                <w:b w:val="0"/>
                <w:bCs w:val="0"/>
                <w:i w:val="0"/>
                <w:iCs w:val="0"/>
                <w:color w:val="auto"/>
                <w:sz w:val="22"/>
                <w:szCs w:val="22"/>
                <w:u w:val="none"/>
              </w:rPr>
            </w:pPr>
          </w:p>
        </w:tc>
      </w:tr>
      <w:tr w14:paraId="0C357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7F7F7">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9</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61A02">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生物准备室</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48FF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间</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02646">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74CB1">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F4F57">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E5B40">
            <w:pPr>
              <w:jc w:val="center"/>
              <w:rPr>
                <w:rFonts w:hint="eastAsia" w:ascii="宋体" w:hAnsi="宋体" w:eastAsia="宋体" w:cs="宋体"/>
                <w:b w:val="0"/>
                <w:bCs w:val="0"/>
                <w:i w:val="0"/>
                <w:iCs w:val="0"/>
                <w:color w:val="auto"/>
                <w:sz w:val="22"/>
                <w:szCs w:val="22"/>
                <w:u w:val="none"/>
              </w:rPr>
            </w:pPr>
          </w:p>
        </w:tc>
      </w:tr>
      <w:tr w14:paraId="7C76B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06F49">
            <w:pPr>
              <w:keepNext w:val="0"/>
              <w:keepLines w:val="0"/>
              <w:widowControl/>
              <w:suppressLineNumbers w:val="0"/>
              <w:jc w:val="center"/>
              <w:textAlignment w:val="center"/>
              <w:rPr>
                <w:rFonts w:hint="default" w:ascii="宋体" w:hAnsi="宋体" w:eastAsia="宋体" w:cs="宋体"/>
                <w:b/>
                <w:bCs/>
                <w:i w:val="0"/>
                <w:iCs w:val="0"/>
                <w:color w:val="auto"/>
                <w:sz w:val="22"/>
                <w:szCs w:val="22"/>
                <w:u w:val="none"/>
                <w:lang w:val="en-US"/>
              </w:rPr>
            </w:pPr>
            <w:r>
              <w:rPr>
                <w:rFonts w:hint="eastAsia" w:ascii="宋体" w:hAnsi="宋体" w:eastAsia="宋体" w:cs="宋体"/>
                <w:b/>
                <w:bCs/>
                <w:i w:val="0"/>
                <w:iCs w:val="0"/>
                <w:color w:val="auto"/>
                <w:kern w:val="0"/>
                <w:sz w:val="22"/>
                <w:szCs w:val="22"/>
                <w:u w:val="none"/>
                <w:lang w:val="en-US" w:eastAsia="zh-CN" w:bidi="ar"/>
              </w:rPr>
              <w:t>10</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1DC3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生物仪器室</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CD0E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间</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0638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D11F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25FB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1FBB2">
            <w:pPr>
              <w:jc w:val="center"/>
              <w:rPr>
                <w:rFonts w:hint="eastAsia" w:ascii="宋体" w:hAnsi="宋体" w:eastAsia="宋体" w:cs="宋体"/>
                <w:b w:val="0"/>
                <w:bCs w:val="0"/>
                <w:i w:val="0"/>
                <w:iCs w:val="0"/>
                <w:color w:val="auto"/>
                <w:sz w:val="22"/>
                <w:szCs w:val="22"/>
                <w:u w:val="none"/>
              </w:rPr>
            </w:pPr>
          </w:p>
        </w:tc>
      </w:tr>
      <w:tr w14:paraId="32E68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726A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11</w:t>
            </w:r>
          </w:p>
        </w:tc>
        <w:tc>
          <w:tcPr>
            <w:tcW w:w="7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63F6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生物标本室</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B4B8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间</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BB332">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000B1">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97C93">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EA3B2">
            <w:pPr>
              <w:jc w:val="center"/>
              <w:rPr>
                <w:rFonts w:hint="eastAsia" w:ascii="宋体" w:hAnsi="宋体" w:eastAsia="宋体" w:cs="宋体"/>
                <w:b w:val="0"/>
                <w:bCs w:val="0"/>
                <w:i w:val="0"/>
                <w:iCs w:val="0"/>
                <w:color w:val="auto"/>
                <w:sz w:val="22"/>
                <w:szCs w:val="22"/>
                <w:u w:val="none"/>
              </w:rPr>
            </w:pPr>
          </w:p>
        </w:tc>
      </w:tr>
      <w:tr w14:paraId="57495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CC155">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12</w:t>
            </w:r>
          </w:p>
        </w:tc>
        <w:tc>
          <w:tcPr>
            <w:tcW w:w="7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B504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初中物理实验箱</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749A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A9126">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4333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F716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3B6D3">
            <w:pPr>
              <w:jc w:val="center"/>
              <w:rPr>
                <w:rFonts w:hint="eastAsia" w:ascii="宋体" w:hAnsi="宋体" w:eastAsia="宋体" w:cs="宋体"/>
                <w:b w:val="0"/>
                <w:bCs w:val="0"/>
                <w:i w:val="0"/>
                <w:iCs w:val="0"/>
                <w:color w:val="auto"/>
                <w:sz w:val="22"/>
                <w:szCs w:val="22"/>
                <w:u w:val="none"/>
              </w:rPr>
            </w:pPr>
          </w:p>
        </w:tc>
      </w:tr>
      <w:tr w14:paraId="081B2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1B203">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13</w:t>
            </w:r>
          </w:p>
        </w:tc>
        <w:tc>
          <w:tcPr>
            <w:tcW w:w="7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7BAA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初中化学实验箱</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F52A1">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E6F32">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1F285">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802F5">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0E3CF">
            <w:pPr>
              <w:jc w:val="center"/>
              <w:rPr>
                <w:rFonts w:hint="eastAsia" w:ascii="宋体" w:hAnsi="宋体" w:eastAsia="宋体" w:cs="宋体"/>
                <w:b w:val="0"/>
                <w:bCs w:val="0"/>
                <w:i w:val="0"/>
                <w:iCs w:val="0"/>
                <w:color w:val="auto"/>
                <w:sz w:val="22"/>
                <w:szCs w:val="22"/>
                <w:u w:val="none"/>
              </w:rPr>
            </w:pPr>
          </w:p>
        </w:tc>
      </w:tr>
      <w:tr w14:paraId="09A27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DD84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14</w:t>
            </w:r>
          </w:p>
        </w:tc>
        <w:tc>
          <w:tcPr>
            <w:tcW w:w="7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823E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初中生物实验箱</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A268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E8B8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w:t>
            </w:r>
          </w:p>
        </w:tc>
        <w:tc>
          <w:tcPr>
            <w:tcW w:w="1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D3046">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A8A85">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5F5EC">
            <w:pPr>
              <w:jc w:val="center"/>
              <w:rPr>
                <w:rFonts w:hint="eastAsia" w:ascii="宋体" w:hAnsi="宋体" w:eastAsia="宋体" w:cs="宋体"/>
                <w:b w:val="0"/>
                <w:bCs w:val="0"/>
                <w:i w:val="0"/>
                <w:iCs w:val="0"/>
                <w:color w:val="auto"/>
                <w:sz w:val="22"/>
                <w:szCs w:val="22"/>
                <w:u w:val="none"/>
              </w:rPr>
            </w:pPr>
          </w:p>
        </w:tc>
      </w:tr>
      <w:tr w14:paraId="0F67B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4"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861A5">
            <w:pPr>
              <w:jc w:val="center"/>
              <w:rPr>
                <w:rFonts w:hint="eastAsia" w:ascii="宋体" w:hAnsi="宋体" w:eastAsia="宋体" w:cs="宋体"/>
                <w:b w:val="0"/>
                <w:bCs w:val="0"/>
                <w:i w:val="0"/>
                <w:iCs w:val="0"/>
                <w:color w:val="auto"/>
                <w:sz w:val="22"/>
                <w:szCs w:val="22"/>
                <w:u w:val="none"/>
              </w:rPr>
            </w:pPr>
          </w:p>
        </w:tc>
        <w:tc>
          <w:tcPr>
            <w:tcW w:w="1090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AF897">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bidi="ar"/>
              </w:rPr>
              <w:t>合计：</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E26F1">
            <w:pPr>
              <w:keepNext w:val="0"/>
              <w:keepLines w:val="0"/>
              <w:widowControl/>
              <w:suppressLineNumbers w:val="0"/>
              <w:jc w:val="center"/>
              <w:textAlignment w:val="center"/>
              <w:rPr>
                <w:rFonts w:hint="default" w:ascii="宋体" w:hAnsi="宋体" w:eastAsia="宋体" w:cs="宋体"/>
                <w:b/>
                <w:bCs/>
                <w:i w:val="0"/>
                <w:iCs w:val="0"/>
                <w:color w:val="auto"/>
                <w:sz w:val="28"/>
                <w:szCs w:val="28"/>
                <w:u w:val="none"/>
                <w:lang w:val="en-US"/>
              </w:rPr>
            </w:pPr>
            <w:bookmarkStart w:id="0" w:name="_GoBack"/>
            <w:bookmarkEnd w:id="0"/>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DEA81">
            <w:pPr>
              <w:jc w:val="center"/>
              <w:rPr>
                <w:rFonts w:hint="eastAsia" w:ascii="宋体" w:hAnsi="宋体" w:eastAsia="宋体" w:cs="宋体"/>
                <w:b w:val="0"/>
                <w:bCs w:val="0"/>
                <w:i w:val="0"/>
                <w:iCs w:val="0"/>
                <w:color w:val="auto"/>
                <w:sz w:val="22"/>
                <w:szCs w:val="22"/>
                <w:u w:val="none"/>
              </w:rPr>
            </w:pPr>
          </w:p>
        </w:tc>
      </w:tr>
    </w:tbl>
    <w:p w14:paraId="7C2D2F21">
      <w:pPr>
        <w:jc w:val="center"/>
        <w:rPr>
          <w:rFonts w:hint="eastAsia" w:ascii="宋体" w:hAnsi="宋体" w:eastAsia="宋体" w:cs="宋体"/>
          <w:b w:val="0"/>
          <w:bCs w:val="0"/>
          <w:i w:val="0"/>
          <w:iCs w:val="0"/>
          <w:color w:val="auto"/>
          <w:sz w:val="22"/>
          <w:szCs w:val="22"/>
          <w:u w:val="none"/>
        </w:rPr>
      </w:pPr>
      <w:r>
        <w:rPr>
          <w:rFonts w:hint="eastAsia" w:ascii="宋体" w:hAnsi="宋体" w:eastAsia="宋体" w:cs="宋体"/>
          <w:b w:val="0"/>
          <w:bCs w:val="0"/>
          <w:i w:val="0"/>
          <w:iCs w:val="0"/>
          <w:color w:val="auto"/>
          <w:sz w:val="22"/>
          <w:szCs w:val="22"/>
          <w:u w:val="none"/>
        </w:rPr>
        <w:br w:type="page"/>
      </w:r>
    </w:p>
    <w:tbl>
      <w:tblPr>
        <w:tblStyle w:val="4"/>
        <w:tblW w:w="144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1"/>
        <w:gridCol w:w="945"/>
        <w:gridCol w:w="9945"/>
        <w:gridCol w:w="690"/>
        <w:gridCol w:w="645"/>
        <w:gridCol w:w="735"/>
        <w:gridCol w:w="787"/>
      </w:tblGrid>
      <w:tr w14:paraId="04494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4418" w:type="dxa"/>
            <w:gridSpan w:val="7"/>
            <w:tcBorders>
              <w:top w:val="single" w:color="000000" w:sz="4" w:space="0"/>
              <w:left w:val="single" w:color="000000" w:sz="4" w:space="0"/>
              <w:bottom w:val="nil"/>
              <w:right w:val="single" w:color="000000" w:sz="4" w:space="0"/>
            </w:tcBorders>
            <w:shd w:val="clear" w:color="auto" w:fill="auto"/>
            <w:noWrap/>
            <w:vAlign w:val="center"/>
          </w:tcPr>
          <w:p w14:paraId="28F3ECB3">
            <w:pPr>
              <w:jc w:val="center"/>
              <w:rPr>
                <w:rFonts w:hint="eastAsia" w:ascii="宋体" w:hAnsi="宋体" w:eastAsia="宋体" w:cs="宋体"/>
                <w:b/>
                <w:bCs/>
                <w:i w:val="0"/>
                <w:iCs w:val="0"/>
                <w:color w:val="auto"/>
                <w:sz w:val="22"/>
                <w:szCs w:val="22"/>
                <w:u w:val="single"/>
              </w:rPr>
            </w:pPr>
            <w:r>
              <w:rPr>
                <w:rFonts w:hint="eastAsia" w:ascii="宋体" w:hAnsi="宋体" w:eastAsia="宋体" w:cs="宋体"/>
                <w:b/>
                <w:bCs/>
                <w:i w:val="0"/>
                <w:iCs w:val="0"/>
                <w:color w:val="auto"/>
                <w:kern w:val="0"/>
                <w:sz w:val="32"/>
                <w:szCs w:val="32"/>
                <w:u w:val="none"/>
                <w:lang w:val="en-US" w:eastAsia="zh-CN" w:bidi="ar"/>
              </w:rPr>
              <w:t>物理吊装实验室</w:t>
            </w:r>
          </w:p>
        </w:tc>
      </w:tr>
      <w:tr w14:paraId="09373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2CC45">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CEA5F">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名称</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1D89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产品参数</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EF6F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5973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84E1F">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单价</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9671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金额</w:t>
            </w:r>
          </w:p>
        </w:tc>
      </w:tr>
      <w:tr w14:paraId="38CBC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156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CA877">
            <w:pPr>
              <w:jc w:val="left"/>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一、教师控制演示区</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250CB">
            <w:pPr>
              <w:rPr>
                <w:rFonts w:hint="eastAsia" w:ascii="宋体" w:hAnsi="宋体" w:eastAsia="宋体" w:cs="宋体"/>
                <w:b w:val="0"/>
                <w:bCs w:val="0"/>
                <w:i w:val="0"/>
                <w:iCs w:val="0"/>
                <w:color w:val="auto"/>
                <w:sz w:val="20"/>
                <w:szCs w:val="20"/>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1B01C">
            <w:pPr>
              <w:rPr>
                <w:rFonts w:hint="eastAsia" w:ascii="宋体" w:hAnsi="宋体" w:eastAsia="宋体" w:cs="宋体"/>
                <w:b w:val="0"/>
                <w:bCs w:val="0"/>
                <w:i w:val="0"/>
                <w:iCs w:val="0"/>
                <w:color w:val="auto"/>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5B036">
            <w:pPr>
              <w:jc w:val="center"/>
              <w:rPr>
                <w:rFonts w:hint="eastAsia" w:ascii="宋体" w:hAnsi="宋体" w:eastAsia="宋体" w:cs="宋体"/>
                <w:b w:val="0"/>
                <w:bCs w:val="0"/>
                <w:i w:val="0"/>
                <w:iCs w:val="0"/>
                <w:color w:val="auto"/>
                <w:sz w:val="20"/>
                <w:szCs w:val="20"/>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686A4">
            <w:pPr>
              <w:jc w:val="center"/>
              <w:rPr>
                <w:rFonts w:hint="eastAsia" w:ascii="宋体" w:hAnsi="宋体" w:eastAsia="宋体" w:cs="宋体"/>
                <w:b w:val="0"/>
                <w:bCs w:val="0"/>
                <w:i w:val="0"/>
                <w:iCs w:val="0"/>
                <w:color w:val="auto"/>
                <w:sz w:val="20"/>
                <w:szCs w:val="20"/>
                <w:u w:val="none"/>
              </w:rPr>
            </w:pPr>
          </w:p>
        </w:tc>
      </w:tr>
      <w:tr w14:paraId="6301D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3C56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55A6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教师展示设备</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top"/>
          </w:tcPr>
          <w:p w14:paraId="1AA47F68">
            <w:pPr>
              <w:keepNext w:val="0"/>
              <w:keepLines w:val="0"/>
              <w:widowControl/>
              <w:suppressLineNumbers w:val="0"/>
              <w:jc w:val="left"/>
              <w:textAlignment w:val="top"/>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规格：≥2400mm×700mm×850mm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▲台面：采用≥25mm厚金属树脂高能理化板，具备耐酸碱，耐腐蚀，整体防水性能。(1)-(4)项功能检测须达到如下要求，为确保产品质量，需提供第三方检测机构出具的检测报告扫描件并加盖公章：</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（1）化学性能检测：台面参照GB/T 17657-2022 《人造板及饰面人造板理化性能试验方法》标准，耐污染性能不少于130项试验污染物的检测，且包含：98%硫酸、65%硝酸、40%氢氧化钠、37%盐酸、四氯化碳、1%硝酸银等试剂，覆盖玻璃盖板和未覆盖玻璃盖板检验结果均为5级：无明显变化。</w:t>
            </w:r>
          </w:p>
          <w:p w14:paraId="53327852">
            <w:pPr>
              <w:keepNext w:val="0"/>
              <w:keepLines w:val="0"/>
              <w:widowControl/>
              <w:suppressLineNumbers w:val="0"/>
              <w:jc w:val="left"/>
              <w:textAlignment w:val="top"/>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（2）物理性能检测：台面参照GB/T 17657-2022 《人造板及饰面人造板理化性能试验方法》标准，满足：弹性模量≥9700MPa； 含水率：≤0.9%；尺寸稳定性：横向≤0.11%、纵向≤0.08%；表面耐磨性能：≥1200r,未出现磨损点;表面耐湿热性能：五级：无明显变化；浸渍剥离性能：贴面层与基材之间的胶层无剥离和分层现象；耐光色牢度性能:&gt;4级;漆膜附着力：六级：切割边缘完全平滑，网格内无脱落等不低于16项检测。</w:t>
            </w:r>
          </w:p>
          <w:p w14:paraId="153A7B42">
            <w:pPr>
              <w:keepNext w:val="0"/>
              <w:keepLines w:val="0"/>
              <w:widowControl/>
              <w:suppressLineNumbers w:val="0"/>
              <w:jc w:val="left"/>
              <w:textAlignment w:val="top"/>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（3）环保性能检测：台面参照GB 18584-2024《家具中有害物质限量》标准，可迁移有害元素:铅(Pb)≤15mg/kg、镉（Cd）≤12mg/kg、铬（Cr）≤10mg/kg、汞（Hg）≤12mg/kg。</w:t>
            </w:r>
          </w:p>
          <w:p w14:paraId="5AEE0C30">
            <w:pPr>
              <w:keepNext w:val="0"/>
              <w:keepLines w:val="0"/>
              <w:widowControl/>
              <w:suppressLineNumbers w:val="0"/>
              <w:jc w:val="left"/>
              <w:textAlignment w:val="top"/>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4）抗菌性能检测：台面参照JC/T2039-2010标准，满足：大肠杆菌、金黄色葡萄球菌、肺炎克雷伯氏菌、鼠伤寒沙门氏菌、表皮葡萄球菌、铜绿假单胞菌、宋氏志贺氏菌、白色葡萄球菌、粪肠球菌；耐甲氧西林金黄色葡萄球菌、单核细胞增生李斯特氏菌、变异库克菌、溶血性链球菌等不少于 13 种的菌种检测，且抗菌率≥95%。</w:t>
            </w:r>
          </w:p>
          <w:p w14:paraId="5A004570">
            <w:pPr>
              <w:keepNext w:val="0"/>
              <w:keepLines w:val="0"/>
              <w:widowControl/>
              <w:suppressLineNumbers w:val="0"/>
              <w:jc w:val="left"/>
              <w:textAlignment w:val="top"/>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（5）防霉性能检测：台面参照JC/T2039-2010标准，满足：黑曲霉、土曲霉、球毛壳霉、宛氏拟青霉、绳状青霉、出芽短梗霉等不少于10种的霉菌检测，且防霉等级为0级。</w:t>
            </w:r>
          </w:p>
          <w:p w14:paraId="46BCC444">
            <w:pPr>
              <w:keepNext w:val="0"/>
              <w:keepLines w:val="0"/>
              <w:widowControl/>
              <w:suppressLineNumbers w:val="0"/>
              <w:jc w:val="left"/>
              <w:textAlignment w:val="top"/>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（6）燃烧性能检测：台面参照GB/T 2408-2021《塑料 燃烧性能的测定 水平法和垂直法》标准，满足：水平燃烧符合HB级；垂直燃烧符合V-0级；台面参照GB8624-2012《建筑材料及制品燃烧性能分级》标准，满足：燃烧性能等级B1级；产烟特性等级S1级；燃烧滴落物/微粒等级d0级。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（7）下方结构：全钢结构。</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（8）采用一级冷轧钢板，环氧树脂静电粉末涂装处理。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（9）设置电源专用抽屉位及电管孔</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（10）侧边空位，配有专门装饰网板加固。</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（11）固定脚：ABS注塑专用垫。</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▲参照GB/T 13452.2-2008漆膜/涂层厚度：≥60μm；参照GB/T 23989-2009擦拭后无变化；参照GB/T 10125-2021中性盐雾试验（48h):外观无明显变化。（备注：为确保产品质量，需提供第三方检测机构出具的检测报告扫描件并加盖公章。）</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944F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7E86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71CB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B127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69DBF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1C85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4E8D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教师专用吊装</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89EC6">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主体采用标准模块化组成,整体采用冷轧钢板，表面经环氧树脂粉末喷涂高温固化处理。外部保护罩使用铝合金型材，搭配ABS板。</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智能摇臂：摇臂接收智能控制系统信号实现远程遥控，动力采用直流24V减速低压电机，连接杆采用专用铝合金模具一体成型，内部水电分离，功能模块采用注塑模具一体成型，功能模块可安装高低压电源（低压电源为交直流，可以显示交直流电压）、急停开关，可选配网络模块。</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1149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5613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3A6C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7437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33C7E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156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D7CF9">
            <w:pPr>
              <w:jc w:val="left"/>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二、智能控制系统</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4F78A">
            <w:pPr>
              <w:jc w:val="center"/>
              <w:rPr>
                <w:rFonts w:hint="eastAsia" w:ascii="宋体" w:hAnsi="宋体" w:eastAsia="宋体" w:cs="宋体"/>
                <w:b w:val="0"/>
                <w:bCs w:val="0"/>
                <w:i w:val="0"/>
                <w:iCs w:val="0"/>
                <w:color w:val="auto"/>
                <w:sz w:val="20"/>
                <w:szCs w:val="20"/>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C56E8">
            <w:pPr>
              <w:jc w:val="center"/>
              <w:rPr>
                <w:rFonts w:hint="eastAsia" w:ascii="宋体" w:hAnsi="宋体" w:eastAsia="宋体" w:cs="宋体"/>
                <w:b w:val="0"/>
                <w:bCs w:val="0"/>
                <w:i w:val="0"/>
                <w:iCs w:val="0"/>
                <w:color w:val="auto"/>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7F0F3">
            <w:pPr>
              <w:jc w:val="center"/>
              <w:rPr>
                <w:rFonts w:hint="eastAsia" w:ascii="宋体" w:hAnsi="宋体" w:eastAsia="宋体" w:cs="宋体"/>
                <w:b w:val="0"/>
                <w:bCs w:val="0"/>
                <w:i w:val="0"/>
                <w:iCs w:val="0"/>
                <w:color w:val="auto"/>
                <w:sz w:val="20"/>
                <w:szCs w:val="20"/>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8C08C">
            <w:pPr>
              <w:jc w:val="center"/>
              <w:rPr>
                <w:rFonts w:hint="eastAsia" w:ascii="宋体" w:hAnsi="宋体" w:eastAsia="宋体" w:cs="宋体"/>
                <w:b w:val="0"/>
                <w:bCs w:val="0"/>
                <w:i w:val="0"/>
                <w:iCs w:val="0"/>
                <w:color w:val="auto"/>
                <w:sz w:val="20"/>
                <w:szCs w:val="20"/>
                <w:u w:val="none"/>
              </w:rPr>
            </w:pPr>
          </w:p>
        </w:tc>
      </w:tr>
      <w:tr w14:paraId="71FD3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DA3A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F2D0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智能系统控制箱</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66A4F">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整体尺寸不大于：420mm×220mm×920㎜(±5㎜)。箱体厚度为不小于1.2㎜冷轧钢板，静电喷涂环保粉末高温处理工艺，无有害物质，具有防腐性高；</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控制系统内置：控制器及功能扩展模块≥1套，保护模块≥1个,急停控制系统≥1套；配有关键安全系统既长时间不操作，自动切断总电源。摇臂分组控制系统≥1套、照明分组控制系统≥1套</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搭配不小于10英寸高分辨率平板电脑，集中控制系统，可执行各选项控制（配一启动按钮开关和一急停开关）</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A、摇臂控制系统：教师通过控制系统或移动设备对全室摇臂进行单独或分组控制（上升、下降或暂停，上升或下降到底后摇臂会自动停止）</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B、电源控制系统：教师通过控制系统或移动设备对全室220V高压及0～30V低压进行单独或分组控制；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C、照明控制系统：教师通过控制系统或移动设备对全室照明进行单独或分组控制；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A10F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8E1E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E539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 </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08A3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42637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1E29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6D5D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智能控制终端</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top"/>
          </w:tcPr>
          <w:p w14:paraId="1BF29F01">
            <w:pPr>
              <w:keepNext w:val="0"/>
              <w:keepLines w:val="0"/>
              <w:widowControl/>
              <w:suppressLineNumbers w:val="0"/>
              <w:jc w:val="left"/>
              <w:textAlignment w:val="top"/>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APP登录，网络注册后进入系统，方便用户找回忘记的密码，给系统升级也提供方便。2、APP可控制总电源的开关；可控制学生实验用低压直流电源（0～30V），学生也可自己调节；可显示当前温度、相对湿度及当前时间；同时还可控制水、电、灯的开启与关闭等。3、APP移动设备与智能控制屏可以同步操作。</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00C7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AD0C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C2D1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BEA0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12DB8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156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B1807">
            <w:pPr>
              <w:jc w:val="left"/>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三、学生实验学习区</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B1068">
            <w:pPr>
              <w:jc w:val="center"/>
              <w:rPr>
                <w:rFonts w:hint="eastAsia" w:ascii="宋体" w:hAnsi="宋体" w:eastAsia="宋体" w:cs="宋体"/>
                <w:b w:val="0"/>
                <w:bCs w:val="0"/>
                <w:i w:val="0"/>
                <w:iCs w:val="0"/>
                <w:color w:val="auto"/>
                <w:sz w:val="20"/>
                <w:szCs w:val="20"/>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BE1D6">
            <w:pPr>
              <w:jc w:val="both"/>
              <w:rPr>
                <w:rFonts w:hint="eastAsia" w:ascii="宋体" w:hAnsi="宋体" w:eastAsia="宋体" w:cs="宋体"/>
                <w:b w:val="0"/>
                <w:bCs w:val="0"/>
                <w:i w:val="0"/>
                <w:iCs w:val="0"/>
                <w:color w:val="auto"/>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E6343">
            <w:pPr>
              <w:jc w:val="center"/>
              <w:rPr>
                <w:rFonts w:hint="eastAsia" w:ascii="宋体" w:hAnsi="宋体" w:eastAsia="宋体" w:cs="宋体"/>
                <w:b w:val="0"/>
                <w:bCs w:val="0"/>
                <w:i w:val="0"/>
                <w:iCs w:val="0"/>
                <w:color w:val="auto"/>
                <w:sz w:val="20"/>
                <w:szCs w:val="20"/>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84980">
            <w:pPr>
              <w:jc w:val="center"/>
              <w:rPr>
                <w:rFonts w:hint="eastAsia" w:ascii="宋体" w:hAnsi="宋体" w:eastAsia="宋体" w:cs="宋体"/>
                <w:b w:val="0"/>
                <w:bCs w:val="0"/>
                <w:i w:val="0"/>
                <w:iCs w:val="0"/>
                <w:color w:val="auto"/>
                <w:sz w:val="20"/>
                <w:szCs w:val="20"/>
                <w:u w:val="none"/>
              </w:rPr>
            </w:pPr>
          </w:p>
        </w:tc>
      </w:tr>
      <w:tr w14:paraId="1C6D6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633C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3629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学生实验端</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AD0F0">
            <w:pPr>
              <w:rPr>
                <w:rFonts w:hint="eastAsia" w:asciiTheme="minorEastAsia" w:hAnsiTheme="minorEastAsia" w:cstheme="minorEastAsia"/>
                <w:color w:val="auto"/>
                <w:sz w:val="20"/>
                <w:szCs w:val="20"/>
              </w:rPr>
            </w:pPr>
            <w:r>
              <w:rPr>
                <w:rFonts w:hint="eastAsia" w:ascii="宋体" w:hAnsi="宋体" w:eastAsia="宋体" w:cs="宋体"/>
                <w:b w:val="0"/>
                <w:bCs w:val="0"/>
                <w:i w:val="0"/>
                <w:iCs w:val="0"/>
                <w:color w:val="auto"/>
                <w:kern w:val="0"/>
                <w:sz w:val="20"/>
                <w:szCs w:val="20"/>
                <w:u w:val="none"/>
                <w:lang w:val="en-US" w:eastAsia="zh-CN" w:bidi="ar"/>
              </w:rPr>
              <w:t xml:space="preserve">规格：≥1200mm×600mm×780mm </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采用板厚为≥12mm双面膜实芯理化板，抗腐蚀抗菌、净醛、耐磨防火、耐烟酌抗污。板材(1)-(6)项功能必须达到如下要求，为确保产品质量，需提供第三方检测机构出具的检测报告扫描件：</w:t>
            </w:r>
            <w:r>
              <w:rPr>
                <w:rFonts w:hint="eastAsia" w:ascii="宋体" w:hAnsi="宋体" w:eastAsia="宋体" w:cs="宋体"/>
                <w:i w:val="0"/>
                <w:iCs w:val="0"/>
                <w:color w:val="auto"/>
                <w:kern w:val="0"/>
                <w:sz w:val="20"/>
                <w:szCs w:val="20"/>
                <w:u w:val="none"/>
                <w:lang w:val="en-US" w:eastAsia="zh-CN" w:bidi="ar"/>
              </w:rPr>
              <w:br w:type="textWrapping"/>
            </w:r>
            <w:r>
              <w:rPr>
                <w:rFonts w:hint="eastAsia" w:asciiTheme="minorEastAsia" w:hAnsiTheme="minorEastAsia" w:cstheme="minorEastAsia"/>
                <w:color w:val="auto"/>
                <w:sz w:val="20"/>
                <w:szCs w:val="20"/>
              </w:rPr>
              <w:t>（1）</w:t>
            </w:r>
            <w:r>
              <w:rPr>
                <w:color w:val="auto"/>
                <w:sz w:val="20"/>
                <w:szCs w:val="20"/>
              </w:rPr>
              <w:t>化学性能检测：台面</w:t>
            </w:r>
            <w:r>
              <w:rPr>
                <w:rFonts w:hint="eastAsia"/>
                <w:color w:val="auto"/>
                <w:sz w:val="20"/>
                <w:szCs w:val="20"/>
                <w:lang w:eastAsia="zh-CN"/>
              </w:rPr>
              <w:t>参照</w:t>
            </w:r>
            <w:r>
              <w:rPr>
                <w:rFonts w:hint="eastAsia"/>
                <w:color w:val="auto"/>
                <w:sz w:val="20"/>
                <w:szCs w:val="20"/>
              </w:rPr>
              <w:t>GB/T 17657-20</w:t>
            </w:r>
            <w:r>
              <w:rPr>
                <w:rFonts w:hint="eastAsia"/>
                <w:color w:val="auto"/>
                <w:sz w:val="20"/>
                <w:szCs w:val="20"/>
                <w:lang w:val="en-US" w:eastAsia="zh-CN"/>
              </w:rPr>
              <w:t>22</w:t>
            </w:r>
            <w:r>
              <w:rPr>
                <w:rFonts w:hint="eastAsia"/>
                <w:color w:val="auto"/>
                <w:sz w:val="20"/>
                <w:szCs w:val="20"/>
              </w:rPr>
              <w:t xml:space="preserve"> 《人造板及饰面人造板理化性能试验方法》标准，耐污染性能不少于1</w:t>
            </w:r>
            <w:r>
              <w:rPr>
                <w:rFonts w:hint="eastAsia"/>
                <w:color w:val="auto"/>
                <w:sz w:val="20"/>
                <w:szCs w:val="20"/>
                <w:lang w:val="en-US" w:eastAsia="zh-CN"/>
              </w:rPr>
              <w:t>30</w:t>
            </w:r>
            <w:r>
              <w:rPr>
                <w:rFonts w:hint="eastAsia"/>
                <w:color w:val="auto"/>
                <w:sz w:val="20"/>
                <w:szCs w:val="20"/>
              </w:rPr>
              <w:t>项试验污染物的检测，且包含：98%硫酸、65%硝酸、40%氢氧化钠、37%盐酸、四氯化碳、1%硝酸银等试剂，覆盖玻璃盖板和未覆盖玻璃盖板检验结果均为</w:t>
            </w:r>
            <w:r>
              <w:rPr>
                <w:rFonts w:hint="eastAsia"/>
                <w:color w:val="auto"/>
                <w:sz w:val="20"/>
                <w:szCs w:val="20"/>
                <w:lang w:val="en-US" w:eastAsia="zh-CN"/>
              </w:rPr>
              <w:t>5级：无明显变化。</w:t>
            </w:r>
          </w:p>
          <w:p w14:paraId="30836289">
            <w:pPr>
              <w:rPr>
                <w:color w:val="auto"/>
                <w:sz w:val="20"/>
                <w:szCs w:val="20"/>
              </w:rPr>
            </w:pPr>
            <w:r>
              <w:rPr>
                <w:rFonts w:hint="eastAsia" w:asciiTheme="minorEastAsia" w:hAnsiTheme="minorEastAsia" w:cstheme="minorEastAsia"/>
                <w:color w:val="auto"/>
                <w:sz w:val="20"/>
                <w:szCs w:val="20"/>
              </w:rPr>
              <w:t>（2）</w:t>
            </w:r>
            <w:r>
              <w:rPr>
                <w:color w:val="auto"/>
                <w:sz w:val="20"/>
                <w:szCs w:val="20"/>
              </w:rPr>
              <w:t>物理性能检测：台面</w:t>
            </w:r>
            <w:r>
              <w:rPr>
                <w:rFonts w:hint="eastAsia"/>
                <w:color w:val="auto"/>
                <w:sz w:val="20"/>
                <w:szCs w:val="20"/>
                <w:lang w:eastAsia="zh-CN"/>
              </w:rPr>
              <w:t>参照</w:t>
            </w:r>
            <w:r>
              <w:rPr>
                <w:rFonts w:hint="eastAsia"/>
                <w:color w:val="auto"/>
                <w:sz w:val="20"/>
                <w:szCs w:val="20"/>
              </w:rPr>
              <w:t>GB/T 17657-20</w:t>
            </w:r>
            <w:r>
              <w:rPr>
                <w:rFonts w:hint="eastAsia"/>
                <w:color w:val="auto"/>
                <w:sz w:val="20"/>
                <w:szCs w:val="20"/>
                <w:lang w:val="en-US" w:eastAsia="zh-CN"/>
              </w:rPr>
              <w:t>22</w:t>
            </w:r>
            <w:r>
              <w:rPr>
                <w:rFonts w:hint="eastAsia"/>
                <w:color w:val="auto"/>
                <w:sz w:val="20"/>
                <w:szCs w:val="20"/>
              </w:rPr>
              <w:t xml:space="preserve"> 《人造板及饰面人造板理化性能试验方法》标准，满足</w:t>
            </w:r>
            <w:r>
              <w:rPr>
                <w:color w:val="auto"/>
                <w:sz w:val="20"/>
                <w:szCs w:val="20"/>
              </w:rPr>
              <w:t>： </w:t>
            </w:r>
            <w:r>
              <w:rPr>
                <w:rFonts w:hint="eastAsia"/>
                <w:color w:val="auto"/>
                <w:sz w:val="20"/>
                <w:szCs w:val="20"/>
              </w:rPr>
              <w:t>含水率：≤</w:t>
            </w:r>
            <w:r>
              <w:rPr>
                <w:rFonts w:hint="eastAsia"/>
                <w:color w:val="auto"/>
                <w:sz w:val="20"/>
                <w:szCs w:val="20"/>
                <w:lang w:val="en-US" w:eastAsia="zh-CN"/>
              </w:rPr>
              <w:t>0.9%</w:t>
            </w:r>
            <w:r>
              <w:rPr>
                <w:rFonts w:hint="eastAsia"/>
                <w:color w:val="auto"/>
                <w:sz w:val="20"/>
                <w:szCs w:val="20"/>
              </w:rPr>
              <w:t>；</w:t>
            </w:r>
            <w:r>
              <w:rPr>
                <w:rFonts w:hint="eastAsia"/>
                <w:color w:val="auto"/>
                <w:sz w:val="20"/>
                <w:szCs w:val="20"/>
                <w:lang w:eastAsia="zh-CN"/>
              </w:rPr>
              <w:t>吸水厚度膨胀率</w:t>
            </w:r>
            <w:r>
              <w:rPr>
                <w:rFonts w:hint="eastAsia"/>
                <w:color w:val="auto"/>
                <w:sz w:val="20"/>
                <w:szCs w:val="20"/>
              </w:rPr>
              <w:t>≤</w:t>
            </w:r>
            <w:r>
              <w:rPr>
                <w:rFonts w:hint="eastAsia"/>
                <w:color w:val="auto"/>
                <w:sz w:val="20"/>
                <w:szCs w:val="20"/>
                <w:lang w:val="en-US" w:eastAsia="zh-CN"/>
              </w:rPr>
              <w:t>0.1%；</w:t>
            </w:r>
            <w:r>
              <w:rPr>
                <w:color w:val="auto"/>
                <w:sz w:val="20"/>
                <w:szCs w:val="20"/>
              </w:rPr>
              <w:t>尺寸稳定性：</w:t>
            </w:r>
            <w:r>
              <w:rPr>
                <w:rFonts w:hint="eastAsia"/>
                <w:color w:val="auto"/>
                <w:sz w:val="20"/>
                <w:szCs w:val="20"/>
                <w:lang w:eastAsia="zh-CN"/>
              </w:rPr>
              <w:t>横向</w:t>
            </w:r>
            <w:r>
              <w:rPr>
                <w:rFonts w:hint="eastAsia"/>
                <w:color w:val="auto"/>
                <w:sz w:val="20"/>
                <w:szCs w:val="20"/>
              </w:rPr>
              <w:t>≤</w:t>
            </w:r>
            <w:r>
              <w:rPr>
                <w:color w:val="auto"/>
                <w:sz w:val="20"/>
                <w:szCs w:val="20"/>
              </w:rPr>
              <w:t>0.</w:t>
            </w:r>
            <w:r>
              <w:rPr>
                <w:rFonts w:hint="eastAsia"/>
                <w:color w:val="auto"/>
                <w:sz w:val="20"/>
                <w:szCs w:val="20"/>
                <w:lang w:val="en-US" w:eastAsia="zh-CN"/>
              </w:rPr>
              <w:t>07</w:t>
            </w:r>
            <w:r>
              <w:rPr>
                <w:color w:val="auto"/>
                <w:sz w:val="20"/>
                <w:szCs w:val="20"/>
              </w:rPr>
              <w:t>%</w:t>
            </w:r>
            <w:r>
              <w:rPr>
                <w:rFonts w:hint="eastAsia"/>
                <w:color w:val="auto"/>
                <w:sz w:val="20"/>
                <w:szCs w:val="20"/>
                <w:lang w:eastAsia="zh-CN"/>
              </w:rPr>
              <w:t>、纵向</w:t>
            </w:r>
            <w:r>
              <w:rPr>
                <w:rFonts w:hint="eastAsia"/>
                <w:color w:val="auto"/>
                <w:sz w:val="20"/>
                <w:szCs w:val="20"/>
              </w:rPr>
              <w:t>≤</w:t>
            </w:r>
            <w:r>
              <w:rPr>
                <w:rFonts w:hint="eastAsia"/>
                <w:color w:val="auto"/>
                <w:sz w:val="20"/>
                <w:szCs w:val="20"/>
                <w:lang w:val="en-US" w:eastAsia="zh-CN"/>
              </w:rPr>
              <w:t>0.04%</w:t>
            </w:r>
            <w:r>
              <w:rPr>
                <w:color w:val="auto"/>
                <w:sz w:val="20"/>
                <w:szCs w:val="20"/>
              </w:rPr>
              <w:t>；</w:t>
            </w:r>
            <w:r>
              <w:rPr>
                <w:rFonts w:hint="eastAsia"/>
                <w:color w:val="auto"/>
                <w:sz w:val="20"/>
                <w:szCs w:val="20"/>
                <w:lang w:eastAsia="zh-CN"/>
              </w:rPr>
              <w:t>板面握螺钉力</w:t>
            </w:r>
            <w:r>
              <w:rPr>
                <w:rFonts w:hint="eastAsia"/>
                <w:color w:val="auto"/>
                <w:sz w:val="20"/>
                <w:szCs w:val="20"/>
              </w:rPr>
              <w:t>≥</w:t>
            </w:r>
            <w:r>
              <w:rPr>
                <w:rFonts w:hint="eastAsia"/>
                <w:color w:val="auto"/>
                <w:sz w:val="20"/>
                <w:szCs w:val="20"/>
                <w:lang w:val="en-US" w:eastAsia="zh-CN"/>
              </w:rPr>
              <w:t>3490N；</w:t>
            </w:r>
            <w:r>
              <w:rPr>
                <w:rFonts w:hint="eastAsia"/>
                <w:color w:val="auto"/>
                <w:sz w:val="20"/>
                <w:szCs w:val="20"/>
              </w:rPr>
              <w:t>表面耐冷热循环性能：</w:t>
            </w:r>
            <w:r>
              <w:rPr>
                <w:rFonts w:hint="eastAsia"/>
                <w:color w:val="auto"/>
                <w:sz w:val="20"/>
                <w:szCs w:val="20"/>
                <w:lang w:eastAsia="zh-CN"/>
              </w:rPr>
              <w:t>表面</w:t>
            </w:r>
            <w:r>
              <w:rPr>
                <w:rFonts w:hint="eastAsia"/>
                <w:color w:val="auto"/>
                <w:sz w:val="20"/>
                <w:szCs w:val="20"/>
              </w:rPr>
              <w:t>无裂纹</w:t>
            </w:r>
            <w:r>
              <w:rPr>
                <w:rFonts w:hint="eastAsia"/>
                <w:color w:val="auto"/>
                <w:sz w:val="20"/>
                <w:szCs w:val="20"/>
                <w:lang w:eastAsia="zh-CN"/>
              </w:rPr>
              <w:t>及</w:t>
            </w:r>
            <w:r>
              <w:rPr>
                <w:rFonts w:hint="eastAsia"/>
                <w:color w:val="auto"/>
                <w:sz w:val="20"/>
                <w:szCs w:val="20"/>
              </w:rPr>
              <w:t>鼓泡；</w:t>
            </w:r>
            <w:r>
              <w:rPr>
                <w:rFonts w:hint="eastAsia"/>
                <w:color w:val="auto"/>
                <w:sz w:val="20"/>
                <w:szCs w:val="20"/>
                <w:lang w:eastAsia="zh-CN"/>
              </w:rPr>
              <w:t>浸渍剥离性能：贴面层与基材之间的胶层无剥离和分层现象；</w:t>
            </w:r>
            <w:r>
              <w:rPr>
                <w:color w:val="auto"/>
                <w:sz w:val="20"/>
                <w:szCs w:val="20"/>
              </w:rPr>
              <w:t>表面耐划痕性能：</w:t>
            </w:r>
            <w:r>
              <w:rPr>
                <w:rFonts w:hint="eastAsia"/>
                <w:color w:val="auto"/>
                <w:sz w:val="20"/>
                <w:szCs w:val="20"/>
                <w:lang w:val="en-US" w:eastAsia="zh-CN"/>
              </w:rPr>
              <w:t>4.5</w:t>
            </w:r>
            <w:r>
              <w:rPr>
                <w:color w:val="auto"/>
                <w:sz w:val="20"/>
                <w:szCs w:val="20"/>
              </w:rPr>
              <w:t>N作用下试件表面无大于90%的连续划痕</w:t>
            </w:r>
            <w:r>
              <w:rPr>
                <w:rFonts w:hint="eastAsia"/>
                <w:color w:val="auto"/>
                <w:sz w:val="20"/>
                <w:szCs w:val="20"/>
                <w:lang w:eastAsia="zh-CN"/>
              </w:rPr>
              <w:t>，表面装饰花纹无破坏现象</w:t>
            </w:r>
            <w:r>
              <w:rPr>
                <w:color w:val="auto"/>
                <w:sz w:val="20"/>
                <w:szCs w:val="20"/>
              </w:rPr>
              <w:t>；</w:t>
            </w:r>
            <w:r>
              <w:rPr>
                <w:rFonts w:hint="eastAsia"/>
                <w:color w:val="auto"/>
                <w:sz w:val="20"/>
                <w:szCs w:val="20"/>
              </w:rPr>
              <w:t>耐沸水性能：质量增加百分率≤</w:t>
            </w:r>
            <w:r>
              <w:rPr>
                <w:color w:val="auto"/>
                <w:sz w:val="20"/>
                <w:szCs w:val="20"/>
              </w:rPr>
              <w:t>0.0</w:t>
            </w:r>
            <w:r>
              <w:rPr>
                <w:rFonts w:hint="eastAsia"/>
                <w:color w:val="auto"/>
                <w:sz w:val="20"/>
                <w:szCs w:val="20"/>
                <w:lang w:val="en-US" w:eastAsia="zh-CN"/>
              </w:rPr>
              <w:t>1</w:t>
            </w:r>
            <w:r>
              <w:rPr>
                <w:rFonts w:hint="eastAsia"/>
                <w:color w:val="auto"/>
                <w:sz w:val="20"/>
                <w:szCs w:val="20"/>
              </w:rPr>
              <w:t>%、厚度增加百分率≤0.</w:t>
            </w:r>
            <w:r>
              <w:rPr>
                <w:rFonts w:hint="eastAsia"/>
                <w:color w:val="auto"/>
                <w:sz w:val="20"/>
                <w:szCs w:val="20"/>
                <w:lang w:val="en-US" w:eastAsia="zh-CN"/>
              </w:rPr>
              <w:t>08</w:t>
            </w:r>
            <w:r>
              <w:rPr>
                <w:rFonts w:hint="eastAsia"/>
                <w:color w:val="auto"/>
                <w:sz w:val="20"/>
                <w:szCs w:val="20"/>
              </w:rPr>
              <w:t>%，表面质量等级：5级</w:t>
            </w:r>
            <w:r>
              <w:rPr>
                <w:rFonts w:hint="eastAsia"/>
                <w:color w:val="auto"/>
                <w:sz w:val="20"/>
                <w:szCs w:val="20"/>
                <w:lang w:eastAsia="zh-CN"/>
              </w:rPr>
              <w:t>：无变化，边缘质量等级：</w:t>
            </w:r>
            <w:r>
              <w:rPr>
                <w:rFonts w:hint="eastAsia"/>
                <w:color w:val="auto"/>
                <w:sz w:val="20"/>
                <w:szCs w:val="20"/>
                <w:lang w:val="en-US" w:eastAsia="zh-CN"/>
              </w:rPr>
              <w:t>5级：无明显变化；耐开裂性能：5级：无细微裂纹；表面耐磨性能：≥1100r,未出现磨损点</w:t>
            </w:r>
            <w:r>
              <w:rPr>
                <w:rFonts w:hint="eastAsia"/>
                <w:color w:val="auto"/>
                <w:sz w:val="20"/>
                <w:szCs w:val="20"/>
              </w:rPr>
              <w:t>等不低于2</w:t>
            </w:r>
            <w:r>
              <w:rPr>
                <w:rFonts w:hint="eastAsia"/>
                <w:color w:val="auto"/>
                <w:sz w:val="20"/>
                <w:szCs w:val="20"/>
                <w:lang w:val="en-US" w:eastAsia="zh-CN"/>
              </w:rPr>
              <w:t>7</w:t>
            </w:r>
            <w:r>
              <w:rPr>
                <w:rFonts w:hint="eastAsia"/>
                <w:color w:val="auto"/>
                <w:sz w:val="20"/>
                <w:szCs w:val="20"/>
              </w:rPr>
              <w:t>项检测。</w:t>
            </w:r>
          </w:p>
          <w:p w14:paraId="0074ABE0">
            <w:pPr>
              <w:rPr>
                <w:color w:val="auto"/>
                <w:sz w:val="20"/>
                <w:szCs w:val="20"/>
              </w:rPr>
            </w:pPr>
            <w:r>
              <w:rPr>
                <w:rFonts w:hint="eastAsia" w:asciiTheme="minorEastAsia" w:hAnsiTheme="minorEastAsia" w:cstheme="minorEastAsia"/>
                <w:color w:val="auto"/>
                <w:sz w:val="20"/>
                <w:szCs w:val="20"/>
              </w:rPr>
              <w:t>（3）</w:t>
            </w:r>
            <w:r>
              <w:rPr>
                <w:rFonts w:hint="eastAsia" w:ascii="宋体" w:hAnsi="宋体" w:eastAsia="宋体" w:cs="宋体"/>
                <w:color w:val="auto"/>
                <w:sz w:val="20"/>
                <w:szCs w:val="20"/>
              </w:rPr>
              <w:t>环保性能检测：台面</w:t>
            </w:r>
            <w:r>
              <w:rPr>
                <w:rFonts w:hint="eastAsia"/>
                <w:color w:val="auto"/>
                <w:sz w:val="20"/>
                <w:szCs w:val="20"/>
                <w:lang w:eastAsia="zh-CN"/>
              </w:rPr>
              <w:t>参照</w:t>
            </w:r>
            <w:r>
              <w:rPr>
                <w:rFonts w:hint="eastAsia" w:ascii="宋体" w:hAnsi="宋体" w:eastAsia="宋体" w:cs="宋体"/>
                <w:color w:val="auto"/>
                <w:sz w:val="20"/>
                <w:szCs w:val="20"/>
              </w:rPr>
              <w:t>GB 18584-20</w:t>
            </w:r>
            <w:r>
              <w:rPr>
                <w:rFonts w:hint="eastAsia" w:ascii="宋体" w:hAnsi="宋体" w:eastAsia="宋体" w:cs="宋体"/>
                <w:color w:val="auto"/>
                <w:sz w:val="20"/>
                <w:szCs w:val="20"/>
                <w:lang w:val="en-US" w:eastAsia="zh-CN"/>
              </w:rPr>
              <w:t>24</w:t>
            </w:r>
            <w:r>
              <w:rPr>
                <w:rFonts w:hint="eastAsia" w:ascii="宋体" w:hAnsi="宋体" w:eastAsia="宋体" w:cs="宋体"/>
                <w:color w:val="auto"/>
                <w:sz w:val="20"/>
                <w:szCs w:val="20"/>
              </w:rPr>
              <w:t>《家具中有害物质限量》标准，</w:t>
            </w:r>
            <w:r>
              <w:rPr>
                <w:rFonts w:hint="eastAsia" w:ascii="宋体" w:hAnsi="宋体" w:eastAsia="宋体" w:cs="宋体"/>
                <w:color w:val="auto"/>
                <w:sz w:val="20"/>
                <w:szCs w:val="20"/>
                <w:lang w:val="en-US" w:eastAsia="zh-CN"/>
              </w:rPr>
              <w:t>可迁移有害元素:铅(Pb)</w:t>
            </w:r>
            <w:r>
              <w:rPr>
                <w:rFonts w:hint="eastAsia" w:ascii="宋体" w:hAnsi="宋体" w:eastAsia="宋体" w:cs="宋体"/>
                <w:color w:val="auto"/>
                <w:sz w:val="20"/>
                <w:szCs w:val="20"/>
              </w:rPr>
              <w:t>≤</w:t>
            </w:r>
            <w:r>
              <w:rPr>
                <w:rFonts w:hint="eastAsia" w:ascii="宋体" w:hAnsi="宋体" w:eastAsia="宋体" w:cs="宋体"/>
                <w:color w:val="auto"/>
                <w:sz w:val="20"/>
                <w:szCs w:val="20"/>
                <w:lang w:val="en-US" w:eastAsia="zh-CN"/>
              </w:rPr>
              <w:t>15mg/kg、镉（Cd）</w:t>
            </w:r>
            <w:r>
              <w:rPr>
                <w:rFonts w:hint="eastAsia" w:ascii="宋体" w:hAnsi="宋体" w:eastAsia="宋体" w:cs="宋体"/>
                <w:color w:val="auto"/>
                <w:sz w:val="20"/>
                <w:szCs w:val="20"/>
              </w:rPr>
              <w:t>≤</w:t>
            </w:r>
            <w:r>
              <w:rPr>
                <w:rFonts w:hint="eastAsia" w:ascii="宋体" w:hAnsi="宋体" w:eastAsia="宋体" w:cs="宋体"/>
                <w:color w:val="auto"/>
                <w:sz w:val="20"/>
                <w:szCs w:val="20"/>
                <w:lang w:val="en-US" w:eastAsia="zh-CN"/>
              </w:rPr>
              <w:t>12mg/kg、铬（Cr）</w:t>
            </w:r>
            <w:r>
              <w:rPr>
                <w:rFonts w:hint="eastAsia" w:ascii="宋体" w:hAnsi="宋体" w:eastAsia="宋体" w:cs="宋体"/>
                <w:color w:val="auto"/>
                <w:sz w:val="20"/>
                <w:szCs w:val="20"/>
              </w:rPr>
              <w:t>≤</w:t>
            </w:r>
            <w:r>
              <w:rPr>
                <w:rFonts w:hint="eastAsia" w:ascii="宋体" w:hAnsi="宋体" w:eastAsia="宋体" w:cs="宋体"/>
                <w:color w:val="auto"/>
                <w:sz w:val="20"/>
                <w:szCs w:val="20"/>
                <w:lang w:val="en-US" w:eastAsia="zh-CN"/>
              </w:rPr>
              <w:t>10mg/kg、汞（Hg）</w:t>
            </w:r>
            <w:r>
              <w:rPr>
                <w:rFonts w:hint="eastAsia" w:ascii="宋体" w:hAnsi="宋体" w:eastAsia="宋体" w:cs="宋体"/>
                <w:color w:val="auto"/>
                <w:sz w:val="20"/>
                <w:szCs w:val="20"/>
              </w:rPr>
              <w:t>≤</w:t>
            </w:r>
            <w:r>
              <w:rPr>
                <w:rFonts w:hint="eastAsia" w:ascii="宋体" w:hAnsi="宋体" w:eastAsia="宋体" w:cs="宋体"/>
                <w:color w:val="auto"/>
                <w:sz w:val="20"/>
                <w:szCs w:val="20"/>
                <w:lang w:val="en-US" w:eastAsia="zh-CN"/>
              </w:rPr>
              <w:t>12mg/kg。</w:t>
            </w:r>
          </w:p>
          <w:p w14:paraId="68D758C3">
            <w:pPr>
              <w:rPr>
                <w:color w:val="auto"/>
                <w:sz w:val="20"/>
                <w:szCs w:val="20"/>
              </w:rPr>
            </w:pPr>
            <w:r>
              <w:rPr>
                <w:rFonts w:hint="eastAsia" w:asciiTheme="minorEastAsia" w:hAnsiTheme="minorEastAsia" w:cstheme="minorEastAsia"/>
                <w:color w:val="auto"/>
                <w:sz w:val="20"/>
                <w:szCs w:val="20"/>
              </w:rPr>
              <w:t>（4）</w:t>
            </w:r>
            <w:r>
              <w:rPr>
                <w:color w:val="auto"/>
                <w:sz w:val="20"/>
                <w:szCs w:val="20"/>
              </w:rPr>
              <w:t>抗菌性能检测：</w:t>
            </w:r>
            <w:r>
              <w:rPr>
                <w:rFonts w:hint="eastAsia"/>
                <w:color w:val="auto"/>
                <w:sz w:val="20"/>
                <w:szCs w:val="20"/>
              </w:rPr>
              <w:t>台面</w:t>
            </w:r>
            <w:r>
              <w:rPr>
                <w:rFonts w:hint="eastAsia"/>
                <w:color w:val="auto"/>
                <w:sz w:val="20"/>
                <w:szCs w:val="20"/>
                <w:lang w:eastAsia="zh-CN"/>
              </w:rPr>
              <w:t>参照</w:t>
            </w:r>
            <w:r>
              <w:rPr>
                <w:rFonts w:hint="eastAsia"/>
                <w:color w:val="auto"/>
                <w:sz w:val="20"/>
                <w:szCs w:val="20"/>
              </w:rPr>
              <w:t>JC/T2039-2010标准</w:t>
            </w:r>
            <w:r>
              <w:rPr>
                <w:color w:val="auto"/>
                <w:sz w:val="20"/>
                <w:szCs w:val="20"/>
              </w:rPr>
              <w:t>，</w:t>
            </w:r>
            <w:r>
              <w:rPr>
                <w:rFonts w:hint="eastAsia"/>
                <w:color w:val="auto"/>
                <w:sz w:val="20"/>
                <w:szCs w:val="20"/>
                <w:lang w:eastAsia="zh-CN"/>
              </w:rPr>
              <w:t>满足</w:t>
            </w:r>
            <w:r>
              <w:rPr>
                <w:rFonts w:hint="eastAsia"/>
                <w:color w:val="auto"/>
                <w:sz w:val="20"/>
                <w:szCs w:val="20"/>
              </w:rPr>
              <w:t>：</w:t>
            </w:r>
            <w:r>
              <w:rPr>
                <w:color w:val="auto"/>
                <w:sz w:val="20"/>
                <w:szCs w:val="20"/>
              </w:rPr>
              <w:t>大肠杆菌</w:t>
            </w:r>
            <w:r>
              <w:rPr>
                <w:rFonts w:hint="eastAsia"/>
                <w:color w:val="auto"/>
                <w:sz w:val="20"/>
                <w:szCs w:val="20"/>
              </w:rPr>
              <w:t>、</w:t>
            </w:r>
            <w:r>
              <w:rPr>
                <w:color w:val="auto"/>
                <w:sz w:val="20"/>
                <w:szCs w:val="20"/>
              </w:rPr>
              <w:t>金黄色葡萄球菌</w:t>
            </w:r>
            <w:r>
              <w:rPr>
                <w:rFonts w:hint="eastAsia"/>
                <w:color w:val="auto"/>
                <w:sz w:val="20"/>
                <w:szCs w:val="20"/>
              </w:rPr>
              <w:t>、</w:t>
            </w:r>
            <w:r>
              <w:rPr>
                <w:color w:val="auto"/>
                <w:sz w:val="20"/>
                <w:szCs w:val="20"/>
              </w:rPr>
              <w:t>肺炎克雷伯氏菌</w:t>
            </w:r>
            <w:r>
              <w:rPr>
                <w:rFonts w:hint="eastAsia"/>
                <w:color w:val="auto"/>
                <w:sz w:val="20"/>
                <w:szCs w:val="20"/>
              </w:rPr>
              <w:t>、鼠伤寒沙门氏菌、</w:t>
            </w:r>
            <w:r>
              <w:rPr>
                <w:color w:val="auto"/>
                <w:sz w:val="20"/>
                <w:szCs w:val="20"/>
              </w:rPr>
              <w:t>表皮葡萄球菌</w:t>
            </w:r>
            <w:r>
              <w:rPr>
                <w:rFonts w:hint="eastAsia"/>
                <w:color w:val="auto"/>
                <w:sz w:val="20"/>
                <w:szCs w:val="20"/>
              </w:rPr>
              <w:t>、</w:t>
            </w:r>
            <w:r>
              <w:rPr>
                <w:color w:val="auto"/>
                <w:sz w:val="20"/>
                <w:szCs w:val="20"/>
              </w:rPr>
              <w:t>铜绿假单胞菌</w:t>
            </w:r>
            <w:r>
              <w:rPr>
                <w:rFonts w:hint="eastAsia"/>
                <w:color w:val="auto"/>
                <w:sz w:val="20"/>
                <w:szCs w:val="20"/>
              </w:rPr>
              <w:t>、宋氏志贺氏菌、白色葡萄球菌、粪肠球菌</w:t>
            </w:r>
            <w:r>
              <w:rPr>
                <w:color w:val="auto"/>
                <w:sz w:val="20"/>
                <w:szCs w:val="20"/>
              </w:rPr>
              <w:t>；</w:t>
            </w:r>
            <w:r>
              <w:rPr>
                <w:rFonts w:hint="eastAsia"/>
                <w:color w:val="auto"/>
                <w:sz w:val="20"/>
                <w:szCs w:val="20"/>
              </w:rPr>
              <w:t>耐甲氧西林金黄色葡萄球菌、单核细胞增生李斯特氏菌、变异库克菌、溶血性链球菌等</w:t>
            </w:r>
            <w:r>
              <w:rPr>
                <w:rFonts w:ascii="宋体" w:hAnsi="宋体" w:cs="宋体"/>
                <w:color w:val="auto"/>
                <w:spacing w:val="-3"/>
                <w:sz w:val="20"/>
                <w:szCs w:val="20"/>
              </w:rPr>
              <w:t>不少于</w:t>
            </w:r>
            <w:r>
              <w:rPr>
                <w:rFonts w:ascii="宋体" w:hAnsi="宋体" w:cs="宋体"/>
                <w:color w:val="auto"/>
                <w:spacing w:val="-45"/>
                <w:sz w:val="20"/>
                <w:szCs w:val="20"/>
              </w:rPr>
              <w:t xml:space="preserve"> </w:t>
            </w:r>
            <w:r>
              <w:rPr>
                <w:rFonts w:hint="eastAsia" w:ascii="宋体" w:hAnsi="宋体" w:cs="宋体"/>
                <w:color w:val="auto"/>
                <w:spacing w:val="-3"/>
                <w:sz w:val="20"/>
                <w:szCs w:val="20"/>
              </w:rPr>
              <w:t>13</w:t>
            </w:r>
            <w:r>
              <w:rPr>
                <w:rFonts w:ascii="宋体" w:hAnsi="宋体" w:cs="宋体"/>
                <w:color w:val="auto"/>
                <w:spacing w:val="-46"/>
                <w:sz w:val="20"/>
                <w:szCs w:val="20"/>
              </w:rPr>
              <w:t xml:space="preserve"> </w:t>
            </w:r>
            <w:r>
              <w:rPr>
                <w:rFonts w:ascii="宋体" w:hAnsi="宋体" w:cs="宋体"/>
                <w:color w:val="auto"/>
                <w:spacing w:val="-3"/>
                <w:sz w:val="20"/>
                <w:szCs w:val="20"/>
              </w:rPr>
              <w:t>种</w:t>
            </w:r>
            <w:r>
              <w:rPr>
                <w:rFonts w:ascii="宋体" w:hAnsi="宋体" w:cs="宋体"/>
                <w:color w:val="auto"/>
                <w:spacing w:val="-2"/>
                <w:sz w:val="20"/>
                <w:szCs w:val="20"/>
              </w:rPr>
              <w:t>的菌种检测</w:t>
            </w:r>
            <w:r>
              <w:rPr>
                <w:rFonts w:hint="eastAsia" w:ascii="宋体" w:hAnsi="宋体" w:cs="宋体"/>
                <w:color w:val="auto"/>
                <w:spacing w:val="-2"/>
                <w:sz w:val="20"/>
                <w:szCs w:val="20"/>
              </w:rPr>
              <w:t>，且</w:t>
            </w:r>
            <w:r>
              <w:rPr>
                <w:rFonts w:ascii="宋体" w:hAnsi="宋体" w:cs="宋体"/>
                <w:color w:val="auto"/>
                <w:spacing w:val="-2"/>
                <w:sz w:val="20"/>
                <w:szCs w:val="20"/>
              </w:rPr>
              <w:t>抗菌率</w:t>
            </w:r>
            <w:r>
              <w:rPr>
                <w:rFonts w:hint="eastAsia"/>
                <w:color w:val="auto"/>
                <w:sz w:val="20"/>
                <w:szCs w:val="20"/>
              </w:rPr>
              <w:t>≥</w:t>
            </w:r>
            <w:r>
              <w:rPr>
                <w:rFonts w:ascii="宋体" w:hAnsi="宋体" w:cs="宋体"/>
                <w:color w:val="auto"/>
                <w:spacing w:val="-2"/>
                <w:sz w:val="20"/>
                <w:szCs w:val="20"/>
              </w:rPr>
              <w:t>9</w:t>
            </w:r>
            <w:r>
              <w:rPr>
                <w:rFonts w:hint="eastAsia" w:ascii="宋体" w:hAnsi="宋体" w:cs="宋体"/>
                <w:color w:val="auto"/>
                <w:spacing w:val="-2"/>
                <w:sz w:val="20"/>
                <w:szCs w:val="20"/>
              </w:rPr>
              <w:t>5</w:t>
            </w:r>
            <w:r>
              <w:rPr>
                <w:rFonts w:ascii="宋体" w:hAnsi="宋体" w:cs="宋体"/>
                <w:color w:val="auto"/>
                <w:spacing w:val="-2"/>
                <w:sz w:val="20"/>
                <w:szCs w:val="20"/>
              </w:rPr>
              <w:t>%</w:t>
            </w:r>
            <w:r>
              <w:rPr>
                <w:rFonts w:hint="eastAsia" w:ascii="宋体" w:hAnsi="宋体" w:cs="宋体"/>
                <w:color w:val="auto"/>
                <w:spacing w:val="-2"/>
                <w:sz w:val="20"/>
                <w:szCs w:val="20"/>
              </w:rPr>
              <w:t>。</w:t>
            </w:r>
          </w:p>
          <w:p w14:paraId="1CE703E8">
            <w:pPr>
              <w:rPr>
                <w:color w:val="auto"/>
                <w:sz w:val="20"/>
                <w:szCs w:val="20"/>
              </w:rPr>
            </w:pPr>
            <w:r>
              <w:rPr>
                <w:rFonts w:hint="eastAsia" w:asciiTheme="minorEastAsia" w:hAnsiTheme="minorEastAsia" w:cstheme="minorEastAsia"/>
                <w:color w:val="auto"/>
                <w:sz w:val="20"/>
                <w:szCs w:val="20"/>
              </w:rPr>
              <w:t>（5）</w:t>
            </w:r>
            <w:r>
              <w:rPr>
                <w:rFonts w:hint="eastAsia"/>
                <w:bCs/>
                <w:color w:val="auto"/>
                <w:sz w:val="20"/>
                <w:szCs w:val="20"/>
              </w:rPr>
              <w:t>防霉性能检测：</w:t>
            </w:r>
            <w:r>
              <w:rPr>
                <w:rFonts w:hint="eastAsia"/>
                <w:color w:val="auto"/>
                <w:sz w:val="20"/>
                <w:szCs w:val="20"/>
              </w:rPr>
              <w:t>台面</w:t>
            </w:r>
            <w:r>
              <w:rPr>
                <w:rFonts w:hint="eastAsia"/>
                <w:color w:val="auto"/>
                <w:sz w:val="20"/>
                <w:szCs w:val="20"/>
                <w:lang w:eastAsia="zh-CN"/>
              </w:rPr>
              <w:t>参照</w:t>
            </w:r>
            <w:r>
              <w:rPr>
                <w:rFonts w:hint="eastAsia"/>
                <w:color w:val="auto"/>
                <w:sz w:val="20"/>
                <w:szCs w:val="20"/>
              </w:rPr>
              <w:t>JC/T2039-2010标准</w:t>
            </w:r>
            <w:r>
              <w:rPr>
                <w:color w:val="auto"/>
                <w:sz w:val="20"/>
                <w:szCs w:val="20"/>
              </w:rPr>
              <w:t>，</w:t>
            </w:r>
            <w:r>
              <w:rPr>
                <w:rFonts w:hint="eastAsia"/>
                <w:color w:val="auto"/>
                <w:sz w:val="20"/>
                <w:szCs w:val="20"/>
                <w:lang w:eastAsia="zh-CN"/>
              </w:rPr>
              <w:t>满足</w:t>
            </w:r>
            <w:r>
              <w:rPr>
                <w:rFonts w:hint="eastAsia"/>
                <w:color w:val="auto"/>
                <w:sz w:val="20"/>
                <w:szCs w:val="20"/>
              </w:rPr>
              <w:t>：黑曲霉、土曲霉、球毛壳霉、宛氏拟青霉、绳状青霉、出芽短梗霉等不少于</w:t>
            </w:r>
            <w:r>
              <w:rPr>
                <w:rFonts w:hint="eastAsia"/>
                <w:color w:val="auto"/>
                <w:sz w:val="20"/>
                <w:szCs w:val="20"/>
                <w:lang w:val="en-US" w:eastAsia="zh-CN"/>
              </w:rPr>
              <w:t>10</w:t>
            </w:r>
            <w:r>
              <w:rPr>
                <w:rFonts w:hint="eastAsia"/>
                <w:color w:val="auto"/>
                <w:sz w:val="20"/>
                <w:szCs w:val="20"/>
              </w:rPr>
              <w:t>种的霉菌检测，且</w:t>
            </w:r>
            <w:r>
              <w:rPr>
                <w:rFonts w:hint="eastAsia"/>
                <w:bCs/>
                <w:color w:val="auto"/>
                <w:sz w:val="20"/>
                <w:szCs w:val="20"/>
              </w:rPr>
              <w:t>防霉等级为0级。</w:t>
            </w:r>
          </w:p>
          <w:p w14:paraId="7CF8A3D6">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Theme="minorEastAsia" w:hAnsiTheme="minorEastAsia" w:cstheme="minorEastAsia"/>
                <w:color w:val="auto"/>
                <w:sz w:val="20"/>
                <w:szCs w:val="20"/>
              </w:rPr>
              <w:t>（6）</w:t>
            </w:r>
            <w:r>
              <w:rPr>
                <w:color w:val="auto"/>
                <w:sz w:val="20"/>
                <w:szCs w:val="20"/>
              </w:rPr>
              <w:t>燃</w:t>
            </w:r>
            <w:r>
              <w:rPr>
                <w:rFonts w:hint="eastAsia"/>
                <w:color w:val="auto"/>
                <w:sz w:val="20"/>
                <w:szCs w:val="20"/>
              </w:rPr>
              <w:t>烧</w:t>
            </w:r>
            <w:r>
              <w:rPr>
                <w:color w:val="auto"/>
                <w:sz w:val="20"/>
                <w:szCs w:val="20"/>
              </w:rPr>
              <w:t>性能检测：台面</w:t>
            </w:r>
            <w:r>
              <w:rPr>
                <w:rFonts w:hint="eastAsia"/>
                <w:color w:val="auto"/>
                <w:sz w:val="20"/>
                <w:szCs w:val="20"/>
                <w:lang w:eastAsia="zh-CN"/>
              </w:rPr>
              <w:t>参照</w:t>
            </w:r>
            <w:r>
              <w:rPr>
                <w:rFonts w:hint="eastAsia"/>
                <w:color w:val="auto"/>
                <w:sz w:val="20"/>
                <w:szCs w:val="20"/>
              </w:rPr>
              <w:t>GB/T 2408-20</w:t>
            </w:r>
            <w:r>
              <w:rPr>
                <w:rFonts w:hint="eastAsia"/>
                <w:color w:val="auto"/>
                <w:sz w:val="20"/>
                <w:szCs w:val="20"/>
                <w:lang w:val="en-US" w:eastAsia="zh-CN"/>
              </w:rPr>
              <w:t>21</w:t>
            </w:r>
            <w:r>
              <w:rPr>
                <w:rFonts w:hint="eastAsia"/>
                <w:color w:val="auto"/>
                <w:sz w:val="20"/>
                <w:szCs w:val="20"/>
              </w:rPr>
              <w:t>《塑料</w:t>
            </w:r>
            <w:r>
              <w:rPr>
                <w:rFonts w:hint="eastAsia"/>
                <w:color w:val="auto"/>
                <w:sz w:val="20"/>
                <w:szCs w:val="20"/>
                <w:lang w:val="en-US" w:eastAsia="zh-CN"/>
              </w:rPr>
              <w:t xml:space="preserve"> </w:t>
            </w:r>
            <w:r>
              <w:rPr>
                <w:rFonts w:hint="eastAsia"/>
                <w:color w:val="auto"/>
                <w:sz w:val="20"/>
                <w:szCs w:val="20"/>
              </w:rPr>
              <w:t>燃烧性能的测定</w:t>
            </w:r>
            <w:r>
              <w:rPr>
                <w:rFonts w:hint="eastAsia"/>
                <w:color w:val="auto"/>
                <w:sz w:val="20"/>
                <w:szCs w:val="20"/>
                <w:lang w:val="en-US" w:eastAsia="zh-CN"/>
              </w:rPr>
              <w:t xml:space="preserve"> </w:t>
            </w:r>
            <w:r>
              <w:rPr>
                <w:rFonts w:hint="eastAsia"/>
                <w:color w:val="auto"/>
                <w:sz w:val="20"/>
                <w:szCs w:val="20"/>
              </w:rPr>
              <w:t>水平法和垂直法》标准，满足：水平燃烧符合HB级；垂直燃烧符合V-0级；台面参照GB8624-2012《建筑材料及制品燃烧性能分级》标准，满足：</w:t>
            </w:r>
            <w:r>
              <w:rPr>
                <w:color w:val="auto"/>
                <w:sz w:val="20"/>
                <w:szCs w:val="20"/>
              </w:rPr>
              <w:t>燃烧性能等级B1级</w:t>
            </w:r>
            <w:r>
              <w:rPr>
                <w:rFonts w:hint="eastAsia"/>
                <w:color w:val="auto"/>
                <w:sz w:val="20"/>
                <w:szCs w:val="20"/>
              </w:rPr>
              <w:t>；产烟特性等级S1级；燃烧滴落物/微粒等级d0级。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结构：工字型，铝塑钢混合结构，学生位镂空式。</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采用塑铝结构，规格≥L580mm×W60mm×H770mm由上脚、下脚、立柱、装饰盖组成，整体呈“工”字型。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前横梁：截面规格≥L30mm×W25mm，铝合金壁厚≥1.0mm，截面应为扇形，弧面朝向学生位，整体模具一体成型。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中横梁：截面规格≥L30mm×W28mm，铝合金壁厚≥1.0mm。整体模具一体成型。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后横梁：截面规格≥L30mm×W80mm，铝合金壁厚≥1.0mm。在前横梁基础上，设置防跌落阻拦边，高度≥50mm，阻拦边和后横梁模具一体成型，阻拦边上部圆弧设计。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大横梁：采用≥L60mm×W30mm椭圆管件，壁厚≥2mm。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书包斗：规格≥L490mm×W300mm×H170mm，壁厚≥3.0mm，边缘拉筋设计，可视厚度≥7.0mm，拉筋壁厚≥4.0mm。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▲整体参照GB/T 21747-2008力学性能要求，理化性能要求，甲醛释放量。测试结果符合指标要求。（备注：为确保产品质量，需提供第三方检测机构出具的检测报告扫描件。）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▲铝合金参照GB/T 6892-2023抗拉强度符合检测要求；中性盐雾试验24h符合检测要求。（备注：为确保产品质量，需提供第三方检测机构出具的检测报告扫描件。）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7653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E088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5969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0DE6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2427C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156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484CA">
            <w:pPr>
              <w:jc w:val="left"/>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四、顶部集成供给系统</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D4CCF">
            <w:pPr>
              <w:jc w:val="center"/>
              <w:rPr>
                <w:rFonts w:hint="eastAsia" w:ascii="宋体" w:hAnsi="宋体" w:eastAsia="宋体" w:cs="宋体"/>
                <w:b w:val="0"/>
                <w:bCs w:val="0"/>
                <w:i w:val="0"/>
                <w:iCs w:val="0"/>
                <w:color w:val="auto"/>
                <w:sz w:val="20"/>
                <w:szCs w:val="20"/>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27BD5">
            <w:pPr>
              <w:jc w:val="both"/>
              <w:rPr>
                <w:rFonts w:hint="eastAsia" w:ascii="宋体" w:hAnsi="宋体" w:eastAsia="宋体" w:cs="宋体"/>
                <w:b w:val="0"/>
                <w:bCs w:val="0"/>
                <w:i w:val="0"/>
                <w:iCs w:val="0"/>
                <w:color w:val="auto"/>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2E859">
            <w:pPr>
              <w:jc w:val="center"/>
              <w:rPr>
                <w:rFonts w:hint="eastAsia" w:ascii="宋体" w:hAnsi="宋体" w:eastAsia="宋体" w:cs="宋体"/>
                <w:b w:val="0"/>
                <w:bCs w:val="0"/>
                <w:i w:val="0"/>
                <w:iCs w:val="0"/>
                <w:color w:val="auto"/>
                <w:sz w:val="20"/>
                <w:szCs w:val="20"/>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654B7">
            <w:pPr>
              <w:jc w:val="center"/>
              <w:rPr>
                <w:rFonts w:hint="eastAsia" w:ascii="宋体" w:hAnsi="宋体" w:eastAsia="宋体" w:cs="宋体"/>
                <w:b w:val="0"/>
                <w:bCs w:val="0"/>
                <w:i w:val="0"/>
                <w:iCs w:val="0"/>
                <w:color w:val="auto"/>
                <w:sz w:val="20"/>
                <w:szCs w:val="20"/>
                <w:u w:val="none"/>
              </w:rPr>
            </w:pPr>
          </w:p>
        </w:tc>
      </w:tr>
      <w:tr w14:paraId="74717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26CE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C739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主体框架</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B24E2">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尺寸：≥1200mm*500mm*200mm，采用标准模块化组成,整体采用冷轧钢板，表面经环氧树脂粉末喷涂高温固化处理。要做到承重性能强和耐酸碱、耐腐蚀。</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807F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49B2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BD52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42BD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702F7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8FA7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C955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主体封闭端头</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1E7F6">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尺寸：≥500mm*600mm*250mm，整体采用ABS材料，一体成型。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▲主体封闭端头参照GB/T 32487-2016：理化性能：塑料件耐冷热循环：无裂纹、鼓泡、变色、起皱。塑料件硬度：邵氏D硬度≥HD63；有害物质限量：邻苯二甲酸酯（DBP、BBP、DEHP、DNOP、DINP、DIDP）≤0.1%。（备注：为确保产品质量，需提供第三方检测机构出具的检测报告扫描件并加盖公章。）</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7FBA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317E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ABAE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CFE4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03E37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E5F0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1161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智能摇臂模块</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6F33C">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尺寸：≥70mm*50mm*600mm，摇臂接收智能控制系统信号实现远程遥控，助力升降推杆动力采用直流24V减速低压电机，连接杆采用一体成型，功能模块采用注塑模具一体成型，形状为长方形设计，功能模块可安装高低压电源（低压电源为交直流，可以显示交直流电压）、急停开关，预留网络模块。系统自带障碍物保护功能，具有防夹，防卡功能，具有过流保护功能。</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8923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5B64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组</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1D04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D2EA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5CF00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7E07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4</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E86F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实验电源</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CB97A">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1、高压实验电源模块内含新国标插座，2个220V五孔插座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2、低压实验电源模块采用耐磨、耐腐蚀、耐高温的PC亮光薄膜面板，控制采用功能按钮，可以随意设置电压，准确、快捷。贴片元件生产技术，微电脑控制。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3、学生低压实验电源都可接收主控电源发送的锁定信号，在锁定标识显示后，学生接收教师输送的设定电源电压，教师锁定时，学生自己无法操作，这样可避免学生的误操作。可以分组或独立控制。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4、电源配置OLED屏，显示电压，电流，温度，湿度等信息。</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5、直流稳压输出：交直流电源具有过载保护智能检测功能，显示“OVER”过载短路保护提示。采用按钮复位功能免除反复过载冲击负载。</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6、搭配485网络模块接口，即插即用。</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0AA2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28DE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组</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A426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B798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14025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44DF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5</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6F45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保护模块</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B6225">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保护模块在系统出现异常时，自动切断电源，确保安全性。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急停装置采用铝合金材质，在系统出现故障时可手动紧急自动，确保安全性。</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E51A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A727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组</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141A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1C80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2C85A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D4D8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6</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288A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智能照明</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A1ECA">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接收智能化控制系统控制，配置LED日光灯不低于1根，每根不低于15W，灯罩采用PC一次成型，设计安装磨砂透明均光板。</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93ED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D225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组</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1B30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E08D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7DA50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156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12ACC">
            <w:pPr>
              <w:jc w:val="left"/>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五、安装附件部分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6F2C4">
            <w:pPr>
              <w:jc w:val="center"/>
              <w:rPr>
                <w:rFonts w:hint="eastAsia" w:ascii="宋体" w:hAnsi="宋体" w:eastAsia="宋体" w:cs="宋体"/>
                <w:b w:val="0"/>
                <w:bCs w:val="0"/>
                <w:i w:val="0"/>
                <w:iCs w:val="0"/>
                <w:color w:val="auto"/>
                <w:sz w:val="20"/>
                <w:szCs w:val="20"/>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82062">
            <w:pPr>
              <w:jc w:val="both"/>
              <w:rPr>
                <w:rFonts w:hint="eastAsia" w:ascii="宋体" w:hAnsi="宋体" w:eastAsia="宋体" w:cs="宋体"/>
                <w:b w:val="0"/>
                <w:bCs w:val="0"/>
                <w:i w:val="0"/>
                <w:iCs w:val="0"/>
                <w:color w:val="auto"/>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51042">
            <w:pPr>
              <w:jc w:val="center"/>
              <w:rPr>
                <w:rFonts w:hint="eastAsia" w:ascii="宋体" w:hAnsi="宋体" w:eastAsia="宋体" w:cs="宋体"/>
                <w:b w:val="0"/>
                <w:bCs w:val="0"/>
                <w:i w:val="0"/>
                <w:iCs w:val="0"/>
                <w:color w:val="auto"/>
                <w:sz w:val="20"/>
                <w:szCs w:val="20"/>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7A6DF">
            <w:pPr>
              <w:jc w:val="center"/>
              <w:rPr>
                <w:rFonts w:hint="eastAsia" w:ascii="宋体" w:hAnsi="宋体" w:eastAsia="宋体" w:cs="宋体"/>
                <w:b w:val="0"/>
                <w:bCs w:val="0"/>
                <w:i w:val="0"/>
                <w:iCs w:val="0"/>
                <w:color w:val="auto"/>
                <w:sz w:val="20"/>
                <w:szCs w:val="20"/>
                <w:u w:val="none"/>
              </w:rPr>
            </w:pPr>
          </w:p>
        </w:tc>
      </w:tr>
      <w:tr w14:paraId="3916F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0088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9522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吊装安装辅件</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70A6C">
            <w:pPr>
              <w:keepNext w:val="0"/>
              <w:keepLines w:val="0"/>
              <w:widowControl/>
              <w:numPr>
                <w:ilvl w:val="0"/>
                <w:numId w:val="1"/>
              </w:numPr>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采用双槽钢横梁吊装方式，减少楼板承重，防止左右晃动，可进行上下、左右的平衡调节；</w:t>
            </w:r>
          </w:p>
          <w:p w14:paraId="78E52B50">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2、主要辅件有：①三角构件：定制吊装专用三角承重构件，60mm×60mm×80mm（直角边×斜边），板材厚度≥6mm，带Φ12mm吊孔+Φ9mm安装孔，满焊成型后打磨无毛刺；数量：48个；</w:t>
            </w:r>
          </w:p>
          <w:p w14:paraId="02AF57E3">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2"/>
                <w:sz w:val="20"/>
                <w:szCs w:val="20"/>
                <w:lang w:val="en-US" w:eastAsia="zh-CN" w:bidi="ar-SA"/>
              </w:rPr>
              <w:t>②</w:t>
            </w:r>
            <w:r>
              <w:rPr>
                <w:rFonts w:hint="eastAsia" w:ascii="宋体" w:hAnsi="宋体" w:eastAsia="宋体" w:cs="宋体"/>
                <w:b w:val="0"/>
                <w:bCs w:val="0"/>
                <w:i w:val="0"/>
                <w:iCs w:val="0"/>
                <w:color w:val="auto"/>
                <w:kern w:val="0"/>
                <w:sz w:val="20"/>
                <w:szCs w:val="20"/>
                <w:u w:val="none"/>
                <w:lang w:val="en-US" w:eastAsia="zh-CN" w:bidi="ar"/>
              </w:rPr>
              <w:t>直角座：L型加厚直角固定座，80mm×80mm×10mm（边长×厚度），四角带Φ10mm沉头安装孔，模具一体冲压成型；数量：96个。</w:t>
            </w:r>
          </w:p>
          <w:p w14:paraId="341C5ED9">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③龙骨架连接件：T型龙骨架专用连接件，适配实验室30mm×40mm主龙骨，板材厚度≥5mm，带快装卡扣+Φ8mm螺栓孔；数量：48个</w:t>
            </w:r>
          </w:p>
          <w:p w14:paraId="358AA2F0">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④吊装挂件：C型槽钢专用吊装挂件，适配10#主承重槽钢，开口宽度50mm，板材厚度≥5mm，带防滑卡齿+Φ10mm紧固孔；数量：48个</w:t>
            </w:r>
          </w:p>
          <w:p w14:paraId="337418D2">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⑤安装连接板：平板式通用安装连接板，150mm×80mm×5mm（长×宽×厚），两侧各3个Φ9mm对称安装孔，边缘倒角处理；数量：60个（含施工冗余）</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8B11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4240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D1FE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FD7F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08E16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6782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E194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电源布线耗材</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CF789">
            <w:pPr>
              <w:keepNext w:val="0"/>
              <w:keepLines w:val="0"/>
              <w:widowControl/>
              <w:suppressLineNumbers w:val="0"/>
              <w:jc w:val="left"/>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预埋耗材：模块化设计，每组模块间采用活接式连接，方便安装、检修。采用不低于2.5mm²电线进行系统布线，数量：200米</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851F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A745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D3BD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F4C1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487FC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26BE8">
            <w:pPr>
              <w:keepNext w:val="0"/>
              <w:keepLines w:val="0"/>
              <w:widowControl/>
              <w:suppressLineNumbers w:val="0"/>
              <w:jc w:val="center"/>
              <w:textAlignment w:val="center"/>
              <w:rPr>
                <w:rFonts w:hint="default"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2596C">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形象设计与实施</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66FE6">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一、顶部及地面设施设备（实验室86㎡）</w:t>
            </w:r>
          </w:p>
          <w:p w14:paraId="652E850C">
            <w:pPr>
              <w:keepNext w:val="0"/>
              <w:keepLines w:val="0"/>
              <w:widowControl/>
              <w:suppressLineNumbers w:val="0"/>
              <w:jc w:val="left"/>
              <w:textAlignment w:val="center"/>
              <w:rPr>
                <w:rFonts w:hint="default"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1. 竹木纤维板86㎡</w:t>
            </w:r>
          </w:p>
          <w:p w14:paraId="0EE3B295">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规格：厚度≥8mm，宽度≤30cm，环保等级E1级（甲醛释放量≤0.124mg/m³），防火等级B1级。</w:t>
            </w:r>
          </w:p>
          <w:p w14:paraId="418268BE">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安装：用自攻螺丝固定于支架，接缝留1-2mm，填缝剂处理；表面平整无划痕，收边条与墙面贴合紧密。</w:t>
            </w:r>
          </w:p>
          <w:p w14:paraId="0A95E536">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2. 支架</w:t>
            </w:r>
          </w:p>
          <w:p w14:paraId="3EA8B1C4">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材质：热镀锌轻钢支架，主支架厚度≥0.8mm，副支架厚度≥0.6mm，吊杆直径≥8mm，符合GB/T 11981标准。</w:t>
            </w:r>
          </w:p>
          <w:p w14:paraId="40005558">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安装：间距主支架≤100cm，副支架≤60cm，吊杆间距≤120cm；整体调平，平整度误差≤3mm，牢固无晃动，预留灯具位置。</w:t>
            </w:r>
          </w:p>
          <w:p w14:paraId="040A7E92">
            <w:pPr>
              <w:keepNext w:val="0"/>
              <w:keepLines w:val="0"/>
              <w:widowControl/>
              <w:suppressLineNumbers w:val="0"/>
              <w:jc w:val="left"/>
              <w:textAlignment w:val="center"/>
              <w:rPr>
                <w:rFonts w:hint="default"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3. 地面</w:t>
            </w:r>
          </w:p>
          <w:p w14:paraId="25065D36">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开槽：深度≥管线直径+2cm，宽度适配管线数量，避免破坏基层；开槽后清理杂物。</w:t>
            </w:r>
          </w:p>
          <w:p w14:paraId="312B7FB0">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布线：强电用BV铜芯线不低于（2.5/4平方）、PVC穿线管（直径≥20mm）；弱电穿管隔离，强弱电管间距≥30cm；管线固定牢固。</w:t>
            </w:r>
          </w:p>
          <w:p w14:paraId="0816524C">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回填：用1:3水泥砂浆分层压实，与原地面平齐，养护至少3天防裂。</w:t>
            </w:r>
          </w:p>
          <w:p w14:paraId="7985D5A5">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4. 自流平+地胶86㎡</w:t>
            </w:r>
          </w:p>
          <w:p w14:paraId="361A0777">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自流平：水泥基材料，厚度≥3mm，平整度误差≤2mm，干燥后无起砂、空鼓。</w:t>
            </w:r>
          </w:p>
          <w:p w14:paraId="348D85FE">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地胶：PVC材质，厚度≥2mm，环保等级E1级，耐磨系数≥T级，防火等级B1级；接缝热熔焊接，与墙面留不大于5mm伸缩缝，表面防滑、易清洁。</w:t>
            </w:r>
          </w:p>
          <w:p w14:paraId="109B95E3">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二、墙面设施设备</w:t>
            </w:r>
          </w:p>
          <w:p w14:paraId="3037A555">
            <w:pPr>
              <w:keepNext w:val="0"/>
              <w:keepLines w:val="0"/>
              <w:widowControl/>
              <w:suppressLineNumbers w:val="0"/>
              <w:jc w:val="left"/>
              <w:textAlignment w:val="center"/>
              <w:rPr>
                <w:rFonts w:hint="default"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1. 找平刮白114㎡</w:t>
            </w:r>
          </w:p>
          <w:p w14:paraId="7742173A">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基层处理：铲除空鼓、浮灰，裂缝用腻子修补，墙面垂直度误差≤3mm。</w:t>
            </w:r>
          </w:p>
          <w:p w14:paraId="1B3E1205">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刮白：环保腻子（E1级）批刮3遍，每遍干透后用240目砂纸打磨，最后刷白色环保乳胶漆（哑光，耐擦洗≥3000次），表面均匀无刷痕。</w:t>
            </w:r>
          </w:p>
          <w:p w14:paraId="7D6D4932">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2. 文化建设</w:t>
            </w:r>
          </w:p>
          <w:p w14:paraId="7A5CDFBB">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内容：理化生学科相关标语、公式、实验安全规范（文字+图标）。</w:t>
            </w:r>
          </w:p>
          <w:p w14:paraId="28BBD3EC">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形式：UV喷绘（覆耐磨膜），粘贴于指定墙面（高度1.5-2.2m），平整无气泡，与墙面贴合牢固，色彩持久。</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2A69E">
            <w:pPr>
              <w:keepNext w:val="0"/>
              <w:keepLines w:val="0"/>
              <w:widowControl/>
              <w:suppressLineNumbers w:val="0"/>
              <w:jc w:val="center"/>
              <w:textAlignment w:val="center"/>
              <w:rPr>
                <w:rFonts w:hint="default"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93184">
            <w:pPr>
              <w:keepNext w:val="0"/>
              <w:keepLines w:val="0"/>
              <w:widowControl/>
              <w:suppressLineNumbers w:val="0"/>
              <w:jc w:val="center"/>
              <w:textAlignment w:val="center"/>
              <w:rPr>
                <w:rFonts w:hint="default"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间</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C9237">
            <w:pPr>
              <w:keepNext w:val="0"/>
              <w:keepLines w:val="0"/>
              <w:widowControl/>
              <w:suppressLineNumbers w:val="0"/>
              <w:jc w:val="center"/>
              <w:textAlignment w:val="center"/>
              <w:rPr>
                <w:rFonts w:hint="default" w:ascii="宋体" w:hAnsi="宋体" w:eastAsia="宋体" w:cs="宋体"/>
                <w:b w:val="0"/>
                <w:bCs w:val="0"/>
                <w:i w:val="0"/>
                <w:iCs w:val="0"/>
                <w:color w:val="auto"/>
                <w:kern w:val="0"/>
                <w:sz w:val="20"/>
                <w:szCs w:val="20"/>
                <w:u w:val="none"/>
                <w:lang w:val="en-US" w:eastAsia="zh-CN" w:bidi="ar"/>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F4E3A">
            <w:pPr>
              <w:keepNext w:val="0"/>
              <w:keepLines w:val="0"/>
              <w:widowControl/>
              <w:suppressLineNumbers w:val="0"/>
              <w:jc w:val="center"/>
              <w:textAlignment w:val="center"/>
              <w:rPr>
                <w:rFonts w:hint="default" w:ascii="宋体" w:hAnsi="宋体" w:eastAsia="宋体" w:cs="宋体"/>
                <w:b w:val="0"/>
                <w:bCs w:val="0"/>
                <w:i w:val="0"/>
                <w:iCs w:val="0"/>
                <w:color w:val="auto"/>
                <w:kern w:val="0"/>
                <w:sz w:val="20"/>
                <w:szCs w:val="20"/>
                <w:u w:val="none"/>
                <w:lang w:val="en-US" w:eastAsia="zh-CN" w:bidi="ar"/>
              </w:rPr>
            </w:pPr>
          </w:p>
        </w:tc>
      </w:tr>
      <w:tr w14:paraId="0300B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6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F416E9">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合计</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F14B1">
            <w:pPr>
              <w:jc w:val="center"/>
              <w:rPr>
                <w:rFonts w:hint="eastAsia" w:ascii="宋体" w:hAnsi="宋体" w:eastAsia="宋体" w:cs="宋体"/>
                <w:b/>
                <w:bCs/>
                <w:i w:val="0"/>
                <w:iCs w:val="0"/>
                <w:color w:val="auto"/>
                <w:sz w:val="24"/>
                <w:szCs w:val="24"/>
                <w:u w:val="none"/>
              </w:rPr>
            </w:pPr>
          </w:p>
        </w:tc>
        <w:tc>
          <w:tcPr>
            <w:tcW w:w="285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E8699ED">
            <w:pPr>
              <w:keepNext w:val="0"/>
              <w:keepLines w:val="0"/>
              <w:widowControl/>
              <w:suppressLineNumbers w:val="0"/>
              <w:jc w:val="center"/>
              <w:textAlignment w:val="center"/>
              <w:rPr>
                <w:rFonts w:hint="default" w:ascii="宋体" w:hAnsi="宋体" w:eastAsia="宋体" w:cs="宋体"/>
                <w:b/>
                <w:bCs/>
                <w:i w:val="0"/>
                <w:iCs w:val="0"/>
                <w:color w:val="auto"/>
                <w:sz w:val="24"/>
                <w:szCs w:val="24"/>
                <w:u w:val="none"/>
                <w:lang w:val="en-US"/>
              </w:rPr>
            </w:pPr>
          </w:p>
        </w:tc>
      </w:tr>
    </w:tbl>
    <w:p w14:paraId="5D2769C1">
      <w:pPr>
        <w:rPr>
          <w:b w:val="0"/>
          <w:bCs w:val="0"/>
          <w:color w:val="auto"/>
        </w:rPr>
      </w:pPr>
    </w:p>
    <w:tbl>
      <w:tblPr>
        <w:tblStyle w:val="4"/>
        <w:tblW w:w="145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6"/>
        <w:gridCol w:w="930"/>
        <w:gridCol w:w="9945"/>
        <w:gridCol w:w="690"/>
        <w:gridCol w:w="645"/>
        <w:gridCol w:w="735"/>
        <w:gridCol w:w="907"/>
      </w:tblGrid>
      <w:tr w14:paraId="395EF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538" w:type="dxa"/>
            <w:gridSpan w:val="7"/>
            <w:tcBorders>
              <w:top w:val="single" w:color="000000" w:sz="4" w:space="0"/>
              <w:left w:val="single" w:color="000000" w:sz="4" w:space="0"/>
              <w:bottom w:val="nil"/>
              <w:right w:val="single" w:color="000000" w:sz="4" w:space="0"/>
            </w:tcBorders>
            <w:shd w:val="clear" w:color="auto" w:fill="auto"/>
            <w:noWrap/>
            <w:vAlign w:val="center"/>
          </w:tcPr>
          <w:p w14:paraId="59A73366">
            <w:pPr>
              <w:jc w:val="center"/>
              <w:rPr>
                <w:rFonts w:hint="eastAsia" w:ascii="宋体" w:hAnsi="宋体" w:eastAsia="宋体" w:cs="宋体"/>
                <w:b/>
                <w:bCs/>
                <w:i w:val="0"/>
                <w:iCs w:val="0"/>
                <w:color w:val="auto"/>
                <w:sz w:val="22"/>
                <w:szCs w:val="22"/>
                <w:u w:val="single"/>
              </w:rPr>
            </w:pPr>
            <w:r>
              <w:rPr>
                <w:rFonts w:hint="eastAsia" w:ascii="宋体" w:hAnsi="宋体" w:eastAsia="宋体" w:cs="宋体"/>
                <w:b/>
                <w:bCs/>
                <w:i w:val="0"/>
                <w:iCs w:val="0"/>
                <w:color w:val="auto"/>
                <w:kern w:val="0"/>
                <w:sz w:val="32"/>
                <w:szCs w:val="32"/>
                <w:u w:val="none"/>
                <w:lang w:val="en-US" w:eastAsia="zh-CN" w:bidi="ar"/>
              </w:rPr>
              <w:t>化学吊装实验室</w:t>
            </w:r>
          </w:p>
        </w:tc>
      </w:tr>
      <w:tr w14:paraId="1B8DD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8E13F">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59B1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名称</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CDB3F">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产品参数</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C650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3E8D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67828">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单价</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C56AA">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金额</w:t>
            </w:r>
          </w:p>
        </w:tc>
      </w:tr>
      <w:tr w14:paraId="1D649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156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A48FD">
            <w:pPr>
              <w:jc w:val="left"/>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一、教师控制演示区</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7C1DC">
            <w:pPr>
              <w:rPr>
                <w:rFonts w:hint="eastAsia" w:ascii="宋体" w:hAnsi="宋体" w:eastAsia="宋体" w:cs="宋体"/>
                <w:b w:val="0"/>
                <w:bCs w:val="0"/>
                <w:i w:val="0"/>
                <w:iCs w:val="0"/>
                <w:color w:val="auto"/>
                <w:sz w:val="20"/>
                <w:szCs w:val="20"/>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1EBBE">
            <w:pPr>
              <w:rPr>
                <w:rFonts w:hint="eastAsia" w:ascii="宋体" w:hAnsi="宋体" w:eastAsia="宋体" w:cs="宋体"/>
                <w:b w:val="0"/>
                <w:bCs w:val="0"/>
                <w:i w:val="0"/>
                <w:iCs w:val="0"/>
                <w:color w:val="auto"/>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BDECC">
            <w:pPr>
              <w:jc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8615B">
            <w:pPr>
              <w:jc w:val="center"/>
              <w:rPr>
                <w:rFonts w:hint="eastAsia" w:ascii="宋体" w:hAnsi="宋体" w:eastAsia="宋体" w:cs="宋体"/>
                <w:b w:val="0"/>
                <w:bCs w:val="0"/>
                <w:i w:val="0"/>
                <w:iCs w:val="0"/>
                <w:color w:val="auto"/>
                <w:sz w:val="20"/>
                <w:szCs w:val="20"/>
                <w:u w:val="none"/>
              </w:rPr>
            </w:pPr>
          </w:p>
        </w:tc>
      </w:tr>
      <w:tr w14:paraId="4186F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789C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68D5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教师展示设备</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top"/>
          </w:tcPr>
          <w:p w14:paraId="3C34C266">
            <w:pPr>
              <w:keepNext w:val="0"/>
              <w:keepLines w:val="0"/>
              <w:widowControl/>
              <w:suppressLineNumbers w:val="0"/>
              <w:jc w:val="left"/>
              <w:textAlignment w:val="top"/>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规格：≥2400mm×700mm×850mm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台面：采用≥25mm厚金属树脂高能理化板，具备耐酸碱，耐腐蚀，整体防水性能。</w:t>
            </w:r>
          </w:p>
          <w:p w14:paraId="2FA7687E">
            <w:pPr>
              <w:keepNext w:val="0"/>
              <w:keepLines w:val="0"/>
              <w:widowControl/>
              <w:suppressLineNumbers w:val="0"/>
              <w:jc w:val="left"/>
              <w:textAlignment w:val="top"/>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结构：全钢结构。</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采用一级冷轧钢板，环氧树脂静电粉末涂装处理。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设置电源专用抽屉位和水槽空位及水电通风管孔。</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侧边空位，配有专门装饰网板加固。</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固定脚：ABS注塑专用垫。</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669B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9EB3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EEB4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767D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780C4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CFF2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A405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水槽</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7CF78">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1、采用耐腐蚀PP材质，模具一次注塑成型，规格：外径≥440mm×330mm×200mm内径≥380mm×270mm×180mm，水槽厚度≥5 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2、水槽应具有耐酸碱、耐热、耐有机溶剂；排水口应有水封装置。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3、水槽应采取台下托底式安装（带支撑托架），水槽与台面间采用防水密封胶封闭，无漏水现象。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4、水槽配备的上水、下水均应隐蔽，专用下水管扣，使下水管防臭。</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5、给排水管必须连接可靠，避免因松动脱落造成漏水，引起电源短路，形成安全隐患。</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▲水槽参照GB/T 11547-2008：耐液体化学试剂性能24h：乙醇（10%）、油、盐水（10%），检测结果：外观无明显变化。（备注：为确保产品质量，需提供第三方检测机构出具的检测报告扫描件并加盖公章。）</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0593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ED20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CD5D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EB38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7A9500B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27B5D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2EBA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9407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三联水嘴</w:t>
            </w:r>
          </w:p>
        </w:tc>
        <w:tc>
          <w:tcPr>
            <w:tcW w:w="9945" w:type="dxa"/>
            <w:tcBorders>
              <w:top w:val="nil"/>
              <w:left w:val="nil"/>
              <w:bottom w:val="nil"/>
              <w:right w:val="nil"/>
            </w:tcBorders>
            <w:shd w:val="clear" w:color="auto" w:fill="auto"/>
            <w:vAlign w:val="center"/>
          </w:tcPr>
          <w:p w14:paraId="1D0D41C3">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1.主体：铜质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2.涂层：环氧树脂涂层，耐腐蚀、耐热，防紫外线辐射</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3.陶瓷阀芯90°旋转。</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4.鹅颈管可360°旋转</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5.开关旋钮：PP材质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BC62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5C3F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B244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5E3DFCB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004D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7AB02FB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432AB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8C03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5D95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洗眼器</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2E97C">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主体：加厚铜质；涂层：高亮度超厚电镀层，耐腐蚀、耐热；喷淋头：软性橡胶，出水经缓压处理呈泡沫状水柱，防止冲伤眼睛。防尘盖：PP材质使用时自动被水冲开；防尘盖：PP材质使用时自动被水冲开防尘盖：PP材质使用时自动被水冲开；开关：水流开启、水流锁定功能一次完成，方便使用；控水阀：止逆阀，其阀门可自动关闭；</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1075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BE5D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C720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79F2FAC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CC42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4128F7B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3C4A4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D76D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365E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教师专用吊装</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21030">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主体采用标准模块化组成,整体采用冷轧钢板，表面经环氧树脂粉末喷涂高温固化处理。外部保护罩使用铝合金型材，搭配ABS板。</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智能摇臂：摇臂接收智能控制系统信号实现远程遥控，动力采用直流24V减速低压电机，连接杆采用专用铝合金模具一体成型，内部水电分离，功能模块采用注塑模具一体成型，功能模块可安装高低压电源（低压电源为交直流，可以显示交直流电压）、急停开关、给排水及排风模块，可选配网络模块。</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1C4A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F438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569A0">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p>
          <w:p w14:paraId="34BB8BB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 </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A984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7D3AA1B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3D468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E330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FDAA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智能系统控制箱</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E67DD">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整体尺寸不大于：420mm×220mm×920mm(±5mm)。箱体厚度为不小于1.2mm冷轧钢板，表面光滑，不易变形，强度高等特点，静电喷涂环保粉末高温处理工艺，无有害物质，具有防腐性高；</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控制系统内置：控制器及功能扩展模块≥1套，保护模块≥1个,风机控制系统≥1套，急停控制系统≥1套；配有关键安全系统既长时间不操作，自动切断总电源。摇臂分组控制系统≥1套、照明分组控制系统≥1套、供排水分组控制系统≥1套。</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搭配≥10英寸高分辨率平板电脑，集中控制系统，可执行各选项控制（配一启动按钮开关和一急停开关）</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A、摇臂控制系统：教师通过控制系统或移动设备对全室摇臂进行单独或分组控制（上升、下降或暂停，上升或下降到底后摇臂会自动停止）</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B、电源控制系统：教师通过控制系统或移动设备对全室220V高压及0-30V低压进行单独或分组控制；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C、照明控制系统：教师通过控制系统或移动设备对全室照明进行单独或分组控制；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D、通风控制系统：高性能矢量控制变频器，变频器采用模块化设计，双CPU控制，是集数字技术、计算机技术、具有精度高、噪音低、转矩大、性能可靠及高效节能等优点。主要参数指标有：1、 LED显示：频率指示、转速指示、状态指示、异常指示等；2、额定输入电压：三相380V，±15%；3、额定输入频率：50/60 HZ；4、控制方式：空间电压矢量控制；5、输出频率：1.00～50 HZ；6、过载能力：150%额定电流；7、完善的保护功能：输入缺相、短路、欠压、过流、过压、过载、过热等。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E、供排水控制系统：供水系统：每个学生终端配置一组水流检测传感器，当供水时自动进行排水控制；摇臂下方配有插拔式自动锁紧供水接口，接口与学生水槽柜之间通过硅胶软管连接，即插即用，用完拔下收起即可。排水系统：排水由智能化控制系统集中控制，摇臂下方配有插拔式自动锁紧排水接口，接口与学生水槽柜通过具有耐酸、耐碱、耐腐蚀功能的硅胶软管连接，即插即用，用完拔下收起即可。</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2437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404A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B3AA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7CC2B55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61DF">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p>
          <w:p w14:paraId="790258B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1241BC4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613F1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CA8B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7</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4F32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智能控制终端</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top"/>
          </w:tcPr>
          <w:p w14:paraId="577B874E">
            <w:pPr>
              <w:keepNext w:val="0"/>
              <w:keepLines w:val="0"/>
              <w:widowControl/>
              <w:suppressLineNumbers w:val="0"/>
              <w:jc w:val="left"/>
              <w:textAlignment w:val="top"/>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APP登录，网络注册后进入系统，方便用户找回忘记的密码，给系统升级也提供方便。2、APP可控制总电源的开关；可控制学生实验用低压直流电源（0～30V），学生也可自己调节；可显示当前温度、相对湿度及当前时间；同时还可控制水、电、风、灯的开启与关闭等。3、APP移动设备与智能控制屏可以同步操作。</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3DFD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2A6A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9563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5C31E60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81AD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34AD40E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23345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156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EFE69">
            <w:pPr>
              <w:jc w:val="left"/>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二、学生实验学习区</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2BA9F">
            <w:pPr>
              <w:jc w:val="center"/>
              <w:rPr>
                <w:rFonts w:hint="eastAsia" w:ascii="宋体" w:hAnsi="宋体" w:eastAsia="宋体" w:cs="宋体"/>
                <w:b w:val="0"/>
                <w:bCs w:val="0"/>
                <w:i w:val="0"/>
                <w:iCs w:val="0"/>
                <w:color w:val="auto"/>
                <w:sz w:val="20"/>
                <w:szCs w:val="20"/>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D5183">
            <w:pPr>
              <w:jc w:val="both"/>
              <w:rPr>
                <w:rFonts w:hint="eastAsia" w:ascii="宋体" w:hAnsi="宋体" w:eastAsia="宋体" w:cs="宋体"/>
                <w:b w:val="0"/>
                <w:bCs w:val="0"/>
                <w:i w:val="0"/>
                <w:iCs w:val="0"/>
                <w:color w:val="auto"/>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0B8FB">
            <w:pPr>
              <w:jc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555AB">
            <w:pPr>
              <w:jc w:val="center"/>
              <w:rPr>
                <w:rFonts w:hint="eastAsia" w:ascii="宋体" w:hAnsi="宋体" w:eastAsia="宋体" w:cs="宋体"/>
                <w:b w:val="0"/>
                <w:bCs w:val="0"/>
                <w:i w:val="0"/>
                <w:iCs w:val="0"/>
                <w:color w:val="auto"/>
                <w:sz w:val="20"/>
                <w:szCs w:val="20"/>
                <w:u w:val="none"/>
              </w:rPr>
            </w:pPr>
          </w:p>
        </w:tc>
      </w:tr>
      <w:tr w14:paraId="71F05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1798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C570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学生实验端</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C5CA1">
            <w:pPr>
              <w:rPr>
                <w:rFonts w:hint="eastAsia" w:asciiTheme="minorEastAsia" w:hAnsiTheme="minorEastAsia" w:cstheme="minorEastAsia"/>
                <w:color w:val="auto"/>
                <w:sz w:val="20"/>
                <w:szCs w:val="20"/>
              </w:rPr>
            </w:pPr>
            <w:r>
              <w:rPr>
                <w:rFonts w:hint="eastAsia" w:ascii="宋体" w:hAnsi="宋体" w:eastAsia="宋体" w:cs="宋体"/>
                <w:b w:val="0"/>
                <w:bCs w:val="0"/>
                <w:i w:val="0"/>
                <w:iCs w:val="0"/>
                <w:color w:val="auto"/>
                <w:kern w:val="0"/>
                <w:sz w:val="20"/>
                <w:szCs w:val="20"/>
                <w:u w:val="none"/>
                <w:lang w:val="en-US" w:eastAsia="zh-CN" w:bidi="ar"/>
              </w:rPr>
              <w:t xml:space="preserve">规格：≥1200mm×600mm×780mm </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采用板厚为≥12mm双面膜实芯理化板，抗腐蚀抗菌、净醛、耐磨防火、耐烟酌抗污。板材(1)-(6)项功能必须达到如下要求：</w:t>
            </w:r>
            <w:r>
              <w:rPr>
                <w:rFonts w:hint="eastAsia" w:ascii="宋体" w:hAnsi="宋体" w:eastAsia="宋体" w:cs="宋体"/>
                <w:i w:val="0"/>
                <w:iCs w:val="0"/>
                <w:color w:val="auto"/>
                <w:kern w:val="0"/>
                <w:sz w:val="20"/>
                <w:szCs w:val="20"/>
                <w:u w:val="none"/>
                <w:lang w:val="en-US" w:eastAsia="zh-CN" w:bidi="ar"/>
              </w:rPr>
              <w:br w:type="textWrapping"/>
            </w:r>
            <w:r>
              <w:rPr>
                <w:rFonts w:hint="eastAsia" w:asciiTheme="minorEastAsia" w:hAnsiTheme="minorEastAsia" w:cstheme="minorEastAsia"/>
                <w:color w:val="auto"/>
                <w:sz w:val="20"/>
                <w:szCs w:val="20"/>
              </w:rPr>
              <w:t>（1）</w:t>
            </w:r>
            <w:r>
              <w:rPr>
                <w:color w:val="auto"/>
                <w:sz w:val="20"/>
                <w:szCs w:val="20"/>
              </w:rPr>
              <w:t>化学性能检测：台面</w:t>
            </w:r>
            <w:r>
              <w:rPr>
                <w:rFonts w:hint="eastAsia"/>
                <w:color w:val="auto"/>
                <w:sz w:val="20"/>
                <w:szCs w:val="20"/>
                <w:lang w:eastAsia="zh-CN"/>
              </w:rPr>
              <w:t>参照</w:t>
            </w:r>
            <w:r>
              <w:rPr>
                <w:rFonts w:hint="eastAsia"/>
                <w:color w:val="auto"/>
                <w:sz w:val="20"/>
                <w:szCs w:val="20"/>
              </w:rPr>
              <w:t>GB/T 17657-20</w:t>
            </w:r>
            <w:r>
              <w:rPr>
                <w:rFonts w:hint="eastAsia"/>
                <w:color w:val="auto"/>
                <w:sz w:val="20"/>
                <w:szCs w:val="20"/>
                <w:lang w:val="en-US" w:eastAsia="zh-CN"/>
              </w:rPr>
              <w:t>22</w:t>
            </w:r>
            <w:r>
              <w:rPr>
                <w:rFonts w:hint="eastAsia"/>
                <w:color w:val="auto"/>
                <w:sz w:val="20"/>
                <w:szCs w:val="20"/>
              </w:rPr>
              <w:t xml:space="preserve"> 《人造板及饰面人造板理化性能试验方法》标准，耐污染性能不少于1</w:t>
            </w:r>
            <w:r>
              <w:rPr>
                <w:rFonts w:hint="eastAsia"/>
                <w:color w:val="auto"/>
                <w:sz w:val="20"/>
                <w:szCs w:val="20"/>
                <w:lang w:val="en-US" w:eastAsia="zh-CN"/>
              </w:rPr>
              <w:t>30</w:t>
            </w:r>
            <w:r>
              <w:rPr>
                <w:rFonts w:hint="eastAsia"/>
                <w:color w:val="auto"/>
                <w:sz w:val="20"/>
                <w:szCs w:val="20"/>
              </w:rPr>
              <w:t>项试验污染物的检测，且包含：98%硫酸、65%硝酸、40%氢氧化钠、37%盐酸、四氯化碳、1%硝酸银等试剂，覆盖玻璃盖板和未覆盖玻璃盖板检验结果均为</w:t>
            </w:r>
            <w:r>
              <w:rPr>
                <w:rFonts w:hint="eastAsia"/>
                <w:color w:val="auto"/>
                <w:sz w:val="20"/>
                <w:szCs w:val="20"/>
                <w:lang w:val="en-US" w:eastAsia="zh-CN"/>
              </w:rPr>
              <w:t>5级：无明显变化。</w:t>
            </w:r>
          </w:p>
          <w:p w14:paraId="13FA6466">
            <w:pPr>
              <w:rPr>
                <w:color w:val="auto"/>
                <w:sz w:val="20"/>
                <w:szCs w:val="20"/>
              </w:rPr>
            </w:pPr>
            <w:r>
              <w:rPr>
                <w:rFonts w:hint="eastAsia" w:asciiTheme="minorEastAsia" w:hAnsiTheme="minorEastAsia" w:cstheme="minorEastAsia"/>
                <w:color w:val="auto"/>
                <w:sz w:val="20"/>
                <w:szCs w:val="20"/>
              </w:rPr>
              <w:t>（2）</w:t>
            </w:r>
            <w:r>
              <w:rPr>
                <w:color w:val="auto"/>
                <w:sz w:val="20"/>
                <w:szCs w:val="20"/>
              </w:rPr>
              <w:t>物理性能检测：台面</w:t>
            </w:r>
            <w:r>
              <w:rPr>
                <w:rFonts w:hint="eastAsia"/>
                <w:color w:val="auto"/>
                <w:sz w:val="20"/>
                <w:szCs w:val="20"/>
                <w:lang w:eastAsia="zh-CN"/>
              </w:rPr>
              <w:t>参照</w:t>
            </w:r>
            <w:r>
              <w:rPr>
                <w:rFonts w:hint="eastAsia"/>
                <w:color w:val="auto"/>
                <w:sz w:val="20"/>
                <w:szCs w:val="20"/>
              </w:rPr>
              <w:t>GB/T 17657-20</w:t>
            </w:r>
            <w:r>
              <w:rPr>
                <w:rFonts w:hint="eastAsia"/>
                <w:color w:val="auto"/>
                <w:sz w:val="20"/>
                <w:szCs w:val="20"/>
                <w:lang w:val="en-US" w:eastAsia="zh-CN"/>
              </w:rPr>
              <w:t>22</w:t>
            </w:r>
            <w:r>
              <w:rPr>
                <w:rFonts w:hint="eastAsia"/>
                <w:color w:val="auto"/>
                <w:sz w:val="20"/>
                <w:szCs w:val="20"/>
              </w:rPr>
              <w:t xml:space="preserve"> 《人造板及饰面人造板理化性能试验方法》标准，满足</w:t>
            </w:r>
            <w:r>
              <w:rPr>
                <w:color w:val="auto"/>
                <w:sz w:val="20"/>
                <w:szCs w:val="20"/>
              </w:rPr>
              <w:t>： </w:t>
            </w:r>
            <w:r>
              <w:rPr>
                <w:rFonts w:hint="eastAsia"/>
                <w:color w:val="auto"/>
                <w:sz w:val="20"/>
                <w:szCs w:val="20"/>
              </w:rPr>
              <w:t>含水率：≤</w:t>
            </w:r>
            <w:r>
              <w:rPr>
                <w:rFonts w:hint="eastAsia"/>
                <w:color w:val="auto"/>
                <w:sz w:val="20"/>
                <w:szCs w:val="20"/>
                <w:lang w:val="en-US" w:eastAsia="zh-CN"/>
              </w:rPr>
              <w:t>0.9%</w:t>
            </w:r>
            <w:r>
              <w:rPr>
                <w:rFonts w:hint="eastAsia"/>
                <w:color w:val="auto"/>
                <w:sz w:val="20"/>
                <w:szCs w:val="20"/>
              </w:rPr>
              <w:t>；</w:t>
            </w:r>
            <w:r>
              <w:rPr>
                <w:rFonts w:hint="eastAsia"/>
                <w:color w:val="auto"/>
                <w:sz w:val="20"/>
                <w:szCs w:val="20"/>
                <w:lang w:eastAsia="zh-CN"/>
              </w:rPr>
              <w:t>吸水厚度膨胀率</w:t>
            </w:r>
            <w:r>
              <w:rPr>
                <w:rFonts w:hint="eastAsia"/>
                <w:color w:val="auto"/>
                <w:sz w:val="20"/>
                <w:szCs w:val="20"/>
              </w:rPr>
              <w:t>≤</w:t>
            </w:r>
            <w:r>
              <w:rPr>
                <w:rFonts w:hint="eastAsia"/>
                <w:color w:val="auto"/>
                <w:sz w:val="20"/>
                <w:szCs w:val="20"/>
                <w:lang w:val="en-US" w:eastAsia="zh-CN"/>
              </w:rPr>
              <w:t>0.1%；</w:t>
            </w:r>
            <w:r>
              <w:rPr>
                <w:color w:val="auto"/>
                <w:sz w:val="20"/>
                <w:szCs w:val="20"/>
              </w:rPr>
              <w:t>尺寸稳定性：</w:t>
            </w:r>
            <w:r>
              <w:rPr>
                <w:rFonts w:hint="eastAsia"/>
                <w:color w:val="auto"/>
                <w:sz w:val="20"/>
                <w:szCs w:val="20"/>
                <w:lang w:eastAsia="zh-CN"/>
              </w:rPr>
              <w:t>横向</w:t>
            </w:r>
            <w:r>
              <w:rPr>
                <w:rFonts w:hint="eastAsia"/>
                <w:color w:val="auto"/>
                <w:sz w:val="20"/>
                <w:szCs w:val="20"/>
              </w:rPr>
              <w:t>≤</w:t>
            </w:r>
            <w:r>
              <w:rPr>
                <w:color w:val="auto"/>
                <w:sz w:val="20"/>
                <w:szCs w:val="20"/>
              </w:rPr>
              <w:t>0.</w:t>
            </w:r>
            <w:r>
              <w:rPr>
                <w:rFonts w:hint="eastAsia"/>
                <w:color w:val="auto"/>
                <w:sz w:val="20"/>
                <w:szCs w:val="20"/>
                <w:lang w:val="en-US" w:eastAsia="zh-CN"/>
              </w:rPr>
              <w:t>07</w:t>
            </w:r>
            <w:r>
              <w:rPr>
                <w:color w:val="auto"/>
                <w:sz w:val="20"/>
                <w:szCs w:val="20"/>
              </w:rPr>
              <w:t>%</w:t>
            </w:r>
            <w:r>
              <w:rPr>
                <w:rFonts w:hint="eastAsia"/>
                <w:color w:val="auto"/>
                <w:sz w:val="20"/>
                <w:szCs w:val="20"/>
                <w:lang w:eastAsia="zh-CN"/>
              </w:rPr>
              <w:t>、纵向</w:t>
            </w:r>
            <w:r>
              <w:rPr>
                <w:rFonts w:hint="eastAsia"/>
                <w:color w:val="auto"/>
                <w:sz w:val="20"/>
                <w:szCs w:val="20"/>
              </w:rPr>
              <w:t>≤</w:t>
            </w:r>
            <w:r>
              <w:rPr>
                <w:rFonts w:hint="eastAsia"/>
                <w:color w:val="auto"/>
                <w:sz w:val="20"/>
                <w:szCs w:val="20"/>
                <w:lang w:val="en-US" w:eastAsia="zh-CN"/>
              </w:rPr>
              <w:t>0.04%</w:t>
            </w:r>
            <w:r>
              <w:rPr>
                <w:color w:val="auto"/>
                <w:sz w:val="20"/>
                <w:szCs w:val="20"/>
              </w:rPr>
              <w:t>；</w:t>
            </w:r>
            <w:r>
              <w:rPr>
                <w:rFonts w:hint="eastAsia"/>
                <w:color w:val="auto"/>
                <w:sz w:val="20"/>
                <w:szCs w:val="20"/>
                <w:lang w:eastAsia="zh-CN"/>
              </w:rPr>
              <w:t>板面握螺钉力</w:t>
            </w:r>
            <w:r>
              <w:rPr>
                <w:rFonts w:hint="eastAsia"/>
                <w:color w:val="auto"/>
                <w:sz w:val="20"/>
                <w:szCs w:val="20"/>
              </w:rPr>
              <w:t>≥</w:t>
            </w:r>
            <w:r>
              <w:rPr>
                <w:rFonts w:hint="eastAsia"/>
                <w:color w:val="auto"/>
                <w:sz w:val="20"/>
                <w:szCs w:val="20"/>
                <w:lang w:val="en-US" w:eastAsia="zh-CN"/>
              </w:rPr>
              <w:t>3490N；</w:t>
            </w:r>
            <w:r>
              <w:rPr>
                <w:rFonts w:hint="eastAsia"/>
                <w:color w:val="auto"/>
                <w:sz w:val="20"/>
                <w:szCs w:val="20"/>
              </w:rPr>
              <w:t>表面耐冷热循环性能：</w:t>
            </w:r>
            <w:r>
              <w:rPr>
                <w:rFonts w:hint="eastAsia"/>
                <w:color w:val="auto"/>
                <w:sz w:val="20"/>
                <w:szCs w:val="20"/>
                <w:lang w:eastAsia="zh-CN"/>
              </w:rPr>
              <w:t>表面</w:t>
            </w:r>
            <w:r>
              <w:rPr>
                <w:rFonts w:hint="eastAsia"/>
                <w:color w:val="auto"/>
                <w:sz w:val="20"/>
                <w:szCs w:val="20"/>
              </w:rPr>
              <w:t>无裂纹</w:t>
            </w:r>
            <w:r>
              <w:rPr>
                <w:rFonts w:hint="eastAsia"/>
                <w:color w:val="auto"/>
                <w:sz w:val="20"/>
                <w:szCs w:val="20"/>
                <w:lang w:eastAsia="zh-CN"/>
              </w:rPr>
              <w:t>及</w:t>
            </w:r>
            <w:r>
              <w:rPr>
                <w:rFonts w:hint="eastAsia"/>
                <w:color w:val="auto"/>
                <w:sz w:val="20"/>
                <w:szCs w:val="20"/>
              </w:rPr>
              <w:t>鼓泡；</w:t>
            </w:r>
            <w:r>
              <w:rPr>
                <w:rFonts w:hint="eastAsia"/>
                <w:color w:val="auto"/>
                <w:sz w:val="20"/>
                <w:szCs w:val="20"/>
                <w:lang w:eastAsia="zh-CN"/>
              </w:rPr>
              <w:t>浸渍剥离性能：贴面层与基材之间的胶层无剥离和分层现象；</w:t>
            </w:r>
            <w:r>
              <w:rPr>
                <w:color w:val="auto"/>
                <w:sz w:val="20"/>
                <w:szCs w:val="20"/>
              </w:rPr>
              <w:t>表面耐划痕性能：</w:t>
            </w:r>
            <w:r>
              <w:rPr>
                <w:rFonts w:hint="eastAsia"/>
                <w:color w:val="auto"/>
                <w:sz w:val="20"/>
                <w:szCs w:val="20"/>
                <w:lang w:val="en-US" w:eastAsia="zh-CN"/>
              </w:rPr>
              <w:t>4.5</w:t>
            </w:r>
            <w:r>
              <w:rPr>
                <w:color w:val="auto"/>
                <w:sz w:val="20"/>
                <w:szCs w:val="20"/>
              </w:rPr>
              <w:t>N作用下试件表面无大于90%的连续划痕</w:t>
            </w:r>
            <w:r>
              <w:rPr>
                <w:rFonts w:hint="eastAsia"/>
                <w:color w:val="auto"/>
                <w:sz w:val="20"/>
                <w:szCs w:val="20"/>
                <w:lang w:eastAsia="zh-CN"/>
              </w:rPr>
              <w:t>，表面装饰花纹无破坏现象</w:t>
            </w:r>
            <w:r>
              <w:rPr>
                <w:color w:val="auto"/>
                <w:sz w:val="20"/>
                <w:szCs w:val="20"/>
              </w:rPr>
              <w:t>；</w:t>
            </w:r>
            <w:r>
              <w:rPr>
                <w:rFonts w:hint="eastAsia"/>
                <w:color w:val="auto"/>
                <w:sz w:val="20"/>
                <w:szCs w:val="20"/>
              </w:rPr>
              <w:t>耐沸水性能：质量增加百分率≤</w:t>
            </w:r>
            <w:r>
              <w:rPr>
                <w:color w:val="auto"/>
                <w:sz w:val="20"/>
                <w:szCs w:val="20"/>
              </w:rPr>
              <w:t>0.0</w:t>
            </w:r>
            <w:r>
              <w:rPr>
                <w:rFonts w:hint="eastAsia"/>
                <w:color w:val="auto"/>
                <w:sz w:val="20"/>
                <w:szCs w:val="20"/>
                <w:lang w:val="en-US" w:eastAsia="zh-CN"/>
              </w:rPr>
              <w:t>1</w:t>
            </w:r>
            <w:r>
              <w:rPr>
                <w:rFonts w:hint="eastAsia"/>
                <w:color w:val="auto"/>
                <w:sz w:val="20"/>
                <w:szCs w:val="20"/>
              </w:rPr>
              <w:t>%、厚度增加百分率≤0.</w:t>
            </w:r>
            <w:r>
              <w:rPr>
                <w:rFonts w:hint="eastAsia"/>
                <w:color w:val="auto"/>
                <w:sz w:val="20"/>
                <w:szCs w:val="20"/>
                <w:lang w:val="en-US" w:eastAsia="zh-CN"/>
              </w:rPr>
              <w:t>08</w:t>
            </w:r>
            <w:r>
              <w:rPr>
                <w:rFonts w:hint="eastAsia"/>
                <w:color w:val="auto"/>
                <w:sz w:val="20"/>
                <w:szCs w:val="20"/>
              </w:rPr>
              <w:t>%，表面质量等级：5级</w:t>
            </w:r>
            <w:r>
              <w:rPr>
                <w:rFonts w:hint="eastAsia"/>
                <w:color w:val="auto"/>
                <w:sz w:val="20"/>
                <w:szCs w:val="20"/>
                <w:lang w:eastAsia="zh-CN"/>
              </w:rPr>
              <w:t>：无变化，边缘质量等级：</w:t>
            </w:r>
            <w:r>
              <w:rPr>
                <w:rFonts w:hint="eastAsia"/>
                <w:color w:val="auto"/>
                <w:sz w:val="20"/>
                <w:szCs w:val="20"/>
                <w:lang w:val="en-US" w:eastAsia="zh-CN"/>
              </w:rPr>
              <w:t>5级：无明显变化；耐开裂性能：5级：无细微裂纹；表面耐磨性能：≥1100r,未出现磨损点</w:t>
            </w:r>
            <w:r>
              <w:rPr>
                <w:rFonts w:hint="eastAsia"/>
                <w:color w:val="auto"/>
                <w:sz w:val="20"/>
                <w:szCs w:val="20"/>
              </w:rPr>
              <w:t>等不低于2</w:t>
            </w:r>
            <w:r>
              <w:rPr>
                <w:rFonts w:hint="eastAsia"/>
                <w:color w:val="auto"/>
                <w:sz w:val="20"/>
                <w:szCs w:val="20"/>
                <w:lang w:val="en-US" w:eastAsia="zh-CN"/>
              </w:rPr>
              <w:t>7</w:t>
            </w:r>
            <w:r>
              <w:rPr>
                <w:rFonts w:hint="eastAsia"/>
                <w:color w:val="auto"/>
                <w:sz w:val="20"/>
                <w:szCs w:val="20"/>
              </w:rPr>
              <w:t>项检测。</w:t>
            </w:r>
          </w:p>
          <w:p w14:paraId="1377070C">
            <w:pPr>
              <w:rPr>
                <w:color w:val="auto"/>
                <w:sz w:val="20"/>
                <w:szCs w:val="20"/>
              </w:rPr>
            </w:pPr>
            <w:r>
              <w:rPr>
                <w:rFonts w:hint="eastAsia" w:asciiTheme="minorEastAsia" w:hAnsiTheme="minorEastAsia" w:cstheme="minorEastAsia"/>
                <w:color w:val="auto"/>
                <w:sz w:val="20"/>
                <w:szCs w:val="20"/>
              </w:rPr>
              <w:t>（3）</w:t>
            </w:r>
            <w:r>
              <w:rPr>
                <w:rFonts w:hint="eastAsia" w:ascii="宋体" w:hAnsi="宋体" w:eastAsia="宋体" w:cs="宋体"/>
                <w:color w:val="auto"/>
                <w:sz w:val="20"/>
                <w:szCs w:val="20"/>
              </w:rPr>
              <w:t>环保性能检测：台面</w:t>
            </w:r>
            <w:r>
              <w:rPr>
                <w:rFonts w:hint="eastAsia"/>
                <w:color w:val="auto"/>
                <w:sz w:val="20"/>
                <w:szCs w:val="20"/>
                <w:lang w:eastAsia="zh-CN"/>
              </w:rPr>
              <w:t>参照</w:t>
            </w:r>
            <w:r>
              <w:rPr>
                <w:rFonts w:hint="eastAsia" w:ascii="宋体" w:hAnsi="宋体" w:eastAsia="宋体" w:cs="宋体"/>
                <w:color w:val="auto"/>
                <w:sz w:val="20"/>
                <w:szCs w:val="20"/>
              </w:rPr>
              <w:t>GB 18584-20</w:t>
            </w:r>
            <w:r>
              <w:rPr>
                <w:rFonts w:hint="eastAsia" w:ascii="宋体" w:hAnsi="宋体" w:eastAsia="宋体" w:cs="宋体"/>
                <w:color w:val="auto"/>
                <w:sz w:val="20"/>
                <w:szCs w:val="20"/>
                <w:lang w:val="en-US" w:eastAsia="zh-CN"/>
              </w:rPr>
              <w:t>24</w:t>
            </w:r>
            <w:r>
              <w:rPr>
                <w:rFonts w:hint="eastAsia" w:ascii="宋体" w:hAnsi="宋体" w:eastAsia="宋体" w:cs="宋体"/>
                <w:color w:val="auto"/>
                <w:sz w:val="20"/>
                <w:szCs w:val="20"/>
              </w:rPr>
              <w:t>《家具中有害物质限量》标准，</w:t>
            </w:r>
            <w:r>
              <w:rPr>
                <w:rFonts w:hint="eastAsia" w:ascii="宋体" w:hAnsi="宋体" w:eastAsia="宋体" w:cs="宋体"/>
                <w:color w:val="auto"/>
                <w:sz w:val="20"/>
                <w:szCs w:val="20"/>
                <w:lang w:val="en-US" w:eastAsia="zh-CN"/>
              </w:rPr>
              <w:t>可迁移有害元素:铅(Pb)</w:t>
            </w:r>
            <w:r>
              <w:rPr>
                <w:rFonts w:hint="eastAsia" w:ascii="宋体" w:hAnsi="宋体" w:eastAsia="宋体" w:cs="宋体"/>
                <w:color w:val="auto"/>
                <w:sz w:val="20"/>
                <w:szCs w:val="20"/>
              </w:rPr>
              <w:t>≤</w:t>
            </w:r>
            <w:r>
              <w:rPr>
                <w:rFonts w:hint="eastAsia" w:ascii="宋体" w:hAnsi="宋体" w:eastAsia="宋体" w:cs="宋体"/>
                <w:color w:val="auto"/>
                <w:sz w:val="20"/>
                <w:szCs w:val="20"/>
                <w:lang w:val="en-US" w:eastAsia="zh-CN"/>
              </w:rPr>
              <w:t>15mg/kg、镉（Cd）</w:t>
            </w:r>
            <w:r>
              <w:rPr>
                <w:rFonts w:hint="eastAsia" w:ascii="宋体" w:hAnsi="宋体" w:eastAsia="宋体" w:cs="宋体"/>
                <w:color w:val="auto"/>
                <w:sz w:val="20"/>
                <w:szCs w:val="20"/>
              </w:rPr>
              <w:t>≤</w:t>
            </w:r>
            <w:r>
              <w:rPr>
                <w:rFonts w:hint="eastAsia" w:ascii="宋体" w:hAnsi="宋体" w:eastAsia="宋体" w:cs="宋体"/>
                <w:color w:val="auto"/>
                <w:sz w:val="20"/>
                <w:szCs w:val="20"/>
                <w:lang w:val="en-US" w:eastAsia="zh-CN"/>
              </w:rPr>
              <w:t>12mg/kg、铬（Cr）</w:t>
            </w:r>
            <w:r>
              <w:rPr>
                <w:rFonts w:hint="eastAsia" w:ascii="宋体" w:hAnsi="宋体" w:eastAsia="宋体" w:cs="宋体"/>
                <w:color w:val="auto"/>
                <w:sz w:val="20"/>
                <w:szCs w:val="20"/>
              </w:rPr>
              <w:t>≤</w:t>
            </w:r>
            <w:r>
              <w:rPr>
                <w:rFonts w:hint="eastAsia" w:ascii="宋体" w:hAnsi="宋体" w:eastAsia="宋体" w:cs="宋体"/>
                <w:color w:val="auto"/>
                <w:sz w:val="20"/>
                <w:szCs w:val="20"/>
                <w:lang w:val="en-US" w:eastAsia="zh-CN"/>
              </w:rPr>
              <w:t>10mg/kg、汞（Hg）</w:t>
            </w:r>
            <w:r>
              <w:rPr>
                <w:rFonts w:hint="eastAsia" w:ascii="宋体" w:hAnsi="宋体" w:eastAsia="宋体" w:cs="宋体"/>
                <w:color w:val="auto"/>
                <w:sz w:val="20"/>
                <w:szCs w:val="20"/>
              </w:rPr>
              <w:t>≤</w:t>
            </w:r>
            <w:r>
              <w:rPr>
                <w:rFonts w:hint="eastAsia" w:ascii="宋体" w:hAnsi="宋体" w:eastAsia="宋体" w:cs="宋体"/>
                <w:color w:val="auto"/>
                <w:sz w:val="20"/>
                <w:szCs w:val="20"/>
                <w:lang w:val="en-US" w:eastAsia="zh-CN"/>
              </w:rPr>
              <w:t>12mg/kg。</w:t>
            </w:r>
          </w:p>
          <w:p w14:paraId="6AC6164F">
            <w:pPr>
              <w:rPr>
                <w:color w:val="auto"/>
                <w:sz w:val="20"/>
                <w:szCs w:val="20"/>
              </w:rPr>
            </w:pPr>
            <w:r>
              <w:rPr>
                <w:rFonts w:hint="eastAsia" w:asciiTheme="minorEastAsia" w:hAnsiTheme="minorEastAsia" w:cstheme="minorEastAsia"/>
                <w:color w:val="auto"/>
                <w:sz w:val="20"/>
                <w:szCs w:val="20"/>
              </w:rPr>
              <w:t>（4）</w:t>
            </w:r>
            <w:r>
              <w:rPr>
                <w:color w:val="auto"/>
                <w:sz w:val="20"/>
                <w:szCs w:val="20"/>
              </w:rPr>
              <w:t>抗菌性能检测：</w:t>
            </w:r>
            <w:r>
              <w:rPr>
                <w:rFonts w:hint="eastAsia"/>
                <w:color w:val="auto"/>
                <w:sz w:val="20"/>
                <w:szCs w:val="20"/>
              </w:rPr>
              <w:t>台面</w:t>
            </w:r>
            <w:r>
              <w:rPr>
                <w:rFonts w:hint="eastAsia"/>
                <w:color w:val="auto"/>
                <w:sz w:val="20"/>
                <w:szCs w:val="20"/>
                <w:lang w:eastAsia="zh-CN"/>
              </w:rPr>
              <w:t>参照</w:t>
            </w:r>
            <w:r>
              <w:rPr>
                <w:rFonts w:hint="eastAsia"/>
                <w:color w:val="auto"/>
                <w:sz w:val="20"/>
                <w:szCs w:val="20"/>
              </w:rPr>
              <w:t>JC/T2039-2010标准</w:t>
            </w:r>
            <w:r>
              <w:rPr>
                <w:color w:val="auto"/>
                <w:sz w:val="20"/>
                <w:szCs w:val="20"/>
              </w:rPr>
              <w:t>，</w:t>
            </w:r>
            <w:r>
              <w:rPr>
                <w:rFonts w:hint="eastAsia"/>
                <w:color w:val="auto"/>
                <w:sz w:val="20"/>
                <w:szCs w:val="20"/>
                <w:lang w:eastAsia="zh-CN"/>
              </w:rPr>
              <w:t>满足</w:t>
            </w:r>
            <w:r>
              <w:rPr>
                <w:rFonts w:hint="eastAsia"/>
                <w:color w:val="auto"/>
                <w:sz w:val="20"/>
                <w:szCs w:val="20"/>
              </w:rPr>
              <w:t>：</w:t>
            </w:r>
            <w:r>
              <w:rPr>
                <w:color w:val="auto"/>
                <w:sz w:val="20"/>
                <w:szCs w:val="20"/>
              </w:rPr>
              <w:t>大肠杆菌</w:t>
            </w:r>
            <w:r>
              <w:rPr>
                <w:rFonts w:hint="eastAsia"/>
                <w:color w:val="auto"/>
                <w:sz w:val="20"/>
                <w:szCs w:val="20"/>
              </w:rPr>
              <w:t>、</w:t>
            </w:r>
            <w:r>
              <w:rPr>
                <w:color w:val="auto"/>
                <w:sz w:val="20"/>
                <w:szCs w:val="20"/>
              </w:rPr>
              <w:t>金黄色葡萄球菌</w:t>
            </w:r>
            <w:r>
              <w:rPr>
                <w:rFonts w:hint="eastAsia"/>
                <w:color w:val="auto"/>
                <w:sz w:val="20"/>
                <w:szCs w:val="20"/>
              </w:rPr>
              <w:t>、</w:t>
            </w:r>
            <w:r>
              <w:rPr>
                <w:color w:val="auto"/>
                <w:sz w:val="20"/>
                <w:szCs w:val="20"/>
              </w:rPr>
              <w:t>肺炎克雷伯氏菌</w:t>
            </w:r>
            <w:r>
              <w:rPr>
                <w:rFonts w:hint="eastAsia"/>
                <w:color w:val="auto"/>
                <w:sz w:val="20"/>
                <w:szCs w:val="20"/>
              </w:rPr>
              <w:t>、鼠伤寒沙门氏菌、</w:t>
            </w:r>
            <w:r>
              <w:rPr>
                <w:color w:val="auto"/>
                <w:sz w:val="20"/>
                <w:szCs w:val="20"/>
              </w:rPr>
              <w:t>表皮葡萄球菌</w:t>
            </w:r>
            <w:r>
              <w:rPr>
                <w:rFonts w:hint="eastAsia"/>
                <w:color w:val="auto"/>
                <w:sz w:val="20"/>
                <w:szCs w:val="20"/>
              </w:rPr>
              <w:t>、</w:t>
            </w:r>
            <w:r>
              <w:rPr>
                <w:color w:val="auto"/>
                <w:sz w:val="20"/>
                <w:szCs w:val="20"/>
              </w:rPr>
              <w:t>铜绿假单胞菌</w:t>
            </w:r>
            <w:r>
              <w:rPr>
                <w:rFonts w:hint="eastAsia"/>
                <w:color w:val="auto"/>
                <w:sz w:val="20"/>
                <w:szCs w:val="20"/>
              </w:rPr>
              <w:t>、宋氏志贺氏菌、白色葡萄球菌、粪肠球菌</w:t>
            </w:r>
            <w:r>
              <w:rPr>
                <w:color w:val="auto"/>
                <w:sz w:val="20"/>
                <w:szCs w:val="20"/>
              </w:rPr>
              <w:t>；</w:t>
            </w:r>
            <w:r>
              <w:rPr>
                <w:rFonts w:hint="eastAsia"/>
                <w:color w:val="auto"/>
                <w:sz w:val="20"/>
                <w:szCs w:val="20"/>
              </w:rPr>
              <w:t>耐甲氧西林金黄色葡萄球菌、单核细胞增生李斯特氏菌、变异库克菌、溶血性链球菌等</w:t>
            </w:r>
            <w:r>
              <w:rPr>
                <w:rFonts w:ascii="宋体" w:hAnsi="宋体" w:cs="宋体"/>
                <w:color w:val="auto"/>
                <w:spacing w:val="-3"/>
                <w:sz w:val="20"/>
                <w:szCs w:val="20"/>
              </w:rPr>
              <w:t>不少于</w:t>
            </w:r>
            <w:r>
              <w:rPr>
                <w:rFonts w:ascii="宋体" w:hAnsi="宋体" w:cs="宋体"/>
                <w:color w:val="auto"/>
                <w:spacing w:val="-45"/>
                <w:sz w:val="20"/>
                <w:szCs w:val="20"/>
              </w:rPr>
              <w:t xml:space="preserve"> </w:t>
            </w:r>
            <w:r>
              <w:rPr>
                <w:rFonts w:hint="eastAsia" w:ascii="宋体" w:hAnsi="宋体" w:cs="宋体"/>
                <w:color w:val="auto"/>
                <w:spacing w:val="-3"/>
                <w:sz w:val="20"/>
                <w:szCs w:val="20"/>
              </w:rPr>
              <w:t>13</w:t>
            </w:r>
            <w:r>
              <w:rPr>
                <w:rFonts w:ascii="宋体" w:hAnsi="宋体" w:cs="宋体"/>
                <w:color w:val="auto"/>
                <w:spacing w:val="-46"/>
                <w:sz w:val="20"/>
                <w:szCs w:val="20"/>
              </w:rPr>
              <w:t xml:space="preserve"> </w:t>
            </w:r>
            <w:r>
              <w:rPr>
                <w:rFonts w:ascii="宋体" w:hAnsi="宋体" w:cs="宋体"/>
                <w:color w:val="auto"/>
                <w:spacing w:val="-3"/>
                <w:sz w:val="20"/>
                <w:szCs w:val="20"/>
              </w:rPr>
              <w:t>种</w:t>
            </w:r>
            <w:r>
              <w:rPr>
                <w:rFonts w:ascii="宋体" w:hAnsi="宋体" w:cs="宋体"/>
                <w:color w:val="auto"/>
                <w:spacing w:val="-2"/>
                <w:sz w:val="20"/>
                <w:szCs w:val="20"/>
              </w:rPr>
              <w:t>的菌种检测</w:t>
            </w:r>
            <w:r>
              <w:rPr>
                <w:rFonts w:hint="eastAsia" w:ascii="宋体" w:hAnsi="宋体" w:cs="宋体"/>
                <w:color w:val="auto"/>
                <w:spacing w:val="-2"/>
                <w:sz w:val="20"/>
                <w:szCs w:val="20"/>
              </w:rPr>
              <w:t>，且</w:t>
            </w:r>
            <w:r>
              <w:rPr>
                <w:rFonts w:ascii="宋体" w:hAnsi="宋体" w:cs="宋体"/>
                <w:color w:val="auto"/>
                <w:spacing w:val="-2"/>
                <w:sz w:val="20"/>
                <w:szCs w:val="20"/>
              </w:rPr>
              <w:t>抗菌率</w:t>
            </w:r>
            <w:r>
              <w:rPr>
                <w:rFonts w:hint="eastAsia"/>
                <w:color w:val="auto"/>
                <w:sz w:val="20"/>
                <w:szCs w:val="20"/>
              </w:rPr>
              <w:t>≥</w:t>
            </w:r>
            <w:r>
              <w:rPr>
                <w:rFonts w:ascii="宋体" w:hAnsi="宋体" w:cs="宋体"/>
                <w:color w:val="auto"/>
                <w:spacing w:val="-2"/>
                <w:sz w:val="20"/>
                <w:szCs w:val="20"/>
              </w:rPr>
              <w:t>9</w:t>
            </w:r>
            <w:r>
              <w:rPr>
                <w:rFonts w:hint="eastAsia" w:ascii="宋体" w:hAnsi="宋体" w:cs="宋体"/>
                <w:color w:val="auto"/>
                <w:spacing w:val="-2"/>
                <w:sz w:val="20"/>
                <w:szCs w:val="20"/>
              </w:rPr>
              <w:t>5</w:t>
            </w:r>
            <w:r>
              <w:rPr>
                <w:rFonts w:ascii="宋体" w:hAnsi="宋体" w:cs="宋体"/>
                <w:color w:val="auto"/>
                <w:spacing w:val="-2"/>
                <w:sz w:val="20"/>
                <w:szCs w:val="20"/>
              </w:rPr>
              <w:t>%</w:t>
            </w:r>
            <w:r>
              <w:rPr>
                <w:rFonts w:hint="eastAsia" w:ascii="宋体" w:hAnsi="宋体" w:cs="宋体"/>
                <w:color w:val="auto"/>
                <w:spacing w:val="-2"/>
                <w:sz w:val="20"/>
                <w:szCs w:val="20"/>
              </w:rPr>
              <w:t>。</w:t>
            </w:r>
          </w:p>
          <w:p w14:paraId="3BAACAB4">
            <w:pPr>
              <w:rPr>
                <w:color w:val="auto"/>
                <w:sz w:val="20"/>
                <w:szCs w:val="20"/>
              </w:rPr>
            </w:pPr>
            <w:r>
              <w:rPr>
                <w:rFonts w:hint="eastAsia" w:asciiTheme="minorEastAsia" w:hAnsiTheme="minorEastAsia" w:cstheme="minorEastAsia"/>
                <w:color w:val="auto"/>
                <w:sz w:val="20"/>
                <w:szCs w:val="20"/>
              </w:rPr>
              <w:t>（5）</w:t>
            </w:r>
            <w:r>
              <w:rPr>
                <w:rFonts w:hint="eastAsia"/>
                <w:bCs/>
                <w:color w:val="auto"/>
                <w:sz w:val="20"/>
                <w:szCs w:val="20"/>
              </w:rPr>
              <w:t>防霉性能检测：</w:t>
            </w:r>
            <w:r>
              <w:rPr>
                <w:rFonts w:hint="eastAsia"/>
                <w:color w:val="auto"/>
                <w:sz w:val="20"/>
                <w:szCs w:val="20"/>
              </w:rPr>
              <w:t>台面</w:t>
            </w:r>
            <w:r>
              <w:rPr>
                <w:rFonts w:hint="eastAsia"/>
                <w:color w:val="auto"/>
                <w:sz w:val="20"/>
                <w:szCs w:val="20"/>
                <w:lang w:eastAsia="zh-CN"/>
              </w:rPr>
              <w:t>参照</w:t>
            </w:r>
            <w:r>
              <w:rPr>
                <w:rFonts w:hint="eastAsia"/>
                <w:color w:val="auto"/>
                <w:sz w:val="20"/>
                <w:szCs w:val="20"/>
              </w:rPr>
              <w:t>JC/T2039-2010标准</w:t>
            </w:r>
            <w:r>
              <w:rPr>
                <w:color w:val="auto"/>
                <w:sz w:val="20"/>
                <w:szCs w:val="20"/>
              </w:rPr>
              <w:t>，</w:t>
            </w:r>
            <w:r>
              <w:rPr>
                <w:rFonts w:hint="eastAsia"/>
                <w:color w:val="auto"/>
                <w:sz w:val="20"/>
                <w:szCs w:val="20"/>
                <w:lang w:eastAsia="zh-CN"/>
              </w:rPr>
              <w:t>满足</w:t>
            </w:r>
            <w:r>
              <w:rPr>
                <w:rFonts w:hint="eastAsia"/>
                <w:color w:val="auto"/>
                <w:sz w:val="20"/>
                <w:szCs w:val="20"/>
              </w:rPr>
              <w:t>：黑曲霉、土曲霉、球毛壳霉、宛氏拟青霉、绳状青霉、出芽短梗霉等不少于</w:t>
            </w:r>
            <w:r>
              <w:rPr>
                <w:rFonts w:hint="eastAsia"/>
                <w:color w:val="auto"/>
                <w:sz w:val="20"/>
                <w:szCs w:val="20"/>
                <w:lang w:val="en-US" w:eastAsia="zh-CN"/>
              </w:rPr>
              <w:t>10</w:t>
            </w:r>
            <w:r>
              <w:rPr>
                <w:rFonts w:hint="eastAsia"/>
                <w:color w:val="auto"/>
                <w:sz w:val="20"/>
                <w:szCs w:val="20"/>
              </w:rPr>
              <w:t>种的霉菌检测，且</w:t>
            </w:r>
            <w:r>
              <w:rPr>
                <w:rFonts w:hint="eastAsia"/>
                <w:bCs/>
                <w:color w:val="auto"/>
                <w:sz w:val="20"/>
                <w:szCs w:val="20"/>
              </w:rPr>
              <w:t>防霉等级为0级。</w:t>
            </w:r>
          </w:p>
          <w:p w14:paraId="1EC2ACEA">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Theme="minorEastAsia" w:hAnsiTheme="minorEastAsia" w:cstheme="minorEastAsia"/>
                <w:color w:val="auto"/>
                <w:sz w:val="20"/>
                <w:szCs w:val="20"/>
              </w:rPr>
              <w:t>（6）</w:t>
            </w:r>
            <w:r>
              <w:rPr>
                <w:color w:val="auto"/>
                <w:sz w:val="20"/>
                <w:szCs w:val="20"/>
              </w:rPr>
              <w:t>燃</w:t>
            </w:r>
            <w:r>
              <w:rPr>
                <w:rFonts w:hint="eastAsia"/>
                <w:color w:val="auto"/>
                <w:sz w:val="20"/>
                <w:szCs w:val="20"/>
              </w:rPr>
              <w:t>烧</w:t>
            </w:r>
            <w:r>
              <w:rPr>
                <w:color w:val="auto"/>
                <w:sz w:val="20"/>
                <w:szCs w:val="20"/>
              </w:rPr>
              <w:t>性能检测：台面</w:t>
            </w:r>
            <w:r>
              <w:rPr>
                <w:rFonts w:hint="eastAsia"/>
                <w:color w:val="auto"/>
                <w:sz w:val="20"/>
                <w:szCs w:val="20"/>
                <w:lang w:eastAsia="zh-CN"/>
              </w:rPr>
              <w:t>参照</w:t>
            </w:r>
            <w:r>
              <w:rPr>
                <w:rFonts w:hint="eastAsia"/>
                <w:color w:val="auto"/>
                <w:sz w:val="20"/>
                <w:szCs w:val="20"/>
              </w:rPr>
              <w:t>GB/T 2408-20</w:t>
            </w:r>
            <w:r>
              <w:rPr>
                <w:rFonts w:hint="eastAsia"/>
                <w:color w:val="auto"/>
                <w:sz w:val="20"/>
                <w:szCs w:val="20"/>
                <w:lang w:val="en-US" w:eastAsia="zh-CN"/>
              </w:rPr>
              <w:t>21</w:t>
            </w:r>
            <w:r>
              <w:rPr>
                <w:rFonts w:hint="eastAsia"/>
                <w:color w:val="auto"/>
                <w:sz w:val="20"/>
                <w:szCs w:val="20"/>
              </w:rPr>
              <w:t>《塑料</w:t>
            </w:r>
            <w:r>
              <w:rPr>
                <w:rFonts w:hint="eastAsia"/>
                <w:color w:val="auto"/>
                <w:sz w:val="20"/>
                <w:szCs w:val="20"/>
                <w:lang w:val="en-US" w:eastAsia="zh-CN"/>
              </w:rPr>
              <w:t xml:space="preserve"> </w:t>
            </w:r>
            <w:r>
              <w:rPr>
                <w:rFonts w:hint="eastAsia"/>
                <w:color w:val="auto"/>
                <w:sz w:val="20"/>
                <w:szCs w:val="20"/>
              </w:rPr>
              <w:t>燃烧性能的测定</w:t>
            </w:r>
            <w:r>
              <w:rPr>
                <w:rFonts w:hint="eastAsia"/>
                <w:color w:val="auto"/>
                <w:sz w:val="20"/>
                <w:szCs w:val="20"/>
                <w:lang w:val="en-US" w:eastAsia="zh-CN"/>
              </w:rPr>
              <w:t xml:space="preserve"> </w:t>
            </w:r>
            <w:r>
              <w:rPr>
                <w:rFonts w:hint="eastAsia"/>
                <w:color w:val="auto"/>
                <w:sz w:val="20"/>
                <w:szCs w:val="20"/>
              </w:rPr>
              <w:t>水平法和垂直法》标准，满足：水平燃烧符合HB级；垂直燃烧符合V-0级；台面参照GB8624-2012《建筑材料及制品燃烧性能分级》标准，满足：</w:t>
            </w:r>
            <w:r>
              <w:rPr>
                <w:color w:val="auto"/>
                <w:sz w:val="20"/>
                <w:szCs w:val="20"/>
              </w:rPr>
              <w:t>燃烧性能等级B1级</w:t>
            </w:r>
            <w:r>
              <w:rPr>
                <w:rFonts w:hint="eastAsia"/>
                <w:color w:val="auto"/>
                <w:sz w:val="20"/>
                <w:szCs w:val="20"/>
              </w:rPr>
              <w:t>；产烟特性等级S1级；燃烧滴落物/微粒等级d0级。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结构：工字型，铝塑钢混合结构，学生位镂空式。</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采用塑铝结构，规格≥L580mm×W60mm×H770mm由上脚、下脚、立柱、装饰盖组成，整体呈“工”字型。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前横梁：截面规格≥L30mm×W25mm，铝合金壁厚≥1.0mm，截面应为扇形，弧面朝向学生位，整体模具一体成型。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中横梁：截面规格≥L30mm×W28mm，铝合金壁厚≥1.0mm。整体模具一体成型。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后横梁：截面规格≥L30mm×W80mm，铝合金壁厚≥1.0mm。在前横梁基础上，设置防跌落阻拦边，高度≥50mm，阻拦边和后横梁模具一体成型，阻拦边上部圆弧设计。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大横梁：采用≥L60mm×W30mm椭圆管件，壁厚≥2mm。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书包斗：规格≥L490mm×W300mm×H170mm，壁厚≥3.0mm，边缘拉筋设计，可视厚度≥7.0mm，拉筋壁厚≥4.0mm。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F6F0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FBCD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B2F9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5408C63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37EE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02EB2EF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07C7C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0DD0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D7AE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学生端水处理设备</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31231">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规格：≥450mm*600mm*810mm/1200mm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 xml:space="preserve">下水系统：采用PP材质专用连接管，配有防虹吸，防阻塞装置。                            </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上部采用专用阻尼转轴搭配翻盖，翻盖打开为实验室专用水嘴和滴水板，方便学生在实验时放置烧杯、量筒等工具。</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翻盖后方配有多功能平台，可按需加装学生专用电源、吊装式上下水接口等。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门板：前部密闭设计，梯形结构搭配装饰条，后门配有可打开式检修门，隐藏式一体扣手，合页采用尼龙塑料铰链，高强度耐磨，防水、永不生锈。</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水槽采用塑料注塑模一次性成型，耐强酸强碱耐＜80℃有机溶剂并耐150℃以下高温。</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F76B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3EC7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24E5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17F831E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6C0C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74BAD48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14B40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156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B5AC4">
            <w:pPr>
              <w:jc w:val="left"/>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三、吊装集成系统</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31F3A">
            <w:pPr>
              <w:jc w:val="center"/>
              <w:rPr>
                <w:rFonts w:hint="eastAsia" w:ascii="宋体" w:hAnsi="宋体" w:eastAsia="宋体" w:cs="宋体"/>
                <w:b w:val="0"/>
                <w:bCs w:val="0"/>
                <w:i w:val="0"/>
                <w:iCs w:val="0"/>
                <w:color w:val="auto"/>
                <w:sz w:val="20"/>
                <w:szCs w:val="20"/>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570DA">
            <w:pPr>
              <w:jc w:val="both"/>
              <w:rPr>
                <w:rFonts w:hint="eastAsia" w:ascii="宋体" w:hAnsi="宋体" w:eastAsia="宋体" w:cs="宋体"/>
                <w:b w:val="0"/>
                <w:bCs w:val="0"/>
                <w:i w:val="0"/>
                <w:iCs w:val="0"/>
                <w:color w:val="auto"/>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635E8">
            <w:pPr>
              <w:jc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6C511">
            <w:pPr>
              <w:jc w:val="center"/>
              <w:rPr>
                <w:rFonts w:hint="eastAsia" w:ascii="宋体" w:hAnsi="宋体" w:eastAsia="宋体" w:cs="宋体"/>
                <w:b w:val="0"/>
                <w:bCs w:val="0"/>
                <w:i w:val="0"/>
                <w:iCs w:val="0"/>
                <w:color w:val="auto"/>
                <w:sz w:val="20"/>
                <w:szCs w:val="20"/>
                <w:u w:val="none"/>
              </w:rPr>
            </w:pPr>
          </w:p>
        </w:tc>
      </w:tr>
      <w:tr w14:paraId="7AAB9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3C7A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9E79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主体框架</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FD191">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尺寸：≥1200mm*500mm*200mm，采用标准模块化组成,整体采用冷轧钢板，表面经环氧树脂粉末喷涂高温固化处理。要做到承重性能强和耐酸碱、耐腐蚀。</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6260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9D77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3730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38B584C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2E12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4B69FDA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78E70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FAFD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6DE9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主体封闭端头</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E10EE">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尺寸：≥500mm*600mm*250mm，整体采用ABS材料，一体成型。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主体封闭端头参照GB/T 32487-2016：理化性能：塑料件耐冷热循环：无裂纹、鼓泡、变色、起皱。塑料件硬度：邵氏D硬度≥HD63；有害物质限量：邻苯二甲酸酯（DBP、BBP、DEHP、DNOP、DINP、DIDP）≤0.1%。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6AE6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65E1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AA04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0A88D19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115D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65D32F3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172C2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84A2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6590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智能摇臂模块</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DDBEC">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尺寸：≥70mm*50mm*600mm，摇臂接收智能控制系统信号实现远程遥控，助力升降推杆动力采用直流24V减速低压电机，连接杆采用一体成型，功能模块采用注塑模具一体成型，形状为长方形设计，功能模块可安装高低压电源（低压电源为交直流，可以显示交直流电压）、急停开关，预留网络模块。系统自带障碍物保护功能，具有防夹，防卡功能，具有过流保护功能。</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8EA2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94E1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D3DA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0B2B843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DD0D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4BAAB4B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50C24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1ECE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0E18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实验电源</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6CD27">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1、高压实验电源模块内含新国标插座，2个220V五孔插座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2、低压实验电源模块采用耐磨、耐腐蚀、耐高温的PC亮光薄膜面板，控制采用功能按钮，可以随意设置电压，准确、快捷。贴片元件生产技术，微电脑控制。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3、学生低压实验电源都可接收主控电源发送的锁定信号，在锁定标识显示后，学生接收教师输送的设定电源电压，教师锁定时，学生自己无法操作，这样可避免学生的误操作。可以分组或独立控制。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4、电源配置OLED屏，显示电压，电流，温度，湿度等信息。</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5、直流稳压输出：交直流电源具有过载保护智能检测功能，显示“OVER”过载短路保护提示。采用按钮复位功能免除反复过载冲击负载。</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6、搭配485网络模块接口，即插即用。</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C534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68EB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组</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097E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2EE85E2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BAD5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2F3BC75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51CC0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C273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DB44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保护模块</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E9F98">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保护模块在系统出现异常时，自动切断电源，确保安全性。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急停装置采用铝合金材质，在系统出现故障时可手动紧急自动，确保安全性。</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42C3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1D1A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组</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00BF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3A17E3E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B21E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6DABBB5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60719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1C22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F3A2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智能照明</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ACD30">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接收智能化控制系统控制，配置LED日光灯不低于1根，每根不低于15W，灯罩采用PC一次成型，设计安装磨砂透明均光板。</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833B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9489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599D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p w14:paraId="27E14C4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DBC9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 </w:t>
            </w:r>
          </w:p>
        </w:tc>
      </w:tr>
      <w:tr w14:paraId="35F85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B621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7</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FDD4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吊装进排水系统</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FE382">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自动排水模块≥1组、水模拟量控制器≥1组、电源控制器≥1套、自动保护系统≥1组。</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所有排水由智能化控制系统集中控制，三联高低位龙头处设置排水接口，接口与学生水槽柜采用硅胶软管（具有防酸、防碱、耐腐蚀功能）连接，接口均采用自动锁紧插拔式连接方式（拔掉时没有污水流出），用时接上，不用时可收起。当学生水槽柜量达到一定值时系统自动排水、污水经过连接管排至顶部排水管总管后流出。</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▲吊装给排水系统</w:t>
            </w:r>
            <w:r>
              <w:rPr>
                <w:rFonts w:hint="eastAsia" w:ascii="宋体" w:hAnsi="宋体" w:eastAsia="宋体" w:cs="宋体"/>
                <w:i w:val="0"/>
                <w:iCs w:val="0"/>
                <w:color w:val="auto"/>
                <w:kern w:val="0"/>
                <w:sz w:val="20"/>
                <w:szCs w:val="20"/>
                <w:u w:val="none"/>
                <w:lang w:val="en-US" w:eastAsia="zh-CN" w:bidi="ar"/>
              </w:rPr>
              <w:t>参照GB/T32487-2016</w:t>
            </w:r>
            <w:r>
              <w:rPr>
                <w:rFonts w:hint="eastAsia" w:ascii="宋体" w:hAnsi="宋体" w:eastAsia="宋体" w:cs="宋体"/>
                <w:b w:val="0"/>
                <w:bCs w:val="0"/>
                <w:i w:val="0"/>
                <w:iCs w:val="0"/>
                <w:color w:val="auto"/>
                <w:kern w:val="0"/>
                <w:sz w:val="20"/>
                <w:szCs w:val="20"/>
                <w:u w:val="none"/>
                <w:lang w:val="en-US" w:eastAsia="zh-CN" w:bidi="ar"/>
              </w:rPr>
              <w:t>：理化性能：塑料件耐冷热循环：无裂纹、鼓泡、变色、起皱。塑料件硬度：邵氏D硬度≥HD63；有害物质限量：邻苯二甲酸酯（DBP、BBP、DEHP、DNOP、DINP、DIDP）≤0.1%。（备注：为确保产品质量，需提供第三方检测机构出具的检测报告扫描件并加盖公章。）</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0C04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1098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CCED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9E20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50877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6434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8</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63C2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给排水接口</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84303">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PVC材质，给排水接头具有耐酸碱，拔插轻松，不生锈；即插即用，带自动锁紧插功能，即使在供水排水工作时，随时拔掉接口不会有任何滴漏现象。</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AF52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332F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0A03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6A4D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41E02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156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9FFBA">
            <w:pPr>
              <w:jc w:val="left"/>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四、通风设备</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255A8">
            <w:pPr>
              <w:jc w:val="center"/>
              <w:rPr>
                <w:rFonts w:hint="eastAsia" w:ascii="宋体" w:hAnsi="宋体" w:eastAsia="宋体" w:cs="宋体"/>
                <w:b w:val="0"/>
                <w:bCs w:val="0"/>
                <w:i w:val="0"/>
                <w:iCs w:val="0"/>
                <w:color w:val="auto"/>
                <w:sz w:val="20"/>
                <w:szCs w:val="20"/>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D0F08">
            <w:pPr>
              <w:jc w:val="both"/>
              <w:rPr>
                <w:rFonts w:hint="eastAsia" w:ascii="宋体" w:hAnsi="宋体" w:eastAsia="宋体" w:cs="宋体"/>
                <w:b w:val="0"/>
                <w:bCs w:val="0"/>
                <w:i w:val="0"/>
                <w:iCs w:val="0"/>
                <w:color w:val="auto"/>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56B81">
            <w:pPr>
              <w:jc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F7B6D">
            <w:pPr>
              <w:jc w:val="center"/>
              <w:rPr>
                <w:rFonts w:hint="eastAsia" w:ascii="宋体" w:hAnsi="宋体" w:eastAsia="宋体" w:cs="宋体"/>
                <w:b w:val="0"/>
                <w:bCs w:val="0"/>
                <w:i w:val="0"/>
                <w:iCs w:val="0"/>
                <w:color w:val="auto"/>
                <w:sz w:val="20"/>
                <w:szCs w:val="20"/>
                <w:u w:val="none"/>
              </w:rPr>
            </w:pPr>
          </w:p>
        </w:tc>
      </w:tr>
      <w:tr w14:paraId="0A334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03E6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F18D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万向吸风罩</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2A2E1">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1、结构：万向吸风罩通过三个关节与伸缩导管，两端分别连接底座和集气罩组成，底座藏于吊装舱体内与室内通风管连接，在活动范围内可拉扯集气罩至需要位置，不使用时收起，老师授课时不挡学生视线；</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2、关节：采用PP材质，可360°旋转调节方向，易拆卸、重组及清洗。</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3、关节密封圈：采用不易老化的橡胶。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4、关节连接杆/支撑弹簧：304不锈钢材质。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5、关节松紧旋钮：PP/PV材质，内嵌不锈钢轴承，与关节连接杆锁合。</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6、气流调节阀：方便的手动调节外部阀门旋钮，控制进入的气体流量。</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7、拱形/杯型集气罩：PP/PC材质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8、伸缩导管：≥∅65mm，合金管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9、标配固定底座：PP/PC材质，模具注塑一体成型，牢度强，不脱底。</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42C4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7EBF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BDBB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04C0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1635F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C83D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C2EB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离心风机</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163B8">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通风风机采用蜗牛式塑料离心风机，pp材质，变频调速，具有噪声低，吸力强等优点。防腐塑料离心风机，电机转数为0～1450转/min，风量0～16500m³/H，风压116～80mmHg，最大风速下实现换气次数不低于10次/小时以上，毒气排污率≥97%，电机功率不小于5.5KW，通风消声器采用一体成型内置隔音棉等隔音装置，确保室外通负噪声小于50分贝，风机和消声器连接处采用柔性材质，消除因震动引起的微量错位对通风的影响。</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6DDD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27F5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9805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A7CA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60B09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156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CB107">
            <w:pPr>
              <w:jc w:val="left"/>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五、安装附件部分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D0F84">
            <w:pPr>
              <w:jc w:val="center"/>
              <w:rPr>
                <w:rFonts w:hint="eastAsia" w:ascii="宋体" w:hAnsi="宋体" w:eastAsia="宋体" w:cs="宋体"/>
                <w:b w:val="0"/>
                <w:bCs w:val="0"/>
                <w:i w:val="0"/>
                <w:iCs w:val="0"/>
                <w:color w:val="auto"/>
                <w:sz w:val="20"/>
                <w:szCs w:val="20"/>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62E5F">
            <w:pPr>
              <w:jc w:val="both"/>
              <w:rPr>
                <w:rFonts w:hint="eastAsia" w:ascii="宋体" w:hAnsi="宋体" w:eastAsia="宋体" w:cs="宋体"/>
                <w:b w:val="0"/>
                <w:bCs w:val="0"/>
                <w:i w:val="0"/>
                <w:iCs w:val="0"/>
                <w:color w:val="auto"/>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314C0">
            <w:pPr>
              <w:jc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BC7C3">
            <w:pPr>
              <w:jc w:val="center"/>
              <w:rPr>
                <w:rFonts w:hint="eastAsia" w:ascii="宋体" w:hAnsi="宋体" w:eastAsia="宋体" w:cs="宋体"/>
                <w:b w:val="0"/>
                <w:bCs w:val="0"/>
                <w:i w:val="0"/>
                <w:iCs w:val="0"/>
                <w:color w:val="auto"/>
                <w:sz w:val="20"/>
                <w:szCs w:val="20"/>
                <w:u w:val="none"/>
              </w:rPr>
            </w:pPr>
          </w:p>
        </w:tc>
      </w:tr>
      <w:tr w14:paraId="2D989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1A4F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566D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吊装电源布线耗材</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1DC67">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模块化设计，每组模块间采用活接式连接，方便安装、检修；采用≥4mm²电线进行系统布线200米。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09A7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79EA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室</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6EC5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245D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1EB5D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80ED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EA5F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风机布线耗材</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9CE0B">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风机专用线电源主线需采用≥6mm²国标BV塑铜线铺设经教师电源控制台至风机50米。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5EBC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5AA7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室</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0C72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F607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7FC98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1"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2E89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8EE3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室内风管及配件</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95347">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1、主通风管规格：采用≥φ200mm的PVC成品管道；30米</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2、支管道规格：采用≥φ110mm的PVC成品管道（实际管径视现场情况需适当调整）10米；</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3、管道配件：管道三通14个、弯头4个、变径2个、直接6个；</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A33B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1C2C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B5BA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7912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1DDF6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4652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4219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室外风管及配件</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05EC5">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1、主通风管规格：采用φ200mm～φ400mm的PVC成品管道（根据现场情况选择）25米；</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2、管道配件：管道三通1个、弯头3个、变径2个、直接5个；</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3、安装附件：固定铁卡，每4米风管用一个铁卡固定。</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85F1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7399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4BBF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 </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6CB0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 </w:t>
            </w:r>
          </w:p>
        </w:tc>
      </w:tr>
      <w:tr w14:paraId="1DF38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3E61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647C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给/排水设备</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2DE3A">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1、给水：上水管和进水管为国标≥Ф25的PPR材质水管35米；</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2、排水：采用≥Ф50的国标UPVC专用排水管45米；</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2、配件：开关阀门14个，外丝连接件25个、PVC胶水3桶等。</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977E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084B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A974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 </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6938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 </w:t>
            </w:r>
          </w:p>
        </w:tc>
      </w:tr>
      <w:tr w14:paraId="7CB73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042E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856A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吊装安装辅件</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32F6F">
            <w:pPr>
              <w:keepNext w:val="0"/>
              <w:keepLines w:val="0"/>
              <w:widowControl/>
              <w:numPr>
                <w:ilvl w:val="0"/>
                <w:numId w:val="1"/>
              </w:numPr>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采用双槽钢横梁吊装方式，减少楼板承重，防止左右晃动，可进行上下、左右的平衡调节；</w:t>
            </w:r>
          </w:p>
          <w:p w14:paraId="7B3EBD37">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2、主要辅件有：①三角构件：定制吊装专用三角承重构件，60mm×60mm×80mm（直角边×斜边），板材厚度≥6mm，带Φ12mm吊孔+Φ9mm安装孔，满焊成型后打磨无毛刺；数量：48个；</w:t>
            </w:r>
          </w:p>
          <w:p w14:paraId="3BC24D16">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2"/>
                <w:sz w:val="20"/>
                <w:szCs w:val="20"/>
                <w:lang w:val="en-US" w:eastAsia="zh-CN" w:bidi="ar-SA"/>
              </w:rPr>
              <w:t>②</w:t>
            </w:r>
            <w:r>
              <w:rPr>
                <w:rFonts w:hint="eastAsia" w:ascii="宋体" w:hAnsi="宋体" w:eastAsia="宋体" w:cs="宋体"/>
                <w:b w:val="0"/>
                <w:bCs w:val="0"/>
                <w:i w:val="0"/>
                <w:iCs w:val="0"/>
                <w:color w:val="auto"/>
                <w:kern w:val="0"/>
                <w:sz w:val="20"/>
                <w:szCs w:val="20"/>
                <w:u w:val="none"/>
                <w:lang w:val="en-US" w:eastAsia="zh-CN" w:bidi="ar"/>
              </w:rPr>
              <w:t>直角座：L型加厚直角固定座，80mm×80mm×10mm（边长×厚度），四角带Φ10mm沉头安装孔，模具一体冲压成型；数量：96个。</w:t>
            </w:r>
          </w:p>
          <w:p w14:paraId="3D1DF5A0">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③龙骨架连接件：T型龙骨架专用连接件，适配实验室30mm×40mm主龙骨，板材厚度≥5mm，带快装卡扣+Φ8mm螺栓孔；数量：48个</w:t>
            </w:r>
          </w:p>
          <w:p w14:paraId="6A3C8432">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④吊装挂件：C型槽钢专用吊装挂件，适配10#主承重槽钢，开口宽度50mm，板材厚度≥5mm，带防滑卡齿+Φ10mm紧固孔；数量：48个</w:t>
            </w:r>
          </w:p>
          <w:p w14:paraId="7F5EA14D">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⑤安装连接板：平板式通用安装连接板，150mm×80mm×5mm（长×宽×厚），两侧各3个Φ9mm对称安装孔，边缘倒角处理；数量：60个（含施工冗余）</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DC1B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AA38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6E5C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 </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BD69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 </w:t>
            </w:r>
          </w:p>
        </w:tc>
      </w:tr>
      <w:tr w14:paraId="5F5A1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CAA23">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7</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419D5">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形象设计与实施</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984F4">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一、顶部及地面设施设备（实验室86㎡）</w:t>
            </w:r>
          </w:p>
          <w:p w14:paraId="4DEEF965">
            <w:pPr>
              <w:keepNext w:val="0"/>
              <w:keepLines w:val="0"/>
              <w:widowControl/>
              <w:suppressLineNumbers w:val="0"/>
              <w:jc w:val="left"/>
              <w:textAlignment w:val="center"/>
              <w:rPr>
                <w:rFonts w:hint="default"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1. 竹木纤维板86㎡</w:t>
            </w:r>
          </w:p>
          <w:p w14:paraId="6C4F32C2">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规格：厚度≥8mm，宽度≤30cm，环保等级E1级（甲醛释放量≤0.124mg/m³），防火等级B1级。</w:t>
            </w:r>
          </w:p>
          <w:p w14:paraId="607C0C9A">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安装：用自攻螺丝固定于支架，接缝留1-2mm，填缝剂处理；表面平整无划痕，收边条与墙面贴合紧密。</w:t>
            </w:r>
          </w:p>
          <w:p w14:paraId="56A897BE">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2. 支架</w:t>
            </w:r>
          </w:p>
          <w:p w14:paraId="3ACF9FF5">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材质：热镀锌轻钢支架，主支架厚度≥0.8mm，副支架厚度≥0.6mm，吊杆直径≥8mm，符合GB/T 11981标准。</w:t>
            </w:r>
          </w:p>
          <w:p w14:paraId="30CA2E4E">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安装：间距主支架≤100cm，副支架≤60cm，吊杆间距≤120cm；整体调平，平整度误差≤3mm，牢固无晃动，预留灯具位置。</w:t>
            </w:r>
          </w:p>
          <w:p w14:paraId="500976D4">
            <w:pPr>
              <w:keepNext w:val="0"/>
              <w:keepLines w:val="0"/>
              <w:widowControl/>
              <w:suppressLineNumbers w:val="0"/>
              <w:jc w:val="left"/>
              <w:textAlignment w:val="center"/>
              <w:rPr>
                <w:rFonts w:hint="default"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3. 地面</w:t>
            </w:r>
          </w:p>
          <w:p w14:paraId="2B741DC0">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开槽：深度≥管线直径+2cm，宽度适配管线数量，避免破坏基层；开槽后清理杂物。</w:t>
            </w:r>
          </w:p>
          <w:p w14:paraId="2B8431AB">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布线：强电用BV铜芯线不低于（2.5/4平方）、PVC穿线管（直径≥20mm）；弱电穿管隔离，强弱电管间距≥30cm；管线固定牢固。</w:t>
            </w:r>
          </w:p>
          <w:p w14:paraId="683A14E7">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回填：用1:3水泥砂浆分层压实，与原地面平齐，养护至少3天防裂。</w:t>
            </w:r>
          </w:p>
          <w:p w14:paraId="63B72E8B">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4. 自流平+地胶86㎡</w:t>
            </w:r>
          </w:p>
          <w:p w14:paraId="72E14C42">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自流平：水泥基材料，厚度≥3mm，平整度误差≤2mm，干燥后无起砂、空鼓。</w:t>
            </w:r>
          </w:p>
          <w:p w14:paraId="6E415CCD">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地胶：PVC材质，厚度≥2mm，环保等级E1级，耐磨系数≥T级，防火等级B1级；接缝热熔焊接，与墙面留不大于5mm伸缩缝，表面防滑、易清洁。</w:t>
            </w:r>
          </w:p>
          <w:p w14:paraId="12DD8835">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二、墙面设施设备</w:t>
            </w:r>
          </w:p>
          <w:p w14:paraId="2A4CF812">
            <w:pPr>
              <w:keepNext w:val="0"/>
              <w:keepLines w:val="0"/>
              <w:widowControl/>
              <w:suppressLineNumbers w:val="0"/>
              <w:jc w:val="left"/>
              <w:textAlignment w:val="center"/>
              <w:rPr>
                <w:rFonts w:hint="default"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1. 找平刮白114㎡</w:t>
            </w:r>
          </w:p>
          <w:p w14:paraId="5DECF65B">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基层处理：铲除空鼓、浮灰，裂缝用腻子修补，墙面垂直度误差≤3mm。</w:t>
            </w:r>
          </w:p>
          <w:p w14:paraId="3AA48C56">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刮白：环保腻子（E1级）批刮3遍，每遍干透后用240目砂纸打磨，最后刷白色环保乳胶漆（哑光，耐擦洗≥3000次），表面均匀无刷痕。</w:t>
            </w:r>
          </w:p>
          <w:p w14:paraId="14EB4255">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2. 文化建设</w:t>
            </w:r>
          </w:p>
          <w:p w14:paraId="0901CDD6">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内容：理化生学科相关标语、公式、实验安全规范（文字+图标）。</w:t>
            </w:r>
          </w:p>
          <w:p w14:paraId="5AB6FD1F">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形式：UV喷绘（覆耐磨膜），粘贴于指定墙面（高度1.5-2.2m），平整无气泡，与墙面贴合牢固，色彩持久。</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DE2B1">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A733E">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间</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6E8D5">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 xml:space="preserve"> </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12EAB">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 xml:space="preserve"> </w:t>
            </w:r>
          </w:p>
        </w:tc>
      </w:tr>
      <w:tr w14:paraId="6DF1E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1C2869">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合计</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5B3C0">
            <w:pPr>
              <w:jc w:val="center"/>
              <w:rPr>
                <w:rFonts w:hint="eastAsia" w:ascii="宋体" w:hAnsi="宋体" w:eastAsia="宋体" w:cs="宋体"/>
                <w:b/>
                <w:bCs/>
                <w:i w:val="0"/>
                <w:iCs w:val="0"/>
                <w:color w:val="auto"/>
                <w:sz w:val="24"/>
                <w:szCs w:val="24"/>
                <w:u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E5C811">
            <w:pPr>
              <w:jc w:val="center"/>
              <w:rPr>
                <w:rFonts w:hint="eastAsia" w:ascii="宋体" w:hAnsi="宋体" w:eastAsia="宋体" w:cs="宋体"/>
                <w:b/>
                <w:bCs/>
                <w:i w:val="0"/>
                <w:iCs w:val="0"/>
                <w:color w:val="auto"/>
                <w:sz w:val="24"/>
                <w:szCs w:val="24"/>
                <w:u w:val="none"/>
              </w:rPr>
            </w:pPr>
          </w:p>
        </w:tc>
        <w:tc>
          <w:tcPr>
            <w:tcW w:w="1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9E5722">
            <w:pPr>
              <w:keepNext w:val="0"/>
              <w:keepLines w:val="0"/>
              <w:widowControl/>
              <w:suppressLineNumbers w:val="0"/>
              <w:jc w:val="center"/>
              <w:textAlignment w:val="center"/>
              <w:rPr>
                <w:rFonts w:hint="default" w:ascii="宋体" w:hAnsi="宋体" w:eastAsia="宋体" w:cs="宋体"/>
                <w:b/>
                <w:bCs/>
                <w:i w:val="0"/>
                <w:iCs w:val="0"/>
                <w:color w:val="auto"/>
                <w:sz w:val="24"/>
                <w:szCs w:val="24"/>
                <w:u w:val="none"/>
                <w:lang w:val="en-US"/>
              </w:rPr>
            </w:pPr>
            <w:r>
              <w:rPr>
                <w:rFonts w:hint="eastAsia" w:ascii="宋体" w:hAnsi="宋体" w:eastAsia="宋体" w:cs="宋体"/>
                <w:b/>
                <w:bCs/>
                <w:i w:val="0"/>
                <w:iCs w:val="0"/>
                <w:color w:val="auto"/>
                <w:kern w:val="0"/>
                <w:sz w:val="22"/>
                <w:szCs w:val="22"/>
                <w:u w:val="none"/>
                <w:lang w:val="en-US" w:eastAsia="zh-CN" w:bidi="ar"/>
              </w:rPr>
              <w:t xml:space="preserve"> </w:t>
            </w:r>
          </w:p>
        </w:tc>
      </w:tr>
    </w:tbl>
    <w:p w14:paraId="2C945816">
      <w:pPr>
        <w:rPr>
          <w:b w:val="0"/>
          <w:bCs w:val="0"/>
          <w:color w:val="auto"/>
        </w:rPr>
      </w:pPr>
    </w:p>
    <w:p w14:paraId="3C2EDC06">
      <w:pPr>
        <w:rPr>
          <w:b w:val="0"/>
          <w:bCs w:val="0"/>
          <w:color w:val="auto"/>
        </w:rPr>
      </w:pPr>
    </w:p>
    <w:p w14:paraId="4C8E5C8B">
      <w:pPr>
        <w:rPr>
          <w:b w:val="0"/>
          <w:bCs w:val="0"/>
          <w:color w:val="auto"/>
        </w:rPr>
      </w:pPr>
    </w:p>
    <w:p w14:paraId="58E842EC">
      <w:pPr>
        <w:rPr>
          <w:b w:val="0"/>
          <w:bCs w:val="0"/>
          <w:color w:val="auto"/>
        </w:rPr>
      </w:pPr>
    </w:p>
    <w:p w14:paraId="5E1AD418">
      <w:pPr>
        <w:rPr>
          <w:b w:val="0"/>
          <w:bCs w:val="0"/>
          <w:color w:val="auto"/>
        </w:rPr>
      </w:pPr>
    </w:p>
    <w:p w14:paraId="68689A06">
      <w:pPr>
        <w:rPr>
          <w:b w:val="0"/>
          <w:bCs w:val="0"/>
          <w:color w:val="auto"/>
        </w:rPr>
      </w:pPr>
    </w:p>
    <w:p w14:paraId="585C491F">
      <w:pPr>
        <w:rPr>
          <w:b w:val="0"/>
          <w:bCs w:val="0"/>
          <w:color w:val="auto"/>
        </w:rPr>
      </w:pPr>
    </w:p>
    <w:p w14:paraId="762232E6">
      <w:pPr>
        <w:rPr>
          <w:b w:val="0"/>
          <w:bCs w:val="0"/>
          <w:color w:val="auto"/>
        </w:rPr>
      </w:pPr>
    </w:p>
    <w:tbl>
      <w:tblPr>
        <w:tblStyle w:val="4"/>
        <w:tblW w:w="1452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01"/>
        <w:gridCol w:w="900"/>
        <w:gridCol w:w="9945"/>
        <w:gridCol w:w="705"/>
        <w:gridCol w:w="645"/>
        <w:gridCol w:w="750"/>
        <w:gridCol w:w="876"/>
      </w:tblGrid>
      <w:tr w14:paraId="54FEF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14522" w:type="dxa"/>
            <w:gridSpan w:val="7"/>
            <w:shd w:val="clear" w:color="auto" w:fill="auto"/>
            <w:noWrap/>
            <w:vAlign w:val="center"/>
          </w:tcPr>
          <w:p w14:paraId="0F1F2F69">
            <w:pPr>
              <w:jc w:val="center"/>
              <w:rPr>
                <w:rFonts w:hint="eastAsia" w:ascii="宋体" w:hAnsi="宋体" w:eastAsia="宋体" w:cs="宋体"/>
                <w:b/>
                <w:bCs/>
                <w:i w:val="0"/>
                <w:iCs w:val="0"/>
                <w:color w:val="auto"/>
                <w:sz w:val="22"/>
                <w:szCs w:val="22"/>
                <w:u w:val="single"/>
              </w:rPr>
            </w:pPr>
            <w:r>
              <w:rPr>
                <w:rFonts w:hint="eastAsia" w:ascii="宋体" w:hAnsi="宋体" w:eastAsia="宋体" w:cs="宋体"/>
                <w:b/>
                <w:bCs/>
                <w:i w:val="0"/>
                <w:iCs w:val="0"/>
                <w:color w:val="auto"/>
                <w:kern w:val="0"/>
                <w:sz w:val="32"/>
                <w:szCs w:val="32"/>
                <w:u w:val="none"/>
                <w:lang w:val="en-US" w:eastAsia="zh-CN" w:bidi="ar"/>
              </w:rPr>
              <w:t>生物吊装实验室</w:t>
            </w:r>
          </w:p>
        </w:tc>
      </w:tr>
      <w:tr w14:paraId="1F754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1" w:type="dxa"/>
            <w:shd w:val="clear" w:color="auto" w:fill="auto"/>
            <w:vAlign w:val="center"/>
          </w:tcPr>
          <w:p w14:paraId="52C80725">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900" w:type="dxa"/>
            <w:shd w:val="clear" w:color="auto" w:fill="auto"/>
            <w:vAlign w:val="center"/>
          </w:tcPr>
          <w:p w14:paraId="7CF92959">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名称</w:t>
            </w:r>
          </w:p>
        </w:tc>
        <w:tc>
          <w:tcPr>
            <w:tcW w:w="9945" w:type="dxa"/>
            <w:shd w:val="clear" w:color="auto" w:fill="auto"/>
            <w:vAlign w:val="center"/>
          </w:tcPr>
          <w:p w14:paraId="00C50897">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产品参数</w:t>
            </w:r>
          </w:p>
        </w:tc>
        <w:tc>
          <w:tcPr>
            <w:tcW w:w="705" w:type="dxa"/>
            <w:shd w:val="clear" w:color="auto" w:fill="auto"/>
            <w:vAlign w:val="center"/>
          </w:tcPr>
          <w:p w14:paraId="1F3BA765">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645" w:type="dxa"/>
            <w:shd w:val="clear" w:color="auto" w:fill="auto"/>
            <w:vAlign w:val="center"/>
          </w:tcPr>
          <w:p w14:paraId="307063B5">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750" w:type="dxa"/>
            <w:shd w:val="clear" w:color="auto" w:fill="auto"/>
            <w:vAlign w:val="center"/>
          </w:tcPr>
          <w:p w14:paraId="5102F84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单价</w:t>
            </w:r>
          </w:p>
        </w:tc>
        <w:tc>
          <w:tcPr>
            <w:tcW w:w="876" w:type="dxa"/>
            <w:shd w:val="clear" w:color="auto" w:fill="auto"/>
            <w:vAlign w:val="center"/>
          </w:tcPr>
          <w:p w14:paraId="02EC50DF">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金额</w:t>
            </w:r>
          </w:p>
        </w:tc>
      </w:tr>
      <w:tr w14:paraId="5B320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11546" w:type="dxa"/>
            <w:gridSpan w:val="3"/>
            <w:shd w:val="clear" w:color="auto" w:fill="auto"/>
            <w:noWrap/>
            <w:vAlign w:val="center"/>
          </w:tcPr>
          <w:p w14:paraId="6559D679">
            <w:pPr>
              <w:jc w:val="left"/>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一、教师控制演示区</w:t>
            </w:r>
          </w:p>
        </w:tc>
        <w:tc>
          <w:tcPr>
            <w:tcW w:w="705" w:type="dxa"/>
            <w:shd w:val="clear" w:color="auto" w:fill="auto"/>
            <w:vAlign w:val="center"/>
          </w:tcPr>
          <w:p w14:paraId="0A0721D8">
            <w:pPr>
              <w:rPr>
                <w:rFonts w:hint="eastAsia" w:ascii="宋体" w:hAnsi="宋体" w:eastAsia="宋体" w:cs="宋体"/>
                <w:b w:val="0"/>
                <w:bCs w:val="0"/>
                <w:i w:val="0"/>
                <w:iCs w:val="0"/>
                <w:color w:val="auto"/>
                <w:sz w:val="20"/>
                <w:szCs w:val="20"/>
                <w:u w:val="none"/>
              </w:rPr>
            </w:pPr>
          </w:p>
        </w:tc>
        <w:tc>
          <w:tcPr>
            <w:tcW w:w="645" w:type="dxa"/>
            <w:shd w:val="clear" w:color="auto" w:fill="auto"/>
            <w:vAlign w:val="center"/>
          </w:tcPr>
          <w:p w14:paraId="2C2C297C">
            <w:pPr>
              <w:rPr>
                <w:rFonts w:hint="eastAsia" w:ascii="宋体" w:hAnsi="宋体" w:eastAsia="宋体" w:cs="宋体"/>
                <w:b w:val="0"/>
                <w:bCs w:val="0"/>
                <w:i w:val="0"/>
                <w:iCs w:val="0"/>
                <w:color w:val="auto"/>
                <w:sz w:val="20"/>
                <w:szCs w:val="20"/>
                <w:u w:val="none"/>
              </w:rPr>
            </w:pPr>
          </w:p>
        </w:tc>
        <w:tc>
          <w:tcPr>
            <w:tcW w:w="750" w:type="dxa"/>
            <w:shd w:val="clear" w:color="auto" w:fill="auto"/>
            <w:vAlign w:val="center"/>
          </w:tcPr>
          <w:p w14:paraId="2772A82B">
            <w:pPr>
              <w:jc w:val="center"/>
              <w:rPr>
                <w:rFonts w:hint="eastAsia" w:ascii="宋体" w:hAnsi="宋体" w:eastAsia="宋体" w:cs="宋体"/>
                <w:b w:val="0"/>
                <w:bCs w:val="0"/>
                <w:i w:val="0"/>
                <w:iCs w:val="0"/>
                <w:color w:val="auto"/>
                <w:sz w:val="20"/>
                <w:szCs w:val="20"/>
                <w:u w:val="none"/>
              </w:rPr>
            </w:pPr>
          </w:p>
        </w:tc>
        <w:tc>
          <w:tcPr>
            <w:tcW w:w="876" w:type="dxa"/>
            <w:shd w:val="clear" w:color="auto" w:fill="auto"/>
            <w:vAlign w:val="center"/>
          </w:tcPr>
          <w:p w14:paraId="7E2A49B6">
            <w:pPr>
              <w:jc w:val="center"/>
              <w:rPr>
                <w:rFonts w:hint="eastAsia" w:ascii="宋体" w:hAnsi="宋体" w:eastAsia="宋体" w:cs="宋体"/>
                <w:b w:val="0"/>
                <w:bCs w:val="0"/>
                <w:i w:val="0"/>
                <w:iCs w:val="0"/>
                <w:color w:val="auto"/>
                <w:sz w:val="20"/>
                <w:szCs w:val="20"/>
                <w:u w:val="none"/>
              </w:rPr>
            </w:pPr>
          </w:p>
        </w:tc>
      </w:tr>
      <w:tr w14:paraId="2A0E3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1" w:type="dxa"/>
            <w:shd w:val="clear" w:color="auto" w:fill="auto"/>
            <w:noWrap/>
            <w:vAlign w:val="center"/>
          </w:tcPr>
          <w:p w14:paraId="4968E8A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900" w:type="dxa"/>
            <w:shd w:val="clear" w:color="auto" w:fill="auto"/>
            <w:vAlign w:val="center"/>
          </w:tcPr>
          <w:p w14:paraId="51DECF0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教师展示设备</w:t>
            </w:r>
          </w:p>
        </w:tc>
        <w:tc>
          <w:tcPr>
            <w:tcW w:w="9945" w:type="dxa"/>
            <w:shd w:val="clear" w:color="auto" w:fill="auto"/>
            <w:vAlign w:val="top"/>
          </w:tcPr>
          <w:p w14:paraId="0D79A96C">
            <w:pPr>
              <w:keepNext w:val="0"/>
              <w:keepLines w:val="0"/>
              <w:widowControl/>
              <w:suppressLineNumbers w:val="0"/>
              <w:jc w:val="left"/>
              <w:textAlignment w:val="top"/>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规格：≥2400mm×700mm×850mm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台面：采用≥25mm厚金属树脂高能理化板，具备耐酸碱，耐腐蚀，整体防水性能。结构：全钢结构。</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采用一级冷轧钢板，环氧树脂静电粉末涂装处理。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设置电源专用抽屉位和水槽空位及水电通风管孔。</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侧边空位，配有专门装饰网板加固。</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固定脚：ABS注塑专用垫。</w:t>
            </w:r>
          </w:p>
        </w:tc>
        <w:tc>
          <w:tcPr>
            <w:tcW w:w="705" w:type="dxa"/>
            <w:shd w:val="clear" w:color="auto" w:fill="auto"/>
            <w:vAlign w:val="center"/>
          </w:tcPr>
          <w:p w14:paraId="4A503D5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shd w:val="clear" w:color="auto" w:fill="auto"/>
            <w:vAlign w:val="center"/>
          </w:tcPr>
          <w:p w14:paraId="22AAA26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750" w:type="dxa"/>
            <w:shd w:val="clear" w:color="auto" w:fill="auto"/>
            <w:vAlign w:val="center"/>
          </w:tcPr>
          <w:p w14:paraId="747C9CA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 xml:space="preserve"> </w:t>
            </w:r>
          </w:p>
        </w:tc>
        <w:tc>
          <w:tcPr>
            <w:tcW w:w="876" w:type="dxa"/>
            <w:shd w:val="clear" w:color="auto" w:fill="auto"/>
            <w:vAlign w:val="center"/>
          </w:tcPr>
          <w:p w14:paraId="1CFC7176">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2D2E5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701" w:type="dxa"/>
            <w:shd w:val="clear" w:color="auto" w:fill="auto"/>
            <w:noWrap/>
            <w:vAlign w:val="center"/>
          </w:tcPr>
          <w:p w14:paraId="65C1781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900" w:type="dxa"/>
            <w:shd w:val="clear" w:color="auto" w:fill="auto"/>
            <w:vAlign w:val="center"/>
          </w:tcPr>
          <w:p w14:paraId="25FF30D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水槽</w:t>
            </w:r>
          </w:p>
        </w:tc>
        <w:tc>
          <w:tcPr>
            <w:tcW w:w="9945" w:type="dxa"/>
            <w:shd w:val="clear" w:color="auto" w:fill="auto"/>
            <w:vAlign w:val="center"/>
          </w:tcPr>
          <w:p w14:paraId="2B4447A1">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1、采用耐腐蚀PP材质，模具一次注塑成型，规格：外径≥440mm×330mm×200mm内径≥380mm×270mm×180mm，水槽厚度≥5 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2、水槽应具有耐酸碱、耐热、耐有机溶剂；排水口应有水封装置。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3、水槽应采取台下托底式安装（带支撑托架），水槽与台面间采用防水密封胶封闭，无漏水现象。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4、水槽配备的上水、下水均应隐蔽，专用下水管扣，使下水管防臭。</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5、给排水管必须连接可靠，避免因松动脱落造成漏水，引起电源短路，形成安全隐患。</w:t>
            </w:r>
          </w:p>
        </w:tc>
        <w:tc>
          <w:tcPr>
            <w:tcW w:w="705" w:type="dxa"/>
            <w:shd w:val="clear" w:color="auto" w:fill="auto"/>
            <w:vAlign w:val="center"/>
          </w:tcPr>
          <w:p w14:paraId="07B4A70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shd w:val="clear" w:color="auto" w:fill="auto"/>
            <w:vAlign w:val="center"/>
          </w:tcPr>
          <w:p w14:paraId="54B27D5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750" w:type="dxa"/>
            <w:shd w:val="clear" w:color="auto" w:fill="auto"/>
            <w:vAlign w:val="center"/>
          </w:tcPr>
          <w:p w14:paraId="6BE348EE">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 xml:space="preserve"> </w:t>
            </w:r>
          </w:p>
        </w:tc>
        <w:tc>
          <w:tcPr>
            <w:tcW w:w="876" w:type="dxa"/>
            <w:shd w:val="clear" w:color="auto" w:fill="auto"/>
            <w:vAlign w:val="center"/>
          </w:tcPr>
          <w:p w14:paraId="26CF1A70">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288C2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1" w:type="dxa"/>
            <w:shd w:val="clear" w:color="auto" w:fill="auto"/>
            <w:noWrap/>
            <w:vAlign w:val="center"/>
          </w:tcPr>
          <w:p w14:paraId="50E7AAC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w:t>
            </w:r>
          </w:p>
        </w:tc>
        <w:tc>
          <w:tcPr>
            <w:tcW w:w="900" w:type="dxa"/>
            <w:shd w:val="clear" w:color="auto" w:fill="auto"/>
            <w:vAlign w:val="center"/>
          </w:tcPr>
          <w:p w14:paraId="066B848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三联水嘴</w:t>
            </w:r>
          </w:p>
        </w:tc>
        <w:tc>
          <w:tcPr>
            <w:tcW w:w="9945" w:type="dxa"/>
            <w:shd w:val="clear" w:color="auto" w:fill="auto"/>
            <w:vAlign w:val="center"/>
          </w:tcPr>
          <w:p w14:paraId="7BFCB014">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1.主体：铜质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2.涂层：环氧树脂涂层，耐腐蚀、耐热，防紫外线辐射</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3.陶瓷阀芯90°旋转。</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4.鹅颈管可360°旋转</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5.开关旋钮：PP材质</w:t>
            </w:r>
          </w:p>
        </w:tc>
        <w:tc>
          <w:tcPr>
            <w:tcW w:w="705" w:type="dxa"/>
            <w:shd w:val="clear" w:color="auto" w:fill="auto"/>
            <w:vAlign w:val="center"/>
          </w:tcPr>
          <w:p w14:paraId="08C9B6D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shd w:val="clear" w:color="auto" w:fill="auto"/>
            <w:vAlign w:val="center"/>
          </w:tcPr>
          <w:p w14:paraId="5F83C1D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750" w:type="dxa"/>
            <w:shd w:val="clear" w:color="auto" w:fill="auto"/>
            <w:vAlign w:val="center"/>
          </w:tcPr>
          <w:p w14:paraId="33A2F1D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 </w:t>
            </w:r>
          </w:p>
        </w:tc>
        <w:tc>
          <w:tcPr>
            <w:tcW w:w="876" w:type="dxa"/>
            <w:shd w:val="clear" w:color="auto" w:fill="auto"/>
            <w:vAlign w:val="center"/>
          </w:tcPr>
          <w:p w14:paraId="74B23B5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29564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1" w:type="dxa"/>
            <w:shd w:val="clear" w:color="auto" w:fill="auto"/>
            <w:noWrap/>
            <w:vAlign w:val="center"/>
          </w:tcPr>
          <w:p w14:paraId="2B82595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4</w:t>
            </w:r>
          </w:p>
        </w:tc>
        <w:tc>
          <w:tcPr>
            <w:tcW w:w="900" w:type="dxa"/>
            <w:shd w:val="clear" w:color="auto" w:fill="auto"/>
            <w:noWrap/>
            <w:vAlign w:val="center"/>
          </w:tcPr>
          <w:p w14:paraId="5D0EE4F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教师专用吊装</w:t>
            </w:r>
          </w:p>
        </w:tc>
        <w:tc>
          <w:tcPr>
            <w:tcW w:w="9945" w:type="dxa"/>
            <w:shd w:val="clear" w:color="auto" w:fill="auto"/>
            <w:vAlign w:val="center"/>
          </w:tcPr>
          <w:p w14:paraId="017C9F32">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主体采用标准模块化组成,整体采用冷轧钢板，经激光雕刻机雕刻，表面经环氧树脂粉末喷涂高温固化处理。外部保护罩使用铝合金型材，搭配ABS板，保护主体框架内的供应系统的安全。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智能摇臂：摇臂接收智能控制系统信号实现远程遥控，动力采用直流24V减速低压电机，连接杆采用专用铝合金模具一体成型，内部水电分离，功能模块采用注塑模具一体成型，功能模块可安装高低压电源（低压电源为交直流，可以显示交直流电压）、急停开关、给排水模块，可选配网络模块。</w:t>
            </w:r>
          </w:p>
        </w:tc>
        <w:tc>
          <w:tcPr>
            <w:tcW w:w="705" w:type="dxa"/>
            <w:shd w:val="clear" w:color="auto" w:fill="auto"/>
            <w:noWrap/>
            <w:vAlign w:val="center"/>
          </w:tcPr>
          <w:p w14:paraId="53CEC1F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shd w:val="clear" w:color="auto" w:fill="auto"/>
            <w:noWrap/>
            <w:vAlign w:val="center"/>
          </w:tcPr>
          <w:p w14:paraId="6BA3962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50" w:type="dxa"/>
            <w:shd w:val="clear" w:color="auto" w:fill="auto"/>
            <w:noWrap/>
            <w:vAlign w:val="center"/>
          </w:tcPr>
          <w:p w14:paraId="5209164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 </w:t>
            </w:r>
          </w:p>
        </w:tc>
        <w:tc>
          <w:tcPr>
            <w:tcW w:w="876" w:type="dxa"/>
            <w:shd w:val="clear" w:color="auto" w:fill="auto"/>
            <w:vAlign w:val="center"/>
          </w:tcPr>
          <w:p w14:paraId="3E62AE6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56343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701" w:type="dxa"/>
            <w:shd w:val="clear" w:color="auto" w:fill="auto"/>
            <w:noWrap/>
            <w:vAlign w:val="center"/>
          </w:tcPr>
          <w:p w14:paraId="634BAC7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5</w:t>
            </w:r>
          </w:p>
        </w:tc>
        <w:tc>
          <w:tcPr>
            <w:tcW w:w="900" w:type="dxa"/>
            <w:shd w:val="clear" w:color="auto" w:fill="auto"/>
            <w:noWrap/>
            <w:vAlign w:val="center"/>
          </w:tcPr>
          <w:p w14:paraId="2BB5761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智能系统控制箱</w:t>
            </w:r>
          </w:p>
        </w:tc>
        <w:tc>
          <w:tcPr>
            <w:tcW w:w="9945" w:type="dxa"/>
            <w:shd w:val="clear" w:color="auto" w:fill="auto"/>
            <w:vAlign w:val="center"/>
          </w:tcPr>
          <w:p w14:paraId="3789F01D">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控制箱内置：3P总电源开关≥1组，学生总控2P漏电保护器≥一组，交流电源开关≥1组，单片机控制器及功能扩展模块≥1套，单片机保护模块≥1个,急停控制系统≥1套；配有关键安全系统既长时间不操作，自动切断总电源。电源分组控制系统≥1套、照明分组控制系统≥1套、供排水分组控制系统≥1套。</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搭配≥10寸高分辨率平板电脑，集中控制系统，可执行各选项控制（配一启动按钮开关和一急停开关）</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A、摇臂控制系统：教师通过控制箱或移动设备对全室摇臂进行单独或分组控制（上升、下降或暂停，上升或下降到底后摇臂会自动停止）</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B、电源控制系统：教师通过控制箱或移动设备对全室220V高压及0～30V低压进行单独或分组控制；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C、照明控制系统：教师通过控制箱或移动设备对全室照明进行单独或分组控制；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D、供排水控制系统：供水系统：每个学生终端配置一组水流检测传感器，当供水时自动进行排水控制；摇臂下方配有插拔式自动锁紧供水接口，接口与学生水槽柜之间通过硅胶软管连接，即插即用，用完拔下收起即可。排水系统：排水由智能化控制系统集中控制，摇臂下方配有插拔式自动锁紧排水接口，接口与学生水槽柜通过具有耐酸、耐碱、耐腐蚀功能的硅胶软管连接，即插即用，用完拔下收起即可。</w:t>
            </w:r>
          </w:p>
        </w:tc>
        <w:tc>
          <w:tcPr>
            <w:tcW w:w="705" w:type="dxa"/>
            <w:shd w:val="clear" w:color="auto" w:fill="auto"/>
            <w:noWrap/>
            <w:vAlign w:val="center"/>
          </w:tcPr>
          <w:p w14:paraId="6D66296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shd w:val="clear" w:color="auto" w:fill="auto"/>
            <w:noWrap/>
            <w:vAlign w:val="center"/>
          </w:tcPr>
          <w:p w14:paraId="466BBC3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750" w:type="dxa"/>
            <w:shd w:val="clear" w:color="auto" w:fill="auto"/>
            <w:noWrap/>
            <w:vAlign w:val="center"/>
          </w:tcPr>
          <w:p w14:paraId="4C43267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 xml:space="preserve"> </w:t>
            </w:r>
          </w:p>
        </w:tc>
        <w:tc>
          <w:tcPr>
            <w:tcW w:w="876" w:type="dxa"/>
            <w:shd w:val="clear" w:color="auto" w:fill="auto"/>
            <w:vAlign w:val="center"/>
          </w:tcPr>
          <w:p w14:paraId="3197FEDE">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69A35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701" w:type="dxa"/>
            <w:shd w:val="clear" w:color="auto" w:fill="auto"/>
            <w:noWrap/>
            <w:vAlign w:val="center"/>
          </w:tcPr>
          <w:p w14:paraId="5B4B461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6</w:t>
            </w:r>
          </w:p>
        </w:tc>
        <w:tc>
          <w:tcPr>
            <w:tcW w:w="900" w:type="dxa"/>
            <w:shd w:val="clear" w:color="auto" w:fill="auto"/>
            <w:noWrap/>
            <w:vAlign w:val="center"/>
          </w:tcPr>
          <w:p w14:paraId="4AE8857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智能控制终端</w:t>
            </w:r>
          </w:p>
        </w:tc>
        <w:tc>
          <w:tcPr>
            <w:tcW w:w="9945" w:type="dxa"/>
            <w:shd w:val="clear" w:color="auto" w:fill="auto"/>
            <w:vAlign w:val="top"/>
          </w:tcPr>
          <w:p w14:paraId="2FA46952">
            <w:pPr>
              <w:keepNext w:val="0"/>
              <w:keepLines w:val="0"/>
              <w:widowControl/>
              <w:suppressLineNumbers w:val="0"/>
              <w:jc w:val="left"/>
              <w:textAlignment w:val="top"/>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APP登录，网络注册后进入系统，方便用户找回忘记的密码，给系统升级也提供方便。2、APP可控制总电源的开关；可控制学生实验用低压直流电源（0～30V），学生也可自己调节；可显示当前温度、相对湿度及当前时间；同时还可控制水、电、风、灯的开启与关闭等。3、APP移动设备与智能控制屏可以同步操作。</w:t>
            </w:r>
          </w:p>
        </w:tc>
        <w:tc>
          <w:tcPr>
            <w:tcW w:w="705" w:type="dxa"/>
            <w:shd w:val="clear" w:color="auto" w:fill="auto"/>
            <w:noWrap/>
            <w:vAlign w:val="center"/>
          </w:tcPr>
          <w:p w14:paraId="4824F32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shd w:val="clear" w:color="auto" w:fill="auto"/>
            <w:noWrap/>
            <w:vAlign w:val="center"/>
          </w:tcPr>
          <w:p w14:paraId="7D1BD35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50" w:type="dxa"/>
            <w:shd w:val="clear" w:color="auto" w:fill="auto"/>
            <w:noWrap/>
            <w:vAlign w:val="center"/>
          </w:tcPr>
          <w:p w14:paraId="1932F838">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 xml:space="preserve"> </w:t>
            </w:r>
          </w:p>
        </w:tc>
        <w:tc>
          <w:tcPr>
            <w:tcW w:w="876" w:type="dxa"/>
            <w:shd w:val="clear" w:color="auto" w:fill="auto"/>
            <w:vAlign w:val="center"/>
          </w:tcPr>
          <w:p w14:paraId="2D9DF601">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55A21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546" w:type="dxa"/>
            <w:gridSpan w:val="3"/>
            <w:shd w:val="clear" w:color="auto" w:fill="auto"/>
            <w:noWrap/>
            <w:vAlign w:val="center"/>
          </w:tcPr>
          <w:p w14:paraId="5AB2732A">
            <w:pPr>
              <w:jc w:val="left"/>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二、学生实验学习区</w:t>
            </w:r>
          </w:p>
        </w:tc>
        <w:tc>
          <w:tcPr>
            <w:tcW w:w="705" w:type="dxa"/>
            <w:shd w:val="clear" w:color="auto" w:fill="auto"/>
            <w:vAlign w:val="center"/>
          </w:tcPr>
          <w:p w14:paraId="7E7FE032">
            <w:pPr>
              <w:jc w:val="center"/>
              <w:rPr>
                <w:rFonts w:hint="eastAsia" w:ascii="宋体" w:hAnsi="宋体" w:eastAsia="宋体" w:cs="宋体"/>
                <w:b w:val="0"/>
                <w:bCs w:val="0"/>
                <w:i w:val="0"/>
                <w:iCs w:val="0"/>
                <w:color w:val="auto"/>
                <w:sz w:val="20"/>
                <w:szCs w:val="20"/>
                <w:u w:val="none"/>
              </w:rPr>
            </w:pPr>
          </w:p>
        </w:tc>
        <w:tc>
          <w:tcPr>
            <w:tcW w:w="645" w:type="dxa"/>
            <w:shd w:val="clear" w:color="auto" w:fill="auto"/>
            <w:vAlign w:val="center"/>
          </w:tcPr>
          <w:p w14:paraId="0AE5B1E6">
            <w:pPr>
              <w:jc w:val="both"/>
              <w:rPr>
                <w:rFonts w:hint="eastAsia" w:ascii="宋体" w:hAnsi="宋体" w:eastAsia="宋体" w:cs="宋体"/>
                <w:b w:val="0"/>
                <w:bCs w:val="0"/>
                <w:i w:val="0"/>
                <w:iCs w:val="0"/>
                <w:color w:val="auto"/>
                <w:sz w:val="20"/>
                <w:szCs w:val="20"/>
                <w:u w:val="none"/>
              </w:rPr>
            </w:pPr>
          </w:p>
        </w:tc>
        <w:tc>
          <w:tcPr>
            <w:tcW w:w="750" w:type="dxa"/>
            <w:shd w:val="clear" w:color="auto" w:fill="auto"/>
            <w:vAlign w:val="center"/>
          </w:tcPr>
          <w:p w14:paraId="3FC8A49D">
            <w:pPr>
              <w:jc w:val="center"/>
              <w:rPr>
                <w:rFonts w:hint="eastAsia" w:ascii="宋体" w:hAnsi="宋体" w:eastAsia="宋体" w:cs="宋体"/>
                <w:b w:val="0"/>
                <w:bCs w:val="0"/>
                <w:i w:val="0"/>
                <w:iCs w:val="0"/>
                <w:color w:val="auto"/>
                <w:sz w:val="20"/>
                <w:szCs w:val="20"/>
                <w:u w:val="none"/>
              </w:rPr>
            </w:pPr>
          </w:p>
        </w:tc>
        <w:tc>
          <w:tcPr>
            <w:tcW w:w="876" w:type="dxa"/>
            <w:shd w:val="clear" w:color="auto" w:fill="auto"/>
            <w:vAlign w:val="center"/>
          </w:tcPr>
          <w:p w14:paraId="02445A6D">
            <w:pPr>
              <w:jc w:val="center"/>
              <w:rPr>
                <w:rFonts w:hint="eastAsia" w:ascii="宋体" w:hAnsi="宋体" w:eastAsia="宋体" w:cs="宋体"/>
                <w:b w:val="0"/>
                <w:bCs w:val="0"/>
                <w:i w:val="0"/>
                <w:iCs w:val="0"/>
                <w:color w:val="auto"/>
                <w:sz w:val="20"/>
                <w:szCs w:val="20"/>
                <w:u w:val="none"/>
              </w:rPr>
            </w:pPr>
          </w:p>
        </w:tc>
      </w:tr>
      <w:tr w14:paraId="6B046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701" w:type="dxa"/>
            <w:shd w:val="clear" w:color="auto" w:fill="auto"/>
            <w:vAlign w:val="center"/>
          </w:tcPr>
          <w:p w14:paraId="642DA03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900" w:type="dxa"/>
            <w:shd w:val="clear" w:color="auto" w:fill="auto"/>
            <w:vAlign w:val="center"/>
          </w:tcPr>
          <w:p w14:paraId="52587E0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学生实验端</w:t>
            </w:r>
          </w:p>
        </w:tc>
        <w:tc>
          <w:tcPr>
            <w:tcW w:w="9945" w:type="dxa"/>
            <w:shd w:val="clear" w:color="auto" w:fill="auto"/>
            <w:vAlign w:val="center"/>
          </w:tcPr>
          <w:p w14:paraId="0E68E363">
            <w:pPr>
              <w:rPr>
                <w:rFonts w:hint="eastAsia" w:asciiTheme="minorEastAsia" w:hAnsiTheme="minorEastAsia" w:cstheme="minorEastAsia"/>
                <w:color w:val="auto"/>
                <w:sz w:val="20"/>
                <w:szCs w:val="20"/>
              </w:rPr>
            </w:pPr>
            <w:r>
              <w:rPr>
                <w:rFonts w:hint="eastAsia" w:ascii="宋体" w:hAnsi="宋体" w:eastAsia="宋体" w:cs="宋体"/>
                <w:b w:val="0"/>
                <w:bCs w:val="0"/>
                <w:i w:val="0"/>
                <w:iCs w:val="0"/>
                <w:color w:val="auto"/>
                <w:kern w:val="0"/>
                <w:sz w:val="20"/>
                <w:szCs w:val="20"/>
                <w:u w:val="none"/>
                <w:lang w:val="en-US" w:eastAsia="zh-CN" w:bidi="ar"/>
              </w:rPr>
              <w:t xml:space="preserve">规格：≥1200mm×600mm×780mm </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采用板厚为≥12mm双面膜实芯理化板，抗腐蚀抗菌、净醛、耐磨防火、耐烟酌抗污。板材(1)-(6)项功能必须达到如下要求：</w:t>
            </w:r>
            <w:r>
              <w:rPr>
                <w:rFonts w:hint="eastAsia" w:ascii="宋体" w:hAnsi="宋体" w:eastAsia="宋体" w:cs="宋体"/>
                <w:i w:val="0"/>
                <w:iCs w:val="0"/>
                <w:color w:val="auto"/>
                <w:kern w:val="0"/>
                <w:sz w:val="20"/>
                <w:szCs w:val="20"/>
                <w:u w:val="none"/>
                <w:lang w:val="en-US" w:eastAsia="zh-CN" w:bidi="ar"/>
              </w:rPr>
              <w:br w:type="textWrapping"/>
            </w:r>
            <w:r>
              <w:rPr>
                <w:rFonts w:hint="eastAsia" w:asciiTheme="minorEastAsia" w:hAnsiTheme="minorEastAsia" w:cstheme="minorEastAsia"/>
                <w:color w:val="auto"/>
                <w:sz w:val="20"/>
                <w:szCs w:val="20"/>
              </w:rPr>
              <w:t>（1）</w:t>
            </w:r>
            <w:r>
              <w:rPr>
                <w:color w:val="auto"/>
                <w:sz w:val="20"/>
                <w:szCs w:val="20"/>
              </w:rPr>
              <w:t>化学性能检测：台面</w:t>
            </w:r>
            <w:r>
              <w:rPr>
                <w:rFonts w:hint="eastAsia"/>
                <w:color w:val="auto"/>
                <w:sz w:val="20"/>
                <w:szCs w:val="20"/>
                <w:lang w:eastAsia="zh-CN"/>
              </w:rPr>
              <w:t>参照</w:t>
            </w:r>
            <w:r>
              <w:rPr>
                <w:rFonts w:hint="eastAsia"/>
                <w:color w:val="auto"/>
                <w:sz w:val="20"/>
                <w:szCs w:val="20"/>
              </w:rPr>
              <w:t>GB/T 17657-20</w:t>
            </w:r>
            <w:r>
              <w:rPr>
                <w:rFonts w:hint="eastAsia"/>
                <w:color w:val="auto"/>
                <w:sz w:val="20"/>
                <w:szCs w:val="20"/>
                <w:lang w:val="en-US" w:eastAsia="zh-CN"/>
              </w:rPr>
              <w:t>22</w:t>
            </w:r>
            <w:r>
              <w:rPr>
                <w:rFonts w:hint="eastAsia"/>
                <w:color w:val="auto"/>
                <w:sz w:val="20"/>
                <w:szCs w:val="20"/>
              </w:rPr>
              <w:t xml:space="preserve"> 《人造板及饰面人造板理化性能试验方法》标准，耐污染性能不少于1</w:t>
            </w:r>
            <w:r>
              <w:rPr>
                <w:rFonts w:hint="eastAsia"/>
                <w:color w:val="auto"/>
                <w:sz w:val="20"/>
                <w:szCs w:val="20"/>
                <w:lang w:val="en-US" w:eastAsia="zh-CN"/>
              </w:rPr>
              <w:t>30</w:t>
            </w:r>
            <w:r>
              <w:rPr>
                <w:rFonts w:hint="eastAsia"/>
                <w:color w:val="auto"/>
                <w:sz w:val="20"/>
                <w:szCs w:val="20"/>
              </w:rPr>
              <w:t>项试验污染物的检测，且包含：98%硫酸、65%硝酸、40%氢氧化钠、37%盐酸、四氯化碳、1%硝酸银等试剂，覆盖玻璃盖板和未覆盖玻璃盖板检验结果均为</w:t>
            </w:r>
            <w:r>
              <w:rPr>
                <w:rFonts w:hint="eastAsia"/>
                <w:color w:val="auto"/>
                <w:sz w:val="20"/>
                <w:szCs w:val="20"/>
                <w:lang w:val="en-US" w:eastAsia="zh-CN"/>
              </w:rPr>
              <w:t>5级：无明显变化。</w:t>
            </w:r>
          </w:p>
          <w:p w14:paraId="77A1AD70">
            <w:pPr>
              <w:rPr>
                <w:color w:val="auto"/>
                <w:sz w:val="20"/>
                <w:szCs w:val="20"/>
              </w:rPr>
            </w:pPr>
            <w:r>
              <w:rPr>
                <w:rFonts w:hint="eastAsia" w:asciiTheme="minorEastAsia" w:hAnsiTheme="minorEastAsia" w:cstheme="minorEastAsia"/>
                <w:color w:val="auto"/>
                <w:sz w:val="20"/>
                <w:szCs w:val="20"/>
              </w:rPr>
              <w:t>（2）</w:t>
            </w:r>
            <w:r>
              <w:rPr>
                <w:color w:val="auto"/>
                <w:sz w:val="20"/>
                <w:szCs w:val="20"/>
              </w:rPr>
              <w:t>物理性能检测：台面</w:t>
            </w:r>
            <w:r>
              <w:rPr>
                <w:rFonts w:hint="eastAsia"/>
                <w:color w:val="auto"/>
                <w:sz w:val="20"/>
                <w:szCs w:val="20"/>
                <w:lang w:eastAsia="zh-CN"/>
              </w:rPr>
              <w:t>参照</w:t>
            </w:r>
            <w:r>
              <w:rPr>
                <w:rFonts w:hint="eastAsia"/>
                <w:color w:val="auto"/>
                <w:sz w:val="20"/>
                <w:szCs w:val="20"/>
              </w:rPr>
              <w:t>GB/T 17657-20</w:t>
            </w:r>
            <w:r>
              <w:rPr>
                <w:rFonts w:hint="eastAsia"/>
                <w:color w:val="auto"/>
                <w:sz w:val="20"/>
                <w:szCs w:val="20"/>
                <w:lang w:val="en-US" w:eastAsia="zh-CN"/>
              </w:rPr>
              <w:t>22</w:t>
            </w:r>
            <w:r>
              <w:rPr>
                <w:rFonts w:hint="eastAsia"/>
                <w:color w:val="auto"/>
                <w:sz w:val="20"/>
                <w:szCs w:val="20"/>
              </w:rPr>
              <w:t xml:space="preserve"> 《人造板及饰面人造板理化性能试验方法》标准，满足</w:t>
            </w:r>
            <w:r>
              <w:rPr>
                <w:color w:val="auto"/>
                <w:sz w:val="20"/>
                <w:szCs w:val="20"/>
              </w:rPr>
              <w:t>： </w:t>
            </w:r>
            <w:r>
              <w:rPr>
                <w:rFonts w:hint="eastAsia"/>
                <w:color w:val="auto"/>
                <w:sz w:val="20"/>
                <w:szCs w:val="20"/>
              </w:rPr>
              <w:t>含水率：≤</w:t>
            </w:r>
            <w:r>
              <w:rPr>
                <w:rFonts w:hint="eastAsia"/>
                <w:color w:val="auto"/>
                <w:sz w:val="20"/>
                <w:szCs w:val="20"/>
                <w:lang w:val="en-US" w:eastAsia="zh-CN"/>
              </w:rPr>
              <w:t>0.9%</w:t>
            </w:r>
            <w:r>
              <w:rPr>
                <w:rFonts w:hint="eastAsia"/>
                <w:color w:val="auto"/>
                <w:sz w:val="20"/>
                <w:szCs w:val="20"/>
              </w:rPr>
              <w:t>；</w:t>
            </w:r>
            <w:r>
              <w:rPr>
                <w:rFonts w:hint="eastAsia"/>
                <w:color w:val="auto"/>
                <w:sz w:val="20"/>
                <w:szCs w:val="20"/>
                <w:lang w:eastAsia="zh-CN"/>
              </w:rPr>
              <w:t>吸水厚度膨胀率</w:t>
            </w:r>
            <w:r>
              <w:rPr>
                <w:rFonts w:hint="eastAsia"/>
                <w:color w:val="auto"/>
                <w:sz w:val="20"/>
                <w:szCs w:val="20"/>
              </w:rPr>
              <w:t>≤</w:t>
            </w:r>
            <w:r>
              <w:rPr>
                <w:rFonts w:hint="eastAsia"/>
                <w:color w:val="auto"/>
                <w:sz w:val="20"/>
                <w:szCs w:val="20"/>
                <w:lang w:val="en-US" w:eastAsia="zh-CN"/>
              </w:rPr>
              <w:t>0.1%；</w:t>
            </w:r>
            <w:r>
              <w:rPr>
                <w:color w:val="auto"/>
                <w:sz w:val="20"/>
                <w:szCs w:val="20"/>
              </w:rPr>
              <w:t>尺寸稳定性：</w:t>
            </w:r>
            <w:r>
              <w:rPr>
                <w:rFonts w:hint="eastAsia"/>
                <w:color w:val="auto"/>
                <w:sz w:val="20"/>
                <w:szCs w:val="20"/>
                <w:lang w:eastAsia="zh-CN"/>
              </w:rPr>
              <w:t>横向</w:t>
            </w:r>
            <w:r>
              <w:rPr>
                <w:rFonts w:hint="eastAsia"/>
                <w:color w:val="auto"/>
                <w:sz w:val="20"/>
                <w:szCs w:val="20"/>
              </w:rPr>
              <w:t>≤</w:t>
            </w:r>
            <w:r>
              <w:rPr>
                <w:color w:val="auto"/>
                <w:sz w:val="20"/>
                <w:szCs w:val="20"/>
              </w:rPr>
              <w:t>0.</w:t>
            </w:r>
            <w:r>
              <w:rPr>
                <w:rFonts w:hint="eastAsia"/>
                <w:color w:val="auto"/>
                <w:sz w:val="20"/>
                <w:szCs w:val="20"/>
                <w:lang w:val="en-US" w:eastAsia="zh-CN"/>
              </w:rPr>
              <w:t>07</w:t>
            </w:r>
            <w:r>
              <w:rPr>
                <w:color w:val="auto"/>
                <w:sz w:val="20"/>
                <w:szCs w:val="20"/>
              </w:rPr>
              <w:t>%</w:t>
            </w:r>
            <w:r>
              <w:rPr>
                <w:rFonts w:hint="eastAsia"/>
                <w:color w:val="auto"/>
                <w:sz w:val="20"/>
                <w:szCs w:val="20"/>
                <w:lang w:eastAsia="zh-CN"/>
              </w:rPr>
              <w:t>、纵向</w:t>
            </w:r>
            <w:r>
              <w:rPr>
                <w:rFonts w:hint="eastAsia"/>
                <w:color w:val="auto"/>
                <w:sz w:val="20"/>
                <w:szCs w:val="20"/>
              </w:rPr>
              <w:t>≤</w:t>
            </w:r>
            <w:r>
              <w:rPr>
                <w:rFonts w:hint="eastAsia"/>
                <w:color w:val="auto"/>
                <w:sz w:val="20"/>
                <w:szCs w:val="20"/>
                <w:lang w:val="en-US" w:eastAsia="zh-CN"/>
              </w:rPr>
              <w:t>0.04%</w:t>
            </w:r>
            <w:r>
              <w:rPr>
                <w:color w:val="auto"/>
                <w:sz w:val="20"/>
                <w:szCs w:val="20"/>
              </w:rPr>
              <w:t>；</w:t>
            </w:r>
            <w:r>
              <w:rPr>
                <w:rFonts w:hint="eastAsia"/>
                <w:color w:val="auto"/>
                <w:sz w:val="20"/>
                <w:szCs w:val="20"/>
                <w:lang w:eastAsia="zh-CN"/>
              </w:rPr>
              <w:t>板面握螺钉力</w:t>
            </w:r>
            <w:r>
              <w:rPr>
                <w:rFonts w:hint="eastAsia"/>
                <w:color w:val="auto"/>
                <w:sz w:val="20"/>
                <w:szCs w:val="20"/>
              </w:rPr>
              <w:t>≥</w:t>
            </w:r>
            <w:r>
              <w:rPr>
                <w:rFonts w:hint="eastAsia"/>
                <w:color w:val="auto"/>
                <w:sz w:val="20"/>
                <w:szCs w:val="20"/>
                <w:lang w:val="en-US" w:eastAsia="zh-CN"/>
              </w:rPr>
              <w:t>3490N；</w:t>
            </w:r>
            <w:r>
              <w:rPr>
                <w:rFonts w:hint="eastAsia"/>
                <w:color w:val="auto"/>
                <w:sz w:val="20"/>
                <w:szCs w:val="20"/>
              </w:rPr>
              <w:t>表面耐冷热循环性能：</w:t>
            </w:r>
            <w:r>
              <w:rPr>
                <w:rFonts w:hint="eastAsia"/>
                <w:color w:val="auto"/>
                <w:sz w:val="20"/>
                <w:szCs w:val="20"/>
                <w:lang w:eastAsia="zh-CN"/>
              </w:rPr>
              <w:t>表面</w:t>
            </w:r>
            <w:r>
              <w:rPr>
                <w:rFonts w:hint="eastAsia"/>
                <w:color w:val="auto"/>
                <w:sz w:val="20"/>
                <w:szCs w:val="20"/>
              </w:rPr>
              <w:t>无裂纹</w:t>
            </w:r>
            <w:r>
              <w:rPr>
                <w:rFonts w:hint="eastAsia"/>
                <w:color w:val="auto"/>
                <w:sz w:val="20"/>
                <w:szCs w:val="20"/>
                <w:lang w:eastAsia="zh-CN"/>
              </w:rPr>
              <w:t>及</w:t>
            </w:r>
            <w:r>
              <w:rPr>
                <w:rFonts w:hint="eastAsia"/>
                <w:color w:val="auto"/>
                <w:sz w:val="20"/>
                <w:szCs w:val="20"/>
              </w:rPr>
              <w:t>鼓泡；</w:t>
            </w:r>
            <w:r>
              <w:rPr>
                <w:rFonts w:hint="eastAsia"/>
                <w:color w:val="auto"/>
                <w:sz w:val="20"/>
                <w:szCs w:val="20"/>
                <w:lang w:eastAsia="zh-CN"/>
              </w:rPr>
              <w:t>浸渍剥离性能：贴面层与基材之间的胶层无剥离和分层现象；</w:t>
            </w:r>
            <w:r>
              <w:rPr>
                <w:color w:val="auto"/>
                <w:sz w:val="20"/>
                <w:szCs w:val="20"/>
              </w:rPr>
              <w:t>表面耐划痕性能：</w:t>
            </w:r>
            <w:r>
              <w:rPr>
                <w:rFonts w:hint="eastAsia"/>
                <w:color w:val="auto"/>
                <w:sz w:val="20"/>
                <w:szCs w:val="20"/>
                <w:lang w:val="en-US" w:eastAsia="zh-CN"/>
              </w:rPr>
              <w:t>4.5</w:t>
            </w:r>
            <w:r>
              <w:rPr>
                <w:color w:val="auto"/>
                <w:sz w:val="20"/>
                <w:szCs w:val="20"/>
              </w:rPr>
              <w:t>N作用下试件表面无大于90%的连续划痕</w:t>
            </w:r>
            <w:r>
              <w:rPr>
                <w:rFonts w:hint="eastAsia"/>
                <w:color w:val="auto"/>
                <w:sz w:val="20"/>
                <w:szCs w:val="20"/>
                <w:lang w:eastAsia="zh-CN"/>
              </w:rPr>
              <w:t>，表面装饰花纹无破坏现象</w:t>
            </w:r>
            <w:r>
              <w:rPr>
                <w:color w:val="auto"/>
                <w:sz w:val="20"/>
                <w:szCs w:val="20"/>
              </w:rPr>
              <w:t>；</w:t>
            </w:r>
            <w:r>
              <w:rPr>
                <w:rFonts w:hint="eastAsia"/>
                <w:color w:val="auto"/>
                <w:sz w:val="20"/>
                <w:szCs w:val="20"/>
              </w:rPr>
              <w:t>耐沸水性能：质量增加百分率≤</w:t>
            </w:r>
            <w:r>
              <w:rPr>
                <w:color w:val="auto"/>
                <w:sz w:val="20"/>
                <w:szCs w:val="20"/>
              </w:rPr>
              <w:t>0.0</w:t>
            </w:r>
            <w:r>
              <w:rPr>
                <w:rFonts w:hint="eastAsia"/>
                <w:color w:val="auto"/>
                <w:sz w:val="20"/>
                <w:szCs w:val="20"/>
                <w:lang w:val="en-US" w:eastAsia="zh-CN"/>
              </w:rPr>
              <w:t>1</w:t>
            </w:r>
            <w:r>
              <w:rPr>
                <w:rFonts w:hint="eastAsia"/>
                <w:color w:val="auto"/>
                <w:sz w:val="20"/>
                <w:szCs w:val="20"/>
              </w:rPr>
              <w:t>%、厚度增加百分率≤0.</w:t>
            </w:r>
            <w:r>
              <w:rPr>
                <w:rFonts w:hint="eastAsia"/>
                <w:color w:val="auto"/>
                <w:sz w:val="20"/>
                <w:szCs w:val="20"/>
                <w:lang w:val="en-US" w:eastAsia="zh-CN"/>
              </w:rPr>
              <w:t>08</w:t>
            </w:r>
            <w:r>
              <w:rPr>
                <w:rFonts w:hint="eastAsia"/>
                <w:color w:val="auto"/>
                <w:sz w:val="20"/>
                <w:szCs w:val="20"/>
              </w:rPr>
              <w:t>%，表面质量等级：5级</w:t>
            </w:r>
            <w:r>
              <w:rPr>
                <w:rFonts w:hint="eastAsia"/>
                <w:color w:val="auto"/>
                <w:sz w:val="20"/>
                <w:szCs w:val="20"/>
                <w:lang w:eastAsia="zh-CN"/>
              </w:rPr>
              <w:t>：无变化，边缘质量等级：</w:t>
            </w:r>
            <w:r>
              <w:rPr>
                <w:rFonts w:hint="eastAsia"/>
                <w:color w:val="auto"/>
                <w:sz w:val="20"/>
                <w:szCs w:val="20"/>
                <w:lang w:val="en-US" w:eastAsia="zh-CN"/>
              </w:rPr>
              <w:t>5级：无明显变化；耐开裂性能：5级：无细微裂纹；表面耐磨性能：≥1100r,未出现磨损点</w:t>
            </w:r>
            <w:r>
              <w:rPr>
                <w:rFonts w:hint="eastAsia"/>
                <w:color w:val="auto"/>
                <w:sz w:val="20"/>
                <w:szCs w:val="20"/>
              </w:rPr>
              <w:t>等不低于2</w:t>
            </w:r>
            <w:r>
              <w:rPr>
                <w:rFonts w:hint="eastAsia"/>
                <w:color w:val="auto"/>
                <w:sz w:val="20"/>
                <w:szCs w:val="20"/>
                <w:lang w:val="en-US" w:eastAsia="zh-CN"/>
              </w:rPr>
              <w:t>7</w:t>
            </w:r>
            <w:r>
              <w:rPr>
                <w:rFonts w:hint="eastAsia"/>
                <w:color w:val="auto"/>
                <w:sz w:val="20"/>
                <w:szCs w:val="20"/>
              </w:rPr>
              <w:t>项检测。</w:t>
            </w:r>
          </w:p>
          <w:p w14:paraId="10A12270">
            <w:pPr>
              <w:rPr>
                <w:color w:val="auto"/>
                <w:sz w:val="20"/>
                <w:szCs w:val="20"/>
              </w:rPr>
            </w:pPr>
            <w:r>
              <w:rPr>
                <w:rFonts w:hint="eastAsia" w:asciiTheme="minorEastAsia" w:hAnsiTheme="minorEastAsia" w:cstheme="minorEastAsia"/>
                <w:color w:val="auto"/>
                <w:sz w:val="20"/>
                <w:szCs w:val="20"/>
              </w:rPr>
              <w:t>（3）</w:t>
            </w:r>
            <w:r>
              <w:rPr>
                <w:rFonts w:hint="eastAsia" w:ascii="宋体" w:hAnsi="宋体" w:eastAsia="宋体" w:cs="宋体"/>
                <w:color w:val="auto"/>
                <w:sz w:val="20"/>
                <w:szCs w:val="20"/>
              </w:rPr>
              <w:t>环保性能检测：台面</w:t>
            </w:r>
            <w:r>
              <w:rPr>
                <w:rFonts w:hint="eastAsia"/>
                <w:color w:val="auto"/>
                <w:sz w:val="20"/>
                <w:szCs w:val="20"/>
                <w:lang w:eastAsia="zh-CN"/>
              </w:rPr>
              <w:t>参照</w:t>
            </w:r>
            <w:r>
              <w:rPr>
                <w:rFonts w:hint="eastAsia" w:ascii="宋体" w:hAnsi="宋体" w:eastAsia="宋体" w:cs="宋体"/>
                <w:color w:val="auto"/>
                <w:sz w:val="20"/>
                <w:szCs w:val="20"/>
              </w:rPr>
              <w:t>GB 18584-20</w:t>
            </w:r>
            <w:r>
              <w:rPr>
                <w:rFonts w:hint="eastAsia" w:ascii="宋体" w:hAnsi="宋体" w:eastAsia="宋体" w:cs="宋体"/>
                <w:color w:val="auto"/>
                <w:sz w:val="20"/>
                <w:szCs w:val="20"/>
                <w:lang w:val="en-US" w:eastAsia="zh-CN"/>
              </w:rPr>
              <w:t>24</w:t>
            </w:r>
            <w:r>
              <w:rPr>
                <w:rFonts w:hint="eastAsia" w:ascii="宋体" w:hAnsi="宋体" w:eastAsia="宋体" w:cs="宋体"/>
                <w:color w:val="auto"/>
                <w:sz w:val="20"/>
                <w:szCs w:val="20"/>
              </w:rPr>
              <w:t>《家具中有害物质限量》标准，</w:t>
            </w:r>
            <w:r>
              <w:rPr>
                <w:rFonts w:hint="eastAsia" w:ascii="宋体" w:hAnsi="宋体" w:eastAsia="宋体" w:cs="宋体"/>
                <w:color w:val="auto"/>
                <w:sz w:val="20"/>
                <w:szCs w:val="20"/>
                <w:lang w:val="en-US" w:eastAsia="zh-CN"/>
              </w:rPr>
              <w:t>可迁移有害元素:铅(Pb)</w:t>
            </w:r>
            <w:r>
              <w:rPr>
                <w:rFonts w:hint="eastAsia" w:ascii="宋体" w:hAnsi="宋体" w:eastAsia="宋体" w:cs="宋体"/>
                <w:color w:val="auto"/>
                <w:sz w:val="20"/>
                <w:szCs w:val="20"/>
              </w:rPr>
              <w:t>≤</w:t>
            </w:r>
            <w:r>
              <w:rPr>
                <w:rFonts w:hint="eastAsia" w:ascii="宋体" w:hAnsi="宋体" w:eastAsia="宋体" w:cs="宋体"/>
                <w:color w:val="auto"/>
                <w:sz w:val="20"/>
                <w:szCs w:val="20"/>
                <w:lang w:val="en-US" w:eastAsia="zh-CN"/>
              </w:rPr>
              <w:t>15mg/kg、镉（Cd）</w:t>
            </w:r>
            <w:r>
              <w:rPr>
                <w:rFonts w:hint="eastAsia" w:ascii="宋体" w:hAnsi="宋体" w:eastAsia="宋体" w:cs="宋体"/>
                <w:color w:val="auto"/>
                <w:sz w:val="20"/>
                <w:szCs w:val="20"/>
              </w:rPr>
              <w:t>≤</w:t>
            </w:r>
            <w:r>
              <w:rPr>
                <w:rFonts w:hint="eastAsia" w:ascii="宋体" w:hAnsi="宋体" w:eastAsia="宋体" w:cs="宋体"/>
                <w:color w:val="auto"/>
                <w:sz w:val="20"/>
                <w:szCs w:val="20"/>
                <w:lang w:val="en-US" w:eastAsia="zh-CN"/>
              </w:rPr>
              <w:t>12mg/kg、铬（Cr）</w:t>
            </w:r>
            <w:r>
              <w:rPr>
                <w:rFonts w:hint="eastAsia" w:ascii="宋体" w:hAnsi="宋体" w:eastAsia="宋体" w:cs="宋体"/>
                <w:color w:val="auto"/>
                <w:sz w:val="20"/>
                <w:szCs w:val="20"/>
              </w:rPr>
              <w:t>≤</w:t>
            </w:r>
            <w:r>
              <w:rPr>
                <w:rFonts w:hint="eastAsia" w:ascii="宋体" w:hAnsi="宋体" w:eastAsia="宋体" w:cs="宋体"/>
                <w:color w:val="auto"/>
                <w:sz w:val="20"/>
                <w:szCs w:val="20"/>
                <w:lang w:val="en-US" w:eastAsia="zh-CN"/>
              </w:rPr>
              <w:t>10mg/kg、汞（Hg）</w:t>
            </w:r>
            <w:r>
              <w:rPr>
                <w:rFonts w:hint="eastAsia" w:ascii="宋体" w:hAnsi="宋体" w:eastAsia="宋体" w:cs="宋体"/>
                <w:color w:val="auto"/>
                <w:sz w:val="20"/>
                <w:szCs w:val="20"/>
              </w:rPr>
              <w:t>≤</w:t>
            </w:r>
            <w:r>
              <w:rPr>
                <w:rFonts w:hint="eastAsia" w:ascii="宋体" w:hAnsi="宋体" w:eastAsia="宋体" w:cs="宋体"/>
                <w:color w:val="auto"/>
                <w:sz w:val="20"/>
                <w:szCs w:val="20"/>
                <w:lang w:val="en-US" w:eastAsia="zh-CN"/>
              </w:rPr>
              <w:t>12mg/kg。</w:t>
            </w:r>
          </w:p>
          <w:p w14:paraId="6E5C1D9B">
            <w:pPr>
              <w:rPr>
                <w:color w:val="auto"/>
                <w:sz w:val="20"/>
                <w:szCs w:val="20"/>
              </w:rPr>
            </w:pPr>
            <w:r>
              <w:rPr>
                <w:rFonts w:hint="eastAsia" w:asciiTheme="minorEastAsia" w:hAnsiTheme="minorEastAsia" w:cstheme="minorEastAsia"/>
                <w:color w:val="auto"/>
                <w:sz w:val="20"/>
                <w:szCs w:val="20"/>
              </w:rPr>
              <w:t>（4）</w:t>
            </w:r>
            <w:r>
              <w:rPr>
                <w:color w:val="auto"/>
                <w:sz w:val="20"/>
                <w:szCs w:val="20"/>
              </w:rPr>
              <w:t>抗菌性能检测：</w:t>
            </w:r>
            <w:r>
              <w:rPr>
                <w:rFonts w:hint="eastAsia"/>
                <w:color w:val="auto"/>
                <w:sz w:val="20"/>
                <w:szCs w:val="20"/>
              </w:rPr>
              <w:t>台面</w:t>
            </w:r>
            <w:r>
              <w:rPr>
                <w:rFonts w:hint="eastAsia"/>
                <w:color w:val="auto"/>
                <w:sz w:val="20"/>
                <w:szCs w:val="20"/>
                <w:lang w:eastAsia="zh-CN"/>
              </w:rPr>
              <w:t>参照</w:t>
            </w:r>
            <w:r>
              <w:rPr>
                <w:rFonts w:hint="eastAsia"/>
                <w:color w:val="auto"/>
                <w:sz w:val="20"/>
                <w:szCs w:val="20"/>
              </w:rPr>
              <w:t>JC/T2039-2010标准</w:t>
            </w:r>
            <w:r>
              <w:rPr>
                <w:color w:val="auto"/>
                <w:sz w:val="20"/>
                <w:szCs w:val="20"/>
              </w:rPr>
              <w:t>，</w:t>
            </w:r>
            <w:r>
              <w:rPr>
                <w:rFonts w:hint="eastAsia"/>
                <w:color w:val="auto"/>
                <w:sz w:val="20"/>
                <w:szCs w:val="20"/>
                <w:lang w:eastAsia="zh-CN"/>
              </w:rPr>
              <w:t>满足</w:t>
            </w:r>
            <w:r>
              <w:rPr>
                <w:rFonts w:hint="eastAsia"/>
                <w:color w:val="auto"/>
                <w:sz w:val="20"/>
                <w:szCs w:val="20"/>
              </w:rPr>
              <w:t>：</w:t>
            </w:r>
            <w:r>
              <w:rPr>
                <w:color w:val="auto"/>
                <w:sz w:val="20"/>
                <w:szCs w:val="20"/>
              </w:rPr>
              <w:t>大肠杆菌</w:t>
            </w:r>
            <w:r>
              <w:rPr>
                <w:rFonts w:hint="eastAsia"/>
                <w:color w:val="auto"/>
                <w:sz w:val="20"/>
                <w:szCs w:val="20"/>
              </w:rPr>
              <w:t>、</w:t>
            </w:r>
            <w:r>
              <w:rPr>
                <w:color w:val="auto"/>
                <w:sz w:val="20"/>
                <w:szCs w:val="20"/>
              </w:rPr>
              <w:t>金黄色葡萄球菌</w:t>
            </w:r>
            <w:r>
              <w:rPr>
                <w:rFonts w:hint="eastAsia"/>
                <w:color w:val="auto"/>
                <w:sz w:val="20"/>
                <w:szCs w:val="20"/>
              </w:rPr>
              <w:t>、</w:t>
            </w:r>
            <w:r>
              <w:rPr>
                <w:color w:val="auto"/>
                <w:sz w:val="20"/>
                <w:szCs w:val="20"/>
              </w:rPr>
              <w:t>肺炎克雷伯氏菌</w:t>
            </w:r>
            <w:r>
              <w:rPr>
                <w:rFonts w:hint="eastAsia"/>
                <w:color w:val="auto"/>
                <w:sz w:val="20"/>
                <w:szCs w:val="20"/>
              </w:rPr>
              <w:t>、鼠伤寒沙门氏菌、</w:t>
            </w:r>
            <w:r>
              <w:rPr>
                <w:color w:val="auto"/>
                <w:sz w:val="20"/>
                <w:szCs w:val="20"/>
              </w:rPr>
              <w:t>表皮葡萄球菌</w:t>
            </w:r>
            <w:r>
              <w:rPr>
                <w:rFonts w:hint="eastAsia"/>
                <w:color w:val="auto"/>
                <w:sz w:val="20"/>
                <w:szCs w:val="20"/>
              </w:rPr>
              <w:t>、</w:t>
            </w:r>
            <w:r>
              <w:rPr>
                <w:color w:val="auto"/>
                <w:sz w:val="20"/>
                <w:szCs w:val="20"/>
              </w:rPr>
              <w:t>铜绿假单胞菌</w:t>
            </w:r>
            <w:r>
              <w:rPr>
                <w:rFonts w:hint="eastAsia"/>
                <w:color w:val="auto"/>
                <w:sz w:val="20"/>
                <w:szCs w:val="20"/>
              </w:rPr>
              <w:t>、宋氏志贺氏菌、白色葡萄球菌、粪肠球菌</w:t>
            </w:r>
            <w:r>
              <w:rPr>
                <w:color w:val="auto"/>
                <w:sz w:val="20"/>
                <w:szCs w:val="20"/>
              </w:rPr>
              <w:t>；</w:t>
            </w:r>
            <w:r>
              <w:rPr>
                <w:rFonts w:hint="eastAsia"/>
                <w:color w:val="auto"/>
                <w:sz w:val="20"/>
                <w:szCs w:val="20"/>
              </w:rPr>
              <w:t>耐甲氧西林金黄色葡萄球菌、单核细胞增生李斯特氏菌、变异库克菌、溶血性链球菌等</w:t>
            </w:r>
            <w:r>
              <w:rPr>
                <w:rFonts w:ascii="宋体" w:hAnsi="宋体" w:cs="宋体"/>
                <w:color w:val="auto"/>
                <w:spacing w:val="-3"/>
                <w:sz w:val="20"/>
                <w:szCs w:val="20"/>
              </w:rPr>
              <w:t>不少于</w:t>
            </w:r>
            <w:r>
              <w:rPr>
                <w:rFonts w:ascii="宋体" w:hAnsi="宋体" w:cs="宋体"/>
                <w:color w:val="auto"/>
                <w:spacing w:val="-45"/>
                <w:sz w:val="20"/>
                <w:szCs w:val="20"/>
              </w:rPr>
              <w:t xml:space="preserve"> </w:t>
            </w:r>
            <w:r>
              <w:rPr>
                <w:rFonts w:hint="eastAsia" w:ascii="宋体" w:hAnsi="宋体" w:cs="宋体"/>
                <w:color w:val="auto"/>
                <w:spacing w:val="-3"/>
                <w:sz w:val="20"/>
                <w:szCs w:val="20"/>
              </w:rPr>
              <w:t>13</w:t>
            </w:r>
            <w:r>
              <w:rPr>
                <w:rFonts w:ascii="宋体" w:hAnsi="宋体" w:cs="宋体"/>
                <w:color w:val="auto"/>
                <w:spacing w:val="-46"/>
                <w:sz w:val="20"/>
                <w:szCs w:val="20"/>
              </w:rPr>
              <w:t xml:space="preserve"> </w:t>
            </w:r>
            <w:r>
              <w:rPr>
                <w:rFonts w:ascii="宋体" w:hAnsi="宋体" w:cs="宋体"/>
                <w:color w:val="auto"/>
                <w:spacing w:val="-3"/>
                <w:sz w:val="20"/>
                <w:szCs w:val="20"/>
              </w:rPr>
              <w:t>种</w:t>
            </w:r>
            <w:r>
              <w:rPr>
                <w:rFonts w:ascii="宋体" w:hAnsi="宋体" w:cs="宋体"/>
                <w:color w:val="auto"/>
                <w:spacing w:val="-2"/>
                <w:sz w:val="20"/>
                <w:szCs w:val="20"/>
              </w:rPr>
              <w:t>的菌种检测</w:t>
            </w:r>
            <w:r>
              <w:rPr>
                <w:rFonts w:hint="eastAsia" w:ascii="宋体" w:hAnsi="宋体" w:cs="宋体"/>
                <w:color w:val="auto"/>
                <w:spacing w:val="-2"/>
                <w:sz w:val="20"/>
                <w:szCs w:val="20"/>
              </w:rPr>
              <w:t>，且</w:t>
            </w:r>
            <w:r>
              <w:rPr>
                <w:rFonts w:ascii="宋体" w:hAnsi="宋体" w:cs="宋体"/>
                <w:color w:val="auto"/>
                <w:spacing w:val="-2"/>
                <w:sz w:val="20"/>
                <w:szCs w:val="20"/>
              </w:rPr>
              <w:t>抗菌率</w:t>
            </w:r>
            <w:r>
              <w:rPr>
                <w:rFonts w:hint="eastAsia"/>
                <w:color w:val="auto"/>
                <w:sz w:val="20"/>
                <w:szCs w:val="20"/>
              </w:rPr>
              <w:t>≥</w:t>
            </w:r>
            <w:r>
              <w:rPr>
                <w:rFonts w:ascii="宋体" w:hAnsi="宋体" w:cs="宋体"/>
                <w:color w:val="auto"/>
                <w:spacing w:val="-2"/>
                <w:sz w:val="20"/>
                <w:szCs w:val="20"/>
              </w:rPr>
              <w:t>9</w:t>
            </w:r>
            <w:r>
              <w:rPr>
                <w:rFonts w:hint="eastAsia" w:ascii="宋体" w:hAnsi="宋体" w:cs="宋体"/>
                <w:color w:val="auto"/>
                <w:spacing w:val="-2"/>
                <w:sz w:val="20"/>
                <w:szCs w:val="20"/>
              </w:rPr>
              <w:t>5</w:t>
            </w:r>
            <w:r>
              <w:rPr>
                <w:rFonts w:ascii="宋体" w:hAnsi="宋体" w:cs="宋体"/>
                <w:color w:val="auto"/>
                <w:spacing w:val="-2"/>
                <w:sz w:val="20"/>
                <w:szCs w:val="20"/>
              </w:rPr>
              <w:t>%</w:t>
            </w:r>
            <w:r>
              <w:rPr>
                <w:rFonts w:hint="eastAsia" w:ascii="宋体" w:hAnsi="宋体" w:cs="宋体"/>
                <w:color w:val="auto"/>
                <w:spacing w:val="-2"/>
                <w:sz w:val="20"/>
                <w:szCs w:val="20"/>
              </w:rPr>
              <w:t>。</w:t>
            </w:r>
          </w:p>
          <w:p w14:paraId="38EDED1A">
            <w:pPr>
              <w:rPr>
                <w:color w:val="auto"/>
                <w:sz w:val="20"/>
                <w:szCs w:val="20"/>
              </w:rPr>
            </w:pPr>
            <w:r>
              <w:rPr>
                <w:rFonts w:hint="eastAsia" w:asciiTheme="minorEastAsia" w:hAnsiTheme="minorEastAsia" w:cstheme="minorEastAsia"/>
                <w:color w:val="auto"/>
                <w:sz w:val="20"/>
                <w:szCs w:val="20"/>
              </w:rPr>
              <w:t>（5）</w:t>
            </w:r>
            <w:r>
              <w:rPr>
                <w:rFonts w:hint="eastAsia"/>
                <w:bCs/>
                <w:color w:val="auto"/>
                <w:sz w:val="20"/>
                <w:szCs w:val="20"/>
              </w:rPr>
              <w:t>防霉性能检测：</w:t>
            </w:r>
            <w:r>
              <w:rPr>
                <w:rFonts w:hint="eastAsia"/>
                <w:color w:val="auto"/>
                <w:sz w:val="20"/>
                <w:szCs w:val="20"/>
              </w:rPr>
              <w:t>台面</w:t>
            </w:r>
            <w:r>
              <w:rPr>
                <w:rFonts w:hint="eastAsia"/>
                <w:color w:val="auto"/>
                <w:sz w:val="20"/>
                <w:szCs w:val="20"/>
                <w:lang w:eastAsia="zh-CN"/>
              </w:rPr>
              <w:t>参照</w:t>
            </w:r>
            <w:r>
              <w:rPr>
                <w:rFonts w:hint="eastAsia"/>
                <w:color w:val="auto"/>
                <w:sz w:val="20"/>
                <w:szCs w:val="20"/>
              </w:rPr>
              <w:t>JC/T2039-2010标准</w:t>
            </w:r>
            <w:r>
              <w:rPr>
                <w:color w:val="auto"/>
                <w:sz w:val="20"/>
                <w:szCs w:val="20"/>
              </w:rPr>
              <w:t>，</w:t>
            </w:r>
            <w:r>
              <w:rPr>
                <w:rFonts w:hint="eastAsia"/>
                <w:color w:val="auto"/>
                <w:sz w:val="20"/>
                <w:szCs w:val="20"/>
                <w:lang w:eastAsia="zh-CN"/>
              </w:rPr>
              <w:t>满足</w:t>
            </w:r>
            <w:r>
              <w:rPr>
                <w:rFonts w:hint="eastAsia"/>
                <w:color w:val="auto"/>
                <w:sz w:val="20"/>
                <w:szCs w:val="20"/>
              </w:rPr>
              <w:t>：黑曲霉、土曲霉、球毛壳霉、宛氏拟青霉、绳状青霉、出芽短梗霉等不少于</w:t>
            </w:r>
            <w:r>
              <w:rPr>
                <w:rFonts w:hint="eastAsia"/>
                <w:color w:val="auto"/>
                <w:sz w:val="20"/>
                <w:szCs w:val="20"/>
                <w:lang w:val="en-US" w:eastAsia="zh-CN"/>
              </w:rPr>
              <w:t>10</w:t>
            </w:r>
            <w:r>
              <w:rPr>
                <w:rFonts w:hint="eastAsia"/>
                <w:color w:val="auto"/>
                <w:sz w:val="20"/>
                <w:szCs w:val="20"/>
              </w:rPr>
              <w:t>种的霉菌检测，且</w:t>
            </w:r>
            <w:r>
              <w:rPr>
                <w:rFonts w:hint="eastAsia"/>
                <w:bCs/>
                <w:color w:val="auto"/>
                <w:sz w:val="20"/>
                <w:szCs w:val="20"/>
              </w:rPr>
              <w:t>防霉等级为0级。</w:t>
            </w:r>
          </w:p>
          <w:p w14:paraId="39225987">
            <w:pPr>
              <w:keepNext w:val="0"/>
              <w:keepLines w:val="0"/>
              <w:widowControl/>
              <w:suppressLineNumbers w:val="0"/>
              <w:jc w:val="left"/>
              <w:textAlignment w:val="center"/>
              <w:rPr>
                <w:rFonts w:hint="eastAsia"/>
                <w:color w:val="auto"/>
                <w:sz w:val="20"/>
                <w:szCs w:val="20"/>
              </w:rPr>
            </w:pPr>
            <w:r>
              <w:rPr>
                <w:rFonts w:hint="eastAsia" w:asciiTheme="minorEastAsia" w:hAnsiTheme="minorEastAsia" w:cstheme="minorEastAsia"/>
                <w:color w:val="auto"/>
                <w:sz w:val="20"/>
                <w:szCs w:val="20"/>
              </w:rPr>
              <w:t>（6）</w:t>
            </w:r>
            <w:r>
              <w:rPr>
                <w:color w:val="auto"/>
                <w:sz w:val="20"/>
                <w:szCs w:val="20"/>
              </w:rPr>
              <w:t>燃</w:t>
            </w:r>
            <w:r>
              <w:rPr>
                <w:rFonts w:hint="eastAsia"/>
                <w:color w:val="auto"/>
                <w:sz w:val="20"/>
                <w:szCs w:val="20"/>
              </w:rPr>
              <w:t>烧</w:t>
            </w:r>
            <w:r>
              <w:rPr>
                <w:color w:val="auto"/>
                <w:sz w:val="20"/>
                <w:szCs w:val="20"/>
              </w:rPr>
              <w:t>性能检测：台面</w:t>
            </w:r>
            <w:r>
              <w:rPr>
                <w:rFonts w:hint="eastAsia"/>
                <w:color w:val="auto"/>
                <w:sz w:val="20"/>
                <w:szCs w:val="20"/>
                <w:lang w:eastAsia="zh-CN"/>
              </w:rPr>
              <w:t>参照</w:t>
            </w:r>
            <w:r>
              <w:rPr>
                <w:rFonts w:hint="eastAsia"/>
                <w:color w:val="auto"/>
                <w:sz w:val="20"/>
                <w:szCs w:val="20"/>
              </w:rPr>
              <w:t>GB/T 2408-20</w:t>
            </w:r>
            <w:r>
              <w:rPr>
                <w:rFonts w:hint="eastAsia"/>
                <w:color w:val="auto"/>
                <w:sz w:val="20"/>
                <w:szCs w:val="20"/>
                <w:lang w:val="en-US" w:eastAsia="zh-CN"/>
              </w:rPr>
              <w:t>21</w:t>
            </w:r>
            <w:r>
              <w:rPr>
                <w:rFonts w:hint="eastAsia"/>
                <w:color w:val="auto"/>
                <w:sz w:val="20"/>
                <w:szCs w:val="20"/>
              </w:rPr>
              <w:t>《塑料</w:t>
            </w:r>
            <w:r>
              <w:rPr>
                <w:rFonts w:hint="eastAsia"/>
                <w:color w:val="auto"/>
                <w:sz w:val="20"/>
                <w:szCs w:val="20"/>
                <w:lang w:val="en-US" w:eastAsia="zh-CN"/>
              </w:rPr>
              <w:t xml:space="preserve"> </w:t>
            </w:r>
            <w:r>
              <w:rPr>
                <w:rFonts w:hint="eastAsia"/>
                <w:color w:val="auto"/>
                <w:sz w:val="20"/>
                <w:szCs w:val="20"/>
              </w:rPr>
              <w:t>燃烧性能的测定</w:t>
            </w:r>
            <w:r>
              <w:rPr>
                <w:rFonts w:hint="eastAsia"/>
                <w:color w:val="auto"/>
                <w:sz w:val="20"/>
                <w:szCs w:val="20"/>
                <w:lang w:val="en-US" w:eastAsia="zh-CN"/>
              </w:rPr>
              <w:t xml:space="preserve"> </w:t>
            </w:r>
            <w:r>
              <w:rPr>
                <w:rFonts w:hint="eastAsia"/>
                <w:color w:val="auto"/>
                <w:sz w:val="20"/>
                <w:szCs w:val="20"/>
              </w:rPr>
              <w:t>水平法和垂直法》标准，满足：水平燃烧符合HB级；垂直燃烧符合V-0级；台面参照GB8624-2012《建筑材料及制品燃烧性能分级》标准，满足：</w:t>
            </w:r>
            <w:r>
              <w:rPr>
                <w:color w:val="auto"/>
                <w:sz w:val="20"/>
                <w:szCs w:val="20"/>
              </w:rPr>
              <w:t>燃烧性能等级B1级</w:t>
            </w:r>
            <w:r>
              <w:rPr>
                <w:rFonts w:hint="eastAsia"/>
                <w:color w:val="auto"/>
                <w:sz w:val="20"/>
                <w:szCs w:val="20"/>
              </w:rPr>
              <w:t>；产烟特性等级S1级；燃烧滴落物/微粒等级d0级。</w:t>
            </w:r>
          </w:p>
          <w:p w14:paraId="093ECCEC">
            <w:pPr>
              <w:keepNext w:val="0"/>
              <w:keepLines w:val="0"/>
              <w:widowControl/>
              <w:suppressLineNumbers w:val="0"/>
              <w:jc w:val="left"/>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b w:val="0"/>
                <w:bCs w:val="0"/>
                <w:i w:val="0"/>
                <w:iCs w:val="0"/>
                <w:color w:val="auto"/>
                <w:kern w:val="0"/>
                <w:sz w:val="20"/>
                <w:szCs w:val="20"/>
                <w:u w:val="none"/>
                <w:lang w:val="en-US" w:eastAsia="zh-CN" w:bidi="ar"/>
              </w:rPr>
              <w:t>结构：工字型，铝塑钢混合结构，学生位镂空式。</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采用塑铝结构，规格≥L580mm×W60mm×H770mm由上脚、下脚、立柱、装饰盖组成，整体呈“工”字型。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前横梁：截面规格≥L30mm×W25mm，铝合金壁厚≥1.0mm，截面应为扇形，弧面朝向学生位，整体模具一体成型。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中横梁：截面规格≥L30mm×W28mm，铝合金壁厚≥1.0mm。整体模具一体成型。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后横梁：截面规格≥L30mm×W80mm，铝合金壁厚≥1.0mm。在前横梁基础上，设置防跌落阻拦边，高度≥50mm，阻拦边和后横梁模具一体成型，阻拦边上部圆弧设计。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大横梁：采用≥L60mm×W30mm椭圆管件，壁厚≥2mm。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书包斗：规格≥L490mm×W300mm×H170mm，壁厚≥3.0mm，边缘拉筋设计，可视厚度≥7.0mm，拉筋壁厚≥4.0mm。</w:t>
            </w:r>
          </w:p>
        </w:tc>
        <w:tc>
          <w:tcPr>
            <w:tcW w:w="705" w:type="dxa"/>
            <w:shd w:val="clear" w:color="auto" w:fill="auto"/>
            <w:noWrap/>
            <w:vAlign w:val="center"/>
          </w:tcPr>
          <w:p w14:paraId="0917E4A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c>
          <w:tcPr>
            <w:tcW w:w="645" w:type="dxa"/>
            <w:shd w:val="clear" w:color="auto" w:fill="auto"/>
            <w:noWrap/>
            <w:vAlign w:val="center"/>
          </w:tcPr>
          <w:p w14:paraId="5348E57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750" w:type="dxa"/>
            <w:shd w:val="clear" w:color="auto" w:fill="auto"/>
            <w:noWrap/>
            <w:vAlign w:val="center"/>
          </w:tcPr>
          <w:p w14:paraId="5D851FF5">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 xml:space="preserve"> </w:t>
            </w:r>
          </w:p>
        </w:tc>
        <w:tc>
          <w:tcPr>
            <w:tcW w:w="876" w:type="dxa"/>
            <w:shd w:val="clear" w:color="auto" w:fill="auto"/>
            <w:vAlign w:val="center"/>
          </w:tcPr>
          <w:p w14:paraId="5452E726">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4975B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701" w:type="dxa"/>
            <w:shd w:val="clear" w:color="auto" w:fill="auto"/>
            <w:vAlign w:val="center"/>
          </w:tcPr>
          <w:p w14:paraId="64BFF12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900" w:type="dxa"/>
            <w:shd w:val="clear" w:color="auto" w:fill="auto"/>
            <w:noWrap/>
            <w:vAlign w:val="center"/>
          </w:tcPr>
          <w:p w14:paraId="5608B9B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学生端水处理设备</w:t>
            </w:r>
          </w:p>
        </w:tc>
        <w:tc>
          <w:tcPr>
            <w:tcW w:w="9945" w:type="dxa"/>
            <w:shd w:val="clear" w:color="auto" w:fill="auto"/>
            <w:vAlign w:val="center"/>
          </w:tcPr>
          <w:p w14:paraId="33EEDC99">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规格：≥450mm*600mm*810mm/1200mm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 xml:space="preserve">下水系统：采用PP材质专用连接管，配有防虹吸，防阻塞装置。                            </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上部采用专用阻尼转轴搭配翻盖，翻盖打开为实验室专用水嘴和滴水板，方便学生在实验时放置烧杯、量筒等工具。</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翻盖后方配有多功能平台，可按需加装学生专用电源、吊装式上下水接口等。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门板：前部密闭设计，梯形结构搭配装饰条，后门配有可打开式检修门，隐藏式一体扣手，合页采用尼龙塑料铰链，高强度耐磨，防水、永不生锈。</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水槽采用塑料注塑模一次性成型，耐强酸强碱耐＜80℃有机溶剂并耐150℃以下高温。</w:t>
            </w:r>
          </w:p>
        </w:tc>
        <w:tc>
          <w:tcPr>
            <w:tcW w:w="705" w:type="dxa"/>
            <w:shd w:val="clear" w:color="auto" w:fill="auto"/>
            <w:noWrap/>
            <w:vAlign w:val="center"/>
          </w:tcPr>
          <w:p w14:paraId="25F8A6F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shd w:val="clear" w:color="auto" w:fill="auto"/>
            <w:noWrap/>
            <w:vAlign w:val="center"/>
          </w:tcPr>
          <w:p w14:paraId="2CB8673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750" w:type="dxa"/>
            <w:shd w:val="clear" w:color="auto" w:fill="auto"/>
            <w:noWrap/>
            <w:vAlign w:val="center"/>
          </w:tcPr>
          <w:p w14:paraId="1590DB9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 </w:t>
            </w:r>
          </w:p>
        </w:tc>
        <w:tc>
          <w:tcPr>
            <w:tcW w:w="876" w:type="dxa"/>
            <w:shd w:val="clear" w:color="auto" w:fill="auto"/>
            <w:vAlign w:val="center"/>
          </w:tcPr>
          <w:p w14:paraId="0213505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417B7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11546" w:type="dxa"/>
            <w:gridSpan w:val="3"/>
            <w:shd w:val="clear" w:color="auto" w:fill="auto"/>
            <w:noWrap/>
            <w:vAlign w:val="center"/>
          </w:tcPr>
          <w:p w14:paraId="67F6BA63">
            <w:pPr>
              <w:jc w:val="left"/>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三、吊装集成系统</w:t>
            </w:r>
          </w:p>
        </w:tc>
        <w:tc>
          <w:tcPr>
            <w:tcW w:w="705" w:type="dxa"/>
            <w:shd w:val="clear" w:color="auto" w:fill="auto"/>
            <w:vAlign w:val="center"/>
          </w:tcPr>
          <w:p w14:paraId="0311CA25">
            <w:pPr>
              <w:jc w:val="center"/>
              <w:rPr>
                <w:rFonts w:hint="eastAsia" w:ascii="宋体" w:hAnsi="宋体" w:eastAsia="宋体" w:cs="宋体"/>
                <w:b w:val="0"/>
                <w:bCs w:val="0"/>
                <w:i w:val="0"/>
                <w:iCs w:val="0"/>
                <w:color w:val="auto"/>
                <w:sz w:val="20"/>
                <w:szCs w:val="20"/>
                <w:u w:val="none"/>
              </w:rPr>
            </w:pPr>
          </w:p>
        </w:tc>
        <w:tc>
          <w:tcPr>
            <w:tcW w:w="645" w:type="dxa"/>
            <w:shd w:val="clear" w:color="auto" w:fill="auto"/>
            <w:vAlign w:val="center"/>
          </w:tcPr>
          <w:p w14:paraId="1A2D4A7F">
            <w:pPr>
              <w:jc w:val="both"/>
              <w:rPr>
                <w:rFonts w:hint="eastAsia" w:ascii="宋体" w:hAnsi="宋体" w:eastAsia="宋体" w:cs="宋体"/>
                <w:b w:val="0"/>
                <w:bCs w:val="0"/>
                <w:i w:val="0"/>
                <w:iCs w:val="0"/>
                <w:color w:val="auto"/>
                <w:sz w:val="20"/>
                <w:szCs w:val="20"/>
                <w:u w:val="none"/>
              </w:rPr>
            </w:pPr>
          </w:p>
        </w:tc>
        <w:tc>
          <w:tcPr>
            <w:tcW w:w="750" w:type="dxa"/>
            <w:shd w:val="clear" w:color="auto" w:fill="auto"/>
            <w:vAlign w:val="center"/>
          </w:tcPr>
          <w:p w14:paraId="51E6815A">
            <w:pPr>
              <w:jc w:val="center"/>
              <w:rPr>
                <w:rFonts w:hint="eastAsia" w:ascii="宋体" w:hAnsi="宋体" w:eastAsia="宋体" w:cs="宋体"/>
                <w:b w:val="0"/>
                <w:bCs w:val="0"/>
                <w:i w:val="0"/>
                <w:iCs w:val="0"/>
                <w:color w:val="auto"/>
                <w:sz w:val="20"/>
                <w:szCs w:val="20"/>
                <w:u w:val="none"/>
              </w:rPr>
            </w:pPr>
          </w:p>
        </w:tc>
        <w:tc>
          <w:tcPr>
            <w:tcW w:w="876" w:type="dxa"/>
            <w:shd w:val="clear" w:color="auto" w:fill="auto"/>
            <w:vAlign w:val="center"/>
          </w:tcPr>
          <w:p w14:paraId="499021AE">
            <w:pPr>
              <w:jc w:val="center"/>
              <w:rPr>
                <w:rFonts w:hint="eastAsia" w:ascii="宋体" w:hAnsi="宋体" w:eastAsia="宋体" w:cs="宋体"/>
                <w:b w:val="0"/>
                <w:bCs w:val="0"/>
                <w:i w:val="0"/>
                <w:iCs w:val="0"/>
                <w:color w:val="auto"/>
                <w:sz w:val="20"/>
                <w:szCs w:val="20"/>
                <w:u w:val="none"/>
              </w:rPr>
            </w:pPr>
          </w:p>
        </w:tc>
      </w:tr>
      <w:tr w14:paraId="0558A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1" w:type="dxa"/>
            <w:shd w:val="clear" w:color="auto" w:fill="auto"/>
            <w:vAlign w:val="center"/>
          </w:tcPr>
          <w:p w14:paraId="612B2B7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900" w:type="dxa"/>
            <w:shd w:val="clear" w:color="auto" w:fill="auto"/>
            <w:noWrap/>
            <w:vAlign w:val="center"/>
          </w:tcPr>
          <w:p w14:paraId="274B35F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主体框架</w:t>
            </w:r>
          </w:p>
        </w:tc>
        <w:tc>
          <w:tcPr>
            <w:tcW w:w="9945" w:type="dxa"/>
            <w:shd w:val="clear" w:color="auto" w:fill="auto"/>
            <w:vAlign w:val="center"/>
          </w:tcPr>
          <w:p w14:paraId="6DC8F8B2">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尺寸：≥1200mm*500mm*200mm，采用标准模块化组成,整体采用冷轧钢板，表面经环氧树脂粉末喷涂高温固化处理。要做到承重性能强和耐酸碱、耐腐蚀。</w:t>
            </w:r>
          </w:p>
        </w:tc>
        <w:tc>
          <w:tcPr>
            <w:tcW w:w="705" w:type="dxa"/>
            <w:shd w:val="clear" w:color="auto" w:fill="auto"/>
            <w:noWrap/>
            <w:vAlign w:val="center"/>
          </w:tcPr>
          <w:p w14:paraId="32165CF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shd w:val="clear" w:color="auto" w:fill="auto"/>
            <w:noWrap/>
            <w:vAlign w:val="center"/>
          </w:tcPr>
          <w:p w14:paraId="16DE710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50" w:type="dxa"/>
            <w:shd w:val="clear" w:color="auto" w:fill="auto"/>
            <w:noWrap/>
            <w:vAlign w:val="center"/>
          </w:tcPr>
          <w:p w14:paraId="047259FE">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 xml:space="preserve"> </w:t>
            </w:r>
          </w:p>
        </w:tc>
        <w:tc>
          <w:tcPr>
            <w:tcW w:w="876" w:type="dxa"/>
            <w:shd w:val="clear" w:color="auto" w:fill="auto"/>
            <w:vAlign w:val="center"/>
          </w:tcPr>
          <w:p w14:paraId="42E4EA6D">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02C55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1" w:type="dxa"/>
            <w:shd w:val="clear" w:color="auto" w:fill="auto"/>
            <w:vAlign w:val="center"/>
          </w:tcPr>
          <w:p w14:paraId="16027C1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900" w:type="dxa"/>
            <w:shd w:val="clear" w:color="auto" w:fill="auto"/>
            <w:noWrap/>
            <w:vAlign w:val="center"/>
          </w:tcPr>
          <w:p w14:paraId="579B3AD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主体封闭端头</w:t>
            </w:r>
          </w:p>
        </w:tc>
        <w:tc>
          <w:tcPr>
            <w:tcW w:w="9945" w:type="dxa"/>
            <w:shd w:val="clear" w:color="auto" w:fill="auto"/>
            <w:vAlign w:val="center"/>
          </w:tcPr>
          <w:p w14:paraId="204F4093">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尺寸：≥500mm*600mm*250mm，整体采用ABS材料，一体成型。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主体封闭端头</w:t>
            </w:r>
            <w:r>
              <w:rPr>
                <w:rFonts w:hint="eastAsia" w:ascii="宋体" w:hAnsi="宋体" w:eastAsia="宋体" w:cs="宋体"/>
                <w:i w:val="0"/>
                <w:iCs w:val="0"/>
                <w:color w:val="auto"/>
                <w:kern w:val="0"/>
                <w:sz w:val="20"/>
                <w:szCs w:val="20"/>
                <w:u w:val="none"/>
                <w:lang w:val="en-US" w:eastAsia="zh-CN" w:bidi="ar"/>
              </w:rPr>
              <w:t>参照GB/T 32487-2016</w:t>
            </w:r>
            <w:r>
              <w:rPr>
                <w:rFonts w:hint="eastAsia" w:ascii="宋体" w:hAnsi="宋体" w:eastAsia="宋体" w:cs="宋体"/>
                <w:b w:val="0"/>
                <w:bCs w:val="0"/>
                <w:i w:val="0"/>
                <w:iCs w:val="0"/>
                <w:color w:val="auto"/>
                <w:kern w:val="0"/>
                <w:sz w:val="20"/>
                <w:szCs w:val="20"/>
                <w:u w:val="none"/>
                <w:lang w:val="en-US" w:eastAsia="zh-CN" w:bidi="ar"/>
              </w:rPr>
              <w:t>：理化性能：塑料件耐冷热循环：无裂纹、鼓泡、变色、起皱。塑料件硬度：邵氏D硬度≥HD63；有害物质限量：邻苯二甲酸酯（DBP、BBP、DEHP、DNOP、DINP、DIDP）≤0.1%。</w:t>
            </w:r>
          </w:p>
        </w:tc>
        <w:tc>
          <w:tcPr>
            <w:tcW w:w="705" w:type="dxa"/>
            <w:shd w:val="clear" w:color="auto" w:fill="auto"/>
            <w:noWrap/>
            <w:vAlign w:val="center"/>
          </w:tcPr>
          <w:p w14:paraId="6C8BF20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645" w:type="dxa"/>
            <w:shd w:val="clear" w:color="auto" w:fill="auto"/>
            <w:noWrap/>
            <w:vAlign w:val="center"/>
          </w:tcPr>
          <w:p w14:paraId="0D2F772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750" w:type="dxa"/>
            <w:shd w:val="clear" w:color="auto" w:fill="auto"/>
            <w:noWrap/>
            <w:vAlign w:val="center"/>
          </w:tcPr>
          <w:p w14:paraId="680D0F64">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 xml:space="preserve"> </w:t>
            </w:r>
          </w:p>
        </w:tc>
        <w:tc>
          <w:tcPr>
            <w:tcW w:w="876" w:type="dxa"/>
            <w:shd w:val="clear" w:color="auto" w:fill="auto"/>
            <w:vAlign w:val="center"/>
          </w:tcPr>
          <w:p w14:paraId="166D51BE">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062A3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701" w:type="dxa"/>
            <w:shd w:val="clear" w:color="auto" w:fill="auto"/>
            <w:vAlign w:val="center"/>
          </w:tcPr>
          <w:p w14:paraId="2C72E15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w:t>
            </w:r>
          </w:p>
        </w:tc>
        <w:tc>
          <w:tcPr>
            <w:tcW w:w="900" w:type="dxa"/>
            <w:shd w:val="clear" w:color="auto" w:fill="auto"/>
            <w:noWrap/>
            <w:vAlign w:val="center"/>
          </w:tcPr>
          <w:p w14:paraId="1CE38F3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智能摇臂模块</w:t>
            </w:r>
          </w:p>
        </w:tc>
        <w:tc>
          <w:tcPr>
            <w:tcW w:w="9945" w:type="dxa"/>
            <w:shd w:val="clear" w:color="auto" w:fill="auto"/>
            <w:vAlign w:val="center"/>
          </w:tcPr>
          <w:p w14:paraId="65918C6D">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尺寸：≥70mm*50mm*600mm，摇臂接收智能控制系统信号实现远程遥控，助力升降推杆动力采用直流24V减速低压电机，连接杆采用一体成型，功能模块采用注塑模具一体成型，形状为长方形设计，功能模块可安装高低压电源（低压电源为交直流，可以显示交直流电压）、急停开关，预留网络模块。系统自带障碍物保护功能，具有防夹，防卡功能，具有过流保护功能。</w:t>
            </w:r>
          </w:p>
        </w:tc>
        <w:tc>
          <w:tcPr>
            <w:tcW w:w="705" w:type="dxa"/>
            <w:shd w:val="clear" w:color="auto" w:fill="auto"/>
            <w:noWrap/>
            <w:vAlign w:val="center"/>
          </w:tcPr>
          <w:p w14:paraId="4F1FB9A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shd w:val="clear" w:color="auto" w:fill="auto"/>
            <w:noWrap/>
            <w:vAlign w:val="center"/>
          </w:tcPr>
          <w:p w14:paraId="4ED0DF5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50" w:type="dxa"/>
            <w:shd w:val="clear" w:color="auto" w:fill="auto"/>
            <w:noWrap/>
            <w:vAlign w:val="center"/>
          </w:tcPr>
          <w:p w14:paraId="4C97907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 </w:t>
            </w:r>
          </w:p>
        </w:tc>
        <w:tc>
          <w:tcPr>
            <w:tcW w:w="876" w:type="dxa"/>
            <w:shd w:val="clear" w:color="auto" w:fill="auto"/>
            <w:vAlign w:val="center"/>
          </w:tcPr>
          <w:p w14:paraId="32ADA8B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7ADF8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1" w:type="dxa"/>
            <w:shd w:val="clear" w:color="auto" w:fill="auto"/>
            <w:vAlign w:val="center"/>
          </w:tcPr>
          <w:p w14:paraId="006E4D0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4</w:t>
            </w:r>
          </w:p>
        </w:tc>
        <w:tc>
          <w:tcPr>
            <w:tcW w:w="900" w:type="dxa"/>
            <w:shd w:val="clear" w:color="auto" w:fill="auto"/>
            <w:noWrap/>
            <w:vAlign w:val="center"/>
          </w:tcPr>
          <w:p w14:paraId="083F14D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实验电源</w:t>
            </w:r>
          </w:p>
        </w:tc>
        <w:tc>
          <w:tcPr>
            <w:tcW w:w="9945" w:type="dxa"/>
            <w:shd w:val="clear" w:color="auto" w:fill="auto"/>
            <w:vAlign w:val="center"/>
          </w:tcPr>
          <w:p w14:paraId="21FDE01B">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1、高压实验电源模块内含新国标插座，2个220V五孔插座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2、低压实验电源模块采用耐磨、耐腐蚀、耐高温的PC亮光薄膜面板，控制采用功能按钮，可以随意设置电压，准确、快捷。贴片元件生产技术，微电脑控制。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3、学生低压实验电源都可接收主控电源发送的锁定信号，在锁定标识显示后，学生接收教师输送的设定电源电压，教师锁定时，学生自己无法操作，这样可避免学生的误操作。可以分组或独立控制。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4、电源配置OLED屏，显示电压，电流，温度，湿度等信息。</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5、直流稳压输出：交直流电源具有过载保护智能检测功能，显示“OVER”过载短路保护提示。采用按钮复位功能免除反复过载冲击负载。</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6、搭配485网络模块接口，即插即用。</w:t>
            </w:r>
          </w:p>
        </w:tc>
        <w:tc>
          <w:tcPr>
            <w:tcW w:w="705" w:type="dxa"/>
            <w:shd w:val="clear" w:color="auto" w:fill="auto"/>
            <w:noWrap/>
            <w:vAlign w:val="center"/>
          </w:tcPr>
          <w:p w14:paraId="626D576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shd w:val="clear" w:color="auto" w:fill="auto"/>
            <w:noWrap/>
            <w:vAlign w:val="center"/>
          </w:tcPr>
          <w:p w14:paraId="6951E5A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组</w:t>
            </w:r>
          </w:p>
        </w:tc>
        <w:tc>
          <w:tcPr>
            <w:tcW w:w="750" w:type="dxa"/>
            <w:shd w:val="clear" w:color="auto" w:fill="auto"/>
            <w:noWrap/>
            <w:vAlign w:val="center"/>
          </w:tcPr>
          <w:p w14:paraId="2B450AA4">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 xml:space="preserve"> </w:t>
            </w:r>
          </w:p>
        </w:tc>
        <w:tc>
          <w:tcPr>
            <w:tcW w:w="876" w:type="dxa"/>
            <w:shd w:val="clear" w:color="auto" w:fill="auto"/>
            <w:vAlign w:val="center"/>
          </w:tcPr>
          <w:p w14:paraId="4A082EE0">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60B2D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701" w:type="dxa"/>
            <w:shd w:val="clear" w:color="auto" w:fill="auto"/>
            <w:vAlign w:val="center"/>
          </w:tcPr>
          <w:p w14:paraId="2FA5441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5</w:t>
            </w:r>
          </w:p>
        </w:tc>
        <w:tc>
          <w:tcPr>
            <w:tcW w:w="900" w:type="dxa"/>
            <w:shd w:val="clear" w:color="auto" w:fill="auto"/>
            <w:noWrap/>
            <w:vAlign w:val="center"/>
          </w:tcPr>
          <w:p w14:paraId="74F2FCC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保护模块</w:t>
            </w:r>
          </w:p>
        </w:tc>
        <w:tc>
          <w:tcPr>
            <w:tcW w:w="9945" w:type="dxa"/>
            <w:shd w:val="clear" w:color="auto" w:fill="auto"/>
            <w:vAlign w:val="center"/>
          </w:tcPr>
          <w:p w14:paraId="05E7751C">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保护模块在系统出现异常时，自动切断电源，确保安全性。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急停装置采用铝合金材质，在系统出现故障时可手动紧急自动，确保安全性。</w:t>
            </w:r>
          </w:p>
        </w:tc>
        <w:tc>
          <w:tcPr>
            <w:tcW w:w="705" w:type="dxa"/>
            <w:shd w:val="clear" w:color="auto" w:fill="auto"/>
            <w:noWrap/>
            <w:vAlign w:val="center"/>
          </w:tcPr>
          <w:p w14:paraId="08356C8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shd w:val="clear" w:color="auto" w:fill="auto"/>
            <w:noWrap/>
            <w:vAlign w:val="center"/>
          </w:tcPr>
          <w:p w14:paraId="6D7E0AA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组</w:t>
            </w:r>
          </w:p>
        </w:tc>
        <w:tc>
          <w:tcPr>
            <w:tcW w:w="750" w:type="dxa"/>
            <w:shd w:val="clear" w:color="auto" w:fill="auto"/>
            <w:noWrap/>
            <w:vAlign w:val="center"/>
          </w:tcPr>
          <w:p w14:paraId="6676E12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 </w:t>
            </w:r>
          </w:p>
        </w:tc>
        <w:tc>
          <w:tcPr>
            <w:tcW w:w="876" w:type="dxa"/>
            <w:shd w:val="clear" w:color="auto" w:fill="auto"/>
            <w:vAlign w:val="center"/>
          </w:tcPr>
          <w:p w14:paraId="4BC860C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p>
        </w:tc>
      </w:tr>
      <w:tr w14:paraId="47DC9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1" w:type="dxa"/>
            <w:shd w:val="clear" w:color="auto" w:fill="auto"/>
            <w:vAlign w:val="center"/>
          </w:tcPr>
          <w:p w14:paraId="449704F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6</w:t>
            </w:r>
          </w:p>
        </w:tc>
        <w:tc>
          <w:tcPr>
            <w:tcW w:w="900" w:type="dxa"/>
            <w:shd w:val="clear" w:color="auto" w:fill="auto"/>
            <w:noWrap/>
            <w:vAlign w:val="center"/>
          </w:tcPr>
          <w:p w14:paraId="792B444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智能照明</w:t>
            </w:r>
          </w:p>
        </w:tc>
        <w:tc>
          <w:tcPr>
            <w:tcW w:w="9945" w:type="dxa"/>
            <w:shd w:val="clear" w:color="auto" w:fill="auto"/>
            <w:vAlign w:val="center"/>
          </w:tcPr>
          <w:p w14:paraId="2F355D27">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接收智能化控制系统控制，配置LED日光灯不低于1根，每根不低于15W，灯罩采用PC一次成型，设计安装磨砂透明均光板，不仅能使光线扩散均匀更能起到安全防护作用。</w:t>
            </w:r>
          </w:p>
        </w:tc>
        <w:tc>
          <w:tcPr>
            <w:tcW w:w="705" w:type="dxa"/>
            <w:shd w:val="clear" w:color="auto" w:fill="auto"/>
            <w:noWrap/>
            <w:vAlign w:val="center"/>
          </w:tcPr>
          <w:p w14:paraId="0B53CB7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shd w:val="clear" w:color="auto" w:fill="auto"/>
            <w:noWrap/>
            <w:vAlign w:val="center"/>
          </w:tcPr>
          <w:p w14:paraId="1E03DA7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50" w:type="dxa"/>
            <w:shd w:val="clear" w:color="auto" w:fill="auto"/>
            <w:noWrap/>
            <w:vAlign w:val="center"/>
          </w:tcPr>
          <w:p w14:paraId="207115B7">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 xml:space="preserve"> </w:t>
            </w:r>
          </w:p>
        </w:tc>
        <w:tc>
          <w:tcPr>
            <w:tcW w:w="876" w:type="dxa"/>
            <w:shd w:val="clear" w:color="auto" w:fill="auto"/>
            <w:vAlign w:val="center"/>
          </w:tcPr>
          <w:p w14:paraId="170E61D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40F1A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1" w:type="dxa"/>
            <w:shd w:val="clear" w:color="auto" w:fill="auto"/>
            <w:vAlign w:val="center"/>
          </w:tcPr>
          <w:p w14:paraId="4D1278C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7</w:t>
            </w:r>
          </w:p>
        </w:tc>
        <w:tc>
          <w:tcPr>
            <w:tcW w:w="900" w:type="dxa"/>
            <w:shd w:val="clear" w:color="auto" w:fill="auto"/>
            <w:noWrap/>
            <w:vAlign w:val="center"/>
          </w:tcPr>
          <w:p w14:paraId="4C074AB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吊装进排水系统</w:t>
            </w:r>
          </w:p>
        </w:tc>
        <w:tc>
          <w:tcPr>
            <w:tcW w:w="9945" w:type="dxa"/>
            <w:shd w:val="clear" w:color="auto" w:fill="auto"/>
            <w:vAlign w:val="center"/>
          </w:tcPr>
          <w:p w14:paraId="7422F0E8">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自动排水模块≥1组、水模拟量控制器≥1组、电源控制器≥1套、自动保护系统≥1组。</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所有排水由智能化控制系统集中控制，三联高低位龙头处设置排水接口，接口与学生水槽柜采用硅胶软管（具有防酸、防碱、耐腐蚀功能）连接，接口均采用自动锁紧插拔式连接方式（拔掉时没有污水流出），用时接上，不用时可收起。当学生水槽柜量达到一定值时系统自动排水、污水经过连接管排至顶部排水管总管后流出。</w:t>
            </w:r>
          </w:p>
        </w:tc>
        <w:tc>
          <w:tcPr>
            <w:tcW w:w="705" w:type="dxa"/>
            <w:shd w:val="clear" w:color="auto" w:fill="auto"/>
            <w:noWrap/>
            <w:vAlign w:val="center"/>
          </w:tcPr>
          <w:p w14:paraId="00C30FE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shd w:val="clear" w:color="auto" w:fill="auto"/>
            <w:vAlign w:val="center"/>
          </w:tcPr>
          <w:p w14:paraId="5C5ED0D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50" w:type="dxa"/>
            <w:shd w:val="clear" w:color="auto" w:fill="auto"/>
            <w:vAlign w:val="center"/>
          </w:tcPr>
          <w:p w14:paraId="5F619AEA">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 xml:space="preserve"> </w:t>
            </w:r>
          </w:p>
        </w:tc>
        <w:tc>
          <w:tcPr>
            <w:tcW w:w="876" w:type="dxa"/>
            <w:shd w:val="clear" w:color="auto" w:fill="auto"/>
            <w:vAlign w:val="center"/>
          </w:tcPr>
          <w:p w14:paraId="5EEBB982">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2EDFA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701" w:type="dxa"/>
            <w:shd w:val="clear" w:color="auto" w:fill="auto"/>
            <w:vAlign w:val="center"/>
          </w:tcPr>
          <w:p w14:paraId="5E9BF43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8</w:t>
            </w:r>
          </w:p>
        </w:tc>
        <w:tc>
          <w:tcPr>
            <w:tcW w:w="900" w:type="dxa"/>
            <w:shd w:val="clear" w:color="auto" w:fill="auto"/>
            <w:noWrap/>
            <w:vAlign w:val="center"/>
          </w:tcPr>
          <w:p w14:paraId="1068E19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给排水接口</w:t>
            </w:r>
          </w:p>
        </w:tc>
        <w:tc>
          <w:tcPr>
            <w:tcW w:w="9945" w:type="dxa"/>
            <w:shd w:val="clear" w:color="auto" w:fill="auto"/>
            <w:vAlign w:val="center"/>
          </w:tcPr>
          <w:p w14:paraId="2FF4AE60">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PVC材质，给排水接头具有耐酸碱，拔插轻松，不生锈；即插即用，带自动锁紧插功能，即使在供水排水工作时，随时拔掉接口不会有任何滴漏现象。</w:t>
            </w:r>
          </w:p>
        </w:tc>
        <w:tc>
          <w:tcPr>
            <w:tcW w:w="705" w:type="dxa"/>
            <w:shd w:val="clear" w:color="auto" w:fill="auto"/>
            <w:noWrap/>
            <w:vAlign w:val="center"/>
          </w:tcPr>
          <w:p w14:paraId="4C678BE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645" w:type="dxa"/>
            <w:shd w:val="clear" w:color="auto" w:fill="auto"/>
            <w:noWrap/>
            <w:vAlign w:val="center"/>
          </w:tcPr>
          <w:p w14:paraId="685E1F2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50" w:type="dxa"/>
            <w:shd w:val="clear" w:color="auto" w:fill="auto"/>
            <w:noWrap/>
            <w:vAlign w:val="center"/>
          </w:tcPr>
          <w:p w14:paraId="08E3761E">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 xml:space="preserve"> </w:t>
            </w:r>
          </w:p>
        </w:tc>
        <w:tc>
          <w:tcPr>
            <w:tcW w:w="876" w:type="dxa"/>
            <w:shd w:val="clear" w:color="auto" w:fill="auto"/>
            <w:vAlign w:val="center"/>
          </w:tcPr>
          <w:p w14:paraId="0E4D9D8C">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23825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546" w:type="dxa"/>
            <w:gridSpan w:val="3"/>
            <w:shd w:val="clear" w:color="auto" w:fill="auto"/>
            <w:noWrap/>
            <w:vAlign w:val="center"/>
          </w:tcPr>
          <w:p w14:paraId="256F26F7">
            <w:pPr>
              <w:jc w:val="left"/>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四、安装附件部分</w:t>
            </w:r>
          </w:p>
        </w:tc>
        <w:tc>
          <w:tcPr>
            <w:tcW w:w="705" w:type="dxa"/>
            <w:shd w:val="clear" w:color="auto" w:fill="auto"/>
            <w:vAlign w:val="center"/>
          </w:tcPr>
          <w:p w14:paraId="35E54BC6">
            <w:pPr>
              <w:jc w:val="center"/>
              <w:rPr>
                <w:rFonts w:hint="eastAsia" w:ascii="宋体" w:hAnsi="宋体" w:eastAsia="宋体" w:cs="宋体"/>
                <w:b w:val="0"/>
                <w:bCs w:val="0"/>
                <w:i w:val="0"/>
                <w:iCs w:val="0"/>
                <w:color w:val="auto"/>
                <w:sz w:val="20"/>
                <w:szCs w:val="20"/>
                <w:u w:val="none"/>
              </w:rPr>
            </w:pPr>
          </w:p>
        </w:tc>
        <w:tc>
          <w:tcPr>
            <w:tcW w:w="645" w:type="dxa"/>
            <w:shd w:val="clear" w:color="auto" w:fill="auto"/>
            <w:vAlign w:val="center"/>
          </w:tcPr>
          <w:p w14:paraId="40A75851">
            <w:pPr>
              <w:jc w:val="both"/>
              <w:rPr>
                <w:rFonts w:hint="eastAsia" w:ascii="宋体" w:hAnsi="宋体" w:eastAsia="宋体" w:cs="宋体"/>
                <w:b w:val="0"/>
                <w:bCs w:val="0"/>
                <w:i w:val="0"/>
                <w:iCs w:val="0"/>
                <w:color w:val="auto"/>
                <w:sz w:val="20"/>
                <w:szCs w:val="20"/>
                <w:u w:val="none"/>
              </w:rPr>
            </w:pPr>
          </w:p>
        </w:tc>
        <w:tc>
          <w:tcPr>
            <w:tcW w:w="750" w:type="dxa"/>
            <w:shd w:val="clear" w:color="auto" w:fill="auto"/>
            <w:vAlign w:val="center"/>
          </w:tcPr>
          <w:p w14:paraId="17A87802">
            <w:pPr>
              <w:jc w:val="center"/>
              <w:rPr>
                <w:rFonts w:hint="eastAsia" w:ascii="宋体" w:hAnsi="宋体" w:eastAsia="宋体" w:cs="宋体"/>
                <w:b w:val="0"/>
                <w:bCs w:val="0"/>
                <w:i w:val="0"/>
                <w:iCs w:val="0"/>
                <w:color w:val="auto"/>
                <w:sz w:val="20"/>
                <w:szCs w:val="20"/>
                <w:u w:val="none"/>
              </w:rPr>
            </w:pPr>
          </w:p>
        </w:tc>
        <w:tc>
          <w:tcPr>
            <w:tcW w:w="876" w:type="dxa"/>
            <w:shd w:val="clear" w:color="auto" w:fill="auto"/>
            <w:vAlign w:val="center"/>
          </w:tcPr>
          <w:p w14:paraId="7EC5214E">
            <w:pPr>
              <w:jc w:val="center"/>
              <w:rPr>
                <w:rFonts w:hint="eastAsia" w:ascii="宋体" w:hAnsi="宋体" w:eastAsia="宋体" w:cs="宋体"/>
                <w:b w:val="0"/>
                <w:bCs w:val="0"/>
                <w:i w:val="0"/>
                <w:iCs w:val="0"/>
                <w:color w:val="auto"/>
                <w:sz w:val="20"/>
                <w:szCs w:val="20"/>
                <w:u w:val="none"/>
              </w:rPr>
            </w:pPr>
          </w:p>
        </w:tc>
      </w:tr>
      <w:tr w14:paraId="0AFF4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1" w:type="dxa"/>
            <w:shd w:val="clear" w:color="auto" w:fill="auto"/>
            <w:vAlign w:val="center"/>
          </w:tcPr>
          <w:p w14:paraId="2D6BBAC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900" w:type="dxa"/>
            <w:shd w:val="clear" w:color="auto" w:fill="auto"/>
            <w:vAlign w:val="center"/>
          </w:tcPr>
          <w:p w14:paraId="1DB42BD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吊装电源布线耗材</w:t>
            </w:r>
          </w:p>
        </w:tc>
        <w:tc>
          <w:tcPr>
            <w:tcW w:w="9945" w:type="dxa"/>
            <w:shd w:val="clear" w:color="auto" w:fill="auto"/>
            <w:vAlign w:val="center"/>
          </w:tcPr>
          <w:p w14:paraId="329129DC">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模块化设计，每组模块间采用活接式连接，方便安装、检修；采用≥2.5mm²电线进行系统布线200米。</w:t>
            </w:r>
          </w:p>
        </w:tc>
        <w:tc>
          <w:tcPr>
            <w:tcW w:w="705" w:type="dxa"/>
            <w:shd w:val="clear" w:color="auto" w:fill="auto"/>
            <w:vAlign w:val="center"/>
          </w:tcPr>
          <w:p w14:paraId="560DE77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shd w:val="clear" w:color="auto" w:fill="auto"/>
            <w:vAlign w:val="center"/>
          </w:tcPr>
          <w:p w14:paraId="63BA558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室</w:t>
            </w:r>
          </w:p>
        </w:tc>
        <w:tc>
          <w:tcPr>
            <w:tcW w:w="750" w:type="dxa"/>
            <w:shd w:val="clear" w:color="auto" w:fill="auto"/>
            <w:vAlign w:val="center"/>
          </w:tcPr>
          <w:p w14:paraId="50680AE2">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 xml:space="preserve"> </w:t>
            </w:r>
          </w:p>
        </w:tc>
        <w:tc>
          <w:tcPr>
            <w:tcW w:w="876" w:type="dxa"/>
            <w:shd w:val="clear" w:color="auto" w:fill="auto"/>
            <w:vAlign w:val="center"/>
          </w:tcPr>
          <w:p w14:paraId="7D933572">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560E4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701" w:type="dxa"/>
            <w:shd w:val="clear" w:color="auto" w:fill="auto"/>
            <w:vAlign w:val="center"/>
          </w:tcPr>
          <w:p w14:paraId="171C584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900" w:type="dxa"/>
            <w:shd w:val="clear" w:color="auto" w:fill="auto"/>
            <w:vAlign w:val="center"/>
          </w:tcPr>
          <w:p w14:paraId="36E23D8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给/排水设备</w:t>
            </w:r>
          </w:p>
        </w:tc>
        <w:tc>
          <w:tcPr>
            <w:tcW w:w="9945" w:type="dxa"/>
            <w:shd w:val="clear" w:color="auto" w:fill="auto"/>
            <w:vAlign w:val="center"/>
          </w:tcPr>
          <w:p w14:paraId="5C60B3AD">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1、给水：上水管和进水管为国标≥Ф25的PPR材质水管；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2、排水：采用≥Ф50的国标UPVC专用排水管；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2、配件：开关阀门，外丝连接件、PVC胶水等。</w:t>
            </w:r>
          </w:p>
        </w:tc>
        <w:tc>
          <w:tcPr>
            <w:tcW w:w="705" w:type="dxa"/>
            <w:shd w:val="clear" w:color="auto" w:fill="auto"/>
            <w:noWrap/>
            <w:vAlign w:val="center"/>
          </w:tcPr>
          <w:p w14:paraId="0CFEC2B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shd w:val="clear" w:color="auto" w:fill="auto"/>
            <w:vAlign w:val="center"/>
          </w:tcPr>
          <w:p w14:paraId="5721941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50" w:type="dxa"/>
            <w:shd w:val="clear" w:color="auto" w:fill="auto"/>
            <w:vAlign w:val="center"/>
          </w:tcPr>
          <w:p w14:paraId="7A8C2357">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 xml:space="preserve"> </w:t>
            </w:r>
          </w:p>
        </w:tc>
        <w:tc>
          <w:tcPr>
            <w:tcW w:w="876" w:type="dxa"/>
            <w:shd w:val="clear" w:color="auto" w:fill="auto"/>
            <w:vAlign w:val="center"/>
          </w:tcPr>
          <w:p w14:paraId="42A86773">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73166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701" w:type="dxa"/>
            <w:shd w:val="clear" w:color="auto" w:fill="auto"/>
            <w:vAlign w:val="center"/>
          </w:tcPr>
          <w:p w14:paraId="3403F35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w:t>
            </w:r>
          </w:p>
        </w:tc>
        <w:tc>
          <w:tcPr>
            <w:tcW w:w="900" w:type="dxa"/>
            <w:shd w:val="clear" w:color="auto" w:fill="auto"/>
            <w:vAlign w:val="center"/>
          </w:tcPr>
          <w:p w14:paraId="18EC5C5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吊装安装辅件</w:t>
            </w:r>
          </w:p>
        </w:tc>
        <w:tc>
          <w:tcPr>
            <w:tcW w:w="9945" w:type="dxa"/>
            <w:shd w:val="clear" w:color="auto" w:fill="auto"/>
            <w:vAlign w:val="center"/>
          </w:tcPr>
          <w:p w14:paraId="1CB01483">
            <w:pPr>
              <w:keepNext w:val="0"/>
              <w:keepLines w:val="0"/>
              <w:widowControl/>
              <w:numPr>
                <w:ilvl w:val="0"/>
                <w:numId w:val="1"/>
              </w:numPr>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采用双槽钢横梁吊装方式，减少楼板承重，防止左右晃动，可进行上下、左右的平衡调节；</w:t>
            </w:r>
          </w:p>
          <w:p w14:paraId="5421B185">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2、主要辅件有：①三角构件：定制吊装专用三角承重构件，60mm×60mm×80mm（直角边×斜边），板材厚度≥6mm，带Φ12mm吊孔+Φ9mm安装孔，满焊成型后打磨无毛刺；数量：48个；</w:t>
            </w:r>
          </w:p>
          <w:p w14:paraId="2B86F8CD">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2"/>
                <w:sz w:val="20"/>
                <w:szCs w:val="20"/>
                <w:lang w:val="en-US" w:eastAsia="zh-CN" w:bidi="ar-SA"/>
              </w:rPr>
              <w:t>②</w:t>
            </w:r>
            <w:r>
              <w:rPr>
                <w:rFonts w:hint="eastAsia" w:ascii="宋体" w:hAnsi="宋体" w:eastAsia="宋体" w:cs="宋体"/>
                <w:b w:val="0"/>
                <w:bCs w:val="0"/>
                <w:i w:val="0"/>
                <w:iCs w:val="0"/>
                <w:color w:val="auto"/>
                <w:kern w:val="0"/>
                <w:sz w:val="20"/>
                <w:szCs w:val="20"/>
                <w:u w:val="none"/>
                <w:lang w:val="en-US" w:eastAsia="zh-CN" w:bidi="ar"/>
              </w:rPr>
              <w:t>直角座：L型加厚直角固定座，80mm×80mm×10mm（边长×厚度），四角带Φ10mm沉头安装孔，模具一体冲压成型；数量：96个。</w:t>
            </w:r>
          </w:p>
          <w:p w14:paraId="0EB3A8A5">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③龙骨架连接件：T型龙骨架专用连接件，适配实验室30mm×40mm主龙骨，板材厚度≥5mm，带快装卡扣+Φ8mm螺栓孔；数量：48个</w:t>
            </w:r>
          </w:p>
          <w:p w14:paraId="35416105">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④吊装挂件：C型槽钢专用吊装挂件，适配10#主承重槽钢，开口宽度50mm，板材厚度≥5mm，带防滑卡齿+Φ10mm紧固孔；数量：48个</w:t>
            </w:r>
          </w:p>
          <w:p w14:paraId="21D1460B">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⑤安装连接板：平板式通用安装连接板，150mm×80mm×5mm（长×宽×厚），两侧各3个Φ9mm对称安装孔，边缘倒角处理；数量：60个（含施工冗余）</w:t>
            </w:r>
          </w:p>
        </w:tc>
        <w:tc>
          <w:tcPr>
            <w:tcW w:w="705" w:type="dxa"/>
            <w:shd w:val="clear" w:color="auto" w:fill="auto"/>
            <w:noWrap/>
            <w:vAlign w:val="center"/>
          </w:tcPr>
          <w:p w14:paraId="21913F8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645" w:type="dxa"/>
            <w:shd w:val="clear" w:color="auto" w:fill="auto"/>
            <w:vAlign w:val="center"/>
          </w:tcPr>
          <w:p w14:paraId="6192EF3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50" w:type="dxa"/>
            <w:shd w:val="clear" w:color="auto" w:fill="auto"/>
            <w:vAlign w:val="center"/>
          </w:tcPr>
          <w:p w14:paraId="34000150">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 xml:space="preserve"> </w:t>
            </w:r>
          </w:p>
        </w:tc>
        <w:tc>
          <w:tcPr>
            <w:tcW w:w="876" w:type="dxa"/>
            <w:shd w:val="clear" w:color="auto" w:fill="auto"/>
            <w:vAlign w:val="center"/>
          </w:tcPr>
          <w:p w14:paraId="2A9CF48F">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232CC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701" w:type="dxa"/>
            <w:shd w:val="clear" w:color="auto" w:fill="auto"/>
            <w:vAlign w:val="center"/>
          </w:tcPr>
          <w:p w14:paraId="0A10994F">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4</w:t>
            </w:r>
          </w:p>
        </w:tc>
        <w:tc>
          <w:tcPr>
            <w:tcW w:w="900" w:type="dxa"/>
            <w:shd w:val="clear" w:color="auto" w:fill="auto"/>
            <w:vAlign w:val="center"/>
          </w:tcPr>
          <w:p w14:paraId="5955DC2E">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形象设计与实施</w:t>
            </w:r>
          </w:p>
        </w:tc>
        <w:tc>
          <w:tcPr>
            <w:tcW w:w="9945" w:type="dxa"/>
            <w:shd w:val="clear" w:color="auto" w:fill="auto"/>
            <w:vAlign w:val="center"/>
          </w:tcPr>
          <w:p w14:paraId="42B004D2">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一、顶部及地面设施设备（实验室86㎡）</w:t>
            </w:r>
          </w:p>
          <w:p w14:paraId="58737D4F">
            <w:pPr>
              <w:keepNext w:val="0"/>
              <w:keepLines w:val="0"/>
              <w:widowControl/>
              <w:suppressLineNumbers w:val="0"/>
              <w:jc w:val="left"/>
              <w:textAlignment w:val="center"/>
              <w:rPr>
                <w:rFonts w:hint="default"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1. 竹木纤维板86㎡</w:t>
            </w:r>
          </w:p>
          <w:p w14:paraId="41C9046D">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规格：厚度≥8mm，宽度≤30cm，环保等级E1级（甲醛释放量≤0.124mg/m³），防火等级B1级。</w:t>
            </w:r>
          </w:p>
          <w:p w14:paraId="60A4D010">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安装：用自攻螺丝固定于支架，接缝留1-2mm，填缝剂处理；表面平整无划痕，收边条与墙面贴合紧密。</w:t>
            </w:r>
          </w:p>
          <w:p w14:paraId="636997AD">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2. 支架</w:t>
            </w:r>
          </w:p>
          <w:p w14:paraId="3D657DB9">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材质：热镀锌轻钢支架，主支架厚度≥0.8mm，副支架厚度≥0.6mm，吊杆直径≥8mm，符合GB/T 11981标准。</w:t>
            </w:r>
          </w:p>
          <w:p w14:paraId="13BED6CD">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安装：间距主支架≤100cm，副支架≤60cm，吊杆间距≤120cm；整体调平，平整度误差≤3mm，牢固无晃动，预留灯具位置。</w:t>
            </w:r>
          </w:p>
          <w:p w14:paraId="0F91BB91">
            <w:pPr>
              <w:keepNext w:val="0"/>
              <w:keepLines w:val="0"/>
              <w:widowControl/>
              <w:suppressLineNumbers w:val="0"/>
              <w:jc w:val="left"/>
              <w:textAlignment w:val="center"/>
              <w:rPr>
                <w:rFonts w:hint="default"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3. 地面</w:t>
            </w:r>
          </w:p>
          <w:p w14:paraId="5AF24135">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开槽：深度≥管线直径+2cm，宽度适配管线数量，避免破坏基层；开槽后清理杂物。</w:t>
            </w:r>
          </w:p>
          <w:p w14:paraId="0F6E5360">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布线：强电用BV铜芯线不低于（2.5/4平方）、PVC穿线管（直径≥20mm）；弱电穿管隔离，强弱电管间距≥30cm；管线固定牢固。</w:t>
            </w:r>
          </w:p>
          <w:p w14:paraId="4F402A00">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回填：用1:3水泥砂浆分层压实，与原地面平齐，养护至少3天防裂。</w:t>
            </w:r>
          </w:p>
          <w:p w14:paraId="68F49FDE">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4. 自流平+地胶86㎡</w:t>
            </w:r>
          </w:p>
          <w:p w14:paraId="75EF6F0B">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自流平：水泥基材料，厚度≥3mm，平整度误差≤2mm，干燥后无起砂、空鼓。</w:t>
            </w:r>
          </w:p>
          <w:p w14:paraId="2C59E4C6">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地胶：PVC材质，厚度≥2mm，环保等级E1级，耐磨系数≥T级，防火等级B1级；接缝热熔焊接，与墙面留不大于5mm伸缩缝，表面防滑、易清洁。</w:t>
            </w:r>
          </w:p>
          <w:p w14:paraId="67E56336">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二、墙面设施设备</w:t>
            </w:r>
          </w:p>
          <w:p w14:paraId="2314D836">
            <w:pPr>
              <w:keepNext w:val="0"/>
              <w:keepLines w:val="0"/>
              <w:widowControl/>
              <w:suppressLineNumbers w:val="0"/>
              <w:jc w:val="left"/>
              <w:textAlignment w:val="center"/>
              <w:rPr>
                <w:rFonts w:hint="default"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1. 找平刮白114㎡</w:t>
            </w:r>
          </w:p>
          <w:p w14:paraId="2ECC4E00">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基层处理：铲除空鼓、浮灰，裂缝用腻子修补，墙面垂直度误差≤3mm。</w:t>
            </w:r>
          </w:p>
          <w:p w14:paraId="179D3491">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刮白：环保腻子（E1级）批刮3遍，每遍干透后用240目砂纸打磨，最后刷白色环保乳胶漆（哑光，耐擦洗≥3000次），表面均匀无刷痕。</w:t>
            </w:r>
          </w:p>
          <w:p w14:paraId="5FF6DC0F">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2. 文化建设</w:t>
            </w:r>
          </w:p>
          <w:p w14:paraId="57F1A1AB">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内容：理化生学科相关标语、公式、实验安全规范（文字+图标）。</w:t>
            </w:r>
          </w:p>
          <w:p w14:paraId="5169CEE4">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 xml:space="preserve"> 形式：UV喷绘（覆耐磨膜），粘贴于指定墙面（高度1.5-2.2m），平整无气泡，与墙面贴合牢固，色彩持久。</w:t>
            </w:r>
          </w:p>
        </w:tc>
        <w:tc>
          <w:tcPr>
            <w:tcW w:w="705" w:type="dxa"/>
            <w:shd w:val="clear" w:color="auto" w:fill="auto"/>
            <w:noWrap/>
            <w:vAlign w:val="center"/>
          </w:tcPr>
          <w:p w14:paraId="61EDEE27">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45" w:type="dxa"/>
            <w:shd w:val="clear" w:color="auto" w:fill="auto"/>
            <w:vAlign w:val="center"/>
          </w:tcPr>
          <w:p w14:paraId="574C156E">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间</w:t>
            </w:r>
          </w:p>
        </w:tc>
        <w:tc>
          <w:tcPr>
            <w:tcW w:w="750" w:type="dxa"/>
            <w:shd w:val="clear" w:color="auto" w:fill="auto"/>
            <w:vAlign w:val="center"/>
          </w:tcPr>
          <w:p w14:paraId="3F539829">
            <w:pPr>
              <w:keepNext w:val="0"/>
              <w:keepLines w:val="0"/>
              <w:widowControl/>
              <w:suppressLineNumbers w:val="0"/>
              <w:jc w:val="center"/>
              <w:textAlignment w:val="center"/>
              <w:rPr>
                <w:rFonts w:hint="default"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 xml:space="preserve"> </w:t>
            </w:r>
          </w:p>
        </w:tc>
        <w:tc>
          <w:tcPr>
            <w:tcW w:w="876" w:type="dxa"/>
            <w:shd w:val="clear" w:color="auto" w:fill="auto"/>
            <w:vAlign w:val="center"/>
          </w:tcPr>
          <w:p w14:paraId="6A2D1896">
            <w:pPr>
              <w:keepNext w:val="0"/>
              <w:keepLines w:val="0"/>
              <w:widowControl/>
              <w:suppressLineNumbers w:val="0"/>
              <w:jc w:val="center"/>
              <w:textAlignment w:val="center"/>
              <w:rPr>
                <w:rFonts w:hint="default" w:ascii="宋体" w:hAnsi="宋体" w:eastAsia="宋体" w:cs="宋体"/>
                <w:b w:val="0"/>
                <w:bCs w:val="0"/>
                <w:i w:val="0"/>
                <w:iCs w:val="0"/>
                <w:color w:val="auto"/>
                <w:kern w:val="0"/>
                <w:sz w:val="20"/>
                <w:szCs w:val="20"/>
                <w:u w:val="none"/>
                <w:lang w:val="en-US" w:eastAsia="zh-CN" w:bidi="ar"/>
              </w:rPr>
            </w:pPr>
          </w:p>
        </w:tc>
      </w:tr>
      <w:tr w14:paraId="36AA1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1601" w:type="dxa"/>
            <w:gridSpan w:val="2"/>
            <w:shd w:val="clear" w:color="auto" w:fill="auto"/>
            <w:vAlign w:val="center"/>
          </w:tcPr>
          <w:p w14:paraId="06A91022">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合计</w:t>
            </w:r>
          </w:p>
        </w:tc>
        <w:tc>
          <w:tcPr>
            <w:tcW w:w="9945" w:type="dxa"/>
            <w:shd w:val="clear" w:color="auto" w:fill="auto"/>
            <w:vAlign w:val="center"/>
          </w:tcPr>
          <w:p w14:paraId="48F84580">
            <w:pPr>
              <w:jc w:val="center"/>
              <w:rPr>
                <w:rFonts w:hint="eastAsia" w:ascii="宋体" w:hAnsi="宋体" w:eastAsia="宋体" w:cs="宋体"/>
                <w:b/>
                <w:bCs/>
                <w:i w:val="0"/>
                <w:iCs w:val="0"/>
                <w:color w:val="auto"/>
                <w:sz w:val="24"/>
                <w:szCs w:val="24"/>
                <w:u w:val="none"/>
              </w:rPr>
            </w:pPr>
          </w:p>
        </w:tc>
        <w:tc>
          <w:tcPr>
            <w:tcW w:w="1350" w:type="dxa"/>
            <w:gridSpan w:val="2"/>
            <w:shd w:val="clear" w:color="auto" w:fill="auto"/>
            <w:vAlign w:val="center"/>
          </w:tcPr>
          <w:p w14:paraId="23325F6C">
            <w:pPr>
              <w:jc w:val="center"/>
              <w:rPr>
                <w:rFonts w:hint="eastAsia" w:ascii="宋体" w:hAnsi="宋体" w:eastAsia="宋体" w:cs="宋体"/>
                <w:b/>
                <w:bCs/>
                <w:i w:val="0"/>
                <w:iCs w:val="0"/>
                <w:color w:val="auto"/>
                <w:sz w:val="24"/>
                <w:szCs w:val="24"/>
                <w:u w:val="none"/>
              </w:rPr>
            </w:pPr>
          </w:p>
        </w:tc>
        <w:tc>
          <w:tcPr>
            <w:tcW w:w="1626" w:type="dxa"/>
            <w:gridSpan w:val="2"/>
            <w:shd w:val="clear" w:color="auto" w:fill="auto"/>
            <w:vAlign w:val="center"/>
          </w:tcPr>
          <w:p w14:paraId="06CF619C">
            <w:pPr>
              <w:keepNext w:val="0"/>
              <w:keepLines w:val="0"/>
              <w:widowControl/>
              <w:suppressLineNumbers w:val="0"/>
              <w:jc w:val="center"/>
              <w:textAlignment w:val="center"/>
              <w:rPr>
                <w:rFonts w:hint="default" w:ascii="宋体" w:hAnsi="宋体" w:eastAsia="宋体" w:cs="宋体"/>
                <w:b/>
                <w:bCs/>
                <w:i w:val="0"/>
                <w:iCs w:val="0"/>
                <w:color w:val="auto"/>
                <w:sz w:val="24"/>
                <w:szCs w:val="24"/>
                <w:u w:val="none"/>
                <w:lang w:val="en-US"/>
              </w:rPr>
            </w:pPr>
            <w:r>
              <w:rPr>
                <w:rFonts w:hint="eastAsia" w:ascii="宋体" w:hAnsi="宋体" w:eastAsia="宋体" w:cs="宋体"/>
                <w:b/>
                <w:bCs/>
                <w:i w:val="0"/>
                <w:iCs w:val="0"/>
                <w:color w:val="auto"/>
                <w:kern w:val="0"/>
                <w:sz w:val="24"/>
                <w:szCs w:val="24"/>
                <w:u w:val="none"/>
                <w:lang w:val="en-US" w:eastAsia="zh-CN" w:bidi="ar"/>
              </w:rPr>
              <w:t xml:space="preserve"> </w:t>
            </w:r>
          </w:p>
        </w:tc>
      </w:tr>
    </w:tbl>
    <w:p w14:paraId="7A7E3548">
      <w:pPr>
        <w:rPr>
          <w:b w:val="0"/>
          <w:bCs w:val="0"/>
          <w:color w:val="auto"/>
        </w:rPr>
      </w:pPr>
    </w:p>
    <w:p w14:paraId="3FC42713">
      <w:pPr>
        <w:rPr>
          <w:b w:val="0"/>
          <w:bCs w:val="0"/>
          <w:color w:val="auto"/>
        </w:rPr>
      </w:pPr>
    </w:p>
    <w:p w14:paraId="2BC1B10E">
      <w:pPr>
        <w:rPr>
          <w:b w:val="0"/>
          <w:bCs w:val="0"/>
          <w:color w:val="auto"/>
        </w:rPr>
      </w:pPr>
    </w:p>
    <w:p w14:paraId="2B5C6FCF">
      <w:pPr>
        <w:rPr>
          <w:b w:val="0"/>
          <w:bCs w:val="0"/>
          <w:color w:val="auto"/>
        </w:rPr>
      </w:pPr>
    </w:p>
    <w:p w14:paraId="4E41CB20">
      <w:pPr>
        <w:rPr>
          <w:b w:val="0"/>
          <w:bCs w:val="0"/>
          <w:color w:val="auto"/>
        </w:rPr>
      </w:pPr>
    </w:p>
    <w:p w14:paraId="22FE134F">
      <w:pPr>
        <w:rPr>
          <w:b w:val="0"/>
          <w:bCs w:val="0"/>
          <w:color w:val="auto"/>
        </w:rPr>
      </w:pPr>
    </w:p>
    <w:p w14:paraId="7F1E3A13">
      <w:pPr>
        <w:rPr>
          <w:b w:val="0"/>
          <w:bCs w:val="0"/>
          <w:color w:val="auto"/>
        </w:rPr>
      </w:pPr>
    </w:p>
    <w:p w14:paraId="71BBF8E7">
      <w:pPr>
        <w:rPr>
          <w:b w:val="0"/>
          <w:bCs w:val="0"/>
          <w:color w:val="auto"/>
        </w:rPr>
      </w:pPr>
    </w:p>
    <w:p w14:paraId="24918D6D">
      <w:pPr>
        <w:rPr>
          <w:b w:val="0"/>
          <w:bCs w:val="0"/>
          <w:color w:val="auto"/>
        </w:rPr>
      </w:pPr>
    </w:p>
    <w:p w14:paraId="565B304E">
      <w:pPr>
        <w:rPr>
          <w:b w:val="0"/>
          <w:bCs w:val="0"/>
          <w:color w:val="auto"/>
        </w:rPr>
      </w:pPr>
    </w:p>
    <w:p w14:paraId="280DD479">
      <w:pPr>
        <w:rPr>
          <w:b w:val="0"/>
          <w:bCs w:val="0"/>
          <w:color w:val="auto"/>
        </w:rPr>
      </w:pPr>
    </w:p>
    <w:p w14:paraId="0150CBA8">
      <w:pPr>
        <w:rPr>
          <w:b w:val="0"/>
          <w:bCs w:val="0"/>
          <w:color w:val="auto"/>
        </w:rPr>
      </w:pPr>
    </w:p>
    <w:p w14:paraId="5BF3905B">
      <w:pPr>
        <w:rPr>
          <w:b w:val="0"/>
          <w:bCs w:val="0"/>
          <w:color w:val="auto"/>
        </w:rPr>
      </w:pPr>
    </w:p>
    <w:p w14:paraId="299B01BB">
      <w:pPr>
        <w:rPr>
          <w:b w:val="0"/>
          <w:bCs w:val="0"/>
          <w:color w:val="auto"/>
        </w:rPr>
      </w:pPr>
    </w:p>
    <w:p w14:paraId="17409AA7">
      <w:pPr>
        <w:rPr>
          <w:b w:val="0"/>
          <w:bCs w:val="0"/>
          <w:color w:val="auto"/>
        </w:rPr>
      </w:pPr>
    </w:p>
    <w:p w14:paraId="20F571BE">
      <w:pPr>
        <w:rPr>
          <w:b w:val="0"/>
          <w:bCs w:val="0"/>
          <w:color w:val="auto"/>
        </w:rPr>
      </w:pPr>
    </w:p>
    <w:p w14:paraId="31F8936C">
      <w:pPr>
        <w:rPr>
          <w:b w:val="0"/>
          <w:bCs w:val="0"/>
          <w:color w:val="auto"/>
        </w:rPr>
      </w:pPr>
    </w:p>
    <w:p w14:paraId="7047718D">
      <w:pPr>
        <w:rPr>
          <w:b w:val="0"/>
          <w:bCs w:val="0"/>
          <w:color w:val="auto"/>
        </w:rPr>
      </w:pPr>
    </w:p>
    <w:p w14:paraId="7168142F">
      <w:pPr>
        <w:rPr>
          <w:b w:val="0"/>
          <w:bCs w:val="0"/>
          <w:color w:val="auto"/>
        </w:rPr>
      </w:pPr>
    </w:p>
    <w:tbl>
      <w:tblPr>
        <w:tblStyle w:val="4"/>
        <w:tblW w:w="145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1"/>
        <w:gridCol w:w="885"/>
        <w:gridCol w:w="9945"/>
        <w:gridCol w:w="720"/>
        <w:gridCol w:w="660"/>
        <w:gridCol w:w="735"/>
        <w:gridCol w:w="892"/>
      </w:tblGrid>
      <w:tr w14:paraId="7FE4E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 w:hRule="atLeast"/>
        </w:trPr>
        <w:tc>
          <w:tcPr>
            <w:tcW w:w="14538" w:type="dxa"/>
            <w:gridSpan w:val="7"/>
            <w:tcBorders>
              <w:top w:val="single" w:color="000000" w:sz="4" w:space="0"/>
              <w:left w:val="single" w:color="000000" w:sz="4" w:space="0"/>
              <w:bottom w:val="nil"/>
              <w:right w:val="single" w:color="000000" w:sz="4" w:space="0"/>
            </w:tcBorders>
            <w:shd w:val="clear" w:color="auto" w:fill="auto"/>
            <w:noWrap/>
            <w:vAlign w:val="center"/>
          </w:tcPr>
          <w:p w14:paraId="0387D339">
            <w:pPr>
              <w:jc w:val="center"/>
              <w:rPr>
                <w:rFonts w:hint="eastAsia" w:ascii="宋体" w:hAnsi="宋体" w:eastAsia="宋体" w:cs="宋体"/>
                <w:b/>
                <w:bCs/>
                <w:i w:val="0"/>
                <w:iCs w:val="0"/>
                <w:color w:val="auto"/>
                <w:sz w:val="22"/>
                <w:szCs w:val="22"/>
                <w:u w:val="single"/>
              </w:rPr>
            </w:pPr>
            <w:r>
              <w:rPr>
                <w:rFonts w:hint="eastAsia" w:ascii="宋体" w:hAnsi="宋体" w:eastAsia="宋体" w:cs="宋体"/>
                <w:b/>
                <w:bCs/>
                <w:i w:val="0"/>
                <w:iCs w:val="0"/>
                <w:color w:val="auto"/>
                <w:kern w:val="0"/>
                <w:sz w:val="32"/>
                <w:szCs w:val="32"/>
                <w:u w:val="none"/>
                <w:lang w:val="en-US" w:eastAsia="zh-CN" w:bidi="ar"/>
              </w:rPr>
              <w:t>物理准备室</w:t>
            </w:r>
          </w:p>
        </w:tc>
      </w:tr>
      <w:tr w14:paraId="4832E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52B7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0F54A">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名称</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2560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产品参数</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E655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3C3E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040B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单价</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E95D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金额</w:t>
            </w:r>
          </w:p>
        </w:tc>
      </w:tr>
      <w:tr w14:paraId="7EFE2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E407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625D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实验操作设备</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75D2D">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规格：≥2400mm×1200mm×780mm；采用≥12mm厚双面膜实芯理化板；结构：工字型，铝塑钢混合结构。</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采用塑铝结构，规格≥L580mm×W60mm×H770mm由上脚、下脚、立柱、装饰盖组成，整体呈“工”字型，耐酸碱，耐腐蚀。</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前横梁：截面规格≥L30mm×W80mm，铝合金壁厚≥1.0mm，截面应为扇形，弧面朝向学生位，能有效降低发生磕碰时的人身伤害，横梁内部设有螺母柱，整体模具一体成型。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中横梁：截面规格≥L30mm×W28mm，铝合金壁厚≥1.0mm。整体模具一体成型。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后横梁：截面规格≥L30mm×W80mm，铝合金壁厚≥1.0mm。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大横梁：采用≥L60mm×W30mm椭圆管件，壁厚≥2mm。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操作斗：规格≥L490mm×W305mm×H170mm，壁厚≥3.0mm，边缘拉筋设计，可视厚度≥7.0mm，拉筋壁厚≥4.0mm，使得开放口静态水平承载力大大提高。</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0A53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1AC0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张</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A81FA">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C10C6">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29CFB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3230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455B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仪器收纳端</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38108">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规格：≥1000mm×500mm×2000mm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侧板、顶底板采用改性PP材料模具一次成型，表面沙面和光面相结合处理，保证产品之坚固及密封性，顶板、底板预留模具成型排风孔。底部镶嵌≥15mm×30mm厚度≥1.2mm钢制横梁。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下方门体：内框采用改性PP材质模具一次成型，外嵌≥4mm厚钢化玻璃。上下拉手及三角对称五点固定，防止玻璃的松动或开合。伸缩式PP旋转门轴，四角圆弧倒角，内侧弧形圆边，配锁。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上方收纳体：内框采用改性PP材质模具一次成型，外嵌≥4mm厚钢化玻璃，中间镂空制作。上下拉手及三角对称五点固定，防止玻璃的松动或开合。伸缩式PP旋转门轴，四角圆弧倒角，内侧弧形圆边。配锁。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层板：上方配置两块活动层板，下方配置一块活动层板，层板全部采用改性PP材料模具一次成型，四周有阻水边，底部镶嵌不低于两根≥15mm×30mm厚度≥1.2mm钢制横梁。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拉手：采用改性PP材料模具一次成型，直角梯形四周倒圆与门体平行，开启方便。</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门铰链：采用改性PP材料模具一次成型，伸缩式PP旋转门轴，耐腐蚀性好。</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▲参照GB/T 32487-2016塑料件外观，理化性能，有害物质限量。测试结果符合指标要求。（备注：为确保产品质量，需提供第三方检测机构出具的检测报告扫描件并加盖公章。）</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AED6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5</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E867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A3F85">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8AEA8">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0DBBE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5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3E1A5D">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合计</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62202">
            <w:pPr>
              <w:jc w:val="center"/>
              <w:rPr>
                <w:rFonts w:hint="eastAsia" w:ascii="宋体" w:hAnsi="宋体" w:eastAsia="宋体" w:cs="宋体"/>
                <w:b/>
                <w:bCs/>
                <w:i w:val="0"/>
                <w:iCs w:val="0"/>
                <w:color w:val="auto"/>
                <w:sz w:val="24"/>
                <w:szCs w:val="24"/>
                <w:u w:val="none"/>
              </w:rPr>
            </w:pPr>
          </w:p>
        </w:tc>
        <w:tc>
          <w:tcPr>
            <w:tcW w:w="13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D57AAD">
            <w:pPr>
              <w:jc w:val="center"/>
              <w:rPr>
                <w:rFonts w:hint="eastAsia" w:ascii="宋体" w:hAnsi="宋体" w:eastAsia="宋体" w:cs="宋体"/>
                <w:b/>
                <w:bCs/>
                <w:i w:val="0"/>
                <w:iCs w:val="0"/>
                <w:color w:val="auto"/>
                <w:sz w:val="24"/>
                <w:szCs w:val="24"/>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E978A">
            <w:pPr>
              <w:rPr>
                <w:rFonts w:hint="eastAsia" w:ascii="宋体" w:hAnsi="宋体" w:eastAsia="宋体" w:cs="宋体"/>
                <w:b/>
                <w:bCs/>
                <w:i w:val="0"/>
                <w:iCs w:val="0"/>
                <w:color w:val="auto"/>
                <w:sz w:val="22"/>
                <w:szCs w:val="22"/>
                <w:u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1E35F">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 xml:space="preserve"> </w:t>
            </w:r>
          </w:p>
        </w:tc>
      </w:tr>
    </w:tbl>
    <w:p w14:paraId="678A7AE5">
      <w:pPr>
        <w:rPr>
          <w:b w:val="0"/>
          <w:bCs w:val="0"/>
          <w:color w:val="auto"/>
        </w:rPr>
      </w:pPr>
    </w:p>
    <w:tbl>
      <w:tblPr>
        <w:tblStyle w:val="4"/>
        <w:tblW w:w="1443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1"/>
        <w:gridCol w:w="885"/>
        <w:gridCol w:w="9930"/>
        <w:gridCol w:w="735"/>
        <w:gridCol w:w="675"/>
        <w:gridCol w:w="720"/>
        <w:gridCol w:w="788"/>
      </w:tblGrid>
      <w:tr w14:paraId="102A1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4434" w:type="dxa"/>
            <w:gridSpan w:val="7"/>
            <w:tcBorders>
              <w:top w:val="single" w:color="000000" w:sz="4" w:space="0"/>
              <w:left w:val="single" w:color="000000" w:sz="4" w:space="0"/>
              <w:bottom w:val="nil"/>
              <w:right w:val="single" w:color="000000" w:sz="4" w:space="0"/>
            </w:tcBorders>
            <w:shd w:val="clear" w:color="auto" w:fill="auto"/>
            <w:noWrap/>
            <w:vAlign w:val="center"/>
          </w:tcPr>
          <w:p w14:paraId="3DDC45AC">
            <w:pPr>
              <w:jc w:val="center"/>
              <w:rPr>
                <w:rFonts w:hint="eastAsia" w:ascii="宋体" w:hAnsi="宋体" w:eastAsia="宋体" w:cs="宋体"/>
                <w:b/>
                <w:bCs/>
                <w:i w:val="0"/>
                <w:iCs w:val="0"/>
                <w:color w:val="auto"/>
                <w:sz w:val="22"/>
                <w:szCs w:val="22"/>
                <w:u w:val="single"/>
              </w:rPr>
            </w:pPr>
            <w:r>
              <w:rPr>
                <w:rFonts w:hint="eastAsia" w:ascii="宋体" w:hAnsi="宋体" w:eastAsia="宋体" w:cs="宋体"/>
                <w:b/>
                <w:bCs/>
                <w:i w:val="0"/>
                <w:iCs w:val="0"/>
                <w:color w:val="auto"/>
                <w:kern w:val="0"/>
                <w:sz w:val="32"/>
                <w:szCs w:val="32"/>
                <w:u w:val="none"/>
                <w:lang w:val="en-US" w:eastAsia="zh-CN" w:bidi="ar"/>
              </w:rPr>
              <w:t>物理仪器室</w:t>
            </w:r>
          </w:p>
        </w:tc>
      </w:tr>
      <w:tr w14:paraId="10785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44F88">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23F8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名称</w:t>
            </w:r>
          </w:p>
        </w:tc>
        <w:tc>
          <w:tcPr>
            <w:tcW w:w="9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ED65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产品参数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C7D7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9A37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A063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单价</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2AF54">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金额</w:t>
            </w:r>
          </w:p>
        </w:tc>
      </w:tr>
      <w:tr w14:paraId="0D32B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24BB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023C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仪器收纳端</w:t>
            </w:r>
          </w:p>
        </w:tc>
        <w:tc>
          <w:tcPr>
            <w:tcW w:w="9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13DAA">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规格：≥1000mm×500mm×2000mm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侧板、顶底板采用改性PP材料模具一次成型，表面沙面和光面相结合处理，保证产品之坚固及密封性，顶板、底板预留模具成型排风孔。底部镶嵌≥15×30mm厚度≥1.2mm钢制横梁。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下方门体：内框采用改性PP材质模具一次成型，外嵌≥4mm厚钢化玻璃。上下拉手及三角对称五点固定，防止玻璃的松动或开合。伸缩式PP旋转门轴，四角圆弧倒角，内侧弧形圆边，配锁。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上方收纳体：内框采用改性PP材质模具一次成型，外嵌≥4mm厚钢化玻璃，中间镂空制作。上下拉手及三角对称五点固定，防止玻璃的松动或开合。伸缩式PP旋转门轴，四角圆弧倒角，内侧弧形圆边。配锁。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层板：上方配置两块活动层板，下方配置一块活动层板，层板全部采用改性PP材料模具一次成型，四周有阻水边，底部镶嵌不低于两根≥15×30mm厚度≥1.2mm钢制横梁。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拉手：采用改性PP材料模具一次成型，直角梯形四周倒圆与门体平行，开启方便。</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门铰链：采用改性PP材料模具一次成型，伸缩式PP旋转门轴，耐腐蚀性好。</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0EEA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5618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45646">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B057C">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3B48B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5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E4E17A">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合计</w:t>
            </w:r>
          </w:p>
        </w:tc>
        <w:tc>
          <w:tcPr>
            <w:tcW w:w="9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66D9B">
            <w:pPr>
              <w:jc w:val="center"/>
              <w:rPr>
                <w:rFonts w:hint="eastAsia" w:ascii="宋体" w:hAnsi="宋体" w:eastAsia="宋体" w:cs="宋体"/>
                <w:b/>
                <w:bCs/>
                <w:i w:val="0"/>
                <w:iCs w:val="0"/>
                <w:color w:val="auto"/>
                <w:sz w:val="24"/>
                <w:szCs w:val="24"/>
                <w:u w:val="none"/>
              </w:rPr>
            </w:pP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5F62DD">
            <w:pPr>
              <w:jc w:val="center"/>
              <w:rPr>
                <w:rFonts w:hint="eastAsia" w:ascii="宋体" w:hAnsi="宋体" w:eastAsia="宋体" w:cs="宋体"/>
                <w:b/>
                <w:bCs/>
                <w:i w:val="0"/>
                <w:iCs w:val="0"/>
                <w:color w:val="auto"/>
                <w:sz w:val="24"/>
                <w:szCs w:val="24"/>
                <w:u w:val="none"/>
              </w:rPr>
            </w:pPr>
          </w:p>
        </w:tc>
        <w:tc>
          <w:tcPr>
            <w:tcW w:w="150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86E6A">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 xml:space="preserve"> </w:t>
            </w:r>
          </w:p>
        </w:tc>
      </w:tr>
    </w:tbl>
    <w:p w14:paraId="6EDADE46">
      <w:pPr>
        <w:rPr>
          <w:b w:val="0"/>
          <w:bCs w:val="0"/>
          <w:color w:val="auto"/>
        </w:rPr>
      </w:pPr>
    </w:p>
    <w:p w14:paraId="400C2A28">
      <w:pPr>
        <w:rPr>
          <w:b w:val="0"/>
          <w:bCs w:val="0"/>
          <w:color w:val="auto"/>
        </w:rPr>
      </w:pPr>
    </w:p>
    <w:p w14:paraId="0B10AA5F">
      <w:pPr>
        <w:rPr>
          <w:b w:val="0"/>
          <w:bCs w:val="0"/>
          <w:color w:val="auto"/>
        </w:rPr>
      </w:pPr>
    </w:p>
    <w:p w14:paraId="266D507D">
      <w:pPr>
        <w:rPr>
          <w:b w:val="0"/>
          <w:bCs w:val="0"/>
          <w:color w:val="auto"/>
        </w:rPr>
      </w:pPr>
    </w:p>
    <w:p w14:paraId="244D86AA">
      <w:pPr>
        <w:rPr>
          <w:b w:val="0"/>
          <w:bCs w:val="0"/>
          <w:color w:val="auto"/>
        </w:rPr>
      </w:pPr>
    </w:p>
    <w:p w14:paraId="210B4332">
      <w:pPr>
        <w:rPr>
          <w:b w:val="0"/>
          <w:bCs w:val="0"/>
          <w:color w:val="auto"/>
        </w:rPr>
      </w:pPr>
    </w:p>
    <w:p w14:paraId="2DB86D8E">
      <w:pPr>
        <w:rPr>
          <w:b w:val="0"/>
          <w:bCs w:val="0"/>
          <w:color w:val="auto"/>
        </w:rPr>
      </w:pPr>
    </w:p>
    <w:p w14:paraId="0CB6F8D9">
      <w:pPr>
        <w:rPr>
          <w:b w:val="0"/>
          <w:bCs w:val="0"/>
          <w:color w:val="auto"/>
        </w:rPr>
      </w:pPr>
    </w:p>
    <w:p w14:paraId="20E0B522">
      <w:pPr>
        <w:rPr>
          <w:b w:val="0"/>
          <w:bCs w:val="0"/>
          <w:color w:val="auto"/>
        </w:rPr>
      </w:pPr>
    </w:p>
    <w:p w14:paraId="0D380E01">
      <w:pPr>
        <w:rPr>
          <w:b w:val="0"/>
          <w:bCs w:val="0"/>
          <w:color w:val="auto"/>
        </w:rPr>
      </w:pPr>
    </w:p>
    <w:p w14:paraId="60407507">
      <w:pPr>
        <w:rPr>
          <w:b w:val="0"/>
          <w:bCs w:val="0"/>
          <w:color w:val="auto"/>
        </w:rPr>
      </w:pPr>
    </w:p>
    <w:p w14:paraId="0BD1B02E">
      <w:pPr>
        <w:rPr>
          <w:b w:val="0"/>
          <w:bCs w:val="0"/>
          <w:color w:val="auto"/>
        </w:rPr>
      </w:pPr>
    </w:p>
    <w:tbl>
      <w:tblPr>
        <w:tblStyle w:val="4"/>
        <w:tblW w:w="14386"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6"/>
        <w:gridCol w:w="885"/>
        <w:gridCol w:w="9945"/>
        <w:gridCol w:w="720"/>
        <w:gridCol w:w="675"/>
        <w:gridCol w:w="735"/>
        <w:gridCol w:w="740"/>
      </w:tblGrid>
      <w:tr w14:paraId="786CD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2911" w:type="dxa"/>
            <w:gridSpan w:val="5"/>
            <w:tcBorders>
              <w:top w:val="single" w:color="000000" w:sz="4" w:space="0"/>
              <w:left w:val="single" w:color="000000" w:sz="4" w:space="0"/>
              <w:bottom w:val="nil"/>
              <w:right w:val="single" w:color="000000" w:sz="4" w:space="0"/>
            </w:tcBorders>
            <w:shd w:val="clear" w:color="auto" w:fill="auto"/>
            <w:noWrap/>
            <w:vAlign w:val="center"/>
          </w:tcPr>
          <w:p w14:paraId="01F25956">
            <w:pPr>
              <w:keepNext w:val="0"/>
              <w:keepLines w:val="0"/>
              <w:widowControl/>
              <w:suppressLineNumbers w:val="0"/>
              <w:jc w:val="center"/>
              <w:textAlignment w:val="center"/>
              <w:rPr>
                <w:rFonts w:hint="eastAsia" w:ascii="宋体" w:hAnsi="宋体" w:eastAsia="宋体" w:cs="宋体"/>
                <w:b/>
                <w:bCs/>
                <w:i w:val="0"/>
                <w:iCs w:val="0"/>
                <w:color w:val="auto"/>
                <w:sz w:val="32"/>
                <w:szCs w:val="32"/>
                <w:u w:val="none"/>
              </w:rPr>
            </w:pPr>
            <w:r>
              <w:rPr>
                <w:rFonts w:hint="eastAsia" w:ascii="宋体" w:hAnsi="宋体" w:eastAsia="宋体" w:cs="宋体"/>
                <w:b/>
                <w:bCs/>
                <w:i w:val="0"/>
                <w:iCs w:val="0"/>
                <w:color w:val="auto"/>
                <w:kern w:val="0"/>
                <w:sz w:val="32"/>
                <w:szCs w:val="32"/>
                <w:u w:val="none"/>
                <w:lang w:val="en-US" w:eastAsia="zh-CN" w:bidi="ar"/>
              </w:rPr>
              <w:t>化学准备室</w:t>
            </w:r>
          </w:p>
        </w:tc>
        <w:tc>
          <w:tcPr>
            <w:tcW w:w="14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E6734">
            <w:pPr>
              <w:jc w:val="center"/>
              <w:rPr>
                <w:rFonts w:hint="eastAsia" w:ascii="宋体" w:hAnsi="宋体" w:eastAsia="宋体" w:cs="宋体"/>
                <w:b/>
                <w:bCs/>
                <w:i w:val="0"/>
                <w:iCs w:val="0"/>
                <w:color w:val="auto"/>
                <w:sz w:val="22"/>
                <w:szCs w:val="22"/>
                <w:u w:val="single"/>
              </w:rPr>
            </w:pPr>
          </w:p>
        </w:tc>
      </w:tr>
      <w:tr w14:paraId="49E03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9B7E8">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0CAE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名称</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85ED5">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产品参数</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351B8">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80F9F">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9F88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单价</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D912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金额</w:t>
            </w:r>
          </w:p>
        </w:tc>
      </w:tr>
      <w:tr w14:paraId="3EC5C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5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280D9">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一、准备室设备</w:t>
            </w:r>
          </w:p>
        </w:tc>
        <w:tc>
          <w:tcPr>
            <w:tcW w:w="9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B5028">
            <w:pPr>
              <w:jc w:val="left"/>
              <w:rPr>
                <w:rFonts w:hint="eastAsia" w:ascii="宋体" w:hAnsi="宋体" w:eastAsia="宋体" w:cs="宋体"/>
                <w:b w:val="0"/>
                <w:bCs w:val="0"/>
                <w:i w:val="0"/>
                <w:iCs w:val="0"/>
                <w:color w:val="auto"/>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26453">
            <w:pPr>
              <w:rPr>
                <w:rFonts w:hint="eastAsia" w:ascii="宋体" w:hAnsi="宋体" w:eastAsia="宋体" w:cs="宋体"/>
                <w:b w:val="0"/>
                <w:bCs w:val="0"/>
                <w:i w:val="0"/>
                <w:iCs w:val="0"/>
                <w:color w:val="auto"/>
                <w:sz w:val="20"/>
                <w:szCs w:val="20"/>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680E0">
            <w:pPr>
              <w:rPr>
                <w:rFonts w:hint="eastAsia" w:ascii="宋体" w:hAnsi="宋体" w:eastAsia="宋体" w:cs="宋体"/>
                <w:b w:val="0"/>
                <w:bCs w:val="0"/>
                <w:i w:val="0"/>
                <w:iCs w:val="0"/>
                <w:color w:val="auto"/>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4B33A">
            <w:pPr>
              <w:jc w:val="center"/>
              <w:rPr>
                <w:rFonts w:hint="eastAsia" w:ascii="宋体" w:hAnsi="宋体" w:eastAsia="宋体" w:cs="宋体"/>
                <w:b w:val="0"/>
                <w:bCs w:val="0"/>
                <w:i w:val="0"/>
                <w:iCs w:val="0"/>
                <w:color w:val="auto"/>
                <w:sz w:val="20"/>
                <w:szCs w:val="20"/>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C6CA8">
            <w:pPr>
              <w:jc w:val="center"/>
              <w:rPr>
                <w:rFonts w:hint="eastAsia" w:ascii="宋体" w:hAnsi="宋体" w:eastAsia="宋体" w:cs="宋体"/>
                <w:b w:val="0"/>
                <w:bCs w:val="0"/>
                <w:i w:val="0"/>
                <w:iCs w:val="0"/>
                <w:color w:val="auto"/>
                <w:sz w:val="20"/>
                <w:szCs w:val="20"/>
                <w:u w:val="none"/>
              </w:rPr>
            </w:pPr>
          </w:p>
        </w:tc>
      </w:tr>
      <w:tr w14:paraId="483D5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6BC7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B12E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实验操作设备</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79156">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规格：≥2400mm×1200mm×780mm；采用≥12mm厚双面膜实芯理化板；结构：工字型，铝塑钢混合结构。</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采用塑铝结构，规格≥L580mm×W60mm×H770mm由上脚、下脚、立柱、装饰盖组成，整体呈“工”字型，耐酸碱，耐腐蚀。</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前横梁：截面规格≥L30mm×W80mm，铝合金壁厚≥1.0mm，截面应为扇形，弧面朝向学生位，能有效降低发生磕碰时的人身伤害，横梁内部设有螺母柱，整体模具一体成型。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中横梁：截面规格≥L30mm×W28mm，铝合金壁厚≥1.0mm。整体模具一体成型。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后横梁：截面规格≥L30mm×W80mm，铝合金壁厚≥1.0mm。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大横梁：采用≥L60mm×W30mm椭圆管件，壁厚≥2mm。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操作斗：规格≥L490mm×W305mm×H170mm，壁厚≥3.0mm，边缘拉筋设计，可视厚度≥7.0mm，拉筋壁厚≥4.0mm，使得开放口静态水平承载力大大提高。</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DBD8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701A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张</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6C68B">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E66AD">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339CC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0A86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D588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水处理设备</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04284">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规格：≥450mm*600mm*810mm/1200mm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 xml:space="preserve">下水系统：采用PP材质专用连接管，配有防虹吸，防阻塞装置。                            </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上部采用专用阻尼转轴搭配翻盖，翻盖打开为实验室专用水嘴和滴水板，方便学生在实验时放置烧杯、量筒等工具。</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翻盖后方配有多功能平台，可按需加装学生专用电源、吊装式上下水接口等。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门板：前部密闭设计，梯形结构搭配装饰条，后门配有可打开式检修门，隐藏式一体扣手，合页采用尼龙塑料铰链，高强度耐磨，防水、永不生锈。</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水槽采用塑料注塑模一次性成型，耐强酸强碱耐＜80℃有机溶剂并耐150℃以下高温。</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A93E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8FCB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3301B">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D232B">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7DDD2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E502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AAE7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药品收纳端</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F89BD">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规格：≥1000mm×500mm×2000mm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侧板、顶底板采用改性PP材料模具一次成型，表面沙面和光面相结合处理，保证产品之坚固及密封性，顶板、底板预留模具成型排风孔。底部镶嵌≥15×30mm厚度≥1.2mm钢制横梁。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下方门体：内框采用改性PP材质模具一次成型，外嵌≥4mm厚钢化玻璃。上下拉手及三角对称五点固定，防止玻璃的松动或开合。伸缩式PP旋转门轴，四角圆弧倒角，内侧弧形圆边，配锁。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上方收纳体：内框采用改性PP材质模具一次成型，外嵌≥4mm厚钢化玻璃，中间镂空制作。上下拉手及三角对称五点固定，防止玻璃的松动或开合。伸缩式PP旋转门轴，四角圆弧倒角，内侧弧形圆边。配锁。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层板：上方配置两块活动层板，下方配置一块活动层板，层板全部采用改性PP材料模具一次成型，四周有阻水边，底部镶嵌不低于两根≥15×30mm厚度≥1.2mm钢制横梁。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拉手：采用改性PP材料模具一次成型，直角梯形四周倒圆与门体平行，开启方便。</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门铰链：采用改性PP材料模具一次成型，伸缩式PP旋转门轴，耐腐蚀性好。</w:t>
            </w:r>
          </w:p>
          <w:p w14:paraId="150E3CD2">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备注：可以用于各种腐蚀性化学品的储藏，如硫酸、盐酸、硝酸、乙酸、硫磺酸等。</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D7E6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CD5A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69EDB">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0357A">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706C3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61ED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4</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375C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仪器收纳端</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21010">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规格：≥1000mm×500mm×2000mm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侧板、顶底板采用改性PP材料模具一次成型，表面沙面和光面相结合处理，保证产品之坚固及密封性，顶板、底板预留模具成型排风孔。底部镶嵌≥15×30mm厚度≥1.2mm钢制横梁。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下方门体：内框采用改性PP材质模具一次成型，外嵌≥4mm厚钢化玻璃。上下拉手及三角对称五点固定，防止玻璃的松动或开合。伸缩式PP旋转门轴，四角圆弧倒角，内侧弧形圆边，配锁。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上方收纳体：内框采用改性PP材质模具一次成型，外嵌≥4mm厚钢化玻璃，中间镂空制作。上下拉手及三角对称五点固定，防止玻璃的松动或开合。伸缩式PP旋转门轴，四角圆弧倒角，内侧弧形圆边。配锁。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层板：上方配置两块活动层板，下方配置一块活动层板，层板全部采用改性PP材料模具一次成型，四周有阻水边，底部镶嵌不低于两根≥15×30mm厚度≥1.2mm钢制横梁。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拉手：采用改性PP材料模具一次成型，直角梯形四周倒圆与门体平行，开启方便。</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门铰链：采用改性PP材料模具一次成型，伸缩式PP旋转门轴，耐腐蚀性好。</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67DD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E613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41D35">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38BE0">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7A718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57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488F6">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二、安装附件部分</w:t>
            </w:r>
          </w:p>
        </w:tc>
        <w:tc>
          <w:tcPr>
            <w:tcW w:w="9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FC8D7">
            <w:pPr>
              <w:jc w:val="left"/>
              <w:rPr>
                <w:rFonts w:hint="eastAsia" w:ascii="宋体" w:hAnsi="宋体" w:eastAsia="宋体" w:cs="宋体"/>
                <w:b w:val="0"/>
                <w:bCs w:val="0"/>
                <w:i w:val="0"/>
                <w:iCs w:val="0"/>
                <w:color w:val="auto"/>
                <w:sz w:val="20"/>
                <w:szCs w:val="20"/>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EA871">
            <w:pPr>
              <w:rPr>
                <w:rFonts w:hint="eastAsia" w:ascii="宋体" w:hAnsi="宋体" w:eastAsia="宋体" w:cs="宋体"/>
                <w:b w:val="0"/>
                <w:bCs w:val="0"/>
                <w:i w:val="0"/>
                <w:iCs w:val="0"/>
                <w:color w:val="auto"/>
                <w:sz w:val="20"/>
                <w:szCs w:val="20"/>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0C245">
            <w:pPr>
              <w:rPr>
                <w:rFonts w:hint="eastAsia" w:ascii="宋体" w:hAnsi="宋体" w:eastAsia="宋体" w:cs="宋体"/>
                <w:b w:val="0"/>
                <w:bCs w:val="0"/>
                <w:i w:val="0"/>
                <w:iCs w:val="0"/>
                <w:color w:val="auto"/>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7CFF8">
            <w:pPr>
              <w:jc w:val="center"/>
              <w:rPr>
                <w:rFonts w:hint="eastAsia" w:ascii="宋体" w:hAnsi="宋体" w:eastAsia="宋体" w:cs="宋体"/>
                <w:b w:val="0"/>
                <w:bCs w:val="0"/>
                <w:i w:val="0"/>
                <w:iCs w:val="0"/>
                <w:color w:val="auto"/>
                <w:sz w:val="20"/>
                <w:szCs w:val="20"/>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2C0CF">
            <w:pPr>
              <w:jc w:val="center"/>
              <w:rPr>
                <w:rFonts w:hint="eastAsia" w:ascii="宋体" w:hAnsi="宋体" w:eastAsia="宋体" w:cs="宋体"/>
                <w:b w:val="0"/>
                <w:bCs w:val="0"/>
                <w:i w:val="0"/>
                <w:iCs w:val="0"/>
                <w:color w:val="auto"/>
                <w:sz w:val="20"/>
                <w:szCs w:val="20"/>
                <w:u w:val="none"/>
              </w:rPr>
            </w:pPr>
          </w:p>
        </w:tc>
      </w:tr>
      <w:tr w14:paraId="7AE2C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9761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B8C9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给/排水设备</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528A4">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1、给水：上水管和进水管为国标≥Ф25的PPR材质水管；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2、排水：采用≥Ф50的国标UPVC专用排水管；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2、配件：开关阀门，外丝连接件、PVC胶水等。（不包含场地开槽、开孔及开槽开孔后的恢复等土建施工）</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F77B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8062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6C666">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98A51">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46EF0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08D2B">
            <w:pPr>
              <w:rPr>
                <w:rFonts w:hint="eastAsia" w:ascii="宋体" w:hAnsi="宋体" w:eastAsia="宋体" w:cs="宋体"/>
                <w:b w:val="0"/>
                <w:bCs w:val="0"/>
                <w:i w:val="0"/>
                <w:iCs w:val="0"/>
                <w:color w:val="auto"/>
                <w:sz w:val="22"/>
                <w:szCs w:val="22"/>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DD906">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合计</w:t>
            </w:r>
          </w:p>
        </w:tc>
        <w:tc>
          <w:tcPr>
            <w:tcW w:w="9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C84F1">
            <w:pPr>
              <w:jc w:val="center"/>
              <w:rPr>
                <w:rFonts w:hint="eastAsia" w:ascii="宋体" w:hAnsi="宋体" w:eastAsia="宋体" w:cs="宋体"/>
                <w:b/>
                <w:bCs/>
                <w:i w:val="0"/>
                <w:iCs w:val="0"/>
                <w:color w:val="auto"/>
                <w:sz w:val="24"/>
                <w:szCs w:val="24"/>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8BD22">
            <w:pPr>
              <w:jc w:val="center"/>
              <w:rPr>
                <w:rFonts w:hint="eastAsia" w:ascii="宋体" w:hAnsi="宋体" w:eastAsia="宋体" w:cs="宋体"/>
                <w:b/>
                <w:bCs/>
                <w:i w:val="0"/>
                <w:iCs w:val="0"/>
                <w:color w:val="auto"/>
                <w:sz w:val="24"/>
                <w:szCs w:val="24"/>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8C47C">
            <w:pPr>
              <w:jc w:val="center"/>
              <w:rPr>
                <w:rFonts w:hint="eastAsia" w:ascii="宋体" w:hAnsi="宋体" w:eastAsia="宋体" w:cs="宋体"/>
                <w:b/>
                <w:bCs/>
                <w:i w:val="0"/>
                <w:iCs w:val="0"/>
                <w:color w:val="auto"/>
                <w:sz w:val="24"/>
                <w:szCs w:val="24"/>
                <w:u w:val="none"/>
              </w:rPr>
            </w:pPr>
          </w:p>
        </w:tc>
        <w:tc>
          <w:tcPr>
            <w:tcW w:w="14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747D8C">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 xml:space="preserve"> </w:t>
            </w:r>
          </w:p>
        </w:tc>
      </w:tr>
    </w:tbl>
    <w:p w14:paraId="69664FEF">
      <w:pPr>
        <w:keepNext w:val="0"/>
        <w:keepLines w:val="0"/>
        <w:widowControl/>
        <w:suppressLineNumbers w:val="0"/>
        <w:jc w:val="center"/>
        <w:textAlignment w:val="center"/>
        <w:rPr>
          <w:rFonts w:hint="eastAsia" w:ascii="宋体" w:hAnsi="宋体" w:eastAsia="宋体" w:cs="宋体"/>
          <w:b w:val="0"/>
          <w:bCs w:val="0"/>
          <w:i w:val="0"/>
          <w:iCs w:val="0"/>
          <w:color w:val="auto"/>
          <w:kern w:val="0"/>
          <w:sz w:val="32"/>
          <w:szCs w:val="32"/>
          <w:u w:val="none"/>
          <w:lang w:val="en-US" w:eastAsia="zh-CN" w:bidi="ar"/>
        </w:rPr>
      </w:pPr>
      <w:r>
        <w:rPr>
          <w:rFonts w:hint="eastAsia" w:ascii="宋体" w:hAnsi="宋体" w:eastAsia="宋体" w:cs="宋体"/>
          <w:b w:val="0"/>
          <w:bCs w:val="0"/>
          <w:i w:val="0"/>
          <w:iCs w:val="0"/>
          <w:color w:val="auto"/>
          <w:kern w:val="0"/>
          <w:sz w:val="32"/>
          <w:szCs w:val="32"/>
          <w:u w:val="none"/>
          <w:lang w:val="en-US" w:eastAsia="zh-CN" w:bidi="ar"/>
        </w:rPr>
        <w:br w:type="page"/>
      </w:r>
    </w:p>
    <w:tbl>
      <w:tblPr>
        <w:tblStyle w:val="4"/>
        <w:tblW w:w="1447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5"/>
        <w:gridCol w:w="885"/>
        <w:gridCol w:w="9975"/>
        <w:gridCol w:w="705"/>
        <w:gridCol w:w="675"/>
        <w:gridCol w:w="735"/>
        <w:gridCol w:w="818"/>
      </w:tblGrid>
      <w:tr w14:paraId="6AE0F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4478"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353BD">
            <w:pPr>
              <w:keepNext w:val="0"/>
              <w:keepLines w:val="0"/>
              <w:widowControl/>
              <w:suppressLineNumbers w:val="0"/>
              <w:jc w:val="center"/>
              <w:textAlignment w:val="center"/>
              <w:rPr>
                <w:rFonts w:hint="eastAsia" w:ascii="宋体" w:hAnsi="宋体" w:eastAsia="宋体" w:cs="宋体"/>
                <w:b/>
                <w:bCs/>
                <w:i w:val="0"/>
                <w:iCs w:val="0"/>
                <w:color w:val="auto"/>
                <w:sz w:val="32"/>
                <w:szCs w:val="32"/>
                <w:u w:val="none"/>
              </w:rPr>
            </w:pPr>
            <w:r>
              <w:rPr>
                <w:rFonts w:hint="eastAsia" w:ascii="宋体" w:hAnsi="宋体" w:eastAsia="宋体" w:cs="宋体"/>
                <w:b/>
                <w:bCs/>
                <w:i w:val="0"/>
                <w:iCs w:val="0"/>
                <w:color w:val="auto"/>
                <w:kern w:val="0"/>
                <w:sz w:val="32"/>
                <w:szCs w:val="32"/>
                <w:u w:val="none"/>
                <w:lang w:val="en-US" w:eastAsia="zh-CN" w:bidi="ar"/>
              </w:rPr>
              <w:t>化学仪器室</w:t>
            </w:r>
          </w:p>
        </w:tc>
      </w:tr>
      <w:tr w14:paraId="2D15C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0565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0FAA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名称</w:t>
            </w:r>
          </w:p>
        </w:tc>
        <w:tc>
          <w:tcPr>
            <w:tcW w:w="9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AA4F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产品参数</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92E84">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C69F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348E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22F6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金额</w:t>
            </w:r>
          </w:p>
        </w:tc>
      </w:tr>
      <w:tr w14:paraId="627F7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96BE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FD2E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仪器收纳端</w:t>
            </w:r>
          </w:p>
        </w:tc>
        <w:tc>
          <w:tcPr>
            <w:tcW w:w="9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378DA">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规格：≥1000mm×500mm×2000mm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侧板、顶底板采用改性PP材料模具一次成型，表面沙面和光面相结合处理，保证产品之坚固及密封性，顶板、底板预留模具成型排风孔。底部镶嵌≥15×30mm厚度≥1.2mm钢制横梁。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下方门体：内框采用改性PP材质模具一次成型，外嵌≥4mm厚钢化玻璃。上下拉手及三角对称五点固定，防止玻璃的松动或开合。伸缩式PP旋转门轴，四角圆弧倒角，内侧弧形圆边，配锁。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上方收纳体：内框采用改性PP材质模具一次成型，外嵌≥4mm厚钢化玻璃，中间镂空制作。上下拉手及三角对称五点固定，防止玻璃的松动或开合。伸缩式PP旋转门轴，四角圆弧倒角，内侧弧形圆边。配锁。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层板：上方配置两块活动层板，下方配置一块活动层板，层板全部采用改性PP材料模具一次成型，四周有阻水边，底部镶嵌不低于两根≥15×30mm厚度≥1.2mm钢制横梁。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拉手：采用改性PP材料模具一次成型，直角梯形四周倒圆与门体平行，开启方便。</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门铰链：采用改性PP材料模具一次成型，伸缩式PP旋转门轴，耐腐蚀性好。</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F7CD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E80A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50CC6">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A4CFF">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60FE9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5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9B8398">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合计</w:t>
            </w:r>
          </w:p>
        </w:tc>
        <w:tc>
          <w:tcPr>
            <w:tcW w:w="9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CCB3D">
            <w:pPr>
              <w:jc w:val="center"/>
              <w:rPr>
                <w:rFonts w:hint="eastAsia" w:ascii="宋体" w:hAnsi="宋体" w:eastAsia="宋体" w:cs="宋体"/>
                <w:b/>
                <w:bCs/>
                <w:i w:val="0"/>
                <w:iCs w:val="0"/>
                <w:color w:val="auto"/>
                <w:sz w:val="24"/>
                <w:szCs w:val="24"/>
                <w:u w:val="none"/>
              </w:rPr>
            </w:pPr>
          </w:p>
        </w:tc>
        <w:tc>
          <w:tcPr>
            <w:tcW w:w="13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967E45">
            <w:pPr>
              <w:jc w:val="center"/>
              <w:rPr>
                <w:rFonts w:hint="eastAsia" w:ascii="宋体" w:hAnsi="宋体" w:eastAsia="宋体" w:cs="宋体"/>
                <w:b/>
                <w:bCs/>
                <w:i w:val="0"/>
                <w:iCs w:val="0"/>
                <w:color w:val="auto"/>
                <w:sz w:val="24"/>
                <w:szCs w:val="24"/>
                <w:u w:val="none"/>
              </w:rPr>
            </w:pP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3351B">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 xml:space="preserve">  </w:t>
            </w:r>
          </w:p>
        </w:tc>
      </w:tr>
    </w:tbl>
    <w:p w14:paraId="7F823A26">
      <w:pPr>
        <w:rPr>
          <w:b w:val="0"/>
          <w:bCs w:val="0"/>
          <w:color w:val="auto"/>
        </w:rPr>
      </w:pPr>
    </w:p>
    <w:p w14:paraId="00F2DD07">
      <w:pPr>
        <w:rPr>
          <w:b w:val="0"/>
          <w:bCs w:val="0"/>
          <w:color w:val="auto"/>
        </w:rPr>
      </w:pPr>
    </w:p>
    <w:p w14:paraId="1C1D5C19">
      <w:pPr>
        <w:rPr>
          <w:b w:val="0"/>
          <w:bCs w:val="0"/>
          <w:color w:val="auto"/>
        </w:rPr>
      </w:pPr>
    </w:p>
    <w:p w14:paraId="75C19E58">
      <w:pPr>
        <w:rPr>
          <w:b w:val="0"/>
          <w:bCs w:val="0"/>
          <w:color w:val="auto"/>
        </w:rPr>
      </w:pPr>
    </w:p>
    <w:p w14:paraId="1C106A96">
      <w:pPr>
        <w:rPr>
          <w:b w:val="0"/>
          <w:bCs w:val="0"/>
          <w:color w:val="auto"/>
        </w:rPr>
      </w:pPr>
    </w:p>
    <w:p w14:paraId="1D833624">
      <w:pPr>
        <w:rPr>
          <w:b w:val="0"/>
          <w:bCs w:val="0"/>
          <w:color w:val="auto"/>
        </w:rPr>
      </w:pPr>
    </w:p>
    <w:p w14:paraId="2B1D2D37">
      <w:pPr>
        <w:rPr>
          <w:b w:val="0"/>
          <w:bCs w:val="0"/>
          <w:color w:val="auto"/>
        </w:rPr>
      </w:pPr>
    </w:p>
    <w:p w14:paraId="7C7C6211">
      <w:pPr>
        <w:rPr>
          <w:b w:val="0"/>
          <w:bCs w:val="0"/>
          <w:color w:val="auto"/>
        </w:rPr>
      </w:pPr>
    </w:p>
    <w:p w14:paraId="52F40376">
      <w:pPr>
        <w:rPr>
          <w:b w:val="0"/>
          <w:bCs w:val="0"/>
          <w:color w:val="auto"/>
        </w:rPr>
      </w:pPr>
    </w:p>
    <w:p w14:paraId="42041EF5">
      <w:pPr>
        <w:rPr>
          <w:b w:val="0"/>
          <w:bCs w:val="0"/>
          <w:color w:val="auto"/>
        </w:rPr>
      </w:pPr>
    </w:p>
    <w:p w14:paraId="149E7A5F">
      <w:pPr>
        <w:rPr>
          <w:b w:val="0"/>
          <w:bCs w:val="0"/>
          <w:color w:val="auto"/>
        </w:rPr>
      </w:pPr>
    </w:p>
    <w:p w14:paraId="0375C852">
      <w:pPr>
        <w:rPr>
          <w:b w:val="0"/>
          <w:bCs w:val="0"/>
          <w:color w:val="auto"/>
        </w:rPr>
      </w:pPr>
    </w:p>
    <w:p w14:paraId="463A881A">
      <w:pPr>
        <w:rPr>
          <w:b w:val="0"/>
          <w:bCs w:val="0"/>
          <w:color w:val="auto"/>
        </w:rPr>
      </w:pPr>
    </w:p>
    <w:p w14:paraId="1A8C1E08">
      <w:pPr>
        <w:rPr>
          <w:b w:val="0"/>
          <w:bCs w:val="0"/>
          <w:color w:val="auto"/>
        </w:rPr>
      </w:pPr>
    </w:p>
    <w:tbl>
      <w:tblPr>
        <w:tblStyle w:val="4"/>
        <w:tblW w:w="1462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2"/>
        <w:gridCol w:w="885"/>
        <w:gridCol w:w="9990"/>
        <w:gridCol w:w="675"/>
        <w:gridCol w:w="705"/>
        <w:gridCol w:w="720"/>
        <w:gridCol w:w="943"/>
      </w:tblGrid>
      <w:tr w14:paraId="1D192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4620"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0DEC1">
            <w:pPr>
              <w:keepNext w:val="0"/>
              <w:keepLines w:val="0"/>
              <w:widowControl/>
              <w:suppressLineNumbers w:val="0"/>
              <w:jc w:val="center"/>
              <w:textAlignment w:val="center"/>
              <w:rPr>
                <w:rFonts w:hint="eastAsia" w:ascii="宋体" w:hAnsi="宋体" w:eastAsia="宋体" w:cs="宋体"/>
                <w:b/>
                <w:bCs/>
                <w:i w:val="0"/>
                <w:iCs w:val="0"/>
                <w:color w:val="auto"/>
                <w:sz w:val="32"/>
                <w:szCs w:val="32"/>
                <w:u w:val="none"/>
              </w:rPr>
            </w:pPr>
            <w:r>
              <w:rPr>
                <w:rFonts w:hint="eastAsia" w:ascii="宋体" w:hAnsi="宋体" w:eastAsia="宋体" w:cs="宋体"/>
                <w:b/>
                <w:bCs/>
                <w:i w:val="0"/>
                <w:iCs w:val="0"/>
                <w:color w:val="auto"/>
                <w:kern w:val="0"/>
                <w:sz w:val="32"/>
                <w:szCs w:val="32"/>
                <w:u w:val="none"/>
                <w:lang w:val="en-US" w:eastAsia="zh-CN" w:bidi="ar"/>
              </w:rPr>
              <w:t>危险药品室</w:t>
            </w:r>
          </w:p>
        </w:tc>
      </w:tr>
      <w:tr w14:paraId="2B4E7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64F67">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4333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名称</w:t>
            </w:r>
          </w:p>
        </w:tc>
        <w:tc>
          <w:tcPr>
            <w:tcW w:w="9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5BD4F">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参数</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9759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3CB2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238E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单价</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2DD8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金额</w:t>
            </w:r>
          </w:p>
        </w:tc>
      </w:tr>
      <w:tr w14:paraId="3A73B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6AC3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E270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综合控制端</w:t>
            </w:r>
          </w:p>
        </w:tc>
        <w:tc>
          <w:tcPr>
            <w:tcW w:w="9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0A424">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规格：≥500mmx550mmx2000mm，由仪器收纳端、柔性托盘模块、显示交互模块、信息采集模块、数据采集模块、信息指示模块、综合控制模块组成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一、仪器收纳端：</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1、面板采用≥1.0mm厚冷轧钢板，表层经酸洗磷化、环氧树脂粉末喷涂等，接缝处无焊点，表面平整光滑，耐酸碱，防腐蚀；内装有功能板，支持层板平放，调节孔孔距≥65mm；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门主体采用双层冷轧钢板焊接成型，表面环氧树脂静电粉末喷涂，耐酸碱防腐蚀接缝处无焊点，表面平整光滑；门内嵌蜂窝状瓦楞纸辅助开关门消音，门内侧装有防撞贴，门采用可调节转轴设计，支持门快速拆装；配备内嵌式塑料拉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抽屉：配备1个≥390mmx400mmx50mm的抽屉，4个≥390mmx400mmx160mm的抽屉。≥1.0mm厚冷轧钢板，表层经酸洗磷化、环氧树脂粉末喷涂等工艺折弯、焊接加工生产，接缝处无焊点，表面平整光滑，耐酸碱，防腐蚀。抽头均为双层结构，内附蜂窝状瓦楞纸防噪填充，三节静音导轨，抽屉面板内嵌塑料拉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4、可调脚：底部配备≥50mm高钢制PP注塑调节地脚。</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二、柔性托盘模块：配有≥2个柔性平放托盘和≥2个柔性斜放托盘；</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1、柔性平放托盘：规格：≥435mmx435mmx100mm，由托盘、识别牌、滑轨、托盘封割器、托盘滑动分格器组成；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1.1、托盘：采用ABS塑料一体注塑成型；框体四个侧面呈倒梯形，底部实心设计；框沿四周配有固定卡扣能与滑轨锁止；框边四周配有通道节点，每面分别设有≥17个通道节点，间距≥9mm；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1.2、识别牌：规格：≥60mmx40mmx10mm 采用透明PC塑料一体化注塑成型，支持斜面、正面卡放，插放形式放置，便于器材识别与管理；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1.3、滑轨：规格：≥465mmx25mmx50mm，采用增强尼龙塑料一体化注塑成型，两端分别设有卡槽和导向槽，卡槽呈凹槽结构，导向槽呈弯曲形状，整体结构设计提供稳定的导向和固定功能，防止托盘划出滑轨。配合托盘实现其拉出、下垂操作。轨道拉出止动结构支持托盘实现正面≥115度停靠；</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1.4、托盘封割器：配有≥2对规格≥395mmx20mmx100mm托盘封割器，由横、纵封割器组成。采用ABS塑料一体化注塑成型。采用横、纵叠加形式封割通道。横、纵封割器分别设置≥17个封割点，两端采用“钩锁结构”及按压式卡扣设计，卡扣挂在托盘边缘，便于与托盘固定连接。通过按压卡扣下部按钮，便于封割器的拆卸和调整；</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1.5、托盘滑动分格器：配有≥2个规格≥35mmx180mmx100mm托盘滑动分格器，ABS塑料一体化注塑成型。采用卡扣式固定结构，能够在托盘封割器上自由滑动调整位置。如果长度不合适，可以通过断开预留分段调整。</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2、柔性斜放托盘：规格：≥435mmx435mmx100mm，由托盘（常规型）、识别牌、滑轨、斜放固定装置、托盘封割器、托盘滑动分格器组成：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2.1、托盘：采用ABS塑料一体注塑成型；框体四个侧面呈倒梯形，底部实心设计；框沿四周配有固定卡扣能与滑轨锁止；框边四周配有通道节点，每面分别设有≥17个通道节点，间距≥9mm；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2.2、识别牌：规格：≥60mmx40mmx10mm 采用透明PC塑料一体化注塑成型，支持斜面、正面卡放，插放形式放置，便于器材识别与管理；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2.3、滑轨：规格：≥465mmx25mmx50mm，采用增强尼龙塑料一体化注塑成型，两端分别设有卡槽和导向槽，卡槽呈凹槽结构，导向槽呈弯曲形状，整体结构设计提供稳定的导向和固定功能，防止托盘划出滑轨。配合托盘实现其拉出、下垂操作。轨道拉出止动结构支持托盘实现正面≥115度停靠；</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2.4、斜放固定装置：采用增强尼龙一体化注塑成型，配合滑轨实现托盘的斜放功能。轨道拉出止动结构支持托盘实现正面≥125度位置停靠；</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2.5、托盘封割器：配有≥2对规格≥395mmx20mmx100mm托盘封割器，由横、纵封割器组成。采用ABS塑料一体化注塑成型。采用横、纵叠加形式封割通道。横、纵封割器分别设置≥17个封割点，两端采用“钩锁结构”及按压式卡扣设计，卡扣挂在托盘边缘，便于与托盘固定连接。通过按压卡扣下部按钮，便于封割器的拆卸和调整；</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2.6、托盘滑动分格器：配有≥2个规格≥35mmx180mmx100mm托盘滑动分格器，ABS塑料一体化注塑成型。采用卡扣式固定结构，能够在托盘封割器上自由滑动调整位置。如果长度不合适，可以通过断开预留分段调整。</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三、显示交互模块：</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1、采用≥10英寸电容触摸屏，分辨率≥1280×800；</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2、CPU：≥4核64位，主频≥2.0GHz；</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3、内存：≥4G；存储：≥32G；</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4、接口：配置≥1个10/100M 自适应以太网接口；≥2xUSB 2.0和≥2xUSB 3.0接口。</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四、信息采集模块：由二维码识别单元、人脸采集单元、环境感应单元、称重单元组成：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1、二维码识别单元：配备二维码识读器，主流二维码格式至少包含但不限于：QR、Code、DataBAR 等，满足不同光照与角度条件下的稳定识读需求；</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2、人脸采集单元：支持人脸图像采集与识别功能，具备人员身份验证能力。配合管理系统能够实现用户权限核验与操作行为绑定；</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3、环境感应单元：内置温湿度传感器，实时监测设备内部环境状态。温度传感器应覆盖范围：≥-40°~125℃，湿度传感器应覆盖范围：≥0~100%RH；</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4、称重单元：由RFID近场天线、嵌入式电子秤组成：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4.1、RFID近场天线：工作频率：支持频段射频识别，满足标签非接触式识别需求；</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4.2、嵌入式电子秤：电子秤精度为0.1g，置于抽屉内部，配合电子秤内衬实现定位安装。规格：秤盘直径≥140mm，由ABS塑料一体注塑成型，具备抗化学腐蚀、耐热性、电绝缘性和耐候性。承重性能：量程：≥10kg；结合RFID近场天线实现重量变动监测与物品出入校验。</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五、数据采集模块：</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1、天线规格：≥220mmx220mmx25mm；外壳工艺材质：由ABS塑料一体注塑成型，具备抗化学腐蚀、耐热性、电绝缘性和耐候性；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2、工作频率：支持频段射频识别，满足标签非接触式识别需求；</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3、增益(dBi)：≥8dBi；</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4、接口：应配置通用射频同轴接口，兼容SMA-Female或等效连接方式。</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六、信息指示模块：全彩交互LED指示灯，外壳采用ABS注塑一体化成型，前置亚克力遮光面板，指示灯可通过常亮、熄灭与动态显示方式，直观呈现操作状态与物品位置，提供明确的视觉引导指示。蓝色灯亮起指示门关闭、红灯亮起指示门超10min未关闭、绿色箭头滚动指示所取物品所在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七、综合控制模块：由控制执行单元、电源单元、网络单元、RFID读写器单元组成：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1、控制执行单元：采用≥32位MCU控制芯片，集成CAN通讯、电源管理、标定触发选择、指示灯控制、开关门触发。用于实现操作状态的智能化识别与响应；</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2、电源单元：采用输出电压≥12V，额定电流≥12.5A，功率≥150W的开关电源。电源具备过压、过流、短路等保护功能；</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3、网络单元：集成5口网络交换机，支持至少5个以太网接口连接，传输速率不低于100Mbps；</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4、RFID读写器单元：</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4.1、工作频率：支持频段射频识别，满足标签非接触式识别需求；</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4.2、端口输出功率：可调；</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4.3、识别距离：≥6m；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4.4、识别性能：读卡速率不低于300次/秒，支持多标签并发识别，可在3秒内准确识别不少于400张标签，具备防冲突机制；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4.5、功耗：≥8W @ +33dBm。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八、功能：</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1、智能身份认证：支持人脸识别登录，结合管理系统自动完成权限核验与操作行为绑定，确保操作人员身份可追溯；</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2、扫码物体识别：结合二维码识别单元，支持对器材、试剂、危化品进行快速扫描识别；</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3、自动出入库识别：结合柔性托盘及数据采集模块，支持对设备内实验器材种类与数量的自动识别，取放动作无需人工登记，系统即可自动生成借还记录；</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4、实时数据记录：通过数据采集模块，设备可实时记录并显示各位置器材存取数据；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5、精细库存管理：支持按位置查看库存数据，显示器材名称、规格型号、数量等详细信息。结合柔性托盘的分格管理能力，实现库存精细化、动态化管理；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一键库存盘点：支持执行库存盘点，系统自动调用识别设备扫描全量器材，实时生成盘盈/盘亏结果，并支持一键更新库存，实现账实相符的动态化库存管理；(提供符合参数的产品的实物照片或截图，并加盖公章。照片或视频应清晰展示产品及关键参数特征。涉及尺寸、规格、性能等数值的，须在照片中使用计量工具标示，以佐证参数真实、准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7、精准称重管理：通过嵌入式称重单元实现试剂/危化品的精准定量管理，支持去皮入库、称重出库、整瓶出库等多种操作方式，自动生成完整的出入库记录，满足危险化学品精细化监管要求；</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8、器材领取指引：支持按管理系统生成的实验预约单领取器材，设备绿色LED箭头灯滚动闪烁，直观指引目标器材存放位置。(提供符合参数的产品的实物照片或截图，并加盖公章。照片或视频应清晰展示产品及关键参数特征。涉及尺寸、规格、性能等数值的，须在照片中使用计量工具标示，以佐证参数真实、准确。)</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D946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E85C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组</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D6D83">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E9C61">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1AC72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6A06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556F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射频储物端</w:t>
            </w:r>
          </w:p>
        </w:tc>
        <w:tc>
          <w:tcPr>
            <w:tcW w:w="9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809F3">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整体规格：≥500mmx550mmx2000mm，由仪器收纳端、柔性托盘模块、数据采集模块、信息指示模块、综合控制模块组成：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一、仪器收纳端：规格：≥500mm×550mm×2000mm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1、面板采用≥1.0mm厚冷轧钢板，表层经酸洗磷化、环氧树脂粉末喷涂等，耐酸碱，防腐蚀；内装有功能板，支持层板或托盘的斜放或平放，调节孔孔距≥65mm；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门：门主体采用双层冷轧钢板焊接成型，表面环氧树脂静电粉末喷涂，耐酸碱防腐蚀接缝处无焊点，表面平整光滑；门内嵌蜂窝状瓦楞纸辅助开关门消音，门内侧装有防撞贴，门采用可调节转轴设计，支持门快速拆装；配备内嵌式塑料拉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3、可调脚：底部配备≥50mm高钢制PP注塑调节地脚，减震防滑。</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二、柔性托盘模块：配有≥2个柔性平放托盘和≥2个柔性斜放托盘；</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1、柔性平放托盘：规格：≥435mmx435mmx100mm，由托盘、识别牌、滑轨、托盘封割器、托盘滑动分格器组成：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1.1、托盘：规格：采用ABS塑料一体注塑成型；框体四个侧面呈倒梯形，底部实心设计；框沿四周配有固定卡扣能与滑轨锁止；框边四周配有通道节点，每面分别设有≥17个通道节点，间距≥9mm；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1.2、识别牌：规格：≥60mmx40mmx10mm 采用透明PC塑料一体化注塑成型，支持斜面、正面卡放，插放形式放置，便于器材识别与管理；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1.3、滑轨：规格：≥465mmx25mmx50mm，采用增强尼龙塑料一体化注塑成型，两端分别设有卡槽和导向槽，卡槽呈凹槽结构，导向槽呈弯曲形状，整体结构设计提供稳定的导向和固定功能，防止托盘划出滑轨。配合托盘实现其拉出、下垂操作。轨道拉出止动结构支持托盘实现正面≥115度停靠；</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1.4、托盘封割器：配有≥2对规格≥395mmx20mmx100mm托盘封割器，由横、纵封割器组成。采用ABS塑料一体化注塑成型。采用横、纵叠加形式封割通道。横、纵封割器分别设置≥17个封割点，两端采用“钩锁结构”及按压式卡扣设计，卡扣挂在托盘边缘，便于与托盘固定连接。通过按压卡扣下部按钮，便于封割器的拆卸和调整；</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1.5、托盘滑动分格器：配有≥2个规格≥35mmx180mmx100mm托盘滑动分格器，ABS塑料一体化注塑成型。采用卡扣式固定结构，能够在托盘封割器上自由滑动调整位置。如果长度不合适，可以通过断开预留分段调整。</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2、柔性斜放托盘：规格：≥435mmx435mmx100mm，由托盘（常规型）、识别牌、滑轨、斜放固定装置、托盘封割器、托盘滑动分格器组成：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2.1、托盘：采用ABS塑料一体注塑成型；框体四个侧面呈倒梯形，底部实心设计；框沿四周配有固定卡扣能与滑轨锁止；框边四周配有通道节点，每面分别设有≥17个通道节点，间距≥9mm；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2.2、识别牌：规格：≥60mmx40mmx10mm 采用透明PC塑料一体化注塑成型，支持斜面、正面卡放，插放形式放置，便于器材识别与管理；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2.3、滑轨：规格：≥465mmx25mmx50mm，采用增强尼龙塑料一体化注塑成型，两端分别设有卡槽和导向槽，卡槽呈凹槽结构，导向槽呈弯曲形状，整体结构设计提供稳定的导向和固定功能，防止托盘划出滑轨。配合托盘实现其拉出、下垂操作。轨道拉出止动结构支持托盘实现正面≥115度停靠；</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2.4、斜放固定装置：采用增强尼龙一体化注塑成型，配合滑轨实现托盘的斜放功能。轨道拉出止动结构支持托盘实现正面≥125度位置停靠。</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2.5、托盘封割器：配有≥2对规格≥395mmx20mmx100mm托盘封割器，由横、纵封割器组成。采用ABS塑料一体化注塑成型。采用横、纵叠加形式封割通道。横、纵封割器分别设置≥17个封割点，两端采用“钩锁结构”及按压式卡扣设计，卡扣挂在托盘边缘，便于与托盘固定连接。通过按压卡扣下部按钮，便于封割器的拆卸和调整；</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2.6、托盘滑动分格器：配有≥2个规格≥35mmx180mmx100mm托盘滑动分格器，ABS塑料一体化注塑成型。采用卡扣式固定结构，能够在托盘封割器上自由滑动调整位置。如果长度不合适，可以通过断开预留分段调整。</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三、数据采集模块：</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1、规格：≥220mmx220mmx25mm；外壳工艺材质：由ABS塑料一体注塑成型，具备抗化学腐蚀、耐热性、电绝缘性和耐候性；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2、工作频率：支持频段射频识别，满足标签非接触式识别需求；</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3、增益(dBi)：≥8dBi；</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四、信息指示模块：全彩交互LED指示灯，外壳采用ABS注塑一体化成型，前置亚克力遮光面板，指示灯可通过常亮、熄灭与动态显示方式，直观呈现操作状态与物品位置，提供明确的视觉引导指示。蓝色灯亮起指示门关闭、红灯亮起指示门超10min未关闭、绿色箭头滚动指示所取物品所在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五、综合控制模块：采用≥32位MCU控制芯片，集成CAN通讯、电源管理单元、标定触发选择单元、指示灯控制单元、开关门触发单元。用于实现操作状态的智能化识别与响应。</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六、功能：</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1、自动出入库识别：结合柔性托盘及数据采集模块，支持对产品内实验器材种类与数量的自动识别，取放动作无需人工登记，系统即可自动生成借还记录；</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2、一键盘点响应：支持响应综合控制发起的库存盘点指令，系统自动调用数据采集模块对托盘进行快速扫描核算，实时生成盘盈/盘亏结果，并支持一键更新库存，实现账实相符的动态化库存管理；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3、器材领取指引：支持按管理系统生成的 实验预约单领取器材，设备绿色LED箭头灯滚动闪烁，直观指引目标器材存放位置。</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DE46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94BA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副</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C9288">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A7023">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09422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8764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492A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智能储物端</w:t>
            </w:r>
          </w:p>
        </w:tc>
        <w:tc>
          <w:tcPr>
            <w:tcW w:w="9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670EE">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整体规格：≥1025x480x2020mm：上下两层设计，整体由设备框架、重力识别模块、信息指示模块、综合控制模块组成：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一、框架：由主体框架、顶板、侧板、背板、门组成：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1、主体框架：规格：≥1020mmx480mmx2020mm，由立柱、连接梁、可调脚构成；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1.1、立柱：主体承重结构，由≥2根前立柱和≥2根后立柱组成；前立柱：≥30mmx35mmx1940mm；后立柱：≥30mmx30mmx1940mm；采用铝合金挤出成形，表面本色氧化处理，防酸碱耐腐蚀；</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1.2、连接梁：主体连接结构，由前横梁、后横梁、纵梁组成；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1.2.1、前横梁：≥20mmx50mmx935mm，采用铝合金挤出成形，表面本色氧化处理，防酸碱耐腐蚀。前横梁通过增强尼龙连接件插接固定于立柱上，连接件通过螺钉固定于立柱内侧，确保直角稳固连接，具备防磨损、抗晃动、便于拆装的特点；</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1.2.2、后横梁：≥20mmx50mmx945mm，采用铝合金挤出成形，表面本色氧化处理，防酸碱耐腐蚀。后横梁通过增强尼龙连接件插接固定于纵梁上，连接件通过螺钉固定于纵梁内侧，确保直角稳固连接，具备防磨损、抗晃动、便于拆装的特点；</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1.2.3、纵梁：≥20mmx50mmx460mm，采用铝合金挤出成形，表面本色氧化处理，防酸碱耐腐蚀。纵梁与立柱连接采用插入式螺钉紧固方式，实现直角稳固连接。</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1.3、可调脚：采用PP材质，可调高度≥5mm，防滑耐磨。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顶板规格：≥1000mmx470mmx50mm。侧板规格：≥1750mmx400mmx30mm，支持隐蔽式布线。背板规格：≥1000mmx1900mm。以上部件采用≥1.0mm厚冷轧钢板折弯焊接成型，表层经酸洗磷化、环氧树脂粉末喷涂等工艺加工生产，表面平整光滑，耐酸碱，防腐蚀；</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3、门：配置上下两扇独立卷帘门，规格：≥1300mmx950mm。PVC材质。采用F型轨道，支持垂直滑动收纳。每扇配置不少于两个内嵌式拉手；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二、重力识别模块：规格：≥940mmx370mmx120mm，配置≥5层模块，由托盘单元、重力感应单元、底部支撑单元组成：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1、托盘单元：规格：≥930mmx370mmx80mm，采用ABS塑料注塑成型，由≥4个独立托盘组成，规格≥230mmx370mmx80mm。每个托盘由托盘底座、后挡板、限位隔板构成：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1.1、托盘底座：规格：≥230mmx370mmx40mm，前端设置前档沿，配有≥3个嵌入式标识卡槽，支持插放识别卡，便于对物料进行定位；底部表面采用凹凸纹理设计，防止器材滑动。底部背面安装壁厚≥3mm承重板，防止托盘形变；</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1.2、后挡板：规格：≥220mmx20mmx80mm，可折叠；</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1.3、限位隔板：规格：≥370mmx70mmx3mm，插装式，便于安装/拆卸，支持通过安装/拆卸限位隔板实现栏位拆分/合并。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2、重力感应单元：</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2.1、每个托盘底部配备至少1个重力传感器，实时采集每个栏位对应区域的物品重量变化。传感器配有抗干扰，能够有效抑制机械振动对称重信号的影响；</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2.2、量程：≥20kg；安全载荷：≥120%FS；</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2.3、采用≥24位芯片，支持≥1000次/秒高速采样，有效提升称重灵敏度、精度及稳定性；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2.4、支持通过通信将传感器的采集数据经叠加运算处理，完成托盘栏位合并/拆分后栏位内物体的精确称重。</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3、底部支撑单元：规格：≥940mmx170mmx30mm，铝合金材质。传感器通过单端固定方式连接支撑结构，以确保受力集中、力传导路径明确，有效提升称重精度。</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三、信息指示模块：全彩交互LED指示灯，外壳采用ABS一体化注塑成型，前置亚克力遮光面板，指示灯可通过常亮、熄灭与动态显示方式，直观呈现操作状态与物品位置，提供明确的视觉引导指示。蓝色灯亮起指示门关闭、红灯亮起指示门超10min未关闭、绿色箭头滚动指示所取物品所在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四、综合控制模块：采用≥32位MCU控制芯片，集成CAN通讯、电源管理单元、标定触发选择单元、指示灯控制单元、开关门触发单元。用于实现操作状态的智能化识别与响应。</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五、功能：</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1、栏位空间管理：支持对栏位进行合并与拆分操作，每个栏位可按需绑定单类实验器材。可根据器材大小、形态灵活调整栏位布局，确保存放有序，便于后续精细化管理；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2、自动出入库识别：支持对单个或批量存入/取出的器材进行自动识别与实时数量统计，取放动作无需人工登记，系统即可自动生成借还记录；</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3、一键盘点响应：支持响应综合控制端发起的库存盘点指令，系统自动调用重力识别模块对各栏位进行快速扫描与重量核算，实时生成盘盈/盘亏结果，并支持一键更新库存，实现账实相符的动态化库存管理；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4、器材领取指引：支持按管理系统生成的 实验预约单领取器材，设备绿色LED箭头灯滚动闪烁，直观指引目标器材存放位置。</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2D90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4B5D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副</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81FCE">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56FE2">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12DF8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C7A6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4</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B759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智能收纳端</w:t>
            </w:r>
          </w:p>
        </w:tc>
        <w:tc>
          <w:tcPr>
            <w:tcW w:w="9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42944">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整体规格：≥550mmx470mmx2020mm；整体由储物架、重力识别模块、柔性托盘模块、信息指示模块、综合控制模块组成：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一、储物架：规格：≥550mmx470mmx2020mm；由顶板、立柱、连接梁、可调脚构成；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1、顶板：规格：≥530mmx470mmx50mm，厚度≥0.8mm，钣金喷塑处理；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立柱：主体承重结构，由≥2根前立柱和≥2根后立柱组成；前立柱：≥30mmx35mmx1940mm；后立柱：≥30mmx30mmx1940mm；采用铝合金挤出成形，表面本色氧化处理，防酸碱耐腐蚀；立柱侧面设置≥25个定位孔，孔径φ≥10mm，孔距≥60mm，便于柔性托盘模块的安装与固定；</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3、连接梁：主体连接结构，由前横梁、后横梁、纵梁组成；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3.1、前横梁：≥20mmx50mmx450mm，采用铝合金挤出成形，表面本色氧化处理，防酸碱耐腐蚀。前横梁通过增强尼龙连接件插接固定于立柱上，连接件通过螺钉固定于立柱内侧，确保直角稳固连接，具备防磨损、抗晃动、便于拆装的特点；</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3.2、后横梁：≥20mmx50mmx460mm，采用铝合金挤出成形，表面本色氧化处理，防酸碱耐腐蚀。后横梁通过增强尼龙连接件插接固定于纵梁上，连接件通过螺钉固定于纵梁内侧，确保直角稳固连接，具备防磨损、抗晃动、便于拆装的特点；</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3.3、纵梁：≥20mmx50mmx460mm，采用铝合金挤出成形，表面本色氧化处理，防酸碱耐腐蚀。纵梁与立柱连接采用插入式螺钉紧固方式，实现直角稳固连接。</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4、可调脚：采用PP材质，可调高度≥5mm，防滑耐磨。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二、重力识别模块：由斜放重力感应轨道和平放重力感应轨道组成；斜放重力感应轨道规格：≥550mmx40mmx120mm，配置≥2对；平放重力感应轨道规格：≥465mmx40mmx120mm，配置≥8对，均由轨道、重力感应单元、底部支撑单元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轨道：≥460mmx30mmx60mm，采用增强尼龙塑料一体化注塑成型。固定于底部支撑单元上。两端分别设有卡槽和导向槽，卡槽呈凹槽结构，导向槽呈弯曲形状，整体结构设计提供稳定的导向和固定功能，防止托盘划出滑轨。配合托盘实现其拉出、下垂操作。轨道拉出止动结构支持托盘实现正面≥115度停靠；</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2、重力感应单元：</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2.1、每个轨道底部配备1个重力传感器，实时采集对应区域的物品重量变化。传感器配有抗干扰设计，能够有效抑制机械振动对称重信号的影响。</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2.2、量程：≥20kg；安全载荷：≥120%FS；极限载荷：≥150%FS。</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2.3、系统采用≥24位AD芯片，支持≥1000次/秒高速采样，有效提升称重灵敏度、精度及稳定性；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底部支撑单元：斜放规格：≥555mmx30mmx30mm，平放规格：460mmx30mmx30mm。铝合金材质。传感器通过单端固定方式连接支撑结构，以确保受力集中、力传导路径明确，有效提升称重精度，避免因多点安装引起的应力干扰或结构变形对识别结果的影响。</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三、柔性托盘模块：配有≥10个柔性托盘单元；规格：≥435mmx435mmx100mm，由托盘（常规型）、识别牌、托盘封割器、托盘滑动分格器组成：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1、托盘：规格：≥435mmx435mmx100mm，采用ABS塑料一体注塑成型；框体四个侧面呈倒梯形，底部实心设计；框沿四周配有固定卡扣能与滑轨锁止；框边四周配有通道节点，每面分别设有≥17个通道节点，间距≥9mm；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2、识别牌：规格：≥60mmx40mmx10mm 采用透明PC塑料一体化注塑成型，支持斜面、正面卡放，插放形式放置，便于器材识别与管理；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托盘封割器：配有≥2对规格≥395mmx20mmx100mm托盘封割器，由横、纵封割器组成。采用ABS塑料一体化注塑成型。采用横、纵叠加形式封割通道。横、纵封割器分别设置≥17个封割点，两端采用“钩锁结构”及按压式卡扣设计，卡扣挂在托盘边缘，便于与托盘固定连接。通过按压卡扣下部按钮，便于封割器的拆卸和调整；</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4、托盘滑动分格器：配有≥2个规格≥35mmx180mmx100mm托盘滑动分格器，ABS塑料一体化注塑成型。采用卡扣式固定结构，能够在托盘封割器上自由滑动调整位置。如果长度不合适，可以通过断开预留分段调整。</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四、信息指示模块：全彩交互LED指示灯，外壳采用ABS注塑一体化成型，前置亚克力遮光面板，指示灯可通过常亮、熄灭与动态显示方式，直观呈现操作状态与物品位置，提供明确的视觉引导指示。蓝色灯亮起指示门关闭、红灯亮起指示门超10min未关闭、绿色箭头滚动指示所取物品所在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五、综合控制模块：采用≥32位MCU控制芯片，集成CAN通讯、电源管理单元、标定触发选择单元、指示灯控制单元、开关门触发单元。用于实现操作状态的智能化识别与响应。</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六、功能：</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1、器材定位绑定：支持对单个托盘进行同类实验器材绑定，结合托盘的分格与限位结构，可根据器材大小、形态灵活调整托盘布局，确保存放有序，便于后续精细化管理；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2、自动出入库识别：支持对单个或批量存入/取出的器材进行自动识别与实时数量统计，取放动作无需人工登记，系统即可自动生成借还记录；</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3、一键盘点响应：支持响应综合控制端发起的库存盘点指令，系统自动调用重力识别模块对各托盘进行快速扫描与重量核算，实时生成盘盈/盘亏结果，并支持一键更新库存，实现账实相符的动态化库存管理；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4、器材领取指引：支持按管理系统生成的实验预约单领取器材，设备绿色LED箭头灯滚动闪烁，直观指引目标器材存</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263D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1282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副</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58D3E">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5FBB6">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1C208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5F91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5</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5CDF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核心交换机</w:t>
            </w:r>
          </w:p>
        </w:tc>
        <w:tc>
          <w:tcPr>
            <w:tcW w:w="9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06408">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1.交换容量：598Gbps/5.98Tbps及以上 ；</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2.包转发率：222Mpps及以上；</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3.固定端口：≥24 个10/100/1000BASE-T 端口(含 8 Combo 口)、≥4个1G/10GBASE-XSFP Plus 端口、≥1个 Slot。</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F37E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BA8F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9F593">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C065B">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44825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3B4E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6</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E18B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路由器</w:t>
            </w:r>
          </w:p>
        </w:tc>
        <w:tc>
          <w:tcPr>
            <w:tcW w:w="9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538A2">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1.不低于双核64位网络专用处理器，不低于256MB DDRIII高速内存；</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2.具有≥5个千兆网口，≥1WAN+3WAN/LAN+1LAN；</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3.Web认证、短信认证、PPPoE服务器；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4.内置AC功能，统一管理TP-LINK企业AP；</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5.具备负载均衡及线路备份功能；</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6.具备内外网ARP防护及常见攻击防护功能；</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7.具备智能IP带宽管理及连接数限制功能。</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6510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968C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C2B13">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46EBB">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1A5C6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71E7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7</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C1B3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无线AP（带适配器）</w:t>
            </w:r>
          </w:p>
        </w:tc>
        <w:tc>
          <w:tcPr>
            <w:tcW w:w="9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1725E">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1.无线速率：不低于2.4GHz ：300Mbps；不低于5GHz ：1201Mbps；</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2.端口：≥1个10/100M/1000M RJ45端口；</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3.天线：内置天线，支持一键易展功能；</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4.最大可关联客户端数量： 64（2.4G）+119（5G）及以上</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5.电源：IEEE 802.3af/at标准PoE供电；≥12V DC供电（支持12VDC 1A/1.5A/2A电源）；</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BF2C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21C7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台</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DBE12">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EC5AF">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5E9C6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D3F4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8</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C66A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RFID标签编码一体机</w:t>
            </w:r>
          </w:p>
        </w:tc>
        <w:tc>
          <w:tcPr>
            <w:tcW w:w="9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91523">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打印模式：热敏 / 热转印 规格值：200dpi及以上</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最大打印宽度：≥105.6mm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最大打印长度：≥2540mm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纸张厚度：≥0.058-2.0mm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RFID 协议：EPCglobal Gen 2 (ISO 18000-6C)</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RFID 写入方式：先打印后读写 RFID</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A5EF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2A63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台</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1D363">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65598">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1D50B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E953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9</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2239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管理系统-管理端</w:t>
            </w:r>
          </w:p>
        </w:tc>
        <w:tc>
          <w:tcPr>
            <w:tcW w:w="9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29D39">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支持本地化部署、云部署两种部署方式；系统支持管理端、移动端、控制端多端联动，通过统一数据中台实现跨终端信息实时同步与指令无缝流转。</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管理端由首页单元、实验室管理单元、实验教学管理单元、大数据中心单元、系统管理单元构成；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一、首页由今日课程、审批任务、快捷入口组成；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1、今日课程支持显示全部/未开始/进行中/已结束课程；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2、审批任务支持显示全部待审批任务；可通过更多选项跳转预约管理新建实验通知单；</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3、快捷入口支持实验室信息、实验通知单、实验巡课、库存清单、借还记录、大数据中心快捷跳转。</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二、实验室管理单元由实验室信息管理、器材管理、库存管理组成；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1、实验信息管理包括：实验室信息、借还记录、栏位管理；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1.1、实验室信息：可通过输入实验室名称及选择学科进行实验室信息查询；实验室信息可查看对应实验室仪器柜数量及器材数量，点击对应实验室可查看实验室详情：</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1.2、借还记录：系统根据识别设备扫描结果结合设备登录账号自动生成器材借还记录。界面显示借还记录信息，包含器材分类编码、器材名称、规格型号、条形编码、领取人、领取时间、借用人、借用时间、归还时间、状态等相关信息；支持通过器材名称、领取人、使用人及状态进行借还记录查询；支持打印及导出借还记录；支持对“已领取”状态的器材做下架、调拨、出库操作；(提供符合参数的产品的实物照片或截图，并加盖公章。照片或视频应清晰展示产品及关键参数特征。涉及尺寸、规格、性能等数值的，须在照片中使用计量工具标示，以佐证参数真实、准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1.3、栏位管理：支持通过实验室名称及仪器柜名称进行栏位信息筛选；支持栏位调整；仪器栏位显示器材名称及重量；显示仪器清单，支持输入器材名称筛选；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2、器材管理包括：实验教学配备标准、仪器管理、试剂管理及危化品管理；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▲2.1、实验教学配备标准：包含教育主管部门发布的初高中物理、化学、 生物教学装备配备标准要求的1000+实验器材基础数据；支持对内置实验教学配备标准目录按学段、学科、器材名称进行查询；支持打印及导出实验教学配备标准；实验教学配备标准信息包含分类编码、器材名称、规格型号、图片、类型、计量单位、最小数量、最大数量、配备要求、参考数据、学段、学科等相关信息；(提供符合参数的产品的实物照片或截图，并加盖公章。照片或视频应清晰展示产品及关键参数特征。涉及尺寸、规格、性能等数值的，须在照片中使用计量工具标示，以佐证参数真实、准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2.2、仪器管理：界面显示仪器清单；支持按照仪器名称进行仪器查询；支持单个/批量添加仪器；支持对相关仪器进行编辑/删除/打印条码；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2.3、试剂管理：界面显示试剂清单；支持按照试剂名称进行试剂查询；支持单个/批量添加试剂；支持对相关试剂进行编辑/删除/打印条码；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2.4、危化品管理：界面显示危化品清单；支持按照危化品名称进行危化品查询；支持单个/批量添加危化品；支持对相关危化品进行编辑/删除/打印条码；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3、库存管理包含：库房管理、库存调拨、库存清单及库存盘点；</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3.1、库房管理：界面显示库房管理器材数据；支持按照器材名称、类型进行查询；支持批量入库、查看出入库记录、打印及导出库房管理器材数据；支持对应实验器材做出库/入库操作；</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3.2、库存调拨：支持选择调出实验室及调入实验室，添加器材后显示该器材闲置数量，支持自定义调整调拨数量；支持查看调拨记录；</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3.3、库存清单：支持选择实验室、选择类型及器材名称进行查询；支持打印及导出库存清单；界面显示库存清单，库存清单信息包含分类编码、器材名称、规格型号、计量单位、类型、库存总量、上架数量、未上架数量及存放位置等相关信息；(提供符合参数的产品的实物照片或截图，并加盖公章。照片或视频应清晰展示产品及关键参数特征。涉及尺寸、规格、性能等数值的，须在照片中使用计量工具标示，以佐证参数真实、准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3.4、库存盘点：支持按照全量、实验室、仪器柜不同维度一键盘点库存数据；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三、实验教学管理单元由实验管理、计划管理、预约管理、实验巡课、教学统计组成；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1、实验管理界面支持按照实验名称、学科进行查询对应实验；支持新增实验，支持对已录入实验进行编辑/删除；</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1.1、新增实验支持编辑实验名称、所属学科、实验器材、实验目的、实验步骤等信息；</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1.2、编辑实验支持编辑实验名称、所属学科、实验器材、实验目的、实验步骤等信息；</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2、计划管理包括：课程目录管理、周次管理、课节管理；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2.1、课程目录管理：支持按照学年、学科、年级查看学校实验课程目录；支持打印、导出课程目录；支持对学校实验课程目录进行编辑；</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2.2、周次管理：支持按照学年、学期设置周次时间表；支持选择开始时间和结束时间，系统自动排列周次时间计划；</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2.3、课节管理：界面显示冬季和夏季学校课程时间表；支持一键启用冬季/夏季学校课程时间表；支持自定义设置课节时长和课节间隔，支持增删课节。</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3、预约管理：支持新建实验通知单、审核实验通知单、查看历史实验通知单；</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3.1、新建实验通知单支持编辑实验名称、实验类型、器材清单、课时安排、使用时间、使用人及备注等信息；</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3.2、支持具备审核权限的实验员审核实验通知单；</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3.3、支持实验员查看历史实验通知单；</w:t>
            </w:r>
          </w:p>
          <w:p w14:paraId="5BEB5352">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3.4、课时安排支持通过周次及实验室进行筛选，筛选结果显示该周次内，所选实验室的所有课节安排状态，包含已过期、已预约、空闲等状态；(提供符合参数的产品的实物照片或截图，并加盖公章。照片或视频应清晰展示产品及关键参数特征。涉及尺寸、规格、性能等数值的，须在照片中使用计量工具标示，以佐证参数真实、准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4、实验巡课：支持查看排课计划和巡课；</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4.1、排课计划支持按周次和实验室进行搜索</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4.2、支持实时查看正在进行课程的实验室视频画面。</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5、教学统计包括：实验开课详情、实验开出率统计；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5.1、支持查看实验开课详情；</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5.2、支持查看实验开出率统计，包含计划开出实验数量、实际开出实验数量、实验开出率，并支持以圆环图显示实验开出率情况；</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5.2.1、支持按照学科、学级、班级搜索对应条件的实验开出率统计情况；(提供符合参数的产品的实物照片或截图，并加盖公章。照片或视频应清晰展示产品及关键参数特征。涉及尺寸、规格、性能等数值的，须在照片中使用计量工具标示，以佐证参数真实、准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四、大数据中心由实验室概况、实验开课情况、器材库存数据、危化品情况、器材入库情况、器材损耗情况、库存预警组成；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1、实验室概况包含对应实验室、准备室、仪器室、药品室及库房的数量和对应的学科室的间数信息；</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2、实验开课情况包含理化生学科的计划开出实验、实际开出实验和实验开出率的信息；可查看正在进行的实验课程视频及对应课程的实验室、任课教师、实验名称、授课班级信息；</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2.1、可查看各科目、学级的计划开出实验详情；</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2.2、可查看实际开出实验详情，支持输入教师姓名、学科、学级、班级进行查询，实验详情包含实验名称、学科、授课班级、授课地点、任课老师、授课时间等相关信息；</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3、器材库存数据包含仪器、试剂、危化品的种类及数量；支持点击查看详情，包含全量、实验室、仪器柜不同维度库存数据；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3.1、全量库存数据包含所有系统内仪器室详情，包括各实验室内仪器、试剂、危化品种类数量；</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3.2、实验室库存数据包含实验室内仪器柜详情，包括各仪器柜内仪器、试剂、危化品种类数量；</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3.3、仪器柜库存数据包含该仪器柜内的器材名称、规格型号、学科、类型、计量单位、库存总量等信息；</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4、危化品情况包含易制毒化学品、易制爆化学品、腐蚀性化学品、毒害品及其他危化品的总量及各自占比；</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4.1、支持查看各类危化品的具体内容，包含危化品名称、形态、剩余库存数量、存放位置；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4.2、支持查看危化品的操作时间、操作记录及操作人；</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5、器材入库情况包含入库时间、名称及入库数量；</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6、器材损耗情况支持查看损耗率、仪器/试剂/危化品损耗数量、维修数量、维修率、报废数量、报废率等相关信息；</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五、功能：</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1、借还记录：登录控制端，从仪器柜中存入/取出器材，登录管理端查看“借还记录”，借还数据与实际存取情况相符。</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射频条码使用：进入管理端仪器/试剂/危化品页面，选择打印条码。确认管理类型和打印数量后，系统调用射频打印机打印射频条码，使用登录移动端使用“查询”功能扫描射频条码显示器材信息，将张贴射频条码的器材放入仪器柜，识别设备能正确识别器材种类和数量。</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3、管理端盘点：退出管理端后从仪器柜中存入或取出器材，进入管理端“库存盘点”页面，选择一键盘点，系统自动扫描并统计盘亏/盘盈数据。</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943D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5DAE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70A5E">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EB243">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11CA5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A35B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10</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64EA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管理系统-移动端</w:t>
            </w:r>
          </w:p>
        </w:tc>
        <w:tc>
          <w:tcPr>
            <w:tcW w:w="9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C02C4">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移动端由扫码查询单元、器材领取单元、器材归还单元构成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一、支持人脸识别登录系统</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二、扫码查询单元：支持扫描器材射频条码查看器材信息，扫码结果查询显示：器材名称、规格型号、射频条码编号、存放位置、状态、领取人、使用人等相关信息。</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三、器材领取单元：支持按照管理端创建的实验预约单领取实验器材；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1、支持查看所有实验预约单；</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1.1、预约单信息包含：借用人、使用时间、实验名称、实验类型、器材清单相关信息；</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1.2、预约单信息支持展开收起，展开后显示器材规格型号、数量、计量单位、存放位置；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2、支持领取器材；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2.1、领取器材界面显示借用人姓名、实验名称、实验类型、器材清单（器材名称、规格型号、存放位置、计量单位、剩余库存、预借数量、实借数量）；实借数量为识别设备自动扫描识别数量。(提供符合参数的产品的实物照片或截图，并加盖公章。照片或视频应清晰展示产品及关键参数特征。涉及尺寸、规格、性能等数值的，须在照片中使用计量工具标示，以佐证参数真实、准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2.2、待领取器材所在仪器柜绿色指示灯滚动闪烁示意器材存放位置；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2.3、领取过程支持‘暂停’操作；</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三、器材归还单元由实验单归还、整合归还组成；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1、实验单归还：支持器材归还数据自动更新；支持查看未归还实验通知单；支持查看未归还实验通知单内器材信息，包括器材名称、规格型号、条形编码、存放位置及归还状态；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2、整合归还：支持多个预约单整合归还器材；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2.1、归还器材界面支持显示已归还器材图标、器材名称、规格型号、借出数量、归还数量；</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2.2、当同一实验器材归还多个时，系统支持对器材自动做归还人归属，自动分配归还数量并支持调整。(提供符合参数的产品的实物照片或截图，并加盖公章。照片或视频应清晰展示产品及关键参数特征。涉及尺寸、规格、性能等数值的，须在照片中使用计量工具标示，以佐证参数真实、准确。)</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0C17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5AFD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25F66">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A5791">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484AA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2D6B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11</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1F14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管理系统-设备端</w:t>
            </w:r>
          </w:p>
        </w:tc>
        <w:tc>
          <w:tcPr>
            <w:tcW w:w="9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B22E7">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设备端由信息管理单元、自动识别单元、称重单元、库存盘点单元构成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一、支持人脸识别登录系统。</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二、信息管理单元由实验室信息管理和仪器柜信息管理组成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1、支持查看仪器、试剂、危化品的库存种类数据和所管理仪器柜状态；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2、支持查看所管理仪器柜信息</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2.1、支持查看每个射频储物柜内的器材、试剂及危化品清单，清单包含器材名称、规格型号、学科、类型、计量单位及库存总量等；界面显示仪器、试剂、危化品的库存种类数量；</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2.2、支持以列表显示/图片显示查看每个智能储物柜内的器材清单，清单包含栏位、器材名称、规格型号、计量单位及数量等；界面上显示该柜体的温度值及湿度百分比；</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三、自动识别单元：支持自动识别存入/取出柜体内实验器材种类、数量；(提供符合参数的产品的实物照片或截图，并加盖公章。照片或视频应清晰展示产品及关键参数特征。涉及尺寸、规格、性能等数值的，须在照片中使用计量工具标示，以佐证参数真实、准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四、称重单元：支持通过称重台对试剂/危化品进行精准定量（精确到0.1g）管理，进行入库操作和出库操作；</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1、入库操作支持去皮入库及带皮入库；</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出库操作支持选择整瓶出库或称重出库，结算时支持去皮结算。(提供符合参数的产品的实物照片或截图，并加盖公章。照片或视频应清晰展示产品及关键参数特征。涉及尺寸、规格、性能等数值的，须在照片中使用计量工具标示，以佐证参数真实、准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五、库存盘点单元：支持一键库存盘点；</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1、确认盘点后系统调用识别设备自动扫描器材，计算实时库存种类数量。</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2、盘点结果显示分柜名称、器材名称、规格型号、计量单位、盘亏/盘盈及数量；</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3、支持对盘点结果进行“移除”操作，移除后该器材不计入盘点范围；</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4、支持一键更新库存；</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五、功能：</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1、自动识别：在设备端操作，将实验器材随意存入或取出，系统实时显示存入/取出数量。</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2、设备端盘点：退出管理端后再次进行存取操作，重新登录设备端并选择“一键盘点”。系统自动扫描柜体内容，生成盘点结果，显示器材名称、规格型号、计量单位、盘盈/盘亏数据，并支持一键更新库存。</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A09D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7FD0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7616D">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CC0C6">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7C119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D229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EA8D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易燃品毒害品储存端</w:t>
            </w:r>
          </w:p>
        </w:tc>
        <w:tc>
          <w:tcPr>
            <w:tcW w:w="9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FE65A">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1.尺寸：≥900mm（L）×510mm（W）×1840mm（H）；门类型：双开门。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2.外壳体全部采用≥1.2mm的冷轧钢板，底座采用≥2.0mm的冷轧钢板,内外表面经酸洗磷化环氧树脂粉末喷涂，烘热固化处理。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内胆均采用≥4mmPP聚丙烯板；右侧下部设置≥120×110mm进风口，内部有一体化PP聚丙烯可调风阀，可根据需求调整进风量大小；底板中部有≥Φ10mm漏液孔，上覆不锈钢漏液网；底部设H≥160mm黄沙防倒挡板，可用作黄沙填埋腔，用于埋放金属钠、黄磷、白磷等固体易燃物。</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4.底装有四个静音防静电滚轮，便于移动；设4个调节螺母，既可用于定位，也可作调整脚使用。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内配3个一次成型聚丙烯阶梯层板，层板四周边缘厚度平均值不小于4.2mm;每层阶梯板外延边有积液槽，积液槽高度平均值不小于3mm，背面网格加强筋设计，加强承重性；每个层板靠背板处设有PP螺丝限位，留出约5mm气体流动空间，便于顶部风机抽风。</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6.顶部中间开有≥φ160mm蜂窝口，内出风口处采用PP聚丙烯一体式网状结构，有效避免异物进入设备内。顶风口内置轴流风机，无火花静电，当风机开机前要把进风口转至打开状态。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7.密封件：门与设备之间应安装防火膨胀密封件；当温度为150℃~180℃时密封条局部膨胀，温度达到200℃时密封条全部膨胀，膨胀比例为1:5，以保证储存药品的安全性。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 xml:space="preserve">8.陶瓷纤维棉：应填充具有保温隔热作用的陶瓷纤维棉，密度≥130㎏/m³。                                                                                                                 </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9.铰链：铰链应为钢琴式铰链，确保门能开180度。                                                                                                                                                                    10.锁具：双人双锁管理，配备电子密码锁和二代防盗机械锁，密码锁具有开锁记录查询及隐码功能。锁舌选用坚韧且有弹性的高分子合成塑料制成，耐磨且抗腐蚀性能极强。                                                                                                                                       11.环保性能：国标规定，室内甲醛含量不得超过0.08mg/m3;苯含量不得超过0.09mg/m3。</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12.配备接地装置实现完全接地。</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6AF0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0798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CF730">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BDCA0">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3CBC9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AC18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D149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强酸碱管理端</w:t>
            </w:r>
          </w:p>
        </w:tc>
        <w:tc>
          <w:tcPr>
            <w:tcW w:w="9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8C089">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1.尺寸：≥900mm（L）×450mm（W）×1800mm（H）门类型：四开门。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2.采用手动四开门设计，门缝不大于3mm，且门缝上下大小一致，左右门的高度一致。</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3.材质：≥8mm厚PP聚丙烯树脂板，具有耐强酸、强碱与抗腐蚀的特性，经同色焊条无缝焊接处理，保证设备之坚固及密封性。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层板：采用白色PP（聚丙烯）板材，一次注塑成型，四边有不小于20mm立边，可有效盛接漏液，底部波纹状设计，避免泄漏时瓶底粘结层板，从而减少存取的安全隐患和造成二次污染的可能性，层板底部包钢处理（预留查验小口），承重能力强，整体设计为活动式，可随意抽取放在合适的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5.门板：采用同质PP材料制作，门厚20mm，视窗采用5mm钢化玻璃，防腐蚀，可视性强。</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6.绞链：塑胶射出一体成型，抗腐蚀性佳。</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 xml:space="preserve">7.把手：塑胶射出一体成型，抗腐蚀性佳，备有安全双门锁，加强管制。                                                                                                                                                                                              8.螺丝：不锈钢材质，防止因腐蚀而引起螺丝断裂，造成产品垮塌。                                                                                      </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9.锁具：双锁设计，双人双锁管理，配有PP材质一体成型（易更换）的锁扣。</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10.反光警告标签。</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4A1D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21CB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台</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7400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75A82">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04179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718E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14</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D2B3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斜流式管道风机</w:t>
            </w:r>
          </w:p>
        </w:tc>
        <w:tc>
          <w:tcPr>
            <w:tcW w:w="9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85D89">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220V，功率≥120w，风量：≥1200m³/h，噪音≤50db，接管≥φ200mm。</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704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3395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台</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28B46">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CEFD5">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4792A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C087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15</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C952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通风管道</w:t>
            </w:r>
          </w:p>
        </w:tc>
        <w:tc>
          <w:tcPr>
            <w:tcW w:w="9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4DE78">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1.主通风管规格：≥φ160mm/200mm，PVC成品管道；</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2.支管道规格：≥φ110mm，PVC成品管道；</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 xml:space="preserve">3.管道配件：管道三通、弯头、变径、直接。  </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（实际管径视现场情况可适当调整）</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CA0A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53FC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E83A7">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CD0DD">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5896F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B0C2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16</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DE2F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电源布线耗材</w:t>
            </w:r>
          </w:p>
        </w:tc>
        <w:tc>
          <w:tcPr>
            <w:tcW w:w="9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1CC7E">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1.地面以上连接线外部配有防火耐高温套管。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2.电源布管布线施工，埋地管为PVC穿线管，采用≥2.5平方铜芯线60米。</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01C8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472B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室</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1A6E1">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3979C">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6D6F5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5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58F0F1">
            <w:pPr>
              <w:jc w:val="center"/>
              <w:rPr>
                <w:rFonts w:hint="eastAsia" w:ascii="宋体" w:hAnsi="宋体" w:eastAsia="宋体" w:cs="宋体"/>
                <w:b w:val="0"/>
                <w:bCs w:val="0"/>
                <w:i w:val="0"/>
                <w:iCs w:val="0"/>
                <w:color w:val="auto"/>
                <w:sz w:val="24"/>
                <w:szCs w:val="24"/>
                <w:u w:val="none"/>
              </w:rPr>
            </w:pPr>
          </w:p>
        </w:tc>
        <w:tc>
          <w:tcPr>
            <w:tcW w:w="9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A8ABE">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合计</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5E57B">
            <w:pPr>
              <w:rPr>
                <w:rFonts w:hint="eastAsia" w:ascii="宋体" w:hAnsi="宋体" w:eastAsia="宋体" w:cs="宋体"/>
                <w:b/>
                <w:bCs/>
                <w:i w:val="0"/>
                <w:iCs w:val="0"/>
                <w:color w:val="auto"/>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61208">
            <w:pPr>
              <w:rPr>
                <w:rFonts w:hint="eastAsia" w:ascii="宋体" w:hAnsi="宋体" w:eastAsia="宋体" w:cs="宋体"/>
                <w:b/>
                <w:bCs/>
                <w:i w:val="0"/>
                <w:iCs w:val="0"/>
                <w:color w:val="auto"/>
                <w:sz w:val="24"/>
                <w:szCs w:val="24"/>
                <w:u w:val="none"/>
              </w:rPr>
            </w:pPr>
          </w:p>
        </w:tc>
        <w:tc>
          <w:tcPr>
            <w:tcW w:w="16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B79761">
            <w:pPr>
              <w:keepNext w:val="0"/>
              <w:keepLines w:val="0"/>
              <w:widowControl/>
              <w:suppressLineNumbers w:val="0"/>
              <w:jc w:val="center"/>
              <w:textAlignment w:val="center"/>
              <w:rPr>
                <w:rFonts w:hint="default" w:ascii="宋体" w:hAnsi="宋体" w:eastAsia="宋体" w:cs="宋体"/>
                <w:b/>
                <w:bCs/>
                <w:i w:val="0"/>
                <w:iCs w:val="0"/>
                <w:color w:val="auto"/>
                <w:sz w:val="24"/>
                <w:szCs w:val="24"/>
                <w:u w:val="none"/>
                <w:lang w:val="en-US"/>
              </w:rPr>
            </w:pPr>
            <w:r>
              <w:rPr>
                <w:rFonts w:hint="eastAsia" w:ascii="宋体" w:hAnsi="宋体" w:eastAsia="宋体" w:cs="宋体"/>
                <w:b/>
                <w:bCs/>
                <w:i w:val="0"/>
                <w:iCs w:val="0"/>
                <w:color w:val="auto"/>
                <w:kern w:val="0"/>
                <w:sz w:val="24"/>
                <w:szCs w:val="24"/>
                <w:u w:val="none"/>
                <w:lang w:val="en-US" w:eastAsia="zh-CN" w:bidi="ar"/>
              </w:rPr>
              <w:t xml:space="preserve"> </w:t>
            </w:r>
          </w:p>
        </w:tc>
      </w:tr>
    </w:tbl>
    <w:p w14:paraId="1A75F510">
      <w:pPr>
        <w:rPr>
          <w:b w:val="0"/>
          <w:bCs w:val="0"/>
          <w:color w:val="auto"/>
        </w:rPr>
      </w:pPr>
    </w:p>
    <w:tbl>
      <w:tblPr>
        <w:tblStyle w:val="4"/>
        <w:tblW w:w="1440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0"/>
        <w:gridCol w:w="915"/>
        <w:gridCol w:w="9855"/>
        <w:gridCol w:w="675"/>
        <w:gridCol w:w="645"/>
        <w:gridCol w:w="735"/>
        <w:gridCol w:w="875"/>
      </w:tblGrid>
      <w:tr w14:paraId="5BD3C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4400" w:type="dxa"/>
            <w:gridSpan w:val="7"/>
            <w:tcBorders>
              <w:top w:val="single" w:color="000000" w:sz="4" w:space="0"/>
              <w:left w:val="single" w:color="000000" w:sz="4" w:space="0"/>
              <w:bottom w:val="nil"/>
              <w:right w:val="single" w:color="000000" w:sz="4" w:space="0"/>
            </w:tcBorders>
            <w:shd w:val="clear" w:color="auto" w:fill="auto"/>
            <w:noWrap/>
            <w:vAlign w:val="center"/>
          </w:tcPr>
          <w:p w14:paraId="11EF062A">
            <w:pPr>
              <w:jc w:val="center"/>
              <w:rPr>
                <w:rFonts w:hint="eastAsia" w:ascii="宋体" w:hAnsi="宋体" w:eastAsia="宋体" w:cs="宋体"/>
                <w:b/>
                <w:bCs/>
                <w:i w:val="0"/>
                <w:iCs w:val="0"/>
                <w:color w:val="auto"/>
                <w:sz w:val="22"/>
                <w:szCs w:val="22"/>
                <w:u w:val="single"/>
              </w:rPr>
            </w:pPr>
            <w:r>
              <w:rPr>
                <w:rFonts w:hint="eastAsia" w:ascii="宋体" w:hAnsi="宋体" w:eastAsia="宋体" w:cs="宋体"/>
                <w:b/>
                <w:bCs/>
                <w:i w:val="0"/>
                <w:iCs w:val="0"/>
                <w:color w:val="auto"/>
                <w:kern w:val="0"/>
                <w:sz w:val="32"/>
                <w:szCs w:val="32"/>
                <w:u w:val="none"/>
                <w:lang w:val="en-US" w:eastAsia="zh-CN" w:bidi="ar"/>
              </w:rPr>
              <w:t>生物准备室</w:t>
            </w:r>
          </w:p>
        </w:tc>
      </w:tr>
      <w:tr w14:paraId="71A4E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56D0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BD86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名称</w:t>
            </w:r>
          </w:p>
        </w:tc>
        <w:tc>
          <w:tcPr>
            <w:tcW w:w="9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9842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产品参数</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4A534">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A0759">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45A94">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单价</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D74FF">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金额</w:t>
            </w:r>
          </w:p>
        </w:tc>
      </w:tr>
      <w:tr w14:paraId="2D174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373F3">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一、准备室设备</w:t>
            </w:r>
          </w:p>
        </w:tc>
        <w:tc>
          <w:tcPr>
            <w:tcW w:w="98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C1DE5">
            <w:pPr>
              <w:jc w:val="left"/>
              <w:rPr>
                <w:rFonts w:hint="eastAsia" w:ascii="宋体" w:hAnsi="宋体" w:eastAsia="宋体" w:cs="宋体"/>
                <w:b w:val="0"/>
                <w:bCs w:val="0"/>
                <w:i w:val="0"/>
                <w:iCs w:val="0"/>
                <w:color w:val="auto"/>
                <w:sz w:val="20"/>
                <w:szCs w:val="20"/>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AA0A0">
            <w:pPr>
              <w:rPr>
                <w:rFonts w:hint="eastAsia" w:ascii="宋体" w:hAnsi="宋体" w:eastAsia="宋体" w:cs="宋体"/>
                <w:b w:val="0"/>
                <w:bCs w:val="0"/>
                <w:i w:val="0"/>
                <w:iCs w:val="0"/>
                <w:color w:val="auto"/>
                <w:sz w:val="20"/>
                <w:szCs w:val="20"/>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DDF6B">
            <w:pPr>
              <w:rPr>
                <w:rFonts w:hint="eastAsia" w:ascii="宋体" w:hAnsi="宋体" w:eastAsia="宋体" w:cs="宋体"/>
                <w:b w:val="0"/>
                <w:bCs w:val="0"/>
                <w:i w:val="0"/>
                <w:iCs w:val="0"/>
                <w:color w:val="auto"/>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F4B39">
            <w:pPr>
              <w:jc w:val="center"/>
              <w:rPr>
                <w:rFonts w:hint="eastAsia" w:ascii="宋体" w:hAnsi="宋体" w:eastAsia="宋体" w:cs="宋体"/>
                <w:b w:val="0"/>
                <w:bCs w:val="0"/>
                <w:i w:val="0"/>
                <w:iCs w:val="0"/>
                <w:color w:val="auto"/>
                <w:sz w:val="20"/>
                <w:szCs w:val="20"/>
                <w:u w:val="none"/>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25AC4">
            <w:pPr>
              <w:jc w:val="center"/>
              <w:rPr>
                <w:rFonts w:hint="eastAsia" w:ascii="宋体" w:hAnsi="宋体" w:eastAsia="宋体" w:cs="宋体"/>
                <w:b w:val="0"/>
                <w:bCs w:val="0"/>
                <w:i w:val="0"/>
                <w:iCs w:val="0"/>
                <w:color w:val="auto"/>
                <w:sz w:val="20"/>
                <w:szCs w:val="20"/>
                <w:u w:val="none"/>
              </w:rPr>
            </w:pPr>
          </w:p>
        </w:tc>
      </w:tr>
      <w:tr w14:paraId="5FC88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1E51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5BBA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实验操作设备</w:t>
            </w:r>
          </w:p>
        </w:tc>
        <w:tc>
          <w:tcPr>
            <w:tcW w:w="9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1D17E">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规格：≥2400mm×1200mm×780mm；采用≥12mm厚双面膜实芯理化板；结构：工字型，铝塑钢混合结构。</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采用塑铝结构，规格≥L580mm×W60mm×H770mm由上脚、下脚、立柱、装饰盖组成，整体呈“工”字型，耐酸碱，耐腐蚀。</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前横梁：截面规格≥L30mm×W80mm，铝合金壁厚≥1.0mm，截面应为扇形，弧面朝向学生位，能有效降低发生磕碰时的人身伤害，横梁内部设有螺母柱，整体模具一体成型。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中横梁：截面规格≥L30mm×W28mm，铝合金壁厚≥1.0mm。整体模具一体成型。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后横梁：截面规格≥L30mm×W80mm，铝合金壁厚≥1.0mm。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大横梁：采用≥L60mm×W30mm椭圆管件，壁厚≥2mm。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操作斗：规格≥L490mm×W305mm×H170mm，壁厚≥3.0mm，边缘拉筋设计，可视厚度≥7.0mm，拉筋壁厚≥4.0mm，使得开放口静态水平承载力大大提高。</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8957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6E90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张</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B0237">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56367">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3F6CC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5E16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77F6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水处理设备</w:t>
            </w:r>
          </w:p>
        </w:tc>
        <w:tc>
          <w:tcPr>
            <w:tcW w:w="9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2E086">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规格：≥450mm*600mm*810mm/1200mm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 xml:space="preserve">下水系统：采用PP材质专用连接管，配有防虹吸，防阻塞装置。                            </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上部采用专用阻尼转轴搭配翻盖，翻盖打开为实验室专用水嘴和滴水板，方便学生在实验时放置烧杯、量筒等工具。</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翻盖后方配有多功能平台，可按需加装学生专用电源、吊装式上下水接口等。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门板：前部密闭设计，梯形结构搭配装饰条，后门配有可打开式检修门，隐藏式一体扣手，合页采用尼龙塑料铰链，高强度耐磨，防水、永不生锈。</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水槽采用塑料注塑模一次性成型，耐强酸强碱耐＜80℃有机溶剂并耐150℃以下高温。</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B26F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F53E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FD27B">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3DA2B">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4ED7A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615B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5B91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标本收纳端</w:t>
            </w:r>
          </w:p>
        </w:tc>
        <w:tc>
          <w:tcPr>
            <w:tcW w:w="9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8371B">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规格：≥1000mm×500mm×2000mm材质：四周采用A级≥18mm厚防潮三聚氰胺双贴面板。</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框架：采用铝合金框架结构，主支柱为≥30mm×30mm的方形铝管，壁厚不小于1.0mm，壁厚允许误差±0.15mm。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结构：上部四周采用≥5mm厚玻璃，二层玻璃托板，托板厚度为≥8mm厚玻璃，上门用≥5mm厚的推拉式玻璃门，边沿磨边。下部对开门。内设一层隔板，隔板采用A级≥25mm三聚氰胺双贴面密度中纤板。</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拉手：不锈钢拉手。</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A4CA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5</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8D2F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FF9D5">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2F3FC">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75015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D875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CAC5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仪器收纳端</w:t>
            </w:r>
          </w:p>
        </w:tc>
        <w:tc>
          <w:tcPr>
            <w:tcW w:w="9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A818E">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规格：≥1000mm×500mm×2000mm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侧板、顶底板采用改性PP材料模具一次成型，表面沙面和光面相结合处理，保证产品之坚固及密封性，顶板、底板预留模具成型排风孔。底部镶嵌≥15×30mm厚度≥1.2mm钢制横梁。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下方门体：内框采用改性PP材质模具一次成型，外嵌≥4mm厚钢化玻璃。上下拉手及三角对称五点固定，防止玻璃的松动或开合。伸缩式PP旋转门轴，四角圆弧倒角，内侧弧形圆边，配锁。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上方收纳体：内框采用改性PP材质模具一次成型，外嵌≥4mm厚钢化玻璃，中间镂空制作。上下拉手及三角对称五点固定，防止玻璃的松动或开合。伸缩式PP旋转门轴，四角圆弧倒角，内侧弧形圆边。配锁。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层板：上方配置两块活动层板，下方配置一块活动层板，层板全部采用改性PP材料模具一次成型，四周有阻水边，底部镶嵌不低于两根≥15×30mm厚度≥1.2mm钢制横梁。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拉手：采用改性PP材料模具一次成型，直角梯形四周倒圆与门体平行，开启方便。</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门铰链：采用改性PP材料模具一次成型，伸缩式PP旋转门轴，耐腐蚀性好。</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E397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5</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587F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个</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BEE1F">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4B391">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79924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2545D">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二、安装附件部分</w:t>
            </w:r>
          </w:p>
        </w:tc>
        <w:tc>
          <w:tcPr>
            <w:tcW w:w="98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7ACE9">
            <w:pPr>
              <w:jc w:val="left"/>
              <w:rPr>
                <w:rFonts w:hint="eastAsia" w:ascii="宋体" w:hAnsi="宋体" w:eastAsia="宋体" w:cs="宋体"/>
                <w:b w:val="0"/>
                <w:bCs w:val="0"/>
                <w:i w:val="0"/>
                <w:iCs w:val="0"/>
                <w:color w:val="auto"/>
                <w:sz w:val="20"/>
                <w:szCs w:val="20"/>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24F91">
            <w:pPr>
              <w:rPr>
                <w:rFonts w:hint="eastAsia" w:ascii="宋体" w:hAnsi="宋体" w:eastAsia="宋体" w:cs="宋体"/>
                <w:b w:val="0"/>
                <w:bCs w:val="0"/>
                <w:i w:val="0"/>
                <w:iCs w:val="0"/>
                <w:color w:val="auto"/>
                <w:sz w:val="20"/>
                <w:szCs w:val="20"/>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C5B83">
            <w:pPr>
              <w:rPr>
                <w:rFonts w:hint="eastAsia" w:ascii="宋体" w:hAnsi="宋体" w:eastAsia="宋体" w:cs="宋体"/>
                <w:b w:val="0"/>
                <w:bCs w:val="0"/>
                <w:i w:val="0"/>
                <w:iCs w:val="0"/>
                <w:color w:val="auto"/>
                <w:sz w:val="20"/>
                <w:szCs w:val="20"/>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3BB6C">
            <w:pPr>
              <w:jc w:val="center"/>
              <w:rPr>
                <w:rFonts w:hint="eastAsia" w:ascii="宋体" w:hAnsi="宋体" w:eastAsia="宋体" w:cs="宋体"/>
                <w:b w:val="0"/>
                <w:bCs w:val="0"/>
                <w:i w:val="0"/>
                <w:iCs w:val="0"/>
                <w:color w:val="auto"/>
                <w:sz w:val="20"/>
                <w:szCs w:val="20"/>
                <w:u w:val="none"/>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CAE2A">
            <w:pPr>
              <w:jc w:val="center"/>
              <w:rPr>
                <w:rFonts w:hint="eastAsia" w:ascii="宋体" w:hAnsi="宋体" w:eastAsia="宋体" w:cs="宋体"/>
                <w:b w:val="0"/>
                <w:bCs w:val="0"/>
                <w:i w:val="0"/>
                <w:iCs w:val="0"/>
                <w:color w:val="auto"/>
                <w:sz w:val="20"/>
                <w:szCs w:val="20"/>
                <w:u w:val="none"/>
              </w:rPr>
            </w:pPr>
          </w:p>
        </w:tc>
      </w:tr>
      <w:tr w14:paraId="32E96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F16A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C6F4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给/排水设备</w:t>
            </w:r>
          </w:p>
        </w:tc>
        <w:tc>
          <w:tcPr>
            <w:tcW w:w="9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47049">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1、给水：上水管和进水管为国标≥Ф25的PPR材质水管；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2、排水：采用≥Ф50的国标UPVC专用排水管；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2、配件：开关阀门，外丝连接件、PVC胶水等。（不包含场地开槽、开孔及开槽开孔后的恢复等土建施工）</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6F39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4136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4602F">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8A74F">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2072F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5F4728">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合计</w:t>
            </w:r>
          </w:p>
        </w:tc>
        <w:tc>
          <w:tcPr>
            <w:tcW w:w="9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12B78">
            <w:pPr>
              <w:jc w:val="center"/>
              <w:rPr>
                <w:rFonts w:hint="eastAsia" w:ascii="宋体" w:hAnsi="宋体" w:eastAsia="宋体" w:cs="宋体"/>
                <w:b/>
                <w:bCs/>
                <w:i w:val="0"/>
                <w:iCs w:val="0"/>
                <w:color w:val="auto"/>
                <w:sz w:val="24"/>
                <w:szCs w:val="24"/>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EFD46">
            <w:pPr>
              <w:rPr>
                <w:rFonts w:hint="eastAsia" w:ascii="宋体" w:hAnsi="宋体" w:eastAsia="宋体" w:cs="宋体"/>
                <w:b/>
                <w:bCs/>
                <w:i w:val="0"/>
                <w:iCs w:val="0"/>
                <w:color w:val="auto"/>
                <w:sz w:val="24"/>
                <w:szCs w:val="24"/>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E4979">
            <w:pPr>
              <w:rPr>
                <w:rFonts w:hint="eastAsia" w:ascii="宋体" w:hAnsi="宋体" w:eastAsia="宋体" w:cs="宋体"/>
                <w:b/>
                <w:bCs/>
                <w:i w:val="0"/>
                <w:iCs w:val="0"/>
                <w:color w:val="auto"/>
                <w:sz w:val="24"/>
                <w:szCs w:val="24"/>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99B77">
            <w:pPr>
              <w:rPr>
                <w:rFonts w:hint="eastAsia" w:ascii="宋体" w:hAnsi="宋体" w:eastAsia="宋体" w:cs="宋体"/>
                <w:b/>
                <w:bCs/>
                <w:i w:val="0"/>
                <w:iCs w:val="0"/>
                <w:color w:val="auto"/>
                <w:sz w:val="24"/>
                <w:szCs w:val="24"/>
                <w:u w:val="none"/>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AAAB7">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 xml:space="preserve">  </w:t>
            </w:r>
          </w:p>
        </w:tc>
      </w:tr>
    </w:tbl>
    <w:p w14:paraId="58545BC6">
      <w:pPr>
        <w:rPr>
          <w:b w:val="0"/>
          <w:bCs w:val="0"/>
          <w:color w:val="auto"/>
        </w:rPr>
      </w:pPr>
    </w:p>
    <w:p w14:paraId="0A36D121">
      <w:pPr>
        <w:rPr>
          <w:b w:val="0"/>
          <w:bCs w:val="0"/>
          <w:color w:val="auto"/>
        </w:rPr>
      </w:pPr>
    </w:p>
    <w:p w14:paraId="33B4E605">
      <w:pPr>
        <w:rPr>
          <w:b w:val="0"/>
          <w:bCs w:val="0"/>
          <w:color w:val="auto"/>
        </w:rPr>
      </w:pPr>
    </w:p>
    <w:p w14:paraId="3A1EA3E1">
      <w:pPr>
        <w:rPr>
          <w:b w:val="0"/>
          <w:bCs w:val="0"/>
          <w:color w:val="auto"/>
        </w:rPr>
      </w:pPr>
    </w:p>
    <w:p w14:paraId="620C3E5B">
      <w:pPr>
        <w:rPr>
          <w:b w:val="0"/>
          <w:bCs w:val="0"/>
          <w:color w:val="auto"/>
        </w:rPr>
      </w:pPr>
    </w:p>
    <w:p w14:paraId="144D6C35">
      <w:pPr>
        <w:rPr>
          <w:b w:val="0"/>
          <w:bCs w:val="0"/>
          <w:color w:val="auto"/>
        </w:rPr>
      </w:pPr>
    </w:p>
    <w:p w14:paraId="680F5E0A">
      <w:pPr>
        <w:rPr>
          <w:b w:val="0"/>
          <w:bCs w:val="0"/>
          <w:color w:val="auto"/>
        </w:rPr>
      </w:pPr>
    </w:p>
    <w:p w14:paraId="4B6EE4FA">
      <w:pPr>
        <w:rPr>
          <w:b w:val="0"/>
          <w:bCs w:val="0"/>
          <w:color w:val="auto"/>
        </w:rPr>
      </w:pPr>
    </w:p>
    <w:p w14:paraId="0416FAD5">
      <w:pPr>
        <w:rPr>
          <w:b w:val="0"/>
          <w:bCs w:val="0"/>
          <w:color w:val="auto"/>
        </w:rPr>
      </w:pPr>
    </w:p>
    <w:p w14:paraId="2DEADA04">
      <w:pPr>
        <w:rPr>
          <w:b w:val="0"/>
          <w:bCs w:val="0"/>
          <w:color w:val="auto"/>
        </w:rPr>
      </w:pPr>
    </w:p>
    <w:p w14:paraId="754A98FB">
      <w:pPr>
        <w:rPr>
          <w:b w:val="0"/>
          <w:bCs w:val="0"/>
          <w:color w:val="auto"/>
        </w:rPr>
      </w:pPr>
    </w:p>
    <w:p w14:paraId="3B1412F5">
      <w:pPr>
        <w:rPr>
          <w:b w:val="0"/>
          <w:bCs w:val="0"/>
          <w:color w:val="auto"/>
        </w:rPr>
      </w:pPr>
    </w:p>
    <w:p w14:paraId="18A3A176">
      <w:pPr>
        <w:rPr>
          <w:b w:val="0"/>
          <w:bCs w:val="0"/>
          <w:color w:val="auto"/>
        </w:rPr>
      </w:pPr>
    </w:p>
    <w:p w14:paraId="05B75F03">
      <w:pPr>
        <w:rPr>
          <w:b w:val="0"/>
          <w:bCs w:val="0"/>
          <w:color w:val="auto"/>
        </w:rPr>
      </w:pPr>
    </w:p>
    <w:p w14:paraId="4B121992">
      <w:pPr>
        <w:rPr>
          <w:b w:val="0"/>
          <w:bCs w:val="0"/>
          <w:color w:val="auto"/>
        </w:rPr>
      </w:pPr>
    </w:p>
    <w:p w14:paraId="68BCD7BF">
      <w:pPr>
        <w:rPr>
          <w:b w:val="0"/>
          <w:bCs w:val="0"/>
          <w:color w:val="auto"/>
        </w:rPr>
      </w:pPr>
    </w:p>
    <w:tbl>
      <w:tblPr>
        <w:tblStyle w:val="4"/>
        <w:tblW w:w="1443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00"/>
        <w:gridCol w:w="900"/>
        <w:gridCol w:w="9870"/>
        <w:gridCol w:w="660"/>
        <w:gridCol w:w="660"/>
        <w:gridCol w:w="735"/>
        <w:gridCol w:w="909"/>
      </w:tblGrid>
      <w:tr w14:paraId="27C25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0" w:hRule="atLeast"/>
        </w:trPr>
        <w:tc>
          <w:tcPr>
            <w:tcW w:w="14434" w:type="dxa"/>
            <w:gridSpan w:val="7"/>
            <w:shd w:val="clear" w:color="auto" w:fill="auto"/>
            <w:noWrap/>
            <w:vAlign w:val="center"/>
          </w:tcPr>
          <w:p w14:paraId="3F514D4D">
            <w:pPr>
              <w:keepNext w:val="0"/>
              <w:keepLines w:val="0"/>
              <w:widowControl/>
              <w:suppressLineNumbers w:val="0"/>
              <w:jc w:val="center"/>
              <w:textAlignment w:val="center"/>
              <w:rPr>
                <w:rFonts w:hint="eastAsia" w:ascii="宋体" w:hAnsi="宋体" w:eastAsia="宋体" w:cs="宋体"/>
                <w:b/>
                <w:bCs/>
                <w:i w:val="0"/>
                <w:iCs w:val="0"/>
                <w:color w:val="auto"/>
                <w:sz w:val="32"/>
                <w:szCs w:val="32"/>
                <w:u w:val="none"/>
              </w:rPr>
            </w:pPr>
            <w:r>
              <w:rPr>
                <w:rFonts w:hint="eastAsia" w:ascii="宋体" w:hAnsi="宋体" w:eastAsia="宋体" w:cs="宋体"/>
                <w:b/>
                <w:bCs/>
                <w:i w:val="0"/>
                <w:iCs w:val="0"/>
                <w:color w:val="auto"/>
                <w:kern w:val="0"/>
                <w:sz w:val="32"/>
                <w:szCs w:val="32"/>
                <w:u w:val="none"/>
                <w:lang w:val="en-US" w:eastAsia="zh-CN" w:bidi="ar"/>
              </w:rPr>
              <w:t>生物仪器室</w:t>
            </w:r>
          </w:p>
        </w:tc>
      </w:tr>
      <w:tr w14:paraId="52BA0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700" w:type="dxa"/>
            <w:shd w:val="clear" w:color="auto" w:fill="auto"/>
            <w:vAlign w:val="center"/>
          </w:tcPr>
          <w:p w14:paraId="068F302A">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900" w:type="dxa"/>
            <w:shd w:val="clear" w:color="auto" w:fill="auto"/>
            <w:vAlign w:val="center"/>
          </w:tcPr>
          <w:p w14:paraId="29CEEAF5">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名称</w:t>
            </w:r>
          </w:p>
        </w:tc>
        <w:tc>
          <w:tcPr>
            <w:tcW w:w="9870" w:type="dxa"/>
            <w:shd w:val="clear" w:color="auto" w:fill="auto"/>
            <w:vAlign w:val="center"/>
          </w:tcPr>
          <w:p w14:paraId="4D8004F5">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产品参数</w:t>
            </w:r>
          </w:p>
        </w:tc>
        <w:tc>
          <w:tcPr>
            <w:tcW w:w="660" w:type="dxa"/>
            <w:shd w:val="clear" w:color="auto" w:fill="auto"/>
            <w:vAlign w:val="center"/>
          </w:tcPr>
          <w:p w14:paraId="76BFF4C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660" w:type="dxa"/>
            <w:shd w:val="clear" w:color="auto" w:fill="auto"/>
            <w:vAlign w:val="center"/>
          </w:tcPr>
          <w:p w14:paraId="1C6C6A79">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735" w:type="dxa"/>
            <w:shd w:val="clear" w:color="auto" w:fill="auto"/>
            <w:vAlign w:val="center"/>
          </w:tcPr>
          <w:p w14:paraId="040B0A89">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单价</w:t>
            </w:r>
          </w:p>
        </w:tc>
        <w:tc>
          <w:tcPr>
            <w:tcW w:w="909" w:type="dxa"/>
            <w:shd w:val="clear" w:color="auto" w:fill="auto"/>
            <w:vAlign w:val="center"/>
          </w:tcPr>
          <w:p w14:paraId="4CEF4EC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金额</w:t>
            </w:r>
          </w:p>
        </w:tc>
      </w:tr>
      <w:tr w14:paraId="1E249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00" w:hRule="atLeast"/>
        </w:trPr>
        <w:tc>
          <w:tcPr>
            <w:tcW w:w="700" w:type="dxa"/>
            <w:shd w:val="clear" w:color="auto" w:fill="auto"/>
            <w:vAlign w:val="center"/>
          </w:tcPr>
          <w:p w14:paraId="0E2EAA8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900" w:type="dxa"/>
            <w:shd w:val="clear" w:color="auto" w:fill="auto"/>
            <w:vAlign w:val="center"/>
          </w:tcPr>
          <w:p w14:paraId="5C0F245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仪器收纳端</w:t>
            </w:r>
          </w:p>
        </w:tc>
        <w:tc>
          <w:tcPr>
            <w:tcW w:w="9870" w:type="dxa"/>
            <w:shd w:val="clear" w:color="auto" w:fill="auto"/>
            <w:vAlign w:val="center"/>
          </w:tcPr>
          <w:p w14:paraId="01EB2072">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规格：≥1000mm×500mm×2000mm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侧板、顶底板采用改性PP材料模具一次成型，表面沙面和光面相结合处理，保证产品之坚固及密封性，顶板、底板预留模具成型排风孔。底部镶嵌≥15×30mm厚度≥1.2mm钢制横梁。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下方门体：内框采用改性PP材质模具一次成型，外嵌≥4mm厚钢化玻璃。上下拉手及三角对称五点固定，防止玻璃的松动或开合。伸缩式PP旋转门轴，四角圆弧倒角，内侧弧形圆边，配锁。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上方收纳体：内框采用改性PP材质模具一次成型，外嵌≥4mm厚钢化玻璃，中间镂空制作。上下拉手及三角对称五点固定，防止玻璃的松动或开合。伸缩式PP旋转门轴，四角圆弧倒角，内侧弧形圆边。配锁。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层板：上方配置两块活动层板，下方配置一块活动层板，层板全部采用改性PP材料模具一次成型，四周有阻水边，底部镶嵌不低于两根≥15×30mm厚度≥1.2mm钢制横梁。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拉手：采用改性PP材料模具一次成型，直角梯形四周倒圆与门体平行，开启方便。</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门铰链：采用改性PP材料模具一次成型，伸缩式PP旋转门轴，耐腐蚀性好。</w:t>
            </w:r>
          </w:p>
        </w:tc>
        <w:tc>
          <w:tcPr>
            <w:tcW w:w="660" w:type="dxa"/>
            <w:shd w:val="clear" w:color="auto" w:fill="auto"/>
            <w:vAlign w:val="center"/>
          </w:tcPr>
          <w:p w14:paraId="326725A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30</w:t>
            </w:r>
          </w:p>
        </w:tc>
        <w:tc>
          <w:tcPr>
            <w:tcW w:w="660" w:type="dxa"/>
            <w:shd w:val="clear" w:color="auto" w:fill="auto"/>
            <w:vAlign w:val="center"/>
          </w:tcPr>
          <w:p w14:paraId="76968AF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个</w:t>
            </w:r>
          </w:p>
        </w:tc>
        <w:tc>
          <w:tcPr>
            <w:tcW w:w="735" w:type="dxa"/>
            <w:shd w:val="clear" w:color="auto" w:fill="auto"/>
            <w:vAlign w:val="center"/>
          </w:tcPr>
          <w:p w14:paraId="51A77538">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09" w:type="dxa"/>
            <w:shd w:val="clear" w:color="auto" w:fill="auto"/>
            <w:vAlign w:val="center"/>
          </w:tcPr>
          <w:p w14:paraId="6C623C4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3D4C8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1600" w:type="dxa"/>
            <w:gridSpan w:val="2"/>
            <w:shd w:val="clear" w:color="auto" w:fill="auto"/>
            <w:vAlign w:val="center"/>
          </w:tcPr>
          <w:p w14:paraId="657763E7">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合计</w:t>
            </w:r>
          </w:p>
        </w:tc>
        <w:tc>
          <w:tcPr>
            <w:tcW w:w="9870" w:type="dxa"/>
            <w:shd w:val="clear" w:color="auto" w:fill="auto"/>
            <w:vAlign w:val="center"/>
          </w:tcPr>
          <w:p w14:paraId="49F518E3">
            <w:pPr>
              <w:jc w:val="center"/>
              <w:rPr>
                <w:rFonts w:hint="eastAsia" w:ascii="宋体" w:hAnsi="宋体" w:eastAsia="宋体" w:cs="宋体"/>
                <w:b/>
                <w:bCs/>
                <w:i w:val="0"/>
                <w:iCs w:val="0"/>
                <w:color w:val="auto"/>
                <w:sz w:val="24"/>
                <w:szCs w:val="24"/>
                <w:u w:val="none"/>
              </w:rPr>
            </w:pPr>
          </w:p>
        </w:tc>
        <w:tc>
          <w:tcPr>
            <w:tcW w:w="660" w:type="dxa"/>
            <w:shd w:val="clear" w:color="auto" w:fill="auto"/>
            <w:vAlign w:val="center"/>
          </w:tcPr>
          <w:p w14:paraId="45D03313">
            <w:pPr>
              <w:rPr>
                <w:rFonts w:hint="eastAsia" w:ascii="宋体" w:hAnsi="宋体" w:eastAsia="宋体" w:cs="宋体"/>
                <w:b/>
                <w:bCs/>
                <w:i w:val="0"/>
                <w:iCs w:val="0"/>
                <w:color w:val="auto"/>
                <w:sz w:val="24"/>
                <w:szCs w:val="24"/>
                <w:u w:val="none"/>
              </w:rPr>
            </w:pPr>
          </w:p>
        </w:tc>
        <w:tc>
          <w:tcPr>
            <w:tcW w:w="660" w:type="dxa"/>
            <w:shd w:val="clear" w:color="auto" w:fill="auto"/>
            <w:vAlign w:val="center"/>
          </w:tcPr>
          <w:p w14:paraId="6D8ABF79">
            <w:pPr>
              <w:rPr>
                <w:rFonts w:hint="eastAsia" w:ascii="宋体" w:hAnsi="宋体" w:eastAsia="宋体" w:cs="宋体"/>
                <w:b/>
                <w:bCs/>
                <w:i w:val="0"/>
                <w:iCs w:val="0"/>
                <w:color w:val="auto"/>
                <w:sz w:val="24"/>
                <w:szCs w:val="24"/>
                <w:u w:val="none"/>
              </w:rPr>
            </w:pPr>
          </w:p>
        </w:tc>
        <w:tc>
          <w:tcPr>
            <w:tcW w:w="735" w:type="dxa"/>
            <w:shd w:val="clear" w:color="auto" w:fill="auto"/>
            <w:noWrap/>
            <w:vAlign w:val="center"/>
          </w:tcPr>
          <w:p w14:paraId="453406CF">
            <w:pPr>
              <w:rPr>
                <w:rFonts w:hint="eastAsia" w:ascii="宋体" w:hAnsi="宋体" w:eastAsia="宋体" w:cs="宋体"/>
                <w:b/>
                <w:bCs/>
                <w:i w:val="0"/>
                <w:iCs w:val="0"/>
                <w:color w:val="auto"/>
                <w:sz w:val="22"/>
                <w:szCs w:val="22"/>
                <w:u w:val="none"/>
              </w:rPr>
            </w:pPr>
          </w:p>
        </w:tc>
        <w:tc>
          <w:tcPr>
            <w:tcW w:w="909" w:type="dxa"/>
            <w:shd w:val="clear" w:color="auto" w:fill="auto"/>
            <w:vAlign w:val="center"/>
          </w:tcPr>
          <w:p w14:paraId="0D127876">
            <w:pPr>
              <w:keepNext w:val="0"/>
              <w:keepLines w:val="0"/>
              <w:widowControl/>
              <w:suppressLineNumbers w:val="0"/>
              <w:jc w:val="center"/>
              <w:textAlignment w:val="center"/>
              <w:rPr>
                <w:rFonts w:hint="default" w:ascii="宋体" w:hAnsi="宋体" w:eastAsia="宋体" w:cs="宋体"/>
                <w:b/>
                <w:bCs/>
                <w:i w:val="0"/>
                <w:iCs w:val="0"/>
                <w:color w:val="auto"/>
                <w:sz w:val="24"/>
                <w:szCs w:val="24"/>
                <w:u w:val="none"/>
                <w:lang w:val="en-US"/>
              </w:rPr>
            </w:pPr>
            <w:r>
              <w:rPr>
                <w:rFonts w:hint="eastAsia" w:ascii="宋体" w:hAnsi="宋体" w:eastAsia="宋体" w:cs="宋体"/>
                <w:b/>
                <w:bCs/>
                <w:i w:val="0"/>
                <w:iCs w:val="0"/>
                <w:color w:val="auto"/>
                <w:kern w:val="0"/>
                <w:sz w:val="24"/>
                <w:szCs w:val="24"/>
                <w:u w:val="none"/>
                <w:lang w:val="en-US" w:eastAsia="zh-CN" w:bidi="ar"/>
              </w:rPr>
              <w:t xml:space="preserve"> </w:t>
            </w:r>
          </w:p>
        </w:tc>
      </w:tr>
    </w:tbl>
    <w:p w14:paraId="3892FDE6">
      <w:pPr>
        <w:rPr>
          <w:b w:val="0"/>
          <w:bCs w:val="0"/>
          <w:color w:val="auto"/>
        </w:rPr>
      </w:pPr>
    </w:p>
    <w:p w14:paraId="03F2C191">
      <w:pPr>
        <w:rPr>
          <w:b w:val="0"/>
          <w:bCs w:val="0"/>
          <w:color w:val="auto"/>
        </w:rPr>
      </w:pPr>
    </w:p>
    <w:p w14:paraId="4569C26C">
      <w:pPr>
        <w:rPr>
          <w:b w:val="0"/>
          <w:bCs w:val="0"/>
          <w:color w:val="auto"/>
        </w:rPr>
      </w:pPr>
    </w:p>
    <w:p w14:paraId="04D45FE5">
      <w:pPr>
        <w:rPr>
          <w:b w:val="0"/>
          <w:bCs w:val="0"/>
          <w:color w:val="auto"/>
        </w:rPr>
      </w:pPr>
    </w:p>
    <w:p w14:paraId="4AA69CF3">
      <w:pPr>
        <w:rPr>
          <w:b w:val="0"/>
          <w:bCs w:val="0"/>
          <w:color w:val="auto"/>
        </w:rPr>
      </w:pPr>
    </w:p>
    <w:p w14:paraId="5C59E014">
      <w:pPr>
        <w:rPr>
          <w:b w:val="0"/>
          <w:bCs w:val="0"/>
          <w:color w:val="auto"/>
        </w:rPr>
      </w:pPr>
    </w:p>
    <w:p w14:paraId="54DDB43E">
      <w:pPr>
        <w:rPr>
          <w:b w:val="0"/>
          <w:bCs w:val="0"/>
          <w:color w:val="auto"/>
        </w:rPr>
      </w:pPr>
    </w:p>
    <w:p w14:paraId="04FB46CC">
      <w:pPr>
        <w:rPr>
          <w:b w:val="0"/>
          <w:bCs w:val="0"/>
          <w:color w:val="auto"/>
        </w:rPr>
      </w:pPr>
    </w:p>
    <w:p w14:paraId="73E8D929">
      <w:pPr>
        <w:rPr>
          <w:b w:val="0"/>
          <w:bCs w:val="0"/>
          <w:color w:val="auto"/>
        </w:rPr>
      </w:pPr>
    </w:p>
    <w:p w14:paraId="57802BD1">
      <w:pPr>
        <w:rPr>
          <w:b w:val="0"/>
          <w:bCs w:val="0"/>
          <w:color w:val="auto"/>
        </w:rPr>
      </w:pPr>
    </w:p>
    <w:p w14:paraId="76664A97">
      <w:pPr>
        <w:rPr>
          <w:b w:val="0"/>
          <w:bCs w:val="0"/>
          <w:color w:val="auto"/>
        </w:rPr>
      </w:pPr>
    </w:p>
    <w:p w14:paraId="02B30235">
      <w:pPr>
        <w:rPr>
          <w:b w:val="0"/>
          <w:bCs w:val="0"/>
          <w:color w:val="auto"/>
        </w:rPr>
      </w:pPr>
    </w:p>
    <w:p w14:paraId="71457B66">
      <w:pPr>
        <w:rPr>
          <w:b w:val="0"/>
          <w:bCs w:val="0"/>
          <w:color w:val="auto"/>
        </w:rPr>
      </w:pPr>
    </w:p>
    <w:tbl>
      <w:tblPr>
        <w:tblStyle w:val="4"/>
        <w:tblW w:w="1458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0"/>
        <w:gridCol w:w="870"/>
        <w:gridCol w:w="9885"/>
        <w:gridCol w:w="660"/>
        <w:gridCol w:w="645"/>
        <w:gridCol w:w="750"/>
        <w:gridCol w:w="1040"/>
      </w:tblGrid>
      <w:tr w14:paraId="16F5D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4580"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B584A">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32"/>
                <w:szCs w:val="32"/>
                <w:u w:val="none"/>
                <w:lang w:val="en-US" w:eastAsia="zh-CN" w:bidi="ar"/>
              </w:rPr>
              <w:t>生物标本室</w:t>
            </w:r>
          </w:p>
        </w:tc>
      </w:tr>
      <w:tr w14:paraId="399F5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A6199">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2BCE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名称</w:t>
            </w:r>
          </w:p>
        </w:tc>
        <w:tc>
          <w:tcPr>
            <w:tcW w:w="9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60625">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产品参数</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77F2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6BAD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F08A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单价</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FFEA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金额</w:t>
            </w:r>
          </w:p>
        </w:tc>
      </w:tr>
      <w:tr w14:paraId="79CF7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B2040">
            <w:pPr>
              <w:keepNext w:val="0"/>
              <w:keepLines w:val="0"/>
              <w:widowControl/>
              <w:suppressLineNumbers w:val="0"/>
              <w:jc w:val="center"/>
              <w:textAlignment w:val="center"/>
              <w:rPr>
                <w:rFonts w:hint="eastAsia" w:ascii="宋体" w:hAnsi="宋体" w:eastAsia="宋体" w:cs="宋体"/>
                <w:b w:val="0"/>
                <w:bCs w:val="0"/>
                <w:i w:val="0"/>
                <w:iCs w:val="0"/>
                <w:color w:val="auto"/>
                <w:sz w:val="22"/>
                <w:szCs w:val="22"/>
                <w:u w:val="none"/>
              </w:rPr>
            </w:pPr>
            <w:r>
              <w:rPr>
                <w:rFonts w:hint="eastAsia" w:ascii="宋体" w:hAnsi="宋体" w:eastAsia="宋体" w:cs="宋体"/>
                <w:b w:val="0"/>
                <w:bCs w:val="0"/>
                <w:i w:val="0"/>
                <w:iCs w:val="0"/>
                <w:color w:val="auto"/>
                <w:kern w:val="0"/>
                <w:sz w:val="22"/>
                <w:szCs w:val="22"/>
                <w:u w:val="none"/>
                <w:lang w:val="en-US" w:eastAsia="zh-CN" w:bidi="ar"/>
              </w:rPr>
              <w:t>1</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ABCF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标本收纳端</w:t>
            </w:r>
          </w:p>
        </w:tc>
        <w:tc>
          <w:tcPr>
            <w:tcW w:w="9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71C6A">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规格：≥1000mm×500mm×2000mm材质：四周采用A级≥18mm厚防潮三聚氰胺双贴面板。</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框架：采用铝合金框架结构，主支柱为≥30mm×30mm的方形铝管，壁厚不小于1.0mm，壁厚允许误差±0.15mm。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结构：上部四周采用≥5mm厚玻璃，二层玻璃托板，托板厚度为≥8mm厚玻璃，上门用≥5mm厚的推拉式玻璃门，边沿磨边。下部对开门。内设一层隔板，隔板采用A级≥25mm三聚氰胺双贴面密度中纤板。</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拉手：不锈钢拉手。</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0065D">
            <w:pPr>
              <w:keepNext w:val="0"/>
              <w:keepLines w:val="0"/>
              <w:widowControl/>
              <w:suppressLineNumbers w:val="0"/>
              <w:jc w:val="center"/>
              <w:textAlignment w:val="center"/>
              <w:rPr>
                <w:rFonts w:hint="eastAsia" w:ascii="宋体" w:hAnsi="宋体" w:eastAsia="宋体" w:cs="宋体"/>
                <w:b w:val="0"/>
                <w:bCs w:val="0"/>
                <w:i w:val="0"/>
                <w:iCs w:val="0"/>
                <w:color w:val="auto"/>
                <w:sz w:val="22"/>
                <w:szCs w:val="22"/>
                <w:u w:val="none"/>
              </w:rPr>
            </w:pPr>
            <w:r>
              <w:rPr>
                <w:rFonts w:hint="eastAsia" w:ascii="宋体" w:hAnsi="宋体" w:eastAsia="宋体" w:cs="宋体"/>
                <w:b w:val="0"/>
                <w:bCs w:val="0"/>
                <w:i w:val="0"/>
                <w:iCs w:val="0"/>
                <w:color w:val="auto"/>
                <w:kern w:val="0"/>
                <w:sz w:val="22"/>
                <w:szCs w:val="22"/>
                <w:u w:val="none"/>
                <w:lang w:val="en-US" w:eastAsia="zh-CN" w:bidi="ar"/>
              </w:rPr>
              <w:t>10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22F7B">
            <w:pPr>
              <w:keepNext w:val="0"/>
              <w:keepLines w:val="0"/>
              <w:widowControl/>
              <w:suppressLineNumbers w:val="0"/>
              <w:jc w:val="center"/>
              <w:textAlignment w:val="center"/>
              <w:rPr>
                <w:rFonts w:hint="eastAsia" w:ascii="宋体" w:hAnsi="宋体" w:eastAsia="宋体" w:cs="宋体"/>
                <w:b w:val="0"/>
                <w:bCs w:val="0"/>
                <w:i w:val="0"/>
                <w:iCs w:val="0"/>
                <w:color w:val="auto"/>
                <w:sz w:val="22"/>
                <w:szCs w:val="22"/>
                <w:u w:val="none"/>
              </w:rPr>
            </w:pPr>
            <w:r>
              <w:rPr>
                <w:rFonts w:hint="eastAsia" w:ascii="宋体" w:hAnsi="宋体" w:eastAsia="宋体" w:cs="宋体"/>
                <w:b w:val="0"/>
                <w:bCs w:val="0"/>
                <w:i w:val="0"/>
                <w:iCs w:val="0"/>
                <w:color w:val="auto"/>
                <w:kern w:val="0"/>
                <w:sz w:val="22"/>
                <w:szCs w:val="22"/>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45699">
            <w:pPr>
              <w:keepNext w:val="0"/>
              <w:keepLines w:val="0"/>
              <w:widowControl/>
              <w:suppressLineNumbers w:val="0"/>
              <w:jc w:val="center"/>
              <w:textAlignment w:val="center"/>
              <w:rPr>
                <w:rFonts w:hint="default" w:ascii="宋体" w:hAnsi="宋体" w:eastAsia="宋体" w:cs="宋体"/>
                <w:b w:val="0"/>
                <w:bCs w:val="0"/>
                <w:i w:val="0"/>
                <w:iCs w:val="0"/>
                <w:color w:val="auto"/>
                <w:sz w:val="22"/>
                <w:szCs w:val="22"/>
                <w:u w:val="none"/>
                <w:lang w:val="en-US"/>
              </w:rPr>
            </w:pPr>
            <w:r>
              <w:rPr>
                <w:rFonts w:hint="eastAsia" w:ascii="宋体" w:hAnsi="宋体" w:eastAsia="宋体" w:cs="宋体"/>
                <w:b w:val="0"/>
                <w:bCs w:val="0"/>
                <w:i w:val="0"/>
                <w:iCs w:val="0"/>
                <w:color w:val="auto"/>
                <w:kern w:val="0"/>
                <w:sz w:val="22"/>
                <w:szCs w:val="22"/>
                <w:u w:val="none"/>
                <w:lang w:val="en-US" w:eastAsia="zh-CN" w:bidi="ar"/>
              </w:rPr>
              <w:t xml:space="preserve"> </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8A716">
            <w:pPr>
              <w:keepNext w:val="0"/>
              <w:keepLines w:val="0"/>
              <w:widowControl/>
              <w:suppressLineNumbers w:val="0"/>
              <w:jc w:val="center"/>
              <w:textAlignment w:val="center"/>
              <w:rPr>
                <w:rFonts w:hint="default" w:ascii="宋体" w:hAnsi="宋体" w:eastAsia="宋体" w:cs="宋体"/>
                <w:b w:val="0"/>
                <w:bCs w:val="0"/>
                <w:i w:val="0"/>
                <w:iCs w:val="0"/>
                <w:color w:val="auto"/>
                <w:sz w:val="22"/>
                <w:szCs w:val="22"/>
                <w:u w:val="none"/>
                <w:lang w:val="en-US"/>
              </w:rPr>
            </w:pPr>
          </w:p>
        </w:tc>
      </w:tr>
      <w:tr w14:paraId="7A40A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DAEC7">
            <w:pPr>
              <w:jc w:val="center"/>
              <w:rPr>
                <w:rFonts w:hint="eastAsia" w:ascii="宋体" w:hAnsi="宋体" w:eastAsia="宋体" w:cs="宋体"/>
                <w:b w:val="0"/>
                <w:bCs w:val="0"/>
                <w:i w:val="0"/>
                <w:iCs w:val="0"/>
                <w:color w:val="auto"/>
                <w:sz w:val="22"/>
                <w:szCs w:val="22"/>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AFBD9">
            <w:pPr>
              <w:keepNext w:val="0"/>
              <w:keepLines w:val="0"/>
              <w:widowControl/>
              <w:suppressLineNumbers w:val="0"/>
              <w:jc w:val="left"/>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合计</w:t>
            </w:r>
          </w:p>
        </w:tc>
        <w:tc>
          <w:tcPr>
            <w:tcW w:w="9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82AC7">
            <w:pPr>
              <w:rPr>
                <w:rFonts w:hint="eastAsia" w:ascii="宋体" w:hAnsi="宋体" w:eastAsia="宋体" w:cs="宋体"/>
                <w:b/>
                <w:bCs/>
                <w:i w:val="0"/>
                <w:iCs w:val="0"/>
                <w:color w:val="auto"/>
                <w:sz w:val="22"/>
                <w:szCs w:val="22"/>
                <w:u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01458">
            <w:pPr>
              <w:jc w:val="center"/>
              <w:rPr>
                <w:rFonts w:hint="eastAsia" w:ascii="宋体" w:hAnsi="宋体" w:eastAsia="宋体" w:cs="宋体"/>
                <w:b/>
                <w:bCs/>
                <w:i w:val="0"/>
                <w:iCs w:val="0"/>
                <w:color w:val="auto"/>
                <w:sz w:val="22"/>
                <w:szCs w:val="22"/>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616F6">
            <w:pPr>
              <w:jc w:val="center"/>
              <w:rPr>
                <w:rFonts w:hint="eastAsia" w:ascii="宋体" w:hAnsi="宋体" w:eastAsia="宋体" w:cs="宋体"/>
                <w:b/>
                <w:bCs/>
                <w:i w:val="0"/>
                <w:iCs w:val="0"/>
                <w:color w:val="auto"/>
                <w:sz w:val="22"/>
                <w:szCs w:val="22"/>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9DFDF">
            <w:pPr>
              <w:jc w:val="center"/>
              <w:rPr>
                <w:rFonts w:hint="eastAsia" w:ascii="宋体" w:hAnsi="宋体" w:eastAsia="宋体" w:cs="宋体"/>
                <w:b/>
                <w:bCs/>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8D5D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 xml:space="preserve"> </w:t>
            </w:r>
          </w:p>
        </w:tc>
      </w:tr>
    </w:tbl>
    <w:p w14:paraId="726C13E5">
      <w:pPr>
        <w:rPr>
          <w:b w:val="0"/>
          <w:bCs w:val="0"/>
          <w:color w:val="auto"/>
        </w:rPr>
      </w:pPr>
    </w:p>
    <w:p w14:paraId="41A0D051">
      <w:pPr>
        <w:rPr>
          <w:b w:val="0"/>
          <w:bCs w:val="0"/>
          <w:color w:val="auto"/>
        </w:rPr>
      </w:pPr>
    </w:p>
    <w:p w14:paraId="5D8687F4">
      <w:pPr>
        <w:rPr>
          <w:b w:val="0"/>
          <w:bCs w:val="0"/>
          <w:color w:val="auto"/>
        </w:rPr>
      </w:pPr>
    </w:p>
    <w:p w14:paraId="7C87DBA8">
      <w:pPr>
        <w:rPr>
          <w:b w:val="0"/>
          <w:bCs w:val="0"/>
          <w:color w:val="auto"/>
        </w:rPr>
      </w:pPr>
    </w:p>
    <w:p w14:paraId="50295107">
      <w:pPr>
        <w:rPr>
          <w:b w:val="0"/>
          <w:bCs w:val="0"/>
          <w:color w:val="auto"/>
        </w:rPr>
      </w:pPr>
    </w:p>
    <w:p w14:paraId="4CA9DE13">
      <w:pPr>
        <w:rPr>
          <w:b w:val="0"/>
          <w:bCs w:val="0"/>
          <w:color w:val="auto"/>
        </w:rPr>
      </w:pPr>
    </w:p>
    <w:p w14:paraId="3FBF9D1A">
      <w:pPr>
        <w:rPr>
          <w:b w:val="0"/>
          <w:bCs w:val="0"/>
          <w:color w:val="auto"/>
        </w:rPr>
      </w:pPr>
    </w:p>
    <w:p w14:paraId="4211D370">
      <w:pPr>
        <w:rPr>
          <w:b w:val="0"/>
          <w:bCs w:val="0"/>
          <w:color w:val="auto"/>
        </w:rPr>
      </w:pPr>
    </w:p>
    <w:p w14:paraId="62A8FD5A">
      <w:pPr>
        <w:rPr>
          <w:b w:val="0"/>
          <w:bCs w:val="0"/>
          <w:color w:val="auto"/>
        </w:rPr>
      </w:pPr>
    </w:p>
    <w:p w14:paraId="6E6EF69E">
      <w:pPr>
        <w:rPr>
          <w:b w:val="0"/>
          <w:bCs w:val="0"/>
          <w:color w:val="auto"/>
        </w:rPr>
      </w:pPr>
    </w:p>
    <w:p w14:paraId="38D5B390">
      <w:pPr>
        <w:rPr>
          <w:b w:val="0"/>
          <w:bCs w:val="0"/>
          <w:color w:val="auto"/>
        </w:rPr>
      </w:pPr>
    </w:p>
    <w:p w14:paraId="6771EA51">
      <w:pPr>
        <w:rPr>
          <w:b w:val="0"/>
          <w:bCs w:val="0"/>
          <w:color w:val="auto"/>
        </w:rPr>
      </w:pPr>
    </w:p>
    <w:p w14:paraId="520F0907">
      <w:pPr>
        <w:rPr>
          <w:b w:val="0"/>
          <w:bCs w:val="0"/>
          <w:color w:val="auto"/>
        </w:rPr>
      </w:pPr>
    </w:p>
    <w:p w14:paraId="28DF63F0">
      <w:pPr>
        <w:rPr>
          <w:b w:val="0"/>
          <w:bCs w:val="0"/>
          <w:color w:val="auto"/>
        </w:rPr>
      </w:pPr>
    </w:p>
    <w:p w14:paraId="3403B192">
      <w:pPr>
        <w:rPr>
          <w:b w:val="0"/>
          <w:bCs w:val="0"/>
          <w:color w:val="auto"/>
        </w:rPr>
      </w:pPr>
    </w:p>
    <w:p w14:paraId="3B729ADA">
      <w:pPr>
        <w:rPr>
          <w:b w:val="0"/>
          <w:bCs w:val="0"/>
          <w:color w:val="auto"/>
        </w:rPr>
      </w:pPr>
    </w:p>
    <w:p w14:paraId="15F7ABF2">
      <w:pPr>
        <w:rPr>
          <w:b w:val="0"/>
          <w:bCs w:val="0"/>
          <w:color w:val="auto"/>
        </w:rPr>
      </w:pPr>
    </w:p>
    <w:p w14:paraId="6323216E">
      <w:pPr>
        <w:rPr>
          <w:b w:val="0"/>
          <w:bCs w:val="0"/>
          <w:color w:val="auto"/>
        </w:rPr>
      </w:pPr>
    </w:p>
    <w:p w14:paraId="4ECF49A3">
      <w:pPr>
        <w:rPr>
          <w:b w:val="0"/>
          <w:bCs w:val="0"/>
          <w:color w:val="auto"/>
        </w:rPr>
      </w:pPr>
    </w:p>
    <w:p w14:paraId="6917E26C">
      <w:pPr>
        <w:rPr>
          <w:b w:val="0"/>
          <w:bCs w:val="0"/>
          <w:color w:val="auto"/>
        </w:rPr>
      </w:pPr>
    </w:p>
    <w:p w14:paraId="04B5267A">
      <w:pPr>
        <w:rPr>
          <w:b w:val="0"/>
          <w:bCs w:val="0"/>
          <w:color w:val="auto"/>
        </w:rPr>
      </w:pPr>
    </w:p>
    <w:tbl>
      <w:tblPr>
        <w:tblStyle w:val="4"/>
        <w:tblW w:w="14580"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65"/>
        <w:gridCol w:w="1071"/>
        <w:gridCol w:w="7783"/>
        <w:gridCol w:w="1933"/>
        <w:gridCol w:w="700"/>
        <w:gridCol w:w="723"/>
        <w:gridCol w:w="763"/>
        <w:gridCol w:w="942"/>
      </w:tblGrid>
      <w:tr w14:paraId="6A706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14580" w:type="dxa"/>
            <w:gridSpan w:val="8"/>
            <w:shd w:val="clear" w:color="auto" w:fill="auto"/>
            <w:vAlign w:val="center"/>
          </w:tcPr>
          <w:p w14:paraId="6E1800BB">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32"/>
                <w:szCs w:val="32"/>
                <w:u w:val="none"/>
                <w:lang w:val="en-US" w:eastAsia="zh-CN" w:bidi="ar"/>
              </w:rPr>
              <w:t>初中物理实验箱</w:t>
            </w:r>
          </w:p>
        </w:tc>
      </w:tr>
      <w:tr w14:paraId="1F4E5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314BAA27">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序号</w:t>
            </w:r>
          </w:p>
        </w:tc>
        <w:tc>
          <w:tcPr>
            <w:tcW w:w="1071" w:type="dxa"/>
            <w:shd w:val="clear" w:color="auto" w:fill="auto"/>
            <w:vAlign w:val="center"/>
          </w:tcPr>
          <w:p w14:paraId="48E5FEA8">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产品名称</w:t>
            </w:r>
          </w:p>
        </w:tc>
        <w:tc>
          <w:tcPr>
            <w:tcW w:w="7783" w:type="dxa"/>
            <w:shd w:val="clear" w:color="auto" w:fill="auto"/>
            <w:vAlign w:val="center"/>
          </w:tcPr>
          <w:p w14:paraId="1C060592">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产品技术参数</w:t>
            </w:r>
          </w:p>
        </w:tc>
        <w:tc>
          <w:tcPr>
            <w:tcW w:w="1933" w:type="dxa"/>
            <w:shd w:val="clear" w:color="auto" w:fill="auto"/>
            <w:vAlign w:val="center"/>
          </w:tcPr>
          <w:p w14:paraId="078CEA7F">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基本实验活动</w:t>
            </w:r>
          </w:p>
        </w:tc>
        <w:tc>
          <w:tcPr>
            <w:tcW w:w="700" w:type="dxa"/>
            <w:shd w:val="clear" w:color="auto" w:fill="auto"/>
            <w:vAlign w:val="center"/>
          </w:tcPr>
          <w:p w14:paraId="2205BDA7">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单位</w:t>
            </w:r>
          </w:p>
        </w:tc>
        <w:tc>
          <w:tcPr>
            <w:tcW w:w="723" w:type="dxa"/>
            <w:shd w:val="clear" w:color="auto" w:fill="auto"/>
            <w:vAlign w:val="center"/>
          </w:tcPr>
          <w:p w14:paraId="1F6DB4C1">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数量</w:t>
            </w:r>
          </w:p>
        </w:tc>
        <w:tc>
          <w:tcPr>
            <w:tcW w:w="763" w:type="dxa"/>
            <w:shd w:val="clear" w:color="auto" w:fill="auto"/>
            <w:vAlign w:val="center"/>
          </w:tcPr>
          <w:p w14:paraId="5B72F6E7">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单价</w:t>
            </w:r>
          </w:p>
        </w:tc>
        <w:tc>
          <w:tcPr>
            <w:tcW w:w="942" w:type="dxa"/>
            <w:shd w:val="clear" w:color="auto" w:fill="auto"/>
            <w:vAlign w:val="center"/>
          </w:tcPr>
          <w:p w14:paraId="6EB908D7">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金额</w:t>
            </w:r>
          </w:p>
        </w:tc>
      </w:tr>
      <w:tr w14:paraId="74BE2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599D3A5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1071" w:type="dxa"/>
            <w:shd w:val="clear" w:color="auto" w:fill="auto"/>
            <w:vAlign w:val="center"/>
          </w:tcPr>
          <w:p w14:paraId="342F9A1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物质的形态和变化</w:t>
            </w:r>
          </w:p>
        </w:tc>
        <w:tc>
          <w:tcPr>
            <w:tcW w:w="7783" w:type="dxa"/>
            <w:shd w:val="clear" w:color="auto" w:fill="auto"/>
            <w:vAlign w:val="center"/>
          </w:tcPr>
          <w:p w14:paraId="50C80B11">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X型支座（可拼接）1套、双向转接头（铝合金，≥30mm×3mm×65mm）2个、≥250mm支撑杆1根、≥600mm支撑杆（2根/套，单根杆长 ≥300mm，杆与杆可以螺纹对接）1套、多功能卡夹（可多种形式夹支撑杆及温度计）1个、酒精灯1盏、电子点火器（≥230mm×45mm）1个、大号铁三环（≥φ100mm，带M6×25螺丝）1个、陶土网（≥150mm×150mm）1片、大试管（高硼硅，≥φ30mm×200mm）1个、万用夹具（黑色长尾 L≥270mm）1个、海波1瓶不小于100g、石蜡1瓶不小于100g、红水温度计（-10～110度）1个、玻璃烧杯（高硼硅(3)3，≥250ml）2个、碘升华凝华管（≥110mm×25mm）1个、隔热板（≥10mm×10cm）1个、秒表1个、玻璃板（≥50mm×50mm×2mm）2块、胶头滴管（D≥10mm，L≥90mm）1个、木试管夹1个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X型支座：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材质：尼龙、镀锌圆钢，确保强度且耐酸耐碱；工艺：塑料注塑成型、表面镀锌处理；产品结构：90度角双臂，半轴长16(5)≥5mm，底座高度≥24mm，匍氏耦合对接挂钩、凹凸式双轨插孔，自锁紧双下压扣，多功能杆插孔、斜顶式M6螺丝锁紧孔,底部配重盖采用超声波焊接技术；功能描述：对偶插接式构造能够进行多种结构拓展：①、两件对插呈X型可作为常规铁架台底座；②、可对接不同长度的支撑杆组成不同种类的支撑座；③、可作为光学实验导轨；④、拓展为其他产品的轨道座；⑤、级联底座作为配重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双向转接头：</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30mm×30mm×65mm；材质：铝合金；工艺：精密压铸、电泳发黑；功能描述：①、两端固定口90°正交垂直，中间穿孔可以轴向固定；②、附带≥2个M6×25mm的防滑手紧螺丝，可以固定所有用到与支撑杆有关的实验.</w:t>
            </w:r>
          </w:p>
        </w:tc>
        <w:tc>
          <w:tcPr>
            <w:tcW w:w="1933" w:type="dxa"/>
            <w:shd w:val="clear" w:color="auto" w:fill="auto"/>
            <w:vAlign w:val="center"/>
          </w:tcPr>
          <w:p w14:paraId="69AA8578">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1.用常见温度计测量温度</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2.探究晶体熔化和凝固的过程及特点</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3.观察升华和凝华现象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4.探究水在沸腾前后温度变化的特点</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5.探究蒸发快慢的影响因素</w:t>
            </w:r>
          </w:p>
        </w:tc>
        <w:tc>
          <w:tcPr>
            <w:tcW w:w="700" w:type="dxa"/>
            <w:shd w:val="clear" w:color="auto" w:fill="auto"/>
            <w:vAlign w:val="center"/>
          </w:tcPr>
          <w:p w14:paraId="787E442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23" w:type="dxa"/>
            <w:shd w:val="clear" w:color="auto" w:fill="auto"/>
            <w:noWrap/>
            <w:vAlign w:val="center"/>
          </w:tcPr>
          <w:p w14:paraId="239AA56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11</w:t>
            </w:r>
          </w:p>
        </w:tc>
        <w:tc>
          <w:tcPr>
            <w:tcW w:w="763" w:type="dxa"/>
            <w:shd w:val="clear" w:color="auto" w:fill="auto"/>
            <w:noWrap/>
            <w:vAlign w:val="center"/>
          </w:tcPr>
          <w:p w14:paraId="220A340D">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01AB89B1">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1095C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1803F86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1071" w:type="dxa"/>
            <w:shd w:val="clear" w:color="auto" w:fill="auto"/>
            <w:vAlign w:val="center"/>
          </w:tcPr>
          <w:p w14:paraId="5AB4B54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物质的属性</w:t>
            </w:r>
          </w:p>
        </w:tc>
        <w:tc>
          <w:tcPr>
            <w:tcW w:w="7783" w:type="dxa"/>
            <w:shd w:val="clear" w:color="auto" w:fill="auto"/>
            <w:vAlign w:val="center"/>
          </w:tcPr>
          <w:p w14:paraId="01E61A10">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条形盒测力计2.5N（可双面显示，≥170mm×45mm×20mm）1个、圆筒测力计(2)5N 1个、橡皮筋5个、橡皮泥1个、椭圆形玻璃瓶（≥82mm×145mm）1个、单孔红色硅胶塞（≥20.9mm×15mm×25mm）1个、玻璃直导管（≥200mm）1个、条形磁铁（≥180mm×10mm×20mm）1块、铁粉1盒不小于50g、1号电池盒（可磁吸）2个、1号电池2个、灯座（≥110mm×50mm×31mm，可磁吸）1个、(3)8V小灯泡2个、单刀单掷开关（≥110mm×50mm×31mm，可磁吸）1个、导体验证器（≥110mm×50mm×30mm，可磁吸）1个、物质导电性实验材料（铜、铁、铝、橡胶、塑料、木）1套、物质导热性实验材料（铜棒、铝棒、陶瓷棒、铁棒、木棒）1套、4mm红黑香蕉导线各2根、实验用托盘天平（≥200g）1台、砝码1盒、实验用电子天平（≥1000g，0.1g）1套、长方体组（3种规格，≥50\40\30mm×20mm×10mm）1套、钓鱼线1盒不小于1m 、剪刀1个、钢直尺（不锈钢，≥15cm）1个、玻璃烧杯（高硼硅，≥250ml）1个、塑料烧杯（≥100ml）1个、小石块1袋不小于100g、氯化钠1瓶不小于100g、玻璃量筒（高硼硅，≥100ml）1个等。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条形盒测力计：塑料壳体、挂钩、调零螺丝、弹簧、铝管等。塑料壳体：尺寸规格：≥170mm×45mm×20mm；材质工艺：ABS塑料精密注塑成型，尺寸精准，品质扎实；功能描述：为整个仪器提供安装固定的结构。</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调零螺丝：尺寸规格：≥25mm×∅5mm，材质工艺：铁镀镍，防锈防氧化；功能描述：连接弹簧和标线，用于测力计调零作用。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弹簧：尺寸规格：≥134mm×∅6mm，材质工艺：弹簧钢，高精度，不易变形；功能描述：是作为测力计的重要测量部件。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导体验证器（可磁吸）：</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由绝缘底座、两端验证接口、香蕉插头接线柱等组成；规格：香蕉插座，底座尺寸：≥110mm×50mm×30mm（±5mm）；绝缘底座尺寸：≥110mm×50mm×30mm（±5mm），材质工艺：ABS塑料+透明PC精密注塑成型；功能描述：磁吸式，检验导体与绝缘体，也可吸附在磁性黑板或其他磁性材料上进行演示操作。</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1号电池盒（磁吸）：</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由壳体、弹簧、弹片、香蕉插头接线柱等组成；壳体材质工艺：ABS塑料；功能描述：有串联接插口，配合1号电池及其他相关器材进行电学实验、电磁学实验及其他需要提供直流电源的实验。内嵌磁铁，也可以吸附在磁性黑板或其他磁性材料上进行相关实验。</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灯座（磁吸）：</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由绝缘底座、灯座、香蕉插头接线柱等组成；规格：香蕉插座，底座尺寸：≥110mm×50mm×30mm（±5mm）；绝缘底座尺寸：≥110mm×50mm×30mm（±5mm），材质工艺：ABS塑料+透明PC精密注塑成型；功能描述：磁吸式，配合小灯泡作为用电器与其他相关器材进行电学、电磁学及其它需要灯泡的实验，也可吸附在磁性黑板或其他磁性材料上进行演示操作。</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单刀单掷开关（磁吸）：</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由绝缘底座、开关闸刀、香蕉插头接线柱等组成。规格：香蕉插座，底座尺寸：≥110mm×50mm×30mm（±5mm）；绝缘底座尺寸：≥110mm×50mm×30mm（±5mm），材质工艺：ABS塑料+透明PC精密注塑成型；功能描述：作为控制电路的开关与其他相关器材进行电学实验、电磁学实验及其他需要控制电路通断的实验，也可吸附在磁性黑板或其他磁性材料上进行演示操作。</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红色硅胶塞：</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单孔；横截面尺寸：≥20mm×15mm×25mm；材质：红色硅胶；工艺：采用先进精密硅胶注塑技术一次成型无毛边、无合缝线，硬度适中、易插拔不阻涩；功能描述：用于实验中玻璃仪器的密封或与玻璃导管、温度计等配合使用，满足多种不同实验的密封及导气需求。耐高温、耐酸碱。</w:t>
            </w:r>
          </w:p>
        </w:tc>
        <w:tc>
          <w:tcPr>
            <w:tcW w:w="1933" w:type="dxa"/>
            <w:shd w:val="clear" w:color="auto" w:fill="auto"/>
            <w:vAlign w:val="center"/>
          </w:tcPr>
          <w:p w14:paraId="2FCE42A8">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1.体验不同物质的弹性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2.观察磁现象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3.比较物质的导电性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4.比较物质的导热性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5.用托盘天平测量物体的质量</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6.探究物体的质量与体积之间的关系</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7.测量固体和液体的密度</w:t>
            </w:r>
          </w:p>
        </w:tc>
        <w:tc>
          <w:tcPr>
            <w:tcW w:w="700" w:type="dxa"/>
            <w:shd w:val="clear" w:color="auto" w:fill="auto"/>
            <w:vAlign w:val="center"/>
          </w:tcPr>
          <w:p w14:paraId="791E968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23" w:type="dxa"/>
            <w:shd w:val="clear" w:color="auto" w:fill="auto"/>
            <w:noWrap/>
            <w:vAlign w:val="center"/>
          </w:tcPr>
          <w:p w14:paraId="20619A8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11</w:t>
            </w:r>
          </w:p>
        </w:tc>
        <w:tc>
          <w:tcPr>
            <w:tcW w:w="763" w:type="dxa"/>
            <w:shd w:val="clear" w:color="auto" w:fill="auto"/>
            <w:noWrap/>
            <w:vAlign w:val="center"/>
          </w:tcPr>
          <w:p w14:paraId="1FE000BE">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19834F62">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10E2E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683B289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w:t>
            </w:r>
          </w:p>
        </w:tc>
        <w:tc>
          <w:tcPr>
            <w:tcW w:w="1071" w:type="dxa"/>
            <w:shd w:val="clear" w:color="auto" w:fill="auto"/>
            <w:vAlign w:val="center"/>
          </w:tcPr>
          <w:p w14:paraId="113766C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多种多样的运动形式</w:t>
            </w:r>
          </w:p>
        </w:tc>
        <w:tc>
          <w:tcPr>
            <w:tcW w:w="7783" w:type="dxa"/>
            <w:shd w:val="clear" w:color="auto" w:fill="auto"/>
            <w:vAlign w:val="center"/>
          </w:tcPr>
          <w:p w14:paraId="37876350">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集气瓶（≥125ml）2个、毛玻璃板（≥50mm×50mm×3mm）1片、玻璃烧杯（高硼硅(3)3，≥100ml）2个、玻璃量筒（高硼硅，≥50ml）1个、玻璃量筒（高硼硅，100ml）1个、长颈漏斗（尺寸≥280mm×40mm，细管直径，d≥8mm）1个、大试管（≥φ30mm×200mm）1个、胶头滴管（D≥10mm，L≥90mm）1个、无孔红色硅胶塞（≥30mm×22mm×30mm）1个、聚碳酸酯板（≥10cm×10cm）1片、吸盘挂钩（≥φ35mm）1个、不锈钢水槽（≥φ18cm）1个、条形盒测力计5N（≥170mm×48mm×21mm，可双面显示）1个、钩码组（≥10g×l，≥20g×2，≥50g×2，≥200g×2）1盒、铅柱2个、刮刀1个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条形盒测力计：塑料壳体、挂钩、调零螺丝、弹簧、铝管等。塑料壳体：尺寸规格：≥170mm×45mm×20mm；材质工艺：ABS塑料精密注塑成型，尺寸精准，品质扎实；功能描述：为整个仪器提供安装固定的结构。</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调零螺丝：材质工艺：铁镀镍，防锈防氧化；功能描述：连接弹簧和标线，用于测力计调零作用。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弹簧：尺寸规格：≥130mm×∅6mm，材质工艺：弹簧钢，高精度，不易变形；功能描述：是作为测力计的重要测量部件。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红色硅胶塞：</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无孔；横截面尺寸：30号胶塞：≥30mm×22mm×30mm；材质：红色硅胶；工艺：采用先进精密硅胶注塑技术一次成型无毛边、无合缝线，硬度适中、易插拔不阻涩；功能描述：用于实验中玻璃仪器的密封或与玻璃导管、温度计等配合使用，满足多种不同实验的密封及导气需求。耐高温、耐酸碱。</w:t>
            </w:r>
          </w:p>
        </w:tc>
        <w:tc>
          <w:tcPr>
            <w:tcW w:w="1933" w:type="dxa"/>
            <w:shd w:val="clear" w:color="auto" w:fill="auto"/>
            <w:vAlign w:val="center"/>
          </w:tcPr>
          <w:p w14:paraId="66D2A64F">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1.观察扩散现象（1、气体扩散2、液体扩散）</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2.观察分子之间存在间隙的现象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3.观察分子之间存在引力的现象（1、液体分子之间存在引力2、固体分子之间存在引力）</w:t>
            </w:r>
          </w:p>
        </w:tc>
        <w:tc>
          <w:tcPr>
            <w:tcW w:w="700" w:type="dxa"/>
            <w:shd w:val="clear" w:color="auto" w:fill="auto"/>
            <w:vAlign w:val="center"/>
          </w:tcPr>
          <w:p w14:paraId="20F38D5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23" w:type="dxa"/>
            <w:shd w:val="clear" w:color="auto" w:fill="auto"/>
            <w:noWrap/>
            <w:vAlign w:val="center"/>
          </w:tcPr>
          <w:p w14:paraId="552CCD4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11</w:t>
            </w:r>
          </w:p>
        </w:tc>
        <w:tc>
          <w:tcPr>
            <w:tcW w:w="763" w:type="dxa"/>
            <w:shd w:val="clear" w:color="auto" w:fill="auto"/>
            <w:noWrap/>
            <w:vAlign w:val="center"/>
          </w:tcPr>
          <w:p w14:paraId="70402E8C">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1D66934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07071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307D13D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4</w:t>
            </w:r>
          </w:p>
        </w:tc>
        <w:tc>
          <w:tcPr>
            <w:tcW w:w="1071" w:type="dxa"/>
            <w:shd w:val="clear" w:color="auto" w:fill="auto"/>
            <w:vAlign w:val="center"/>
          </w:tcPr>
          <w:p w14:paraId="48B5FDC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轨道小车</w:t>
            </w:r>
          </w:p>
        </w:tc>
        <w:tc>
          <w:tcPr>
            <w:tcW w:w="7783" w:type="dxa"/>
            <w:shd w:val="clear" w:color="auto" w:fill="auto"/>
            <w:vAlign w:val="center"/>
          </w:tcPr>
          <w:p w14:paraId="0E5160FB">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运动学导轨组件1套、小车1个、铸铝底座支撑杆组件（总高≥220mm，铝型材杆≥20mm×20mm×200mm，铸铝底座≥100mm×80mm×20mm）1套、导轨升降板1个、导轨支架（≥50mm×120mm）2个、打点计时器托板（≥80mm×45mm）1个、导轨前挡板组件2套、滑轮架组件1套、铅封螺丝2个、S形小钩2个、钓鱼线1盒不小于1m 、手紧螺丝M6×10若干、手紧螺丝M6×25若干、手紧螺丝M4×30 1个、透明圆头手紧螺丝M4若干等。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小车：</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车尾自带纸带夹，上部M4固定螺丝孔2个，槽码槽5个，槽码槽扣盖1件，前端M4牵引固定螺丝孔1个，包胶车轮4个；材质：尼龙车身，PC槽码及槽扣盖，尼龙+TPU车轮；工艺：塑料注塑成型，包胶以及精密机加工；功能描述：①、兼容传统打点计时器模式和数字化实验模式；②、车尾自带的纸带夹，可夹住纸带前端，通过小车的运动牵动纸带进行运动学实验；③增强型ABS工程塑料材质和优化设计的结构确保小车具有强固的车体；④、车体上内置5个横向槽码槽，槽码槽扣盖采用墨色半透明PC材质，扣紧扣盖保护槽码不因意外跌落散乱；⑤、小车车轮采用高档TPU材质具有高硬度高弹性的特质，与精加工车轴与精密微型轴承的组装配合，能够使小车整体运行更加平稳安静！</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运动学导轨组件：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产品组成：导轨端盖、导轨、不锈钢圆头螺丝、T型不锈钢M6螺母。</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左右底部三面滑槽，长度公差≤1mm，滑槽内置专用螺母M6，配不锈钢圆头滑轨螺丝M4；材质：铝型材导轨，尼龙端盖，不锈钢螺母；工艺：拉模铝型材成型，细喷砂黑色阳极化处理，端盖塑料注塑成型；功能描述：为动力学系统提供运动平台，可完成教学实验中对动力学实验的所有实验需求以及拓展需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铸铝底座支撑杆组件：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产品组成：支撑杆端盖、铝型材支撑杆、支撑杆滑套、M6 T型螺母、铸铝底座、M6圆头内六角螺丝、M6手紧螺丝。</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规格：铝型材杆≥20×20×200mm，铸铝底座≥100×80×20mm；材质：铝合金，尼龙等；工艺：塑料注塑成型，精密压铸，电泳发黑处理；功能描述：连接导轨，调节导轨斜面角度。</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铸铝底座：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规格：≥100mm×80mm×20mm；材质：铝合金；工艺：精密压铸，电泳发黑处理；功能描述：可作为独立的支架底座，连接导轨，调节导轨斜面角度，也可卡坐到X型支架的支撑杆上，拓展为实验器底座使用。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导轨前挡板组件：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产品组成：前挡板、缓冲弹片、不锈钢带介子螺丝、橡胶自粘缓冲垫。</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材质：尼龙、锰钢、橡胶；工艺：塑料注塑成型，冲压成型、电泳发黑处理；功能描述：安装到导轨前端，用来抱紧小车起缓冲作用，中间凹槽内置扩展螺丝座，背面设计有燕尾式滑轨，方便与滑轮架配合安装。</w:t>
            </w:r>
          </w:p>
        </w:tc>
        <w:tc>
          <w:tcPr>
            <w:tcW w:w="1933" w:type="dxa"/>
            <w:shd w:val="clear" w:color="auto" w:fill="auto"/>
            <w:vAlign w:val="center"/>
          </w:tcPr>
          <w:p w14:paraId="3D6F8BE7">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1.测量物体运动的速度</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2.观察二力平衡现象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3.观察惯性现象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4.探究阻力对运动的影响</w:t>
            </w:r>
          </w:p>
        </w:tc>
        <w:tc>
          <w:tcPr>
            <w:tcW w:w="700" w:type="dxa"/>
            <w:shd w:val="clear" w:color="auto" w:fill="auto"/>
            <w:vAlign w:val="center"/>
          </w:tcPr>
          <w:p w14:paraId="674A051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23" w:type="dxa"/>
            <w:shd w:val="clear" w:color="auto" w:fill="auto"/>
            <w:noWrap/>
            <w:vAlign w:val="center"/>
          </w:tcPr>
          <w:p w14:paraId="3193438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11</w:t>
            </w:r>
          </w:p>
        </w:tc>
        <w:tc>
          <w:tcPr>
            <w:tcW w:w="763" w:type="dxa"/>
            <w:shd w:val="clear" w:color="auto" w:fill="auto"/>
            <w:vAlign w:val="center"/>
          </w:tcPr>
          <w:p w14:paraId="299E7E0B">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4853E756">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5CDE2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68FA19D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5</w:t>
            </w:r>
          </w:p>
        </w:tc>
        <w:tc>
          <w:tcPr>
            <w:tcW w:w="1071" w:type="dxa"/>
            <w:shd w:val="clear" w:color="auto" w:fill="auto"/>
            <w:vAlign w:val="center"/>
          </w:tcPr>
          <w:p w14:paraId="310D47B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机械运动和力</w:t>
            </w:r>
          </w:p>
        </w:tc>
        <w:tc>
          <w:tcPr>
            <w:tcW w:w="7783" w:type="dxa"/>
            <w:shd w:val="clear" w:color="auto" w:fill="auto"/>
            <w:vAlign w:val="center"/>
          </w:tcPr>
          <w:p w14:paraId="2C09C4C2">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钢直尺（不锈钢，≥15cm）1个、塑料直尺（≥30cm）1个、卷尺（≥2m）1卷、三角尺1个、铅笔1根、记号笔1个、硬币1个、停表1个、条形盒测力计5N（≥170mm×48mm×21mm，双面显示）1个、圆筒测力计5N 1个、钩码组（≥50g×10）1盒、摩擦块（≥100mm×80mm×40mm）1个、长木板（≥800mm×90mm×25mm，光面和粗糙面）1个、杠杆尺组件1套、杠杆角度盘（铝，≥70mm×70mm×2mm）1个、杠杆轴（≥88mm×6mm）1个、指针（≥74mm*1mm）1个、X型支座（可拼接）1套、双向转接头（铝合金，≥30mm×30mm×65mm）1个、≥250mm支撑杆1根、≥600mm支撑杆（2根/套，单根杆长≥ 300mm，杆与杆可以螺纹对接）1套、棉布1条、条形磁铁（≥180mm×10mm×20mm）1块、镀镍钢球（≥φ20mm）1个等。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条形盒测力计：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塑料壳体、挂钩、调零螺丝、弹簧、铝管等。塑料壳体：尺寸规格：≥170×40×20mm；材质工艺：ABS塑料精密注塑成型，尺寸精准，品质扎实；功能描述：为整个仪器提供安装固定的结构。</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调零螺丝：材质工艺：铁镀镍，防锈防氧化；功能描述：连接弹簧和标线，用于测力计调零作用。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弹簧：尺寸规格：≥130mm×∅6mm，材质工艺：弹簧钢，高精度，不易变形；功能描述：是作为测力计的重要测量部件。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杠杆尺组件：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产品组成：铝板杠杆尺、端盖、挂钩、调节螺丝。</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材质工艺：铝，挤压拉模成型；表面处理工艺：黑色阳极氧化处理；功能描述：为器材提供安装固定的平台；表面刻度丝印，具有快速准确的测量长度的功能。</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挂钩：</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材质工艺：ABS塑料，精密注塑成型；功能描述：快捷方便的挂上钩码，并且能够在标尺上连续移动。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杠杆角度盘：</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规格：≥70mm×70mm×2mm；材质：铝；工艺：细喷砂本色阳极化处理，双色丝印；功能描述：与杠杆尺搭配使用，检验杠杆倾斜度。</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X型支座：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材质：尼龙、镀锌圆钢，确保强度且耐酸耐碱；工艺：塑料注塑成型、表面镀锌处理；产品结构：90度角双臂，匍氏耦合对接挂钩、φ10凹凸式双轨插孔，自锁紧双下压扣，多功能杆插孔、斜顶式M6螺丝锁紧孔,底部配重盖采用超声波焊接技术；功能描述：对偶插接式构造能够进行多种结构拓展：①、两件对插呈X型可作为常规铁架台底座；②、可对接不同长度的支撑杆组成不同种类的支撑座；③、可作为光学实验导轨；④、拓展为其他产品的轨道座；⑤、级联底座作为配重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双向转接头：</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30mm×30mm×65mm；材质：铝合金；工艺：精密压铸、电泳发黑；功能描述：①、两端固定口90°正交垂直，中间穿孔可以轴向固定；②、附带≥2个M6×25mm的防滑手紧螺丝，可以固定所有用到与支撑杆有关的实验设备。</w:t>
            </w:r>
          </w:p>
        </w:tc>
        <w:tc>
          <w:tcPr>
            <w:tcW w:w="1933" w:type="dxa"/>
            <w:shd w:val="clear" w:color="auto" w:fill="auto"/>
            <w:vAlign w:val="center"/>
          </w:tcPr>
          <w:p w14:paraId="2CD4AD48">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1.用刻度尺测量长度</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2.用表测量时间</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3.测量物体运动的速度</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4.观察力使物体产生形变</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5.观察力使物体运动状态发生改变</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6.探究滑动摩擦力大小与哪些因素有关</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7.用弹簧测力计测量力</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8.观察二力平衡现象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9.观察惯性现象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10.探究阻力对运动的影响</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11.探究杠杆的平衡条件</w:t>
            </w:r>
          </w:p>
        </w:tc>
        <w:tc>
          <w:tcPr>
            <w:tcW w:w="700" w:type="dxa"/>
            <w:shd w:val="clear" w:color="auto" w:fill="auto"/>
            <w:vAlign w:val="center"/>
          </w:tcPr>
          <w:p w14:paraId="6804556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23" w:type="dxa"/>
            <w:shd w:val="clear" w:color="auto" w:fill="auto"/>
            <w:noWrap/>
            <w:vAlign w:val="center"/>
          </w:tcPr>
          <w:p w14:paraId="4FA5203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11</w:t>
            </w:r>
          </w:p>
        </w:tc>
        <w:tc>
          <w:tcPr>
            <w:tcW w:w="763" w:type="dxa"/>
            <w:shd w:val="clear" w:color="auto" w:fill="auto"/>
            <w:noWrap/>
            <w:vAlign w:val="center"/>
          </w:tcPr>
          <w:p w14:paraId="7B038E54">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14660ED1">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0CF80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145454D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6</w:t>
            </w:r>
          </w:p>
        </w:tc>
        <w:tc>
          <w:tcPr>
            <w:tcW w:w="1071" w:type="dxa"/>
            <w:shd w:val="clear" w:color="auto" w:fill="auto"/>
            <w:vAlign w:val="center"/>
          </w:tcPr>
          <w:p w14:paraId="3F89680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压强与浮力</w:t>
            </w:r>
          </w:p>
        </w:tc>
        <w:tc>
          <w:tcPr>
            <w:tcW w:w="7783" w:type="dxa"/>
            <w:shd w:val="clear" w:color="auto" w:fill="auto"/>
            <w:vAlign w:val="center"/>
          </w:tcPr>
          <w:p w14:paraId="6BA809B5">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压力和压强演示器（≥120mm×75mm×2mm）1个、海绵（≥130mm×85mm×30mm）1块、液体内部压强实验器（带刻度≥300mm）1套、压强演示器（≥350mm×80mm×3mm）1套、透明盛液筒（≥100mm×300mm）1个、T型三通转接头（带硅胶管）1个、止水夹1个、10ml注射器（含软管）1套、红色染料1个不小于10ml、圆柱体组带挂钩（含铁块、铜块和铝块,≥φ20×30mm）1套、长方体铝块（带钩，≥60mm*20mm）1个、钓鱼线1盒不小于1m 、剪刀1个、条形盒测力计5N（≥170mm*48mm*21mm，双面显示）1个、阿基米德原理实验器（含盛液筒、溢水杯和圆柱体重物）1套、X型支座（可拼接）1套、双向转接头（铝合金，≥30mm×30mm×65mm）1个、≥250mm支撑杆1根、≥600mm支撑杆（2根/套，单根杆长≥ 300mm，杆与杆可以螺纹对接）1套等。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条形盒测力计：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塑料壳体、挂钩、调零螺丝、弹簧、铝管等。塑料壳体：尺寸规格：≥170×40×20mm；材质工艺：ABS塑料精密注塑成型，尺寸精准，品质扎实；功能描述：为整个仪器提供安装固定的结构。</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调零螺丝：材质工艺：铁镀镍，防锈防氧化；功能描述：连接弹簧和标线，用于测力计调零作用。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弹簧：尺寸规格：≥134mm×∅6mm，材质工艺：弹簧钢，高精度，不易变形；功能描述：是作为测力计的重要测量部件。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压强演示器：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350mm×80mm×3mm；材质：铝、PMMA；工艺：细喷砂本色阳极化，表面双色丝印处理；功能描述：背部装有专用固定件与X型底座配合使用，通过硅胶管与液体内部压强实验器连接，可让压强演示器面板上U型管内的红水显示液体内部的压强。</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X型支座：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材质：尼龙、镀锌圆钢，确保强度且耐酸耐碱；工艺：塑料注塑成型、表面镀锌处理；产品结构：90度角双臂，匍氏耦合对接挂钩、≥φ10凹凸式双轨插孔，自锁紧双下压扣，多功能杆插孔、斜顶式M6螺丝锁紧孔,底部配重盖采用超声波焊接技术；功能描述：对偶插接式构造能够进行多种结构拓展：①、两件对插呈X型可作为常规铁架台底座；②、可对接不同长度的支撑杆组成不同种类的支撑座；③、可作为光学实验导轨；④、拓展为其他产品的轨道座；⑤、级联底座作为配重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双向转接头：</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30mm×30mm×65mm；材质：铝合金；工艺：精密压铸、电泳发黑；功能描述：①、两端固定口90°正交垂直，中间穿孔可以轴向固定；②、附带≥2个M6×25mm的防滑手紧螺丝，可以固定所有用到与支撑杆有关的实验设备。</w:t>
            </w:r>
          </w:p>
        </w:tc>
        <w:tc>
          <w:tcPr>
            <w:tcW w:w="1933" w:type="dxa"/>
            <w:shd w:val="clear" w:color="auto" w:fill="auto"/>
            <w:vAlign w:val="center"/>
          </w:tcPr>
          <w:p w14:paraId="76DD6B50">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1.探究压力作用效果与哪些因素有关</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2.观察或体验液体的内部压强</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3.探究液体压强与哪些因素有关</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4.探究浮力产生的原因</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5.探究浮力大小与哪些因素有关</w:t>
            </w:r>
          </w:p>
        </w:tc>
        <w:tc>
          <w:tcPr>
            <w:tcW w:w="700" w:type="dxa"/>
            <w:shd w:val="clear" w:color="auto" w:fill="auto"/>
            <w:vAlign w:val="center"/>
          </w:tcPr>
          <w:p w14:paraId="125847B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23" w:type="dxa"/>
            <w:shd w:val="clear" w:color="auto" w:fill="auto"/>
            <w:noWrap/>
            <w:vAlign w:val="center"/>
          </w:tcPr>
          <w:p w14:paraId="7BC541A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11</w:t>
            </w:r>
          </w:p>
        </w:tc>
        <w:tc>
          <w:tcPr>
            <w:tcW w:w="763" w:type="dxa"/>
            <w:shd w:val="clear" w:color="auto" w:fill="auto"/>
            <w:noWrap/>
            <w:vAlign w:val="center"/>
          </w:tcPr>
          <w:p w14:paraId="0556785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770EF72B">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02C50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7E19FC3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7</w:t>
            </w:r>
          </w:p>
        </w:tc>
        <w:tc>
          <w:tcPr>
            <w:tcW w:w="1071" w:type="dxa"/>
            <w:shd w:val="clear" w:color="auto" w:fill="auto"/>
            <w:vAlign w:val="center"/>
          </w:tcPr>
          <w:p w14:paraId="5E98599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★声学（核心产品）</w:t>
            </w:r>
          </w:p>
        </w:tc>
        <w:tc>
          <w:tcPr>
            <w:tcW w:w="7783" w:type="dxa"/>
            <w:shd w:val="clear" w:color="auto" w:fill="auto"/>
            <w:vAlign w:val="center"/>
          </w:tcPr>
          <w:p w14:paraId="5216C4DF">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噪音减小装置（≥90mm×75mm）1套、小闹钟（≥40mm×18mm×60mm）1个、钢直尺（不锈钢，≥15cm）1个、音叉（≥512Hz）1个、音叉（≥256Hz）1个、钓鱼线1盒、剪刀1把、带孔乒乓球（D≥0mm）1个、木质伸缩笛1个、铝板琴（八音）1套、手鼓（D≥195mm）1个、橡皮筋10个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木质伸缩笛：</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规格：主要材质：发音腔和伸缩杆为木质；工艺：木工精加工、人工打磨；功能描述：用来演示不同音色实验。</w:t>
            </w:r>
          </w:p>
        </w:tc>
        <w:tc>
          <w:tcPr>
            <w:tcW w:w="1933" w:type="dxa"/>
            <w:shd w:val="clear" w:color="auto" w:fill="auto"/>
            <w:vAlign w:val="center"/>
          </w:tcPr>
          <w:p w14:paraId="4369886F">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1.探究声音的产生条件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2.探究声音的传播条件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3.体验不同声音的特性</w:t>
            </w:r>
          </w:p>
        </w:tc>
        <w:tc>
          <w:tcPr>
            <w:tcW w:w="700" w:type="dxa"/>
            <w:shd w:val="clear" w:color="auto" w:fill="auto"/>
            <w:vAlign w:val="center"/>
          </w:tcPr>
          <w:p w14:paraId="0D9D974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23" w:type="dxa"/>
            <w:shd w:val="clear" w:color="auto" w:fill="auto"/>
            <w:noWrap/>
            <w:vAlign w:val="center"/>
          </w:tcPr>
          <w:p w14:paraId="7F732AF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11</w:t>
            </w:r>
          </w:p>
        </w:tc>
        <w:tc>
          <w:tcPr>
            <w:tcW w:w="763" w:type="dxa"/>
            <w:shd w:val="clear" w:color="auto" w:fill="auto"/>
            <w:noWrap/>
            <w:vAlign w:val="center"/>
          </w:tcPr>
          <w:p w14:paraId="0207209F">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4DCC3AEE">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176B1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131694A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8</w:t>
            </w:r>
          </w:p>
        </w:tc>
        <w:tc>
          <w:tcPr>
            <w:tcW w:w="1071" w:type="dxa"/>
            <w:shd w:val="clear" w:color="auto" w:fill="auto"/>
            <w:vAlign w:val="center"/>
          </w:tcPr>
          <w:p w14:paraId="6AF409E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光学</w:t>
            </w:r>
          </w:p>
        </w:tc>
        <w:tc>
          <w:tcPr>
            <w:tcW w:w="7783" w:type="dxa"/>
            <w:shd w:val="clear" w:color="auto" w:fill="auto"/>
            <w:vAlign w:val="center"/>
          </w:tcPr>
          <w:p w14:paraId="0C9E944F">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五线激光源（≥133mm×80mm×30mm，可磁吸可充电）1套、F光源1套、充电器1个、光源灯箱（≥160mm×75mm×60mm）1台、灯箱支撑杆（≥D10×60mm）1个、4mm红黑香蕉导线各1根、平面镜（≥65mm×20mm×20mm）1个、凹凸面镜（厚度≥2mm，弧长≥90mm，外半径≥125mm）1个、凸透镜玻璃砖（f≥100mm）1个、凹透镜玻璃砖（f≥-100mm）1个、半圆形玻璃砖（D≥60mm，厚度≥15mm）1个、双半圆比色皿盒1个、三棱镜1个、光学角度盘（D≥200mm，厚度≥3mm）1个、绘图套尺（含圆规、三角尺、直尺、量角器等）1套、平面镜成像实验器（含半透膜有机玻璃，支架、F字母和刻度卡纸）1套、电子蜡烛（≥35mm×40mm）2个、白屏（≥150mm×180mm×10mm）1个、滑轨卡座（≥70mm×30mm×35mm）2个、凸透镜卡座组件F≥+50mm 1个、带角度盘透镜卡座（≥130mm×100mm×30mm）1个、控光板卡座2个、3缝/5缝光栅板1个、黑色遮光板1个、光学滤光片类（红光滤光片、蓝光滤光片、绿光滤光片）1套、≥5mm圆孔通光板（材质: 注塑PMMA）1个、毛玻璃片（≥50mm×50mm×3mm）1片、圆台支撑座（圆台直径≥50mm，高度≥50mm，圆管直径≥10mm）1个等。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标▲项参数要求的需提供第三方检测机构出具的检测报告复印件并加盖公章佐证。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五线激光源：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主要材质：ABS工程塑料、铜；工艺：塑料注塑成型；功能描述：激光光学光源，磁吸式，内置电池可充电，提供平行光源，配合光学零件可直接或光具盘主体或其他磁性材料上完成多种光路的演示实验。</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F光源：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主要材质：ABS工程塑料、铜；工艺：塑料注塑成型；功能描述：内置电池可充电，提供F型光源，配合各种透镜、光源灯箱、白屏等进行各种光学实验。</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光源灯箱：</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使用温度范围≥-10～40°C，持续使用时间20分钟；主要材质：ABS工程塑料； 工艺：塑料注塑成型；功能描述：含白炽灯珠≥1颗、左右各附反光镜≥1幅，作为光学光源，提供点光源和平行光源，可根据不同用途的光学片套件，完成课程设计的光学实验！</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滑轨卡座：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规格：≥70×30×35mm；材质：ABS工程塑料；工艺：塑料注塑成型；功能描述：①、既可以卡到多功能轨道上， 也可以卡到X型支座构建的光学轨道上。②、可以将透镜卡座或者圆台支撑座通过M4手紧螺丝锁紧。③、滑轨卡座上的卡槽，可以匹配上透镜卡座，让两者组成专用透镜座组件。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带角度盘透镜卡座：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规格：≥130×100×30mm；材质：ABS工程塑料；工艺：塑料注塑成型；功能描述：带角度盘透镜卡座内贴角度刻度盘，内部的透镜卡座可以卡配控光板卡座，配合光学卡片进行各种光学实验的控光。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光学玻璃砖类：</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产品组成：半圆形玻璃砖、双半圆比色皿盒、三棱镜。</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规格：按玻璃砖形状，统一厚度≥15mm；主要材质：PMMA；工艺：精加工、抛光；功能描述：用于光线折射及色散等。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光学卡片类：</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产品组成：黑色遮光板、3缝/5缝光栅板。</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材质：PMMA；工艺：塑料注塑成型、丝印；功能描述：遮光、提供缝型平行光线条。</w:t>
            </w:r>
          </w:p>
        </w:tc>
        <w:tc>
          <w:tcPr>
            <w:tcW w:w="1933" w:type="dxa"/>
            <w:shd w:val="clear" w:color="auto" w:fill="auto"/>
            <w:vAlign w:val="center"/>
          </w:tcPr>
          <w:p w14:paraId="4D367AFD">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1.探究光的反射定律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2.观察光的折射现象及其特点</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3.探究平面镜成像的特点</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4.探究凸透镜成像的规律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5.用凸透镜设计与制作简易照相机</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6.模拟近视眼和远视眼的矫正</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7.观察白光的色散现象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8.观察色光的混合</w:t>
            </w:r>
          </w:p>
        </w:tc>
        <w:tc>
          <w:tcPr>
            <w:tcW w:w="700" w:type="dxa"/>
            <w:shd w:val="clear" w:color="auto" w:fill="auto"/>
            <w:vAlign w:val="center"/>
          </w:tcPr>
          <w:p w14:paraId="2CD8352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23" w:type="dxa"/>
            <w:shd w:val="clear" w:color="auto" w:fill="auto"/>
            <w:noWrap/>
            <w:vAlign w:val="center"/>
          </w:tcPr>
          <w:p w14:paraId="30BDE70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11</w:t>
            </w:r>
          </w:p>
        </w:tc>
        <w:tc>
          <w:tcPr>
            <w:tcW w:w="763" w:type="dxa"/>
            <w:shd w:val="clear" w:color="auto" w:fill="auto"/>
            <w:noWrap/>
            <w:vAlign w:val="center"/>
          </w:tcPr>
          <w:p w14:paraId="2ED55457">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1C54694D">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72C4C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6730146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9</w:t>
            </w:r>
          </w:p>
        </w:tc>
        <w:tc>
          <w:tcPr>
            <w:tcW w:w="1071" w:type="dxa"/>
            <w:shd w:val="clear" w:color="auto" w:fill="auto"/>
            <w:vAlign w:val="center"/>
          </w:tcPr>
          <w:p w14:paraId="1E3DFE7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电和磁</w:t>
            </w:r>
          </w:p>
        </w:tc>
        <w:tc>
          <w:tcPr>
            <w:tcW w:w="7783" w:type="dxa"/>
            <w:shd w:val="clear" w:color="auto" w:fill="auto"/>
            <w:vAlign w:val="center"/>
          </w:tcPr>
          <w:p w14:paraId="6EB2A89E">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条形磁铁（≥180mm×10mm×20mm）1块、U形磁铁（≥80mm×105mm×30mm）1块、小磁针（≥20mm×30mm）10个、磁感线演示器(≥220mm×120mm)1套、铁粉1盒不小于50g、通电螺线管（≥160mm×120mm×30mm）1个、4mm红黑香蕉导线各2根、电动机模型（可调整磁极方向）1套、灵敏电流表（三接口≥4mm香蕉插座、外置手动调零、测量范围：≥-300μA～300μA）1个、单刀单掷开关（≥110mm×50mm×30mm，可磁吸）1个、方形线圈（线径≥0.4mm，≥200匝，紫铜材质）1套、方形线圈连接杆（含不锈钢接线棒和绝缘连接杆）1套、X型支座（可拼接）1套、双向转接头（铝合金，≥30mm×30mm×65mm）1个、≥600mm支撑杆（2根/套，单根杆长 ≥300mm，杆与杆可以螺纹对接）1套、发电机模型1套等。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单刀单掷开关（磁吸）：</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由绝缘底座、开关闸刀、香蕉插头接线柱等组成。规格：香蕉插座，底座尺寸：≥110mm×50mm×30mm（±5mm）；绝缘底座尺寸：≥110mm×50mm×30mm（±5mm），材质工艺：ABS塑料+透明PC精密注塑成型；功能描述：作为控制电路的开关与其他相关器材进行电学实验、电磁学实验及其他需要控制电路通断的实验，也可吸附在磁性黑板或其他磁性材料上进行演示操作。</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方形线圈：</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由注塑框架、漆包线、香蕉插头接线柱等组成。注塑框架规格：≥90mm×90mm×15mm（±5mm）；材质工艺：ABS塑料精密注塑成型，尺寸精准，品质扎实；功能描述：为漆包线圈提供绕线支撑，配合压板使用，便于固定和实验。</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漆包线：尺寸规格：线径≥0.4mm，≥200匝，材质工艺：紫铜材质，聚酯亚胺涂层漆，F级绝缘，耐热性高；功能描述：在实验中作为导体切割磁感线。</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方形线圈连接杆：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产品组成：由不锈钢接线棒、绝缘连接杆组成。不锈钢接线棒尺寸规格：接线1棒≥150mm×∅10和接线2棒≥100mm×∅10，材质工艺：为304不锈钢材质，耐磨耐腐蚀；功能描述：在实验中连接导线，作为导体。</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绝缘连接杆：尺寸规格：≥40mm×20mm，材质黑色尼龙。功能描述：在实验中连接不锈钢接线棒，作为绝缘体。</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X型支座：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材质：尼龙、镀锌圆钢，确保强度且耐酸耐碱；工艺：塑料注塑成型、表面镀锌处理；产品结构：匍氏耦合对接挂钩、≥φ10凹凸式双轨插孔，自锁紧双下压扣，多功能杆插孔、斜顶式M6螺丝锁紧孔,底部配重盖采用超声波焊接技术；功能描述：对偶插接式构造能够进行多种结构拓展：①、两件对插呈X型可作为常规铁架台底座；②、可对接不同长度的支撑杆组成不同种类的支撑座；③、可作为光学实验导轨；④、拓展为其他产品的轨道座；⑤、级联底座作为配重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双向转接头：</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30mm×30mm×65mm；材质：铝合金；工艺：精密压铸、电泳发黑；功能描述：①、两端固定口90°正交垂直，中间穿孔可以轴向固定；②、附带≥2个M6×25mm的防滑手紧螺丝，可以固定所有用到与支撑杆有关的实验设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灵敏电流表：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三接口≥4mm香蕉插座、外置手动调零、测量范围：-300μA～300μA；精度：电磁类仪表(2)5级；误差≤5%；材质：增强ABS塑料+透明PC、壁厚≥2mm；工艺：塑料注塑成型，外表面高光，下底面内磨砂工艺处理；功能描述：防摔壳体设计能够有效保护表盘罩壳，可以满足课程设计相关实验对电流计改表的实验需求。</w:t>
            </w:r>
          </w:p>
        </w:tc>
        <w:tc>
          <w:tcPr>
            <w:tcW w:w="1933" w:type="dxa"/>
            <w:shd w:val="clear" w:color="auto" w:fill="auto"/>
            <w:vAlign w:val="center"/>
          </w:tcPr>
          <w:p w14:paraId="57F217A5">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1.用小磁针和铁屑观测磁场的方向和分布情况</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2.探究通电螺线管外部磁场的方向</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3.观察通电导线在磁场中的受力情况</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4.设计与制作简易直流电动机模型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5.探究导体在磁场中运动时产生感应电流的条件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6.设计与制作简易直流发电机模型</w:t>
            </w:r>
          </w:p>
        </w:tc>
        <w:tc>
          <w:tcPr>
            <w:tcW w:w="700" w:type="dxa"/>
            <w:shd w:val="clear" w:color="auto" w:fill="auto"/>
            <w:vAlign w:val="center"/>
          </w:tcPr>
          <w:p w14:paraId="7292DC8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23" w:type="dxa"/>
            <w:shd w:val="clear" w:color="auto" w:fill="auto"/>
            <w:noWrap/>
            <w:vAlign w:val="center"/>
          </w:tcPr>
          <w:p w14:paraId="1AB0C9C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11</w:t>
            </w:r>
          </w:p>
        </w:tc>
        <w:tc>
          <w:tcPr>
            <w:tcW w:w="763" w:type="dxa"/>
            <w:shd w:val="clear" w:color="auto" w:fill="auto"/>
            <w:noWrap/>
            <w:vAlign w:val="center"/>
          </w:tcPr>
          <w:p w14:paraId="1C3FCC07">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453D6F28">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40460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1E5ED79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10</w:t>
            </w:r>
          </w:p>
        </w:tc>
        <w:tc>
          <w:tcPr>
            <w:tcW w:w="1071" w:type="dxa"/>
            <w:shd w:val="clear" w:color="auto" w:fill="auto"/>
            <w:vAlign w:val="center"/>
          </w:tcPr>
          <w:p w14:paraId="10760A0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能量、能量的转化和转移、机械能、内能</w:t>
            </w:r>
          </w:p>
        </w:tc>
        <w:tc>
          <w:tcPr>
            <w:tcW w:w="7783" w:type="dxa"/>
            <w:shd w:val="clear" w:color="auto" w:fill="auto"/>
            <w:vAlign w:val="center"/>
          </w:tcPr>
          <w:p w14:paraId="26BD59D1">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X型支座（可拼接）1套、双向转接头（铝合金，≥30mm×30mm×65mm）1个、250mm支撑杆1根、≥600mm支撑杆（2根/套，单根杆长 ≥300mm，杆与杆可以螺纹对接）1套、大试管（高硼硅，≥φ30mm×200mm）1个、无孔红色硅胶塞（≥30mm×20mm×30mm）1个、万用夹具（黑色长尾 L≥270mm）1个、多功能卡夹（可多种形式夹支撑杆及温度计）2个、酒精灯1盏、电加热器2个、玻璃烧杯（高硼硅，≥250ml）2个、大单滑轮（≥φ60mm）1个、小单滑轮（≥φ40mm）1个、大小滑轮组（大滑轮≥φ65mm，小滑轮≥φ40mm）1套、滑轮杆支架（≥φ10×150mm）1个、条形盒测力计2.5N（≥170mm×40mm×20mm，双面显示）1个、钓鱼线1盒不小于1m 、剪刀1个、2m卷尺1卷、钩码组（≥50g×10个）1盒、红水温度计（≥-10～110度）2个等。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条形盒测力计：塑料壳体、挂钩、调零螺丝、弹簧、铝管等。塑料壳体：尺寸规格：≥170mm×40mm×20mm；材质工艺：ABS塑料精密注塑成型，尺寸精准，品质扎实；功能描述：为整个仪器提供安装固定的结构。</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调零螺丝：材质工艺：铁镀镍，防锈防氧化；功能描述：连接弹簧和标线，用于测力计调零作用。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弹簧：尺寸规格：≥134mm×∅6mm，材质工艺：弹簧钢，高精度，不易变形；功能描述：是作为测力计的重要测量部件。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X型支座：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材质：尼龙、镀锌圆钢，确保强度且耐酸耐碱；工艺：塑料注塑成型、表面镀锌、超声波焊接处理；产品结构：匍氏耦合对接挂钩、≥φ10凹凸式双轨插孔，自锁紧双下压扣，多功能杆插孔、斜顶式M6螺丝锁紧孔,底部自粘橡胶地脚阻滑增强支架整体的稳定度！功能描述：Half-Half对偶插接式构造能够进行多种结构拓展：①、两件对插呈X型可作为常规铁架台底座；②、可对接不同长度的支撑杆组成不同种类的支撑座；③、可作为光学实验导轨；④、拓展为其他产品的轨道座；⑤、级联底座作为配重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双向转接头：</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30mm×30mm×65mm；材质：铝合金；工艺：精密压铸、电泳发黑；功能描述：①、两端固定口90°正交垂直，中间穿孔可以轴向固定；②、附带≥2个M6×25mm的防滑手紧螺丝，可以固定所有用到与支撑杆有关的实验设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红色硅胶塞：</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无孔；横截面尺寸：30号胶塞：≥30mm×20mm×30mm；材质：红色硅胶；工艺：采用先进精密硅胶注塑技术一次成型无毛边、无合缝线，硬度适中、易插拔不阻涩；功能描述：用于实验中玻璃仪器的密封或与玻璃导管、温度计等配合使用，满足多种不同实验的密封及导气需求。耐高温、耐酸碱。</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大小滑轮组：</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规格：大滑轮≥φ65mm，小滑轮≥φ40mm；材质：ABS工程塑料；工艺：塑料注塑成型；功能描述：①、作为定滑轮；②作为动滑轮；③、组成滑轮组。</w:t>
            </w:r>
          </w:p>
        </w:tc>
        <w:tc>
          <w:tcPr>
            <w:tcW w:w="1933" w:type="dxa"/>
            <w:shd w:val="clear" w:color="auto" w:fill="auto"/>
            <w:vAlign w:val="center"/>
          </w:tcPr>
          <w:p w14:paraId="38429203">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1.观察内能转化为机械能的实验现象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2.观察电能转化为内能的实验现象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3.测量某种简单机械的机械效率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4.探究物体吸收的热量跟物体质量、温度变化的关系</w:t>
            </w:r>
          </w:p>
        </w:tc>
        <w:tc>
          <w:tcPr>
            <w:tcW w:w="700" w:type="dxa"/>
            <w:shd w:val="clear" w:color="auto" w:fill="auto"/>
            <w:vAlign w:val="center"/>
          </w:tcPr>
          <w:p w14:paraId="72AF3E9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23" w:type="dxa"/>
            <w:shd w:val="clear" w:color="auto" w:fill="auto"/>
            <w:noWrap/>
            <w:vAlign w:val="center"/>
          </w:tcPr>
          <w:p w14:paraId="593EEB1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11</w:t>
            </w:r>
          </w:p>
        </w:tc>
        <w:tc>
          <w:tcPr>
            <w:tcW w:w="763" w:type="dxa"/>
            <w:shd w:val="clear" w:color="auto" w:fill="auto"/>
            <w:noWrap/>
            <w:vAlign w:val="center"/>
          </w:tcPr>
          <w:p w14:paraId="00C3651F">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214FC88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47A9D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6F9F2D3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11</w:t>
            </w:r>
          </w:p>
        </w:tc>
        <w:tc>
          <w:tcPr>
            <w:tcW w:w="1071" w:type="dxa"/>
            <w:shd w:val="clear" w:color="auto" w:fill="auto"/>
            <w:vAlign w:val="center"/>
          </w:tcPr>
          <w:p w14:paraId="0C3F7FA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电磁能</w:t>
            </w:r>
          </w:p>
        </w:tc>
        <w:tc>
          <w:tcPr>
            <w:tcW w:w="7783" w:type="dxa"/>
            <w:shd w:val="clear" w:color="auto" w:fill="auto"/>
            <w:vAlign w:val="center"/>
          </w:tcPr>
          <w:p w14:paraId="1C204914">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号电池盒4个、1号电池4个、灯座（≥110mm×50mm×30mm，可磁吸）2个、(3)8V小灯泡4个、单刀单掷开关（≥110mm×50mm×30mm，可磁吸）3个、4mm红黑香蕉导线各4根、5Ω电阻模块（≥110mm×50mm×30mm，可磁吸）1个、10Ω电阻模块（≥110mm×50mm×30mm，可磁吸）1个、15Ω电阻模块（≥110mm×50mm×30mm，可磁吸）1个、待测电阻（≥110mm×50mm×30mm，可磁吸）1个、滑动变阻器（20Ω，2A）1个、电流表（外置手动调零、双量程≥0～0.6A和0～3A）1个、电压表（外置手动调零、双量程≥0～3V和≥0～15V）1个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1号电池盒（磁吸）：</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由壳体、弹簧、弹片、香蕉插头接线柱等组成；壳体材质工艺：ABS塑料+透明PC精密注塑成型；功能描述：有串联接插口，配合1号电池及其他相关器材进行电学实验、电磁学实验及其他需要提供直流电源的实验。内嵌磁铁，也可以吸附在磁性黑板或其他磁性材料上进行相关实验。</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定值电阻（磁吸）：</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产品组成：由绝缘底座、电阻、香蕉插头接线柱等组成；规格：双接口≥4mm香蕉插座，5Ω(1)5 A、10 Ω(1)0 A、15 Ω0.6 A 各1个。绝缘底座尺寸：≥110mm×50mm×30mm（±5mm），材质工艺：ABS塑料+透明PC精密注塑成型；功能描述：磁吸式，作为用电器接入电路中进行相关电学实验，也可吸附在磁性黑板或其他磁性材料上进行演示操作。</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灯座（磁吸）：</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由绝缘底座、灯座、香蕉插头接线柱等组成；规格：香蕉插座，底座尺寸：≥110mm×50mm×30mm（±5mm）；绝缘底座尺寸：≥110mm×50mm×30mm（±5mm），材质工艺：ABS塑料+透明PC精密注塑成型；功能描述：磁吸式，配合小灯泡作为用电器与其他相关器材进行电学、电磁学及其它需要灯泡的实验，也可吸附在磁性黑板或其他磁性材料上进行演示操作。</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单刀单掷开关（磁吸）：</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由绝缘底座、开关闸刀、香蕉插头接线柱等组成。规格：香蕉插座，底座尺寸：≥110mm×50mm×30mm（±5mm）；绝缘底座尺寸：≥110mm×50mm×30mm（±5mm），材质工艺：ABS塑料+透明PC精密注塑成型；功能描述：作为控制电路的开关与其他相关器材进行电学实验、电磁学实验及其他需要控制电路通断的实验，也可吸附在磁性黑板或其他磁性材料上进行演示操作。</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电流表：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三接口香蕉插座、外置手动调零、双量程≥0～0.6A和≥0～3A；精度：电磁类仪表(2)5级；误差≤5%；材质：增强ABS塑料+透明PC、壁厚≥2mm；工艺：塑料注塑成型，外表面高光，下底面内磨砂工艺处理；功能描述：防摔壳体设计能够有效保护表盘罩壳，可以满足课程设计相关实验对直流电流检测的实验需求。</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电压表：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三接口香蕉插座、外置手动调零、双量程≥0～3V和≥0～15V；精度：电磁类仪表(2)5级；误差≤5%；材质：增强ABS塑料+透明PC、壁厚≥2mm；工艺：塑料注塑成型，外表面高光，下底面内磨砂工艺处理；功能描述：防摔壳体设计能够有效保护表盘罩壳，可以满足课程设计相关实验对直流电压检测的实验需求。</w:t>
            </w:r>
          </w:p>
        </w:tc>
        <w:tc>
          <w:tcPr>
            <w:tcW w:w="1933" w:type="dxa"/>
            <w:shd w:val="clear" w:color="auto" w:fill="auto"/>
            <w:vAlign w:val="center"/>
          </w:tcPr>
          <w:p w14:paraId="6F0B5089">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1.探究电流与电压、电阻的关系</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2.用电流表测量电流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3.用电压表测量电压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4.连接串联电路和并联电路</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5.用电流表和电压表测量电阻</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6.探究串联电路和并联电路中电流、电压的特点</w:t>
            </w:r>
          </w:p>
        </w:tc>
        <w:tc>
          <w:tcPr>
            <w:tcW w:w="700" w:type="dxa"/>
            <w:shd w:val="clear" w:color="auto" w:fill="auto"/>
            <w:vAlign w:val="center"/>
          </w:tcPr>
          <w:p w14:paraId="6D2ECA1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23" w:type="dxa"/>
            <w:shd w:val="clear" w:color="auto" w:fill="auto"/>
            <w:noWrap/>
            <w:vAlign w:val="center"/>
          </w:tcPr>
          <w:p w14:paraId="5C21C6B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11</w:t>
            </w:r>
          </w:p>
        </w:tc>
        <w:tc>
          <w:tcPr>
            <w:tcW w:w="763" w:type="dxa"/>
            <w:shd w:val="clear" w:color="auto" w:fill="auto"/>
            <w:noWrap/>
            <w:vAlign w:val="center"/>
          </w:tcPr>
          <w:p w14:paraId="06F308AF">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5BA5049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0ECC0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03CD9AA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12</w:t>
            </w:r>
          </w:p>
        </w:tc>
        <w:tc>
          <w:tcPr>
            <w:tcW w:w="1071" w:type="dxa"/>
            <w:shd w:val="clear" w:color="auto" w:fill="auto"/>
            <w:vAlign w:val="center"/>
          </w:tcPr>
          <w:p w14:paraId="7FA41CA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能源与可持续发展</w:t>
            </w:r>
          </w:p>
        </w:tc>
        <w:tc>
          <w:tcPr>
            <w:tcW w:w="7783" w:type="dxa"/>
            <w:shd w:val="clear" w:color="auto" w:fill="auto"/>
            <w:vAlign w:val="center"/>
          </w:tcPr>
          <w:p w14:paraId="6C057BC1">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带支撑杆风扇（≥110mm*90mm，d≥10mm）1套、带支撑杆电机（≥140mm*35mm，d≥10mm）1套、5寸三叶桨2个、温差发电器（铝制，≥60*50mm）1个、滑行座2个、太阳能电池1套、太阳能电池支架（≥65mm*30mm）1个、黑色铝桶（≥75mm*25mm）1个、原色铝桶（≥75mm*25mm）1个、玻璃烧杯（高硼硅，≥250ml）1个、100ml塑料烧杯1个、75mm塑料漏斗1个、红水温度计（-10～110度）1个、4mm红黑香蕉导线各2根、钓鱼线1盒不小于1m 、大号密封盒1个、水泵1个、注射器1个、水流指示器1个、硅胶管2段、数字万用表1个、(6)2V小灯泡2个、单插座模块2个、直角插座模块2个、灯座模块1个、小电机模块1个、红色LED模块1个、双插座模块1个、直角模块4个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标▲项参数要求的需提供第三方检测机构出具的检测报告复印件并加盖公章佐证。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带支撑杆电机：</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规格：电机≥φ35×50mm，不低于5W、支撑杆≥φ12×115mm、≥2个4mm香蕉输出插座；主要材质：不锈钢、铝、铜；工艺：精加工；功能描述：通过三叶桨的转动，产生电能输出。</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温差发电器：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规格：温度计插孔1个，帕尔贴元件1件；主要材质：铝；工艺：细喷砂本色阳极化；功能描述：用途冷热温差发电的演示应用。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太阳能电池：</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规格：≥65mm×35mm×3mm；功能描述：通过卤素灯照射产生电能， 用于研究太阳能发电和光照的关系等。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电学模块组件：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尺寸≥60mm×60mm×30mm；主要材质：ABS工程塑料、PC；工艺：塑料注塑成型；功能描述：①、结构特点：镀金触点连接，拼图式插接方式，上盖四边凹凸式对插接口，下盖四边滑槽，底部一个磁钢卡槽，可扩展为磁吸式电学模块；②、可用多种电子元件组成功能模块，经过拼插组合可以组合成多种电学功能电路，也可以在电学模块上插接拓展功能组件，形成特定功能产品，用以完成对应的实验。</w:t>
            </w:r>
          </w:p>
        </w:tc>
        <w:tc>
          <w:tcPr>
            <w:tcW w:w="1933" w:type="dxa"/>
            <w:shd w:val="clear" w:color="auto" w:fill="auto"/>
            <w:vAlign w:val="center"/>
          </w:tcPr>
          <w:p w14:paraId="2BB50566">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1.利用新能源设计并制作一种模型（1、风力发电2、利用风能抽水3、使用温差电池发电4、热能转换成电能5、热能转换成动能6、使太阳能电池发电驱动电机7、将机械能转换成电能8、驱动水轮等。）</w:t>
            </w:r>
          </w:p>
        </w:tc>
        <w:tc>
          <w:tcPr>
            <w:tcW w:w="700" w:type="dxa"/>
            <w:shd w:val="clear" w:color="auto" w:fill="auto"/>
            <w:vAlign w:val="center"/>
          </w:tcPr>
          <w:p w14:paraId="03315F1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23" w:type="dxa"/>
            <w:shd w:val="clear" w:color="auto" w:fill="auto"/>
            <w:noWrap/>
            <w:vAlign w:val="center"/>
          </w:tcPr>
          <w:p w14:paraId="0969365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12</w:t>
            </w:r>
          </w:p>
        </w:tc>
        <w:tc>
          <w:tcPr>
            <w:tcW w:w="763" w:type="dxa"/>
            <w:shd w:val="clear" w:color="auto" w:fill="auto"/>
            <w:noWrap/>
            <w:vAlign w:val="center"/>
          </w:tcPr>
          <w:p w14:paraId="1DB5D032">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4E6CC23B">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265B3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21E4011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1071" w:type="dxa"/>
            <w:shd w:val="clear" w:color="auto" w:fill="auto"/>
            <w:vAlign w:val="center"/>
          </w:tcPr>
          <w:p w14:paraId="32FD932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电学实验箱</w:t>
            </w:r>
          </w:p>
        </w:tc>
        <w:tc>
          <w:tcPr>
            <w:tcW w:w="7783" w:type="dxa"/>
            <w:shd w:val="clear" w:color="auto" w:fill="auto"/>
            <w:vAlign w:val="center"/>
          </w:tcPr>
          <w:p w14:paraId="02FB1C01">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滑动变阻器（20Ω，2A）1个、4mm红黑香蕉导线各4根、双端灯笼插头2个、鳄鱼夹4个、3.8V小灯泡4个、导体与非导体套装1套、双向两档开关模块3个、双向三档开关模块2个、直角导线模块4个、直角带插座模块2个、双插座模块3个、直线模块4个、灯座模块2个、单端插座模块2个、红色LED模块1个、直线带插座模块1个、250欧电位器模块1个、5Ω电阻模块1个、10Ω电阻模块1个、15Ω电阻模块1个、T型导线模块2个、T型插座模块2个、四联电池盒1个、镍铬合金电线（d≥0.2mm,长≥30m）1盒、镍铬合金电线（d≥0.4mm,长≥30m）1盒、铜线（d≥0.2mm，长≥30m）1盒、铁线（d≥0.2mm，长≥30m）1盒、玻棒1个、胶棒1个、验电羽2个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电学模块组件：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尺寸≥60mm×60mm×30mm；主要材质：ABS工程塑料、PC；工艺：塑料注塑成型；功能描述：①、结构特点：镀金触点连接，拼图式插接方式，上盖四边凹凸式对插接口，下盖四边滑槽，底部一个磁钢卡槽，可扩展为磁吸式电学模块；②、可用多种电子元件组成功能模块，经过拼插组合可以组合成多种电学功能电路，也可以在电学模块上插接拓展功能组件，形成特定功能产品，用以完成对应的实验。</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四联电池盒：</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规格：尺寸≥120mm×90mm×45mm，；主要材质：壳体为紫色ABS工程塑料、下盖为墨色半透明PC；工艺：塑料注塑成型；功能描述：提供两档电压DC3V\DC6V，开关控制输出，自带LED输出显示灯，有输出电压时LED点亮。</w:t>
            </w:r>
          </w:p>
        </w:tc>
        <w:tc>
          <w:tcPr>
            <w:tcW w:w="1933" w:type="dxa"/>
            <w:shd w:val="clear" w:color="auto" w:fill="auto"/>
            <w:vAlign w:val="center"/>
          </w:tcPr>
          <w:p w14:paraId="3B55F37C">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1.观察摩擦起电现象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2.探究电流与电压、电阻的关系</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3.用电流表测量电流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4.用电压表测量电压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5.连接串联电路和并联电路</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6.用电流表和电压表测量电阻</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7.探究串联电路和并联电路中电流、电压的特点</w:t>
            </w:r>
          </w:p>
        </w:tc>
        <w:tc>
          <w:tcPr>
            <w:tcW w:w="700" w:type="dxa"/>
            <w:shd w:val="clear" w:color="auto" w:fill="auto"/>
            <w:vAlign w:val="center"/>
          </w:tcPr>
          <w:p w14:paraId="5549562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23" w:type="dxa"/>
            <w:shd w:val="clear" w:color="auto" w:fill="auto"/>
            <w:noWrap/>
            <w:vAlign w:val="center"/>
          </w:tcPr>
          <w:p w14:paraId="03AE65A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12</w:t>
            </w:r>
          </w:p>
        </w:tc>
        <w:tc>
          <w:tcPr>
            <w:tcW w:w="763" w:type="dxa"/>
            <w:shd w:val="clear" w:color="auto" w:fill="auto"/>
            <w:noWrap/>
            <w:vAlign w:val="center"/>
          </w:tcPr>
          <w:p w14:paraId="098DB01F">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7F152D8D">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0A917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1AF797C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14</w:t>
            </w:r>
          </w:p>
        </w:tc>
        <w:tc>
          <w:tcPr>
            <w:tcW w:w="1071" w:type="dxa"/>
            <w:shd w:val="clear" w:color="auto" w:fill="auto"/>
            <w:vAlign w:val="center"/>
          </w:tcPr>
          <w:p w14:paraId="473759E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多功能移动电源实验箱</w:t>
            </w:r>
          </w:p>
        </w:tc>
        <w:tc>
          <w:tcPr>
            <w:tcW w:w="7783" w:type="dxa"/>
            <w:shd w:val="clear" w:color="auto" w:fill="auto"/>
            <w:vAlign w:val="center"/>
          </w:tcPr>
          <w:p w14:paraId="4326F9E1">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1、产品规格：≥310mm×155mm×125mm（±2mm）。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2、主要材质：增强型阻燃ABS工程塑料；工艺：塑料注塑成型。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（1）输入电压220V±22V，频率50Hz/60Hz；</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（2）电源输入线为≥1米欧标圆柱两脚插头线；带250V 2A快速熔断保险；</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（3）前置黄色4mm交流插座接口和红黑色4mm直流插座接口，配套红黑香蕉插头线；</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（4）前置交直流电压AC/DC切换按钮，一键切换，通过指示灯显示当前档位；</w:t>
            </w:r>
          </w:p>
        </w:tc>
        <w:tc>
          <w:tcPr>
            <w:tcW w:w="1933" w:type="dxa"/>
            <w:shd w:val="clear" w:color="auto" w:fill="auto"/>
            <w:vAlign w:val="center"/>
          </w:tcPr>
          <w:p w14:paraId="2DF01FCB">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配套仪器</w:t>
            </w:r>
          </w:p>
        </w:tc>
        <w:tc>
          <w:tcPr>
            <w:tcW w:w="700" w:type="dxa"/>
            <w:shd w:val="clear" w:color="auto" w:fill="auto"/>
            <w:vAlign w:val="center"/>
          </w:tcPr>
          <w:p w14:paraId="2BE80C3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23" w:type="dxa"/>
            <w:shd w:val="clear" w:color="auto" w:fill="auto"/>
            <w:noWrap/>
            <w:vAlign w:val="center"/>
          </w:tcPr>
          <w:p w14:paraId="31D02A3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12</w:t>
            </w:r>
          </w:p>
        </w:tc>
        <w:tc>
          <w:tcPr>
            <w:tcW w:w="763" w:type="dxa"/>
            <w:shd w:val="clear" w:color="auto" w:fill="auto"/>
            <w:noWrap/>
            <w:vAlign w:val="center"/>
          </w:tcPr>
          <w:p w14:paraId="7CACFE5D">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2C4BD48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5B338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570F146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15</w:t>
            </w:r>
          </w:p>
        </w:tc>
        <w:tc>
          <w:tcPr>
            <w:tcW w:w="1071" w:type="dxa"/>
            <w:shd w:val="clear" w:color="auto" w:fill="auto"/>
            <w:vAlign w:val="center"/>
          </w:tcPr>
          <w:p w14:paraId="1C827EA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多功能轨道</w:t>
            </w:r>
          </w:p>
        </w:tc>
        <w:tc>
          <w:tcPr>
            <w:tcW w:w="7783" w:type="dxa"/>
            <w:shd w:val="clear" w:color="auto" w:fill="auto"/>
            <w:vAlign w:val="center"/>
          </w:tcPr>
          <w:p w14:paraId="023CD338">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1、规格：1000mm×100mm×50mm(±5mm)；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2、材质：黑色电泳铝合金型材，自粘标尺，带防脱螺丝；</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3、结构：蜗眼式双凸横向圆柱轨道，带单边标尺槽，总长≥1000mm，平板部分厚度≥2mm，圆柱外径≥10mm；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4、功能描述：专用配套器材，配合滑轨卡座完成所需的实验项目。</w:t>
            </w:r>
          </w:p>
        </w:tc>
        <w:tc>
          <w:tcPr>
            <w:tcW w:w="1933" w:type="dxa"/>
            <w:shd w:val="clear" w:color="auto" w:fill="auto"/>
            <w:noWrap/>
            <w:vAlign w:val="center"/>
          </w:tcPr>
          <w:p w14:paraId="30887557">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配套仪器</w:t>
            </w:r>
          </w:p>
        </w:tc>
        <w:tc>
          <w:tcPr>
            <w:tcW w:w="700" w:type="dxa"/>
            <w:shd w:val="clear" w:color="auto" w:fill="auto"/>
            <w:noWrap/>
            <w:vAlign w:val="center"/>
          </w:tcPr>
          <w:p w14:paraId="7F746CD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noWrap/>
            <w:vAlign w:val="center"/>
          </w:tcPr>
          <w:p w14:paraId="4565CB0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12</w:t>
            </w:r>
          </w:p>
        </w:tc>
        <w:tc>
          <w:tcPr>
            <w:tcW w:w="763" w:type="dxa"/>
            <w:shd w:val="clear" w:color="auto" w:fill="auto"/>
            <w:noWrap/>
            <w:vAlign w:val="center"/>
          </w:tcPr>
          <w:p w14:paraId="7519745A">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2B95955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3AB85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3638" w:type="dxa"/>
            <w:gridSpan w:val="7"/>
            <w:shd w:val="clear" w:color="auto" w:fill="auto"/>
            <w:vAlign w:val="center"/>
          </w:tcPr>
          <w:p w14:paraId="1E26FE20">
            <w:pPr>
              <w:keepNext w:val="0"/>
              <w:keepLines w:val="0"/>
              <w:widowControl/>
              <w:suppressLineNumbers w:val="0"/>
              <w:jc w:val="center"/>
              <w:textAlignment w:val="center"/>
              <w:rPr>
                <w:rFonts w:hint="eastAsia" w:ascii="宋体" w:hAnsi="宋体" w:eastAsia="宋体" w:cs="宋体"/>
                <w:b w:val="0"/>
                <w:bCs w:val="0"/>
                <w:i w:val="0"/>
                <w:iCs w:val="0"/>
                <w:color w:val="auto"/>
                <w:sz w:val="22"/>
                <w:szCs w:val="22"/>
                <w:u w:val="none"/>
              </w:rPr>
            </w:pPr>
            <w:r>
              <w:rPr>
                <w:rFonts w:hint="eastAsia" w:ascii="宋体" w:hAnsi="宋体" w:eastAsia="宋体" w:cs="宋体"/>
                <w:b w:val="0"/>
                <w:bCs w:val="0"/>
                <w:i w:val="0"/>
                <w:iCs w:val="0"/>
                <w:color w:val="auto"/>
                <w:kern w:val="0"/>
                <w:sz w:val="22"/>
                <w:szCs w:val="22"/>
                <w:u w:val="none"/>
                <w:lang w:val="en-US" w:eastAsia="zh-CN" w:bidi="ar"/>
              </w:rPr>
              <w:t>小计：</w:t>
            </w:r>
          </w:p>
        </w:tc>
        <w:tc>
          <w:tcPr>
            <w:tcW w:w="942" w:type="dxa"/>
            <w:shd w:val="clear" w:color="auto" w:fill="auto"/>
            <w:vAlign w:val="center"/>
          </w:tcPr>
          <w:p w14:paraId="55D60608">
            <w:pPr>
              <w:keepNext w:val="0"/>
              <w:keepLines w:val="0"/>
              <w:widowControl/>
              <w:suppressLineNumbers w:val="0"/>
              <w:jc w:val="center"/>
              <w:textAlignment w:val="center"/>
              <w:rPr>
                <w:rFonts w:hint="eastAsia" w:ascii="宋体" w:hAnsi="宋体" w:eastAsia="宋体" w:cs="宋体"/>
                <w:b w:val="0"/>
                <w:bCs w:val="0"/>
                <w:i w:val="0"/>
                <w:iCs w:val="0"/>
                <w:color w:val="auto"/>
                <w:sz w:val="22"/>
                <w:szCs w:val="22"/>
                <w:u w:val="none"/>
              </w:rPr>
            </w:pPr>
            <w:r>
              <w:rPr>
                <w:rFonts w:hint="eastAsia" w:ascii="宋体" w:hAnsi="宋体" w:eastAsia="宋体" w:cs="宋体"/>
                <w:b w:val="0"/>
                <w:bCs w:val="0"/>
                <w:i w:val="0"/>
                <w:iCs w:val="0"/>
                <w:color w:val="auto"/>
                <w:kern w:val="0"/>
                <w:sz w:val="22"/>
                <w:szCs w:val="22"/>
                <w:u w:val="none"/>
                <w:lang w:val="en-US" w:eastAsia="zh-CN" w:bidi="ar"/>
              </w:rPr>
              <w:t xml:space="preserve"> </w:t>
            </w:r>
          </w:p>
        </w:tc>
      </w:tr>
      <w:tr w14:paraId="5021B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3638" w:type="dxa"/>
            <w:gridSpan w:val="7"/>
            <w:shd w:val="clear" w:color="auto" w:fill="auto"/>
            <w:vAlign w:val="center"/>
          </w:tcPr>
          <w:p w14:paraId="7DBDB853">
            <w:pPr>
              <w:keepNext w:val="0"/>
              <w:keepLines w:val="0"/>
              <w:widowControl/>
              <w:suppressLineNumbers w:val="0"/>
              <w:jc w:val="center"/>
              <w:textAlignment w:val="center"/>
              <w:rPr>
                <w:rFonts w:hint="eastAsia" w:ascii="宋体" w:hAnsi="宋体" w:eastAsia="宋体" w:cs="宋体"/>
                <w:b w:val="0"/>
                <w:bCs w:val="0"/>
                <w:i w:val="0"/>
                <w:iCs w:val="0"/>
                <w:color w:val="auto"/>
                <w:sz w:val="22"/>
                <w:szCs w:val="22"/>
                <w:u w:val="none"/>
              </w:rPr>
            </w:pPr>
            <w:r>
              <w:rPr>
                <w:rFonts w:hint="eastAsia" w:ascii="宋体" w:hAnsi="宋体" w:eastAsia="宋体" w:cs="宋体"/>
                <w:b w:val="0"/>
                <w:bCs w:val="0"/>
                <w:i w:val="0"/>
                <w:iCs w:val="0"/>
                <w:color w:val="auto"/>
                <w:kern w:val="0"/>
                <w:sz w:val="22"/>
                <w:szCs w:val="22"/>
                <w:u w:val="none"/>
                <w:lang w:val="en-US" w:eastAsia="zh-CN" w:bidi="ar"/>
              </w:rPr>
              <w:t>教师演示仪器</w:t>
            </w:r>
          </w:p>
        </w:tc>
        <w:tc>
          <w:tcPr>
            <w:tcW w:w="942" w:type="dxa"/>
            <w:shd w:val="clear" w:color="auto" w:fill="auto"/>
            <w:vAlign w:val="center"/>
          </w:tcPr>
          <w:p w14:paraId="1DF5224D">
            <w:pPr>
              <w:jc w:val="center"/>
              <w:rPr>
                <w:rFonts w:hint="eastAsia" w:ascii="宋体" w:hAnsi="宋体" w:eastAsia="宋体" w:cs="宋体"/>
                <w:b w:val="0"/>
                <w:bCs w:val="0"/>
                <w:i w:val="0"/>
                <w:iCs w:val="0"/>
                <w:color w:val="auto"/>
                <w:sz w:val="20"/>
                <w:szCs w:val="20"/>
                <w:u w:val="none"/>
              </w:rPr>
            </w:pPr>
          </w:p>
        </w:tc>
      </w:tr>
      <w:tr w14:paraId="32ED6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511D1B5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1071" w:type="dxa"/>
            <w:shd w:val="clear" w:color="auto" w:fill="auto"/>
            <w:vAlign w:val="center"/>
          </w:tcPr>
          <w:p w14:paraId="697ACAA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磁吸电路</w:t>
            </w:r>
          </w:p>
        </w:tc>
        <w:tc>
          <w:tcPr>
            <w:tcW w:w="7783" w:type="dxa"/>
            <w:shd w:val="clear" w:color="auto" w:fill="auto"/>
            <w:vAlign w:val="center"/>
          </w:tcPr>
          <w:p w14:paraId="1892E82A">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灯座（≥110mm×50mm×30mm，可磁吸）3个、小灯泡（1.5v）5个、小灯泡 （3.8v）5个、1号电池盒（可磁吸）4个、1号电池4个、单刀单掷开关（≥110mm×50mm×30mm，可磁吸）3个、单刀双掷开关（≥110mm×50mm×30mm，可磁吸）1个、5Ω定值电阻（≥110mm×50mm×30mm，可磁吸）1个、10Ω定值电阻（≥110mm×50mm×30mm，可磁吸）1个、15Ω定值电阻（≥110mm×50mm×30mm，可磁吸）1个、待测电阻（≥110mm×50mm×30mm，可磁吸）1个、4mm红黑香蕉导线各4根、滑动变阻器（磁吸，20欧姆）1个、红色发光二极管（≥110mm×50mm×30mm，可磁吸）1个、绿色发光二极管（≥110mm×50mm×30mm，可磁吸）1个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1号电池盒（磁吸）：</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由壳体、弹簧、弹片、香蕉插头接线柱等组成；壳体材质工艺：ABS塑料精密注塑成型；功能描述：有串联接插口，配合1号电池及其他相关器材进行电学实验、电磁学实验及其他需要提供直流电源的实验。内嵌磁铁，也可以吸附在磁性黑板或其他磁性材料上进行相关实验。</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定值电阻（磁吸）：</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由绝缘底座、电阻、香蕉插头接线柱等组成；。绝缘底座尺寸：≥110mm*50mm*30mm（±5mm），材质工艺：ABS塑料精密注塑成型；功能描述：磁吸式，作为用电器接入电路中进行相关电学实验，也可吸附在磁性黑板或其他磁性材料上进行演示操作。</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灯座（磁吸）：</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由绝缘底座、灯座、香蕉插头接线柱等组成；规格：香蕉插座，底座尺寸：≥110mm*50mm*30mm（±5mm）；绝缘底座尺寸：≥110mm*50mm*30mm（±5mm），材质工艺：ABS塑料精密注塑成型；功能描述：磁吸式，配合小灯泡作为用电器与其他相关器材进行电学、电磁学及其它需要灯泡的实验，也可吸附在磁性黑板或其他磁性材料上进行演示操作。</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单刀单掷开关（磁吸）：</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由绝缘底座、开关闸刀、香蕉插头接线柱等组成。规格：香蕉插座，底座尺寸：≥110mm*50mm*30mm（±5mm）；绝缘底座尺寸：≥110mm*50mm*30mm（±5mm），材质工艺：ABS塑料精密注塑成型；功能描述：作为控制电路的开关与其他相关器材进行电学实验、电磁学实验及其他需要控制电路通断的实验，也可吸附在磁性黑板或其他磁性材料上进行演示操作。</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能够完成的教学演示：</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作为控制电路的开关与其他相关器材进行电学实验、电磁学实验及其他需要控制电路通断的实验。</w:t>
            </w:r>
          </w:p>
        </w:tc>
        <w:tc>
          <w:tcPr>
            <w:tcW w:w="1933" w:type="dxa"/>
            <w:shd w:val="clear" w:color="auto" w:fill="auto"/>
            <w:vAlign w:val="center"/>
          </w:tcPr>
          <w:p w14:paraId="39C22978">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1.探究电流与电压、电阻的关系</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2.用电流表测量电流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3.用电压表测量电压用电压表测量电压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4.连接串联电路和并联电路</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5.用电流表和电压表测量电阻</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6.探究串联电路和并联电路中电流、电压的特点</w:t>
            </w:r>
          </w:p>
        </w:tc>
        <w:tc>
          <w:tcPr>
            <w:tcW w:w="700" w:type="dxa"/>
            <w:shd w:val="clear" w:color="auto" w:fill="auto"/>
            <w:vAlign w:val="center"/>
          </w:tcPr>
          <w:p w14:paraId="6C55EEF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23" w:type="dxa"/>
            <w:shd w:val="clear" w:color="auto" w:fill="auto"/>
            <w:vAlign w:val="center"/>
          </w:tcPr>
          <w:p w14:paraId="1680D4C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2FDEA474">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66EAA53A">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6B75D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0488DDC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1071" w:type="dxa"/>
            <w:shd w:val="clear" w:color="auto" w:fill="auto"/>
            <w:vAlign w:val="center"/>
          </w:tcPr>
          <w:p w14:paraId="5CB3381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曲线运动条件实验器</w:t>
            </w:r>
          </w:p>
        </w:tc>
        <w:tc>
          <w:tcPr>
            <w:tcW w:w="7783" w:type="dxa"/>
            <w:shd w:val="clear" w:color="auto" w:fill="auto"/>
            <w:vAlign w:val="center"/>
          </w:tcPr>
          <w:p w14:paraId="0CEB0147">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由曲线运动实验器主体、一体式跨轨专用电磁继电器组件、轨道、磁铁、小铁球等组成。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曲线运动实验器主体：</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外形尺寸≥630mm*450mm（±5mm）；上下为铝型材结构，表面黑色氧化细喷砂处理。左右为ABS塑料精密注塑成型边框。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一体式跨轨专用电磁继电器组件：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40mm×40mm×20mm（±5mm）；材质：PMMA，钢；工艺：精加工，钢镀镍；功能描述：①、固定在轨道上，通过手紧螺丝锁紧定位；②、一体式结构，避免冗杂的线缆，降低故障率；③、电磁吸附小球，保证初始释放速度为零，能够摆脱常规手动控制小球造成的人为初速误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轨道：</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导轨倾斜度30度；主要材质：铝合金；工艺：黑色阳极化。</w:t>
            </w:r>
          </w:p>
        </w:tc>
        <w:tc>
          <w:tcPr>
            <w:tcW w:w="1933" w:type="dxa"/>
            <w:shd w:val="clear" w:color="auto" w:fill="auto"/>
            <w:vAlign w:val="center"/>
          </w:tcPr>
          <w:p w14:paraId="607D04A2">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1.观察力使物体运动状态发生改变</w:t>
            </w:r>
          </w:p>
        </w:tc>
        <w:tc>
          <w:tcPr>
            <w:tcW w:w="700" w:type="dxa"/>
            <w:shd w:val="clear" w:color="auto" w:fill="auto"/>
            <w:vAlign w:val="center"/>
          </w:tcPr>
          <w:p w14:paraId="1865AA3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台</w:t>
            </w:r>
          </w:p>
        </w:tc>
        <w:tc>
          <w:tcPr>
            <w:tcW w:w="723" w:type="dxa"/>
            <w:shd w:val="clear" w:color="auto" w:fill="auto"/>
            <w:noWrap/>
            <w:vAlign w:val="center"/>
          </w:tcPr>
          <w:p w14:paraId="5B9AD43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3F0301C1">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1A5482AC">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5744F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648AC94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w:t>
            </w:r>
          </w:p>
        </w:tc>
        <w:tc>
          <w:tcPr>
            <w:tcW w:w="1071" w:type="dxa"/>
            <w:shd w:val="clear" w:color="auto" w:fill="auto"/>
            <w:vAlign w:val="center"/>
          </w:tcPr>
          <w:p w14:paraId="5B08E56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摩擦力演示器</w:t>
            </w:r>
          </w:p>
        </w:tc>
        <w:tc>
          <w:tcPr>
            <w:tcW w:w="7783" w:type="dxa"/>
            <w:shd w:val="clear" w:color="auto" w:fill="auto"/>
            <w:vAlign w:val="center"/>
          </w:tcPr>
          <w:p w14:paraId="3A9F4EB4">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由铝型材底座组件、电机、摩擦力背板、摩擦板、摩擦块（3种摩擦面）、定滑轮、测力计、测力计支架、细绳等组成。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铝型材底座组件：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产品组成：端盖、铝型材底座、电机等。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底座尺寸：导轨尺寸≥1300mm×90mm×30mm(±5mm)；材质工艺：铝，挤压拉模成型；表面处理工艺：电泳发黑；端盖尺寸：≥90mm*30mm(±5mm)，ABS塑料精密注塑成型；功能描述：多个零件组合集成在底座，为摩擦力实验提供运动和安装平台。</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摩擦块：数量：3；尺寸规格：≥120mm*80mm*40mm（±5mm），材质工艺：木质。功能描述：作为摩擦力主要部件，3种不同摩擦面，与摩擦板接触，进行摩擦力实验。</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摩擦板：尺寸规格：≥120mm*80mm*40mm（±5mm），材质工艺：木质。功能描述：作为摩擦力主要部件，3种不同摩擦面，与摩擦板接触，进行摩擦力实验。</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摩擦力背板：尺寸规格：≥400mm*200mm*5mm（±5mm）；材质工艺：黑色亚克力，雕刻机一体成型；表面处理工艺：双色精密丝印；功能描述：表面印有使用说明，固定测力计支架及定滑轮，以便进行摩擦力实验。</w:t>
            </w:r>
          </w:p>
        </w:tc>
        <w:tc>
          <w:tcPr>
            <w:tcW w:w="1933" w:type="dxa"/>
            <w:shd w:val="clear" w:color="auto" w:fill="auto"/>
            <w:vAlign w:val="center"/>
          </w:tcPr>
          <w:p w14:paraId="3A751123">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1.探究滑动摩擦力大小与哪些因素有关</w:t>
            </w:r>
          </w:p>
        </w:tc>
        <w:tc>
          <w:tcPr>
            <w:tcW w:w="700" w:type="dxa"/>
            <w:shd w:val="clear" w:color="auto" w:fill="auto"/>
            <w:vAlign w:val="center"/>
          </w:tcPr>
          <w:p w14:paraId="0E4F157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noWrap/>
            <w:vAlign w:val="center"/>
          </w:tcPr>
          <w:p w14:paraId="7B70B20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vAlign w:val="center"/>
          </w:tcPr>
          <w:p w14:paraId="63584A8D">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02988CEF">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76A90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2B7677D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4</w:t>
            </w:r>
          </w:p>
        </w:tc>
        <w:tc>
          <w:tcPr>
            <w:tcW w:w="1071" w:type="dxa"/>
            <w:shd w:val="clear" w:color="auto" w:fill="auto"/>
            <w:vAlign w:val="center"/>
          </w:tcPr>
          <w:p w14:paraId="72FD29D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惯性演示器</w:t>
            </w:r>
          </w:p>
        </w:tc>
        <w:tc>
          <w:tcPr>
            <w:tcW w:w="7783" w:type="dxa"/>
            <w:shd w:val="clear" w:color="auto" w:fill="auto"/>
            <w:vAlign w:val="center"/>
          </w:tcPr>
          <w:p w14:paraId="0BE9C33B">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由塑料底座、立柱、拨片、隔板、小球等组成。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塑料底座：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材质工艺：ABS塑料精密注塑成型；功能描述：为整个演示器提供牢固稳定的底座，内嵌垫片，使得底座具备防滑耐磨的特点。</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 xml:space="preserve">拨片：尺寸规格：≥130mm*30mm*20mm（±5mm）；材质工艺：弹簧钢。功能描述：弹簧片，提供弹力，击飞隔板。  </w:t>
            </w:r>
          </w:p>
        </w:tc>
        <w:tc>
          <w:tcPr>
            <w:tcW w:w="1933" w:type="dxa"/>
            <w:shd w:val="clear" w:color="auto" w:fill="auto"/>
            <w:vAlign w:val="center"/>
          </w:tcPr>
          <w:p w14:paraId="3323636E">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1.观察惯性现象</w:t>
            </w:r>
          </w:p>
        </w:tc>
        <w:tc>
          <w:tcPr>
            <w:tcW w:w="700" w:type="dxa"/>
            <w:shd w:val="clear" w:color="auto" w:fill="auto"/>
            <w:vAlign w:val="center"/>
          </w:tcPr>
          <w:p w14:paraId="789B029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noWrap/>
            <w:vAlign w:val="center"/>
          </w:tcPr>
          <w:p w14:paraId="4D67671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vAlign w:val="center"/>
          </w:tcPr>
          <w:p w14:paraId="6A90AEE4">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052E1BBE">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10A91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37D3F61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5</w:t>
            </w:r>
          </w:p>
        </w:tc>
        <w:tc>
          <w:tcPr>
            <w:tcW w:w="1071" w:type="dxa"/>
            <w:shd w:val="clear" w:color="auto" w:fill="auto"/>
            <w:vAlign w:val="center"/>
          </w:tcPr>
          <w:p w14:paraId="0DACB4A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液体对器壁压强演示器</w:t>
            </w:r>
          </w:p>
        </w:tc>
        <w:tc>
          <w:tcPr>
            <w:tcW w:w="7783" w:type="dxa"/>
            <w:shd w:val="clear" w:color="auto" w:fill="auto"/>
            <w:vAlign w:val="center"/>
          </w:tcPr>
          <w:p w14:paraId="1D274EA1">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规格：尺寸≥20mm*50mm*40mm（±5mm）；材质：亚克力；工艺：精密机械加工；</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2、功能描述：</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透明圆筒壁同一直线上不同高度处应有≥3个喷嘴，对面有≥1个喷嘴；配≥4个喷嘴塞或盖用于观察不同高度的水咀的喷水情况。</w:t>
            </w:r>
          </w:p>
        </w:tc>
        <w:tc>
          <w:tcPr>
            <w:tcW w:w="1933" w:type="dxa"/>
            <w:shd w:val="clear" w:color="auto" w:fill="auto"/>
            <w:vAlign w:val="center"/>
          </w:tcPr>
          <w:p w14:paraId="594AE0C9">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1.观察液体对器壁的压强</w:t>
            </w:r>
          </w:p>
        </w:tc>
        <w:tc>
          <w:tcPr>
            <w:tcW w:w="700" w:type="dxa"/>
            <w:shd w:val="clear" w:color="auto" w:fill="auto"/>
            <w:vAlign w:val="center"/>
          </w:tcPr>
          <w:p w14:paraId="1417539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noWrap/>
            <w:vAlign w:val="center"/>
          </w:tcPr>
          <w:p w14:paraId="5888BA6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vAlign w:val="center"/>
          </w:tcPr>
          <w:p w14:paraId="3CC30012">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27588407">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537DF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4F026FE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6</w:t>
            </w:r>
          </w:p>
        </w:tc>
        <w:tc>
          <w:tcPr>
            <w:tcW w:w="1071" w:type="dxa"/>
            <w:shd w:val="clear" w:color="auto" w:fill="auto"/>
            <w:vAlign w:val="center"/>
          </w:tcPr>
          <w:p w14:paraId="3C75C55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船闸模型</w:t>
            </w:r>
          </w:p>
        </w:tc>
        <w:tc>
          <w:tcPr>
            <w:tcW w:w="7783" w:type="dxa"/>
            <w:shd w:val="clear" w:color="auto" w:fill="auto"/>
            <w:vAlign w:val="center"/>
          </w:tcPr>
          <w:p w14:paraId="420D371C">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由底座组件，支撑板，前挡板，水流指示器等组成。闸门、阀门的开闭状态，闸室水位的变化等均能够明显观察到。</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底座组件：尺寸规格：≥500mm*270mm*45mm（±5mm）；材质工艺：铝，挤压拉模成型；表面处理工艺：黑色阳极氧化处理；功能描述：为整个演示器提供牢固稳定的底座，和安装平台。</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支撑板：尺寸规格：≥430mm*370mm*5mm（±5mm）；材质工艺：黑色亚克力，雕刻机一体成型；表面处理工艺：双色精密丝印；功能描述：为实验器材提供牢固稳定的支撑板。</w:t>
            </w:r>
          </w:p>
        </w:tc>
        <w:tc>
          <w:tcPr>
            <w:tcW w:w="1933" w:type="dxa"/>
            <w:shd w:val="clear" w:color="auto" w:fill="auto"/>
            <w:vAlign w:val="center"/>
          </w:tcPr>
          <w:p w14:paraId="54C14C97">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1.观察液体对器壁的压强</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2.观察或体验液体的内部压强</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3.探究液体压强与哪些因素有关</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通过观察船闸模型的全貌，了解其工作原理</w:t>
            </w:r>
          </w:p>
        </w:tc>
        <w:tc>
          <w:tcPr>
            <w:tcW w:w="700" w:type="dxa"/>
            <w:shd w:val="clear" w:color="auto" w:fill="auto"/>
            <w:vAlign w:val="center"/>
          </w:tcPr>
          <w:p w14:paraId="2782459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noWrap/>
            <w:vAlign w:val="center"/>
          </w:tcPr>
          <w:p w14:paraId="249A6FF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vAlign w:val="center"/>
          </w:tcPr>
          <w:p w14:paraId="7B7661CB">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0202B7B2">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75699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0E7E8F2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7</w:t>
            </w:r>
          </w:p>
        </w:tc>
        <w:tc>
          <w:tcPr>
            <w:tcW w:w="1071" w:type="dxa"/>
            <w:shd w:val="clear" w:color="auto" w:fill="auto"/>
            <w:vAlign w:val="center"/>
          </w:tcPr>
          <w:p w14:paraId="48C75D7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流体压强与流速关系演示器</w:t>
            </w:r>
          </w:p>
        </w:tc>
        <w:tc>
          <w:tcPr>
            <w:tcW w:w="7783" w:type="dxa"/>
            <w:shd w:val="clear" w:color="auto" w:fill="auto"/>
            <w:vAlign w:val="center"/>
          </w:tcPr>
          <w:p w14:paraId="19D48C48">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由演示板（双面—液体式和气体式）、型材底座、透明盛液筒、变径管（3种不同口径）、玻璃立管（3个）、U型管（3支）等组成。气体式实验时须与气源配合使用。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演示板：外形尺寸≥610mm*500mm*45mm（±5mm）；主要材质：ABS工程塑料；功能描述： 演示板为双面设置，液体式固定透明盛液筒、变径管（≥3种不同口径）、玻璃立管（≥3个）等，气体式固定变径管（≥3种不同口径）、U型管（≥3个）等，作为流体压强与流速关系实验的重要组成部分。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型材底座：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尺寸规格：≥580mm*160mm*35mm（±5mm）；材质工艺：铝，挤压拉模成型；表面处理工艺：黑色阳极氧化处理；功能描述：为器材提供安装固定的底座。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玻璃立管：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 xml:space="preserve">数量：3；规格：≥φ15mm*445mm（±5mm）；功能描述：实验时液体在玻璃立管中上升，通过其高度的比较判断液体压强的大小。 </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变径管：尺寸规格：∅30mm（±5mm）；材质工艺：透明PC，精密注塑成型；功能描述：三段不同尺寸的管径，改变液体流速，达成实验目的。</w:t>
            </w:r>
          </w:p>
        </w:tc>
        <w:tc>
          <w:tcPr>
            <w:tcW w:w="1933" w:type="dxa"/>
            <w:shd w:val="clear" w:color="auto" w:fill="auto"/>
            <w:vAlign w:val="center"/>
          </w:tcPr>
          <w:p w14:paraId="33129789">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1.观察或体验液体的内部压强</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2.探究液体压强与哪些因素有关</w:t>
            </w:r>
          </w:p>
        </w:tc>
        <w:tc>
          <w:tcPr>
            <w:tcW w:w="700" w:type="dxa"/>
            <w:shd w:val="clear" w:color="auto" w:fill="auto"/>
            <w:vAlign w:val="center"/>
          </w:tcPr>
          <w:p w14:paraId="0D3319A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noWrap/>
            <w:vAlign w:val="center"/>
          </w:tcPr>
          <w:p w14:paraId="518295A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vAlign w:val="center"/>
          </w:tcPr>
          <w:p w14:paraId="79C0F968">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2FCCC05D">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6DA51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7427746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8</w:t>
            </w:r>
          </w:p>
        </w:tc>
        <w:tc>
          <w:tcPr>
            <w:tcW w:w="1071" w:type="dxa"/>
            <w:shd w:val="clear" w:color="auto" w:fill="auto"/>
            <w:vAlign w:val="center"/>
          </w:tcPr>
          <w:p w14:paraId="1537B2F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电动离心转台（搭配发音齿轮）</w:t>
            </w:r>
          </w:p>
        </w:tc>
        <w:tc>
          <w:tcPr>
            <w:tcW w:w="7783" w:type="dxa"/>
            <w:shd w:val="clear" w:color="auto" w:fill="auto"/>
            <w:vAlign w:val="center"/>
          </w:tcPr>
          <w:p w14:paraId="1AC9441A">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由转台、底板、支撑杆、连接套管、发音齿轮、脚垫等组成。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转台：</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尺寸规格：≥300mm*200mm*70mm（±5mm）；材质工艺：精密剪板折弯工艺；表面处理工艺：黑色烤漆，哑光处理；功能描述：为整个演示器提供牢固稳定的底座，和安装平台。</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底板：尺寸规格：≥300mm*200mm*2mm（±5mm）；材质工艺：精密剪板折弯工艺；表面处理工艺：黑色烤漆，哑光处理；功能描述：保护转台内部器件，提供脚垫安装孔位。</w:t>
            </w:r>
          </w:p>
        </w:tc>
        <w:tc>
          <w:tcPr>
            <w:tcW w:w="1933" w:type="dxa"/>
            <w:shd w:val="clear" w:color="auto" w:fill="auto"/>
            <w:vAlign w:val="center"/>
          </w:tcPr>
          <w:p w14:paraId="78BBDB26">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1.探究声音的产生条件</w:t>
            </w:r>
          </w:p>
        </w:tc>
        <w:tc>
          <w:tcPr>
            <w:tcW w:w="700" w:type="dxa"/>
            <w:shd w:val="clear" w:color="auto" w:fill="auto"/>
            <w:vAlign w:val="center"/>
          </w:tcPr>
          <w:p w14:paraId="48025C8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台</w:t>
            </w:r>
          </w:p>
        </w:tc>
        <w:tc>
          <w:tcPr>
            <w:tcW w:w="723" w:type="dxa"/>
            <w:shd w:val="clear" w:color="auto" w:fill="auto"/>
            <w:vAlign w:val="center"/>
          </w:tcPr>
          <w:p w14:paraId="2BEBE1F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7D3652E5">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5A9D25B4">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65D96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1E57B8A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9</w:t>
            </w:r>
          </w:p>
        </w:tc>
        <w:tc>
          <w:tcPr>
            <w:tcW w:w="1071" w:type="dxa"/>
            <w:shd w:val="clear" w:color="auto" w:fill="auto"/>
            <w:vAlign w:val="center"/>
          </w:tcPr>
          <w:p w14:paraId="52149BC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抽气盘</w:t>
            </w:r>
          </w:p>
        </w:tc>
        <w:tc>
          <w:tcPr>
            <w:tcW w:w="7783" w:type="dxa"/>
            <w:shd w:val="clear" w:color="auto" w:fill="auto"/>
            <w:vAlign w:val="center"/>
          </w:tcPr>
          <w:p w14:paraId="1B6C7AB8">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由抽气盘、钟罩、电铃及橡胶密封圈等组成，实验时须与抽气机或两用气筒配合使用。</w:t>
            </w:r>
          </w:p>
        </w:tc>
        <w:tc>
          <w:tcPr>
            <w:tcW w:w="1933" w:type="dxa"/>
            <w:shd w:val="clear" w:color="auto" w:fill="auto"/>
            <w:vAlign w:val="center"/>
          </w:tcPr>
          <w:p w14:paraId="241F5C3A">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1.探究声音的传播条件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真空中闹钟</w:t>
            </w:r>
          </w:p>
        </w:tc>
        <w:tc>
          <w:tcPr>
            <w:tcW w:w="700" w:type="dxa"/>
            <w:shd w:val="clear" w:color="auto" w:fill="auto"/>
            <w:vAlign w:val="center"/>
          </w:tcPr>
          <w:p w14:paraId="7E4D749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vAlign w:val="center"/>
          </w:tcPr>
          <w:p w14:paraId="0AF36F4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2A57F711">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69E0BBCE">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17565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75745A9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10</w:t>
            </w:r>
          </w:p>
        </w:tc>
        <w:tc>
          <w:tcPr>
            <w:tcW w:w="1071" w:type="dxa"/>
            <w:shd w:val="clear" w:color="auto" w:fill="auto"/>
            <w:vAlign w:val="center"/>
          </w:tcPr>
          <w:p w14:paraId="47BCD23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旋片真空泵</w:t>
            </w:r>
          </w:p>
        </w:tc>
        <w:tc>
          <w:tcPr>
            <w:tcW w:w="7783" w:type="dxa"/>
            <w:shd w:val="clear" w:color="auto" w:fill="auto"/>
            <w:vAlign w:val="center"/>
          </w:tcPr>
          <w:p w14:paraId="3299F0C4">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单相，油封旋片式直联泵，铝合金机壳，配有压缩空气用管。</w:t>
            </w:r>
          </w:p>
        </w:tc>
        <w:tc>
          <w:tcPr>
            <w:tcW w:w="1933" w:type="dxa"/>
            <w:shd w:val="clear" w:color="auto" w:fill="auto"/>
            <w:vAlign w:val="center"/>
          </w:tcPr>
          <w:p w14:paraId="40785FB3">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配套仪器</w:t>
            </w:r>
          </w:p>
        </w:tc>
        <w:tc>
          <w:tcPr>
            <w:tcW w:w="700" w:type="dxa"/>
            <w:shd w:val="clear" w:color="auto" w:fill="auto"/>
            <w:vAlign w:val="center"/>
          </w:tcPr>
          <w:p w14:paraId="6A9B03B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台</w:t>
            </w:r>
          </w:p>
        </w:tc>
        <w:tc>
          <w:tcPr>
            <w:tcW w:w="723" w:type="dxa"/>
            <w:shd w:val="clear" w:color="auto" w:fill="auto"/>
            <w:vAlign w:val="center"/>
          </w:tcPr>
          <w:p w14:paraId="087A52F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139CC2FD">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52CAB3F4">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197AA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35DBB4D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11</w:t>
            </w:r>
          </w:p>
        </w:tc>
        <w:tc>
          <w:tcPr>
            <w:tcW w:w="1071" w:type="dxa"/>
            <w:shd w:val="clear" w:color="auto" w:fill="auto"/>
            <w:vAlign w:val="center"/>
          </w:tcPr>
          <w:p w14:paraId="49298E8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声传播演示器</w:t>
            </w:r>
          </w:p>
        </w:tc>
        <w:tc>
          <w:tcPr>
            <w:tcW w:w="7783" w:type="dxa"/>
            <w:shd w:val="clear" w:color="auto" w:fill="auto"/>
            <w:vAlign w:val="center"/>
          </w:tcPr>
          <w:p w14:paraId="03E4BFCD">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由面板、透明可密封容器、音频发生器、扬声器（含放大器）、传声棒等组成。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外形尺寸≥660mm*470mm（±5mm）；上下为铝型材结构，具有良好的抗拉强度，表面黑色氧化细喷砂处理。左右为ABS塑料精密注塑成型边框；透明容器有密封端盖，并有抽气装置；发声系统和接收系统均封于圆筒内。</w:t>
            </w:r>
          </w:p>
        </w:tc>
        <w:tc>
          <w:tcPr>
            <w:tcW w:w="1933" w:type="dxa"/>
            <w:shd w:val="clear" w:color="auto" w:fill="auto"/>
            <w:vAlign w:val="center"/>
          </w:tcPr>
          <w:p w14:paraId="5C59E919">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1.探究声音的传播条件</w:t>
            </w:r>
          </w:p>
        </w:tc>
        <w:tc>
          <w:tcPr>
            <w:tcW w:w="700" w:type="dxa"/>
            <w:shd w:val="clear" w:color="auto" w:fill="auto"/>
            <w:vAlign w:val="center"/>
          </w:tcPr>
          <w:p w14:paraId="36EEA4D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vAlign w:val="center"/>
          </w:tcPr>
          <w:p w14:paraId="0257D69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52B0C8CE">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0425140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77CF8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20D9C83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12</w:t>
            </w:r>
          </w:p>
        </w:tc>
        <w:tc>
          <w:tcPr>
            <w:tcW w:w="1071" w:type="dxa"/>
            <w:shd w:val="clear" w:color="auto" w:fill="auto"/>
            <w:vAlign w:val="center"/>
          </w:tcPr>
          <w:p w14:paraId="421511E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声音能量演示器</w:t>
            </w:r>
          </w:p>
        </w:tc>
        <w:tc>
          <w:tcPr>
            <w:tcW w:w="7783" w:type="dxa"/>
            <w:shd w:val="clear" w:color="auto" w:fill="auto"/>
            <w:vAlign w:val="center"/>
          </w:tcPr>
          <w:p w14:paraId="527C93AA">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由塑料底座、扬声器、接线柱等组成。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塑料底座：尺寸规格：≥430mm*270mm*40mm（±5mm）；材质工艺：ABS塑料精密注塑成型；功能描述：为整个演示器提供牢固稳定的底座，内嵌垫片，使得底座具备防滑耐磨的特点。</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发声腔体：尺寸规格：≥160mm*100mm*4mm（±5mm），材质工艺：透明亚克力材质。功能描述：作为扬声器的安装载体。</w:t>
            </w:r>
          </w:p>
        </w:tc>
        <w:tc>
          <w:tcPr>
            <w:tcW w:w="1933" w:type="dxa"/>
            <w:shd w:val="clear" w:color="auto" w:fill="auto"/>
            <w:vAlign w:val="center"/>
          </w:tcPr>
          <w:p w14:paraId="392830F1">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1.体验不同声音的特性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发声扬声器旁的烛焰</w:t>
            </w:r>
          </w:p>
        </w:tc>
        <w:tc>
          <w:tcPr>
            <w:tcW w:w="700" w:type="dxa"/>
            <w:shd w:val="clear" w:color="auto" w:fill="auto"/>
            <w:vAlign w:val="center"/>
          </w:tcPr>
          <w:p w14:paraId="706D1F0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vAlign w:val="center"/>
          </w:tcPr>
          <w:p w14:paraId="4F0F456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55D1D3C3">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47551EF4">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61354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1E44A92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1071" w:type="dxa"/>
            <w:shd w:val="clear" w:color="auto" w:fill="auto"/>
            <w:vAlign w:val="center"/>
          </w:tcPr>
          <w:p w14:paraId="6B5004E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光的反射实验仪</w:t>
            </w:r>
          </w:p>
        </w:tc>
        <w:tc>
          <w:tcPr>
            <w:tcW w:w="7783" w:type="dxa"/>
            <w:shd w:val="clear" w:color="auto" w:fill="auto"/>
            <w:vAlign w:val="center"/>
          </w:tcPr>
          <w:p w14:paraId="08AA89A3">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由钣金主体、入射光调节装置、刻度盘（入射角和反射角测量装置）、转臂、底座、水雾发生器、双色激光光源、反光镜片、烧杯、围挡等组成。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钣金主体：尺寸规格：≥430mm*345mm*100mm（±5mm）；材质工艺：精密剪板折弯工艺；表面处理工艺：黑色烤漆，哑光处理；功能描述：为整个演示器提供牢固稳定的底座，和安装平台。</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刻度盘：尺寸规格：≥340mm*200mm*5mm（±5mm）；材质工艺：橘黄色亚克力，雕刻机一体成型；表面处理工艺：双色精密丝印；功能描述：为入射角，反射角和法线提供角度标准，直接测量入射角和反射角。</w:t>
            </w:r>
          </w:p>
        </w:tc>
        <w:tc>
          <w:tcPr>
            <w:tcW w:w="1933" w:type="dxa"/>
            <w:shd w:val="clear" w:color="auto" w:fill="auto"/>
            <w:vAlign w:val="center"/>
          </w:tcPr>
          <w:p w14:paraId="02EBDA53">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1.探究光的反射定律</w:t>
            </w:r>
          </w:p>
        </w:tc>
        <w:tc>
          <w:tcPr>
            <w:tcW w:w="700" w:type="dxa"/>
            <w:shd w:val="clear" w:color="auto" w:fill="auto"/>
            <w:vAlign w:val="center"/>
          </w:tcPr>
          <w:p w14:paraId="0B6A488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台</w:t>
            </w:r>
          </w:p>
        </w:tc>
        <w:tc>
          <w:tcPr>
            <w:tcW w:w="723" w:type="dxa"/>
            <w:shd w:val="clear" w:color="auto" w:fill="auto"/>
            <w:vAlign w:val="center"/>
          </w:tcPr>
          <w:p w14:paraId="1684B6E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6EF9C1D3">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2CBE0DC3">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69E7A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47ED9C2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14</w:t>
            </w:r>
          </w:p>
        </w:tc>
        <w:tc>
          <w:tcPr>
            <w:tcW w:w="1071" w:type="dxa"/>
            <w:shd w:val="clear" w:color="auto" w:fill="auto"/>
            <w:vAlign w:val="center"/>
          </w:tcPr>
          <w:p w14:paraId="4503380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光具盘</w:t>
            </w:r>
          </w:p>
        </w:tc>
        <w:tc>
          <w:tcPr>
            <w:tcW w:w="7783" w:type="dxa"/>
            <w:shd w:val="clear" w:color="auto" w:fill="auto"/>
            <w:vAlign w:val="center"/>
          </w:tcPr>
          <w:p w14:paraId="15F39527">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由光具盘主体（含圆形光盘）、五线激光源、光学零件（梯形玻砖、等腰直角棱镜、半圆柱透镜、小双凹柱透镜、小双凸柱透镜、大双凸柱透镜、平面镜、凹凸柱面镜、正三棱镜）组成。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光具盘主体：外形尺寸≥770mm*470（±5mm）；上下为铝型材结构，具有良好的抗拉强度，表面黑色氧化细喷砂处理。左右为ABS塑料精密注塑成型边框；圆形光盘直径≥260mm，盘面分四个象限，以一条直径为始边，刻有刻度。功能描述：整体为磁吸附式结构，光学零件及五线激光光源可以吸附在矩形光盘上进行光学实验演示。</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 xml:space="preserve">五线激光源：规格：尺寸≥130mm*80mm*30mm；主要材质：ABS工程塑料、铜；工艺：塑料注塑成型；功能描述：激光光学光源，磁吸式，内置电池可充电，提供平行光源（中间绿色光源），配合光学零件可直接或光具盘主体或其他磁性材料上完成多种光路的演示实验。 </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光学零件：产品组成：梯形玻砖、等腰直角棱镜、半圆柱透镜、小双凹柱透镜、小双凸柱透镜、大双凸柱透镜、平面镜、凹凸柱面镜、正三棱镜。</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 xml:space="preserve">规格：统一厚度≥20mm；主要材质：PMMA；工艺：精加工、抛光；功能描述：磁吸式，配合激光光源可直接或吸附在光具盘主体或其他磁性材料上进行光线折射等相应光学实验。  </w:t>
            </w:r>
          </w:p>
        </w:tc>
        <w:tc>
          <w:tcPr>
            <w:tcW w:w="1933" w:type="dxa"/>
            <w:shd w:val="clear" w:color="auto" w:fill="auto"/>
            <w:vAlign w:val="center"/>
          </w:tcPr>
          <w:p w14:paraId="55730466">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1.探究光的反射定律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2.观察光的折射现象及其特点）</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3.探究平面镜成像的特点</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4.探究凸透镜成像的规律</w:t>
            </w:r>
          </w:p>
        </w:tc>
        <w:tc>
          <w:tcPr>
            <w:tcW w:w="700" w:type="dxa"/>
            <w:shd w:val="clear" w:color="auto" w:fill="auto"/>
            <w:vAlign w:val="center"/>
          </w:tcPr>
          <w:p w14:paraId="67A50AC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vAlign w:val="center"/>
          </w:tcPr>
          <w:p w14:paraId="2EB9AFA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5B80C2CC">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40082717">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584F6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0DB079E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15</w:t>
            </w:r>
          </w:p>
        </w:tc>
        <w:tc>
          <w:tcPr>
            <w:tcW w:w="1071" w:type="dxa"/>
            <w:shd w:val="clear" w:color="auto" w:fill="auto"/>
            <w:vAlign w:val="center"/>
          </w:tcPr>
          <w:p w14:paraId="7F33755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眼球仪</w:t>
            </w:r>
          </w:p>
        </w:tc>
        <w:tc>
          <w:tcPr>
            <w:tcW w:w="7783" w:type="dxa"/>
            <w:shd w:val="clear" w:color="auto" w:fill="auto"/>
            <w:vAlign w:val="center"/>
          </w:tcPr>
          <w:p w14:paraId="1EF28FB1">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由眼球仪主体（含眼球剖面图）、五线激光光源、光学零件（正常眼球玻璃、远视眼球玻璃、近视眼球玻璃、近视镜玻璃、远视镜玻璃）组成。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眼球仪主体：外形尺寸≥770mm*470（±5mm）；上下为铝型材结构，具有良好的抗拉强度，表面黑色氧化细喷砂处理。左右为ABS塑料精密注塑成型边框；功能描述：整体为磁吸附式结构，配有眼球剖面图，光学零件及五线激光光源可以吸附在矩形光盘上演示眼睛的工作原理及视力矫正实验。</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 xml:space="preserve">五线激光光源：规格：尺寸≥130mm*80mm*30mm；主要材质：ABS工程塑料、铜；工艺：塑料注塑成型；功能描述：激光光学光源，磁吸式，内置电池可充电，提供平行光源（中间绿色光源），配合光学零件可直接或眼球仪主体或其他磁性材料上完成多种光路的演示实验。 </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光学零件：产品组成：正常眼球玻璃、远视眼球玻璃、近视眼球玻璃、近视镜玻璃、远视镜玻璃。</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 xml:space="preserve">规格：统一厚度≥20mm；主要材质：PMMA；工艺：精加工、抛光；功能描述：磁吸式，配合激光光源可直接或吸附在眼球仪主体或其他磁性材料上进行光线折射等相应光学实验。  </w:t>
            </w:r>
          </w:p>
        </w:tc>
        <w:tc>
          <w:tcPr>
            <w:tcW w:w="1933" w:type="dxa"/>
            <w:shd w:val="clear" w:color="auto" w:fill="auto"/>
            <w:vAlign w:val="center"/>
          </w:tcPr>
          <w:p w14:paraId="734F968A">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1.模拟近视眼和远视眼的矫正</w:t>
            </w:r>
          </w:p>
        </w:tc>
        <w:tc>
          <w:tcPr>
            <w:tcW w:w="700" w:type="dxa"/>
            <w:shd w:val="clear" w:color="auto" w:fill="auto"/>
            <w:vAlign w:val="center"/>
          </w:tcPr>
          <w:p w14:paraId="669CBF5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vAlign w:val="center"/>
          </w:tcPr>
          <w:p w14:paraId="6F7E020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3E614EA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6B062873">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12E4B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0E6480A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16</w:t>
            </w:r>
          </w:p>
        </w:tc>
        <w:tc>
          <w:tcPr>
            <w:tcW w:w="1071" w:type="dxa"/>
            <w:shd w:val="clear" w:color="auto" w:fill="auto"/>
            <w:vAlign w:val="center"/>
          </w:tcPr>
          <w:p w14:paraId="0B50DAC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光的传播、反射、折射实验器</w:t>
            </w:r>
          </w:p>
        </w:tc>
        <w:tc>
          <w:tcPr>
            <w:tcW w:w="7783" w:type="dxa"/>
            <w:shd w:val="clear" w:color="auto" w:fill="auto"/>
            <w:vAlign w:val="center"/>
          </w:tcPr>
          <w:p w14:paraId="63AD2799">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由演示板、红色激光光源、绿色激光光源、光学配件（凸凹面镜、半圆玻璃砖、双凸透镜、双凹透镜、梯形玻璃砖、等边三角形玻璃砖、直角等腰三角玻璃砖）、平面镜和漫反射镜、水箱圆盘等组成。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演示板：</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外形尺寸≥660mm*470mm（±5mm）；上下为铝型材结构，具有良好的抗拉强度，表面黑色氧化细喷砂处理,左右为ABS塑料精密注塑成型边框；表盘外径300mm，盘面分四个象限，以一条直径为始边，分别刻有刻度：功能描述：整体为磁吸附式结构，可吸附激光光源、水箱圆盘、光学配件等进行相应光学实验。</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光学零件：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产品组成：凸凹面镜、半圆玻璃砖、双凸透镜、双凹透镜、梯形玻璃砖、等边三角形玻璃砖、直角等腰三角玻璃砖。</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规格：统一厚度≥20mm；主要材质：PMMA；工艺：精加工、抛光；功能描述：磁吸式，配合激光光源可直接或吸附在本演示板或其他磁性材料上进行光线折射等相应光学实验。</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水箱圆盘：</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规格：≥φ250mm*30mm（±5mm）；主要材质：PMMA；功能描述：磁吸式，可放入水等液体进行不同物质界面的折射实验。</w:t>
            </w:r>
          </w:p>
        </w:tc>
        <w:tc>
          <w:tcPr>
            <w:tcW w:w="1933" w:type="dxa"/>
            <w:shd w:val="clear" w:color="auto" w:fill="auto"/>
            <w:vAlign w:val="center"/>
          </w:tcPr>
          <w:p w14:paraId="3E6999E7">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1.探究光的反射定律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2.观察光的折射现象及其特点</w:t>
            </w:r>
          </w:p>
        </w:tc>
        <w:tc>
          <w:tcPr>
            <w:tcW w:w="700" w:type="dxa"/>
            <w:shd w:val="clear" w:color="auto" w:fill="auto"/>
            <w:vAlign w:val="center"/>
          </w:tcPr>
          <w:p w14:paraId="085EFB3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noWrap/>
            <w:vAlign w:val="center"/>
          </w:tcPr>
          <w:p w14:paraId="07503CB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vAlign w:val="center"/>
          </w:tcPr>
          <w:p w14:paraId="0F69ADC1">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2E71EB3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7E107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7975C1E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17</w:t>
            </w:r>
          </w:p>
        </w:tc>
        <w:tc>
          <w:tcPr>
            <w:tcW w:w="1071" w:type="dxa"/>
            <w:shd w:val="clear" w:color="auto" w:fill="auto"/>
            <w:noWrap/>
            <w:vAlign w:val="center"/>
          </w:tcPr>
          <w:p w14:paraId="22D92E4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箔片验电器</w:t>
            </w:r>
          </w:p>
        </w:tc>
        <w:tc>
          <w:tcPr>
            <w:tcW w:w="7783" w:type="dxa"/>
            <w:shd w:val="clear" w:color="auto" w:fill="auto"/>
            <w:vAlign w:val="center"/>
          </w:tcPr>
          <w:p w14:paraId="7459F716">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由底座、外壳、圆球、导电杆、绝缘子、箔片、中位卡、接线柱等组成。观察面采用透明材料，可直接观察到箔片的变化。</w:t>
            </w:r>
          </w:p>
        </w:tc>
        <w:tc>
          <w:tcPr>
            <w:tcW w:w="1933" w:type="dxa"/>
            <w:shd w:val="clear" w:color="auto" w:fill="auto"/>
            <w:vAlign w:val="center"/>
          </w:tcPr>
          <w:p w14:paraId="7B696DEA">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1.观察摩擦起电现象</w:t>
            </w:r>
          </w:p>
        </w:tc>
        <w:tc>
          <w:tcPr>
            <w:tcW w:w="700" w:type="dxa"/>
            <w:shd w:val="clear" w:color="auto" w:fill="auto"/>
            <w:vAlign w:val="center"/>
          </w:tcPr>
          <w:p w14:paraId="07779ED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对</w:t>
            </w:r>
          </w:p>
        </w:tc>
        <w:tc>
          <w:tcPr>
            <w:tcW w:w="723" w:type="dxa"/>
            <w:shd w:val="clear" w:color="auto" w:fill="auto"/>
            <w:vAlign w:val="center"/>
          </w:tcPr>
          <w:p w14:paraId="0A8F371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vAlign w:val="center"/>
          </w:tcPr>
          <w:p w14:paraId="594AD183">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3574CCF2">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2C2FF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2BE4DA2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18</w:t>
            </w:r>
          </w:p>
        </w:tc>
        <w:tc>
          <w:tcPr>
            <w:tcW w:w="1071" w:type="dxa"/>
            <w:shd w:val="clear" w:color="auto" w:fill="auto"/>
            <w:vAlign w:val="center"/>
          </w:tcPr>
          <w:p w14:paraId="6AC3177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指针验电器</w:t>
            </w:r>
          </w:p>
        </w:tc>
        <w:tc>
          <w:tcPr>
            <w:tcW w:w="7783" w:type="dxa"/>
            <w:shd w:val="clear" w:color="auto" w:fill="auto"/>
            <w:vAlign w:val="center"/>
          </w:tcPr>
          <w:p w14:paraId="03A9B379">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由外壳、圆盘、导电杆、绝缘子、指针、指针架、接线柱等组成。观察面采用透明材料，可直接观察到指针的变化。</w:t>
            </w:r>
          </w:p>
        </w:tc>
        <w:tc>
          <w:tcPr>
            <w:tcW w:w="1933" w:type="dxa"/>
            <w:shd w:val="clear" w:color="auto" w:fill="auto"/>
            <w:vAlign w:val="center"/>
          </w:tcPr>
          <w:p w14:paraId="52F04BFD">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1.观察摩擦起电现象</w:t>
            </w:r>
          </w:p>
        </w:tc>
        <w:tc>
          <w:tcPr>
            <w:tcW w:w="700" w:type="dxa"/>
            <w:shd w:val="clear" w:color="auto" w:fill="auto"/>
            <w:vAlign w:val="center"/>
          </w:tcPr>
          <w:p w14:paraId="4A67D41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对</w:t>
            </w:r>
          </w:p>
        </w:tc>
        <w:tc>
          <w:tcPr>
            <w:tcW w:w="723" w:type="dxa"/>
            <w:shd w:val="clear" w:color="auto" w:fill="auto"/>
            <w:noWrap/>
            <w:vAlign w:val="center"/>
          </w:tcPr>
          <w:p w14:paraId="7C9497F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vAlign w:val="center"/>
          </w:tcPr>
          <w:p w14:paraId="648C544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798F56EC">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08178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16F3965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19</w:t>
            </w:r>
          </w:p>
        </w:tc>
        <w:tc>
          <w:tcPr>
            <w:tcW w:w="1071" w:type="dxa"/>
            <w:shd w:val="clear" w:color="auto" w:fill="auto"/>
            <w:vAlign w:val="center"/>
          </w:tcPr>
          <w:p w14:paraId="2A37156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奥斯特实验演示器</w:t>
            </w:r>
          </w:p>
        </w:tc>
        <w:tc>
          <w:tcPr>
            <w:tcW w:w="7783" w:type="dxa"/>
            <w:shd w:val="clear" w:color="auto" w:fill="auto"/>
            <w:vAlign w:val="center"/>
          </w:tcPr>
          <w:p w14:paraId="2CB9E925">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塑料底座、开关、通电杆、翼形磁针组件、接线柱等组成。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塑料底座：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尺寸规格：≥430mm*270mm*40mm（±5mm）；材质工艺：ABS塑料精密注塑成型；功能描述：为整个演示器提供牢固稳定的底座，内嵌垫片，使得底座具备防滑耐磨的特点。</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通电杆：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尺寸规格：≥330mm*180mm*8mm（±5mm），材质工艺：钢。表面处理：通体镀装饰铬；功能描述：作为电生磁的主要零件和载体，通电后周围产生磁场。</w:t>
            </w:r>
          </w:p>
        </w:tc>
        <w:tc>
          <w:tcPr>
            <w:tcW w:w="1933" w:type="dxa"/>
            <w:shd w:val="clear" w:color="auto" w:fill="auto"/>
            <w:noWrap/>
            <w:vAlign w:val="center"/>
          </w:tcPr>
          <w:p w14:paraId="395E5C85">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1.观察通电导体周围产生磁场的现象</w:t>
            </w:r>
          </w:p>
        </w:tc>
        <w:tc>
          <w:tcPr>
            <w:tcW w:w="700" w:type="dxa"/>
            <w:shd w:val="clear" w:color="auto" w:fill="auto"/>
            <w:vAlign w:val="center"/>
          </w:tcPr>
          <w:p w14:paraId="0F24044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noWrap/>
            <w:vAlign w:val="center"/>
          </w:tcPr>
          <w:p w14:paraId="4FB57B9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36C8A21C">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5BFEF5A1">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6BB6C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4B0C3E1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20</w:t>
            </w:r>
          </w:p>
        </w:tc>
        <w:tc>
          <w:tcPr>
            <w:tcW w:w="1071" w:type="dxa"/>
            <w:shd w:val="clear" w:color="auto" w:fill="auto"/>
            <w:vAlign w:val="center"/>
          </w:tcPr>
          <w:p w14:paraId="6C21627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演示电磁继电器</w:t>
            </w:r>
          </w:p>
        </w:tc>
        <w:tc>
          <w:tcPr>
            <w:tcW w:w="7783" w:type="dxa"/>
            <w:shd w:val="clear" w:color="auto" w:fill="auto"/>
            <w:vAlign w:val="center"/>
          </w:tcPr>
          <w:p w14:paraId="260C124A">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由电磁线圈、铁芯、常开触点、常闭触点、弹簧、蜂鸣器、指示灯等组成。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外形尺寸≥660mm*470mm（±5mm）；上下为铝型材结构，具有良好的抗拉强度，表面黑色氧化细喷砂处理。左右为ABS塑料精密注塑成型边框；仪器面板表面印有原理电路图，导线采用暗线布置，内部接线与面板上的电路图一致，红绿色指示灯分别指示常开和常闭状态。</w:t>
            </w:r>
          </w:p>
        </w:tc>
        <w:tc>
          <w:tcPr>
            <w:tcW w:w="1933" w:type="dxa"/>
            <w:shd w:val="clear" w:color="auto" w:fill="auto"/>
            <w:noWrap/>
            <w:vAlign w:val="center"/>
          </w:tcPr>
          <w:p w14:paraId="7D6F8431">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1.观察通电导体周围产生磁场的现象</w:t>
            </w:r>
          </w:p>
        </w:tc>
        <w:tc>
          <w:tcPr>
            <w:tcW w:w="700" w:type="dxa"/>
            <w:shd w:val="clear" w:color="auto" w:fill="auto"/>
            <w:vAlign w:val="center"/>
          </w:tcPr>
          <w:p w14:paraId="121ADCD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noWrap/>
            <w:vAlign w:val="center"/>
          </w:tcPr>
          <w:p w14:paraId="37F7790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00E54CC7">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7A72943D">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5A480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56E5DCC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21</w:t>
            </w:r>
          </w:p>
        </w:tc>
        <w:tc>
          <w:tcPr>
            <w:tcW w:w="1071" w:type="dxa"/>
            <w:shd w:val="clear" w:color="auto" w:fill="auto"/>
            <w:vAlign w:val="center"/>
          </w:tcPr>
          <w:p w14:paraId="6D54868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电流磁场演示器</w:t>
            </w:r>
          </w:p>
        </w:tc>
        <w:tc>
          <w:tcPr>
            <w:tcW w:w="7783" w:type="dxa"/>
            <w:shd w:val="clear" w:color="auto" w:fill="auto"/>
            <w:vAlign w:val="center"/>
          </w:tcPr>
          <w:p w14:paraId="1B10282C">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由亚克力底座、螺线管、方形线圈、圆线圈等组成。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亚克力底座：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尺寸规格：≥250mm*250mm*55mm（±5mm），厚度≥5mm，材质：透明亚克力，良好耐候性；功能描述：良好的载体功能，为螺线管、单匝线圈、方形线圈提供良好牢固的平台；表面配有双色丝印的使用说明，美观简洁，方便直接进行实验操作。</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螺线管：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尺寸规格：直径≥∅60mm，材质：透明PC材质，精密注塑成型；功能描述：为漆包线提供绕线载体。</w:t>
            </w:r>
          </w:p>
        </w:tc>
        <w:tc>
          <w:tcPr>
            <w:tcW w:w="1933" w:type="dxa"/>
            <w:shd w:val="clear" w:color="auto" w:fill="auto"/>
            <w:vAlign w:val="center"/>
          </w:tcPr>
          <w:p w14:paraId="0E5A93EE">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1.观察通电导体周围产生磁场的现象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2.探究通电螺线管外部磁场的方向</w:t>
            </w:r>
          </w:p>
        </w:tc>
        <w:tc>
          <w:tcPr>
            <w:tcW w:w="700" w:type="dxa"/>
            <w:shd w:val="clear" w:color="auto" w:fill="auto"/>
            <w:vAlign w:val="center"/>
          </w:tcPr>
          <w:p w14:paraId="6AD4DD5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noWrap/>
            <w:vAlign w:val="center"/>
          </w:tcPr>
          <w:p w14:paraId="4278AE3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4181873C">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74139C1A">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13C46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248DD3D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22</w:t>
            </w:r>
          </w:p>
        </w:tc>
        <w:tc>
          <w:tcPr>
            <w:tcW w:w="1071" w:type="dxa"/>
            <w:shd w:val="clear" w:color="auto" w:fill="auto"/>
            <w:vAlign w:val="center"/>
          </w:tcPr>
          <w:p w14:paraId="2EB1157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磁场对电流作用实验器</w:t>
            </w:r>
          </w:p>
        </w:tc>
        <w:tc>
          <w:tcPr>
            <w:tcW w:w="7783" w:type="dxa"/>
            <w:shd w:val="clear" w:color="auto" w:fill="auto"/>
            <w:vAlign w:val="center"/>
          </w:tcPr>
          <w:p w14:paraId="1F8DA77F">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由塑料底座、U型磁场器、铜管支架、黄铜管、接线柱等组成。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塑料底座：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尺寸规格：≥265mm*170mm*40mm（±5mm）；材质工艺：ABS塑料精密注塑成型；功能描述：为整个演示器提供牢固稳定的底座，内嵌垫片，使得底座具备防滑耐磨的特点。</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U型磁场器：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尺寸规格：≥100mm*55mm*65mm（±5mm）；材质工艺：金属材质，表面双色喷漆；功能描述：为安装磁铁提供平台，中部空间宽敞，便于铜管在其中自由滚动。</w:t>
            </w:r>
          </w:p>
        </w:tc>
        <w:tc>
          <w:tcPr>
            <w:tcW w:w="1933" w:type="dxa"/>
            <w:shd w:val="clear" w:color="auto" w:fill="auto"/>
            <w:vAlign w:val="center"/>
          </w:tcPr>
          <w:p w14:paraId="696B8429">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1.观察通电导线在磁场中的受力情况</w:t>
            </w:r>
          </w:p>
        </w:tc>
        <w:tc>
          <w:tcPr>
            <w:tcW w:w="700" w:type="dxa"/>
            <w:shd w:val="clear" w:color="auto" w:fill="auto"/>
            <w:vAlign w:val="center"/>
          </w:tcPr>
          <w:p w14:paraId="783E667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noWrap/>
            <w:vAlign w:val="center"/>
          </w:tcPr>
          <w:p w14:paraId="27489A6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66989EE7">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40165A0C">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1A0E0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60C86EB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23</w:t>
            </w:r>
          </w:p>
        </w:tc>
        <w:tc>
          <w:tcPr>
            <w:tcW w:w="1071" w:type="dxa"/>
            <w:shd w:val="clear" w:color="auto" w:fill="auto"/>
            <w:vAlign w:val="center"/>
          </w:tcPr>
          <w:p w14:paraId="76379EE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手摇交直流发电机</w:t>
            </w:r>
          </w:p>
        </w:tc>
        <w:tc>
          <w:tcPr>
            <w:tcW w:w="7783" w:type="dxa"/>
            <w:shd w:val="clear" w:color="auto" w:fill="auto"/>
            <w:vAlign w:val="center"/>
          </w:tcPr>
          <w:p w14:paraId="4BC2A8E5">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由定子、转子、集流环、电刷、灯座（带灯泡）、手摇驱动机构、底板等部分组成。</w:t>
            </w:r>
          </w:p>
        </w:tc>
        <w:tc>
          <w:tcPr>
            <w:tcW w:w="1933" w:type="dxa"/>
            <w:shd w:val="clear" w:color="auto" w:fill="auto"/>
            <w:noWrap/>
            <w:vAlign w:val="center"/>
          </w:tcPr>
          <w:p w14:paraId="0B869640">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1.设计与制作简易直流发电机模型</w:t>
            </w:r>
          </w:p>
        </w:tc>
        <w:tc>
          <w:tcPr>
            <w:tcW w:w="700" w:type="dxa"/>
            <w:shd w:val="clear" w:color="auto" w:fill="auto"/>
            <w:vAlign w:val="center"/>
          </w:tcPr>
          <w:p w14:paraId="5668128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个</w:t>
            </w:r>
          </w:p>
        </w:tc>
        <w:tc>
          <w:tcPr>
            <w:tcW w:w="723" w:type="dxa"/>
            <w:shd w:val="clear" w:color="auto" w:fill="auto"/>
            <w:noWrap/>
            <w:vAlign w:val="center"/>
          </w:tcPr>
          <w:p w14:paraId="58216B9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12BB3398">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224E6C67">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285B5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6463DEF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24</w:t>
            </w:r>
          </w:p>
        </w:tc>
        <w:tc>
          <w:tcPr>
            <w:tcW w:w="1071" w:type="dxa"/>
            <w:shd w:val="clear" w:color="auto" w:fill="auto"/>
            <w:vAlign w:val="center"/>
          </w:tcPr>
          <w:p w14:paraId="4599447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空气压缩引火仪</w:t>
            </w:r>
          </w:p>
        </w:tc>
        <w:tc>
          <w:tcPr>
            <w:tcW w:w="7783" w:type="dxa"/>
            <w:shd w:val="clear" w:color="auto" w:fill="auto"/>
            <w:vAlign w:val="center"/>
          </w:tcPr>
          <w:p w14:paraId="78794C0E">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由气缸、底座、端盖、活塞等部分组成。气缸用透明有机玻璃制作，活塞与气缸气密性应良好，能引燃脱脂棉。</w:t>
            </w:r>
          </w:p>
        </w:tc>
        <w:tc>
          <w:tcPr>
            <w:tcW w:w="1933" w:type="dxa"/>
            <w:shd w:val="clear" w:color="auto" w:fill="auto"/>
            <w:vAlign w:val="center"/>
          </w:tcPr>
          <w:p w14:paraId="250E2F1C">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1.观察机械能转化为内能的实验现象</w:t>
            </w:r>
          </w:p>
        </w:tc>
        <w:tc>
          <w:tcPr>
            <w:tcW w:w="700" w:type="dxa"/>
            <w:shd w:val="clear" w:color="auto" w:fill="auto"/>
            <w:vAlign w:val="center"/>
          </w:tcPr>
          <w:p w14:paraId="2F84650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个</w:t>
            </w:r>
          </w:p>
        </w:tc>
        <w:tc>
          <w:tcPr>
            <w:tcW w:w="723" w:type="dxa"/>
            <w:shd w:val="clear" w:color="auto" w:fill="auto"/>
            <w:noWrap/>
            <w:vAlign w:val="center"/>
          </w:tcPr>
          <w:p w14:paraId="4479AD5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vAlign w:val="center"/>
          </w:tcPr>
          <w:p w14:paraId="37DF0725">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0D4DE57D">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4A3D1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580205E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25</w:t>
            </w:r>
          </w:p>
        </w:tc>
        <w:tc>
          <w:tcPr>
            <w:tcW w:w="1071" w:type="dxa"/>
            <w:shd w:val="clear" w:color="auto" w:fill="auto"/>
            <w:vAlign w:val="center"/>
          </w:tcPr>
          <w:p w14:paraId="48359BD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气体做功内能减少演示器</w:t>
            </w:r>
          </w:p>
        </w:tc>
        <w:tc>
          <w:tcPr>
            <w:tcW w:w="7783" w:type="dxa"/>
            <w:shd w:val="clear" w:color="auto" w:fill="auto"/>
            <w:vAlign w:val="center"/>
          </w:tcPr>
          <w:p w14:paraId="3B718A77">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由铝型材底座、贮气筒、压力表、出气阀、温度传感器、数显温度表、气筒等组成。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铝型材底座：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尺寸：底座尺寸≥400mm×90mm×35mm(±5mm)；材质工艺：铝，挤压拉模成型；表面处理工艺：电泳发黑；端盖尺寸：≥90mm*35mm(±5mm)，ABS塑料精密注塑成型；功能描述：多个零件组合集成在底座，为气体做功内能减少实验提供安装平台。</w:t>
            </w:r>
          </w:p>
        </w:tc>
        <w:tc>
          <w:tcPr>
            <w:tcW w:w="1933" w:type="dxa"/>
            <w:shd w:val="clear" w:color="auto" w:fill="auto"/>
            <w:vAlign w:val="center"/>
          </w:tcPr>
          <w:p w14:paraId="0300132B">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1.观察内能转化为机械能的实验现象</w:t>
            </w:r>
          </w:p>
        </w:tc>
        <w:tc>
          <w:tcPr>
            <w:tcW w:w="700" w:type="dxa"/>
            <w:shd w:val="clear" w:color="auto" w:fill="auto"/>
            <w:vAlign w:val="center"/>
          </w:tcPr>
          <w:p w14:paraId="3BE980C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noWrap/>
            <w:vAlign w:val="center"/>
          </w:tcPr>
          <w:p w14:paraId="3B1C30E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vAlign w:val="center"/>
          </w:tcPr>
          <w:p w14:paraId="30E21E87">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52670845">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72994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48E77B0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26</w:t>
            </w:r>
          </w:p>
        </w:tc>
        <w:tc>
          <w:tcPr>
            <w:tcW w:w="1071" w:type="dxa"/>
            <w:shd w:val="clear" w:color="auto" w:fill="auto"/>
            <w:vAlign w:val="center"/>
          </w:tcPr>
          <w:p w14:paraId="4676C55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电机原理演示器</w:t>
            </w:r>
          </w:p>
        </w:tc>
        <w:tc>
          <w:tcPr>
            <w:tcW w:w="7783" w:type="dxa"/>
            <w:shd w:val="clear" w:color="auto" w:fill="auto"/>
            <w:vAlign w:val="center"/>
          </w:tcPr>
          <w:p w14:paraId="22E87950">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由定子、转子线圈、集流环和换向器、电刷、底座等组成。</w:t>
            </w:r>
          </w:p>
        </w:tc>
        <w:tc>
          <w:tcPr>
            <w:tcW w:w="1933" w:type="dxa"/>
            <w:shd w:val="clear" w:color="auto" w:fill="auto"/>
            <w:vAlign w:val="center"/>
          </w:tcPr>
          <w:p w14:paraId="032AD4A6">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1.观察电能转化为机械能的实验现象</w:t>
            </w:r>
          </w:p>
        </w:tc>
        <w:tc>
          <w:tcPr>
            <w:tcW w:w="700" w:type="dxa"/>
            <w:shd w:val="clear" w:color="auto" w:fill="auto"/>
            <w:vAlign w:val="center"/>
          </w:tcPr>
          <w:p w14:paraId="50E516F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个</w:t>
            </w:r>
          </w:p>
        </w:tc>
        <w:tc>
          <w:tcPr>
            <w:tcW w:w="723" w:type="dxa"/>
            <w:shd w:val="clear" w:color="auto" w:fill="auto"/>
            <w:noWrap/>
            <w:vAlign w:val="center"/>
          </w:tcPr>
          <w:p w14:paraId="5CC54D2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04CF9694">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0FDE979A">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464F2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42CF1FD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27</w:t>
            </w:r>
          </w:p>
        </w:tc>
        <w:tc>
          <w:tcPr>
            <w:tcW w:w="1071" w:type="dxa"/>
            <w:shd w:val="clear" w:color="auto" w:fill="auto"/>
            <w:vAlign w:val="center"/>
          </w:tcPr>
          <w:p w14:paraId="2A4B9B8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保险丝作用演示器</w:t>
            </w:r>
          </w:p>
        </w:tc>
        <w:tc>
          <w:tcPr>
            <w:tcW w:w="7783" w:type="dxa"/>
            <w:shd w:val="clear" w:color="auto" w:fill="auto"/>
            <w:vAlign w:val="center"/>
          </w:tcPr>
          <w:p w14:paraId="6B62794C">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由保险丝（1A、2A、3A、5A）、实验导线、多芯导线、灯泡（≥10W）、灯泡（≥50W）、电流表、电压表等组成。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外形尺寸≥660mm*470mm（±5mm）；上下为铝型材结构，具有良好的抗拉强度，表面黑色氧化细喷砂处理。左右为ABS塑料精密注塑成型边框；仪器面板表面印有原理电路图，配有3路并联电路，实验导线和保险丝位置处可自由更换，进行保险丝作用等相关实验演示。</w:t>
            </w:r>
          </w:p>
        </w:tc>
        <w:tc>
          <w:tcPr>
            <w:tcW w:w="1933" w:type="dxa"/>
            <w:shd w:val="clear" w:color="auto" w:fill="auto"/>
            <w:vAlign w:val="center"/>
          </w:tcPr>
          <w:p w14:paraId="61A727B0">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1.观察电能转化为内能的实验现象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2.用低压电模拟家庭电路中的安全用电</w:t>
            </w:r>
          </w:p>
        </w:tc>
        <w:tc>
          <w:tcPr>
            <w:tcW w:w="700" w:type="dxa"/>
            <w:shd w:val="clear" w:color="auto" w:fill="auto"/>
            <w:vAlign w:val="center"/>
          </w:tcPr>
          <w:p w14:paraId="26F8520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noWrap/>
            <w:vAlign w:val="center"/>
          </w:tcPr>
          <w:p w14:paraId="7266B39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vAlign w:val="center"/>
          </w:tcPr>
          <w:p w14:paraId="3EEDD4D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0A1E32B5">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2E3C8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1831F82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28</w:t>
            </w:r>
          </w:p>
        </w:tc>
        <w:tc>
          <w:tcPr>
            <w:tcW w:w="1071" w:type="dxa"/>
            <w:shd w:val="clear" w:color="auto" w:fill="auto"/>
            <w:vAlign w:val="center"/>
          </w:tcPr>
          <w:p w14:paraId="7B834C3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滚摆</w:t>
            </w:r>
          </w:p>
        </w:tc>
        <w:tc>
          <w:tcPr>
            <w:tcW w:w="7783" w:type="dxa"/>
            <w:shd w:val="clear" w:color="auto" w:fill="auto"/>
            <w:vAlign w:val="center"/>
          </w:tcPr>
          <w:p w14:paraId="534104E7">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由塑料底座、摆体（摆轮和摆轴）、横梁、悬线和支架等组成。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塑料底座：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尺寸规格：≥430mm*270mm*40mm（±5mm）；材质工艺：ABS塑料精密注塑成型；功能描述：为整个演示器提供牢固稳定的底座，内嵌垫片，使得底座具备防滑耐磨的特点。</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摆体（摆轮和摆轴）：</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尺寸规格：直径≥∅120mm（±5mm），长度≥180mm（±5mm）；材质工艺：摆轮为表面黑色亚光烤漆处理，提高外观品质，同时具备防锈防氧化功能。摆轴为304不锈钢材质，耐磨耐腐蚀；功能描述：这是演示能量转换的核心部件，观察其运动，能够直观的感受动能和势能的相互转化。</w:t>
            </w:r>
          </w:p>
        </w:tc>
        <w:tc>
          <w:tcPr>
            <w:tcW w:w="1933" w:type="dxa"/>
            <w:shd w:val="clear" w:color="auto" w:fill="auto"/>
            <w:vAlign w:val="center"/>
          </w:tcPr>
          <w:p w14:paraId="47A26443">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1.观察动能和势能相互转化的实验现象</w:t>
            </w:r>
          </w:p>
        </w:tc>
        <w:tc>
          <w:tcPr>
            <w:tcW w:w="700" w:type="dxa"/>
            <w:shd w:val="clear" w:color="auto" w:fill="auto"/>
            <w:vAlign w:val="center"/>
          </w:tcPr>
          <w:p w14:paraId="4F3B77F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vAlign w:val="center"/>
          </w:tcPr>
          <w:p w14:paraId="4132B67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5366DE1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6D2402BA">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6805C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0B622BE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29</w:t>
            </w:r>
          </w:p>
        </w:tc>
        <w:tc>
          <w:tcPr>
            <w:tcW w:w="1071" w:type="dxa"/>
            <w:shd w:val="clear" w:color="auto" w:fill="auto"/>
            <w:vAlign w:val="center"/>
          </w:tcPr>
          <w:p w14:paraId="7C5117C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双锥体上滚演示器</w:t>
            </w:r>
          </w:p>
        </w:tc>
        <w:tc>
          <w:tcPr>
            <w:tcW w:w="7783" w:type="dxa"/>
            <w:shd w:val="clear" w:color="auto" w:fill="auto"/>
            <w:vAlign w:val="center"/>
          </w:tcPr>
          <w:p w14:paraId="10AB1E3B">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型材底座、锥体支撑杆、固定板、端盖、手柄、双锥体等。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型材底座：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尺寸规格：≥1050mm*160mm*35mm（±5mm）；材质工艺：铝，挤压拉模成型；表面处理工艺：黑色阳极氧化处理；功能描述：为器材提供安装固定的底座。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锥体支撑杆：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规格：≥1000mm*D12mmmm（±5mm）；功能描述：支撑双锥体在上面滚动，并可调节一端的间距。</w:t>
            </w:r>
          </w:p>
        </w:tc>
        <w:tc>
          <w:tcPr>
            <w:tcW w:w="1933" w:type="dxa"/>
            <w:shd w:val="clear" w:color="auto" w:fill="auto"/>
            <w:vAlign w:val="center"/>
          </w:tcPr>
          <w:p w14:paraId="47103B74">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1.观察动能和势能相互转化的实验现象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双锥体上滚实验，运用的原理是重心运动</w:t>
            </w:r>
          </w:p>
        </w:tc>
        <w:tc>
          <w:tcPr>
            <w:tcW w:w="700" w:type="dxa"/>
            <w:shd w:val="clear" w:color="auto" w:fill="auto"/>
            <w:vAlign w:val="center"/>
          </w:tcPr>
          <w:p w14:paraId="7288F92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vAlign w:val="center"/>
          </w:tcPr>
          <w:p w14:paraId="1A51CE9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406684F4">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4E3EAB33">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784C1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51EF8F2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30</w:t>
            </w:r>
          </w:p>
        </w:tc>
        <w:tc>
          <w:tcPr>
            <w:tcW w:w="1071" w:type="dxa"/>
            <w:shd w:val="clear" w:color="auto" w:fill="auto"/>
            <w:vAlign w:val="center"/>
          </w:tcPr>
          <w:p w14:paraId="374613D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单摆运动规律实验器</w:t>
            </w:r>
          </w:p>
        </w:tc>
        <w:tc>
          <w:tcPr>
            <w:tcW w:w="7783" w:type="dxa"/>
            <w:shd w:val="clear" w:color="auto" w:fill="auto"/>
            <w:vAlign w:val="center"/>
          </w:tcPr>
          <w:p w14:paraId="0ED12280">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单摆半圆角度仪、双孔单摆悬臂杆、钓鱼线、带孔钢球等。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单摆半圆角度仪：</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规格：直径≥200mm，厚度≥3mm，半圆形；材质：铝合金；工艺：细喷砂本色阳极化，双色丝印角度盘；功能描述：用于单摆实验器，提供角度指示；</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双孔单摆悬臂杆：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规格：直径≥10mm，长度≥200mm，带3mm孔2个，间隔≥30mm；材质：304不锈钢；工艺：精加工；功能描述：配合双向转接头，作为1个或2个单摆的悬臂杆。</w:t>
            </w:r>
          </w:p>
        </w:tc>
        <w:tc>
          <w:tcPr>
            <w:tcW w:w="1933" w:type="dxa"/>
            <w:shd w:val="clear" w:color="auto" w:fill="auto"/>
            <w:vAlign w:val="center"/>
          </w:tcPr>
          <w:p w14:paraId="33DE49EA">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1.观察动能和势能相互转化的实验现象</w:t>
            </w:r>
          </w:p>
        </w:tc>
        <w:tc>
          <w:tcPr>
            <w:tcW w:w="700" w:type="dxa"/>
            <w:shd w:val="clear" w:color="auto" w:fill="auto"/>
            <w:vAlign w:val="center"/>
          </w:tcPr>
          <w:p w14:paraId="3376849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noWrap/>
            <w:vAlign w:val="center"/>
          </w:tcPr>
          <w:p w14:paraId="3DB8AC2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4CAA3A64">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2CA2347C">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67DAC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5A9A181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31</w:t>
            </w:r>
          </w:p>
        </w:tc>
        <w:tc>
          <w:tcPr>
            <w:tcW w:w="1071" w:type="dxa"/>
            <w:shd w:val="clear" w:color="auto" w:fill="auto"/>
            <w:vAlign w:val="center"/>
          </w:tcPr>
          <w:p w14:paraId="0F425F8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蒸汽机模型</w:t>
            </w:r>
          </w:p>
        </w:tc>
        <w:tc>
          <w:tcPr>
            <w:tcW w:w="7783" w:type="dxa"/>
            <w:shd w:val="clear" w:color="auto" w:fill="auto"/>
            <w:vAlign w:val="center"/>
          </w:tcPr>
          <w:p w14:paraId="1E110B95">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双推动力蒸汽机，通过换向阀控制蒸汽，由气缸、气路、活塞、曲柄、连杆、飞轮、气室、换向阀等部件组成。可选择气源吹动或手动，配有调速机构。</w:t>
            </w:r>
          </w:p>
        </w:tc>
        <w:tc>
          <w:tcPr>
            <w:tcW w:w="1933" w:type="dxa"/>
            <w:shd w:val="clear" w:color="auto" w:fill="auto"/>
            <w:vAlign w:val="center"/>
          </w:tcPr>
          <w:p w14:paraId="19007443">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1.观察热机的工作过程</w:t>
            </w:r>
          </w:p>
        </w:tc>
        <w:tc>
          <w:tcPr>
            <w:tcW w:w="700" w:type="dxa"/>
            <w:shd w:val="clear" w:color="auto" w:fill="auto"/>
            <w:vAlign w:val="center"/>
          </w:tcPr>
          <w:p w14:paraId="712DAA8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vAlign w:val="center"/>
          </w:tcPr>
          <w:p w14:paraId="4E353C7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350FB194">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337CC6CA">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794B5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2910E1C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32</w:t>
            </w:r>
          </w:p>
        </w:tc>
        <w:tc>
          <w:tcPr>
            <w:tcW w:w="1071" w:type="dxa"/>
            <w:shd w:val="clear" w:color="auto" w:fill="auto"/>
            <w:vAlign w:val="center"/>
          </w:tcPr>
          <w:p w14:paraId="26C42B0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汽油机模型</w:t>
            </w:r>
          </w:p>
        </w:tc>
        <w:tc>
          <w:tcPr>
            <w:tcW w:w="7783" w:type="dxa"/>
            <w:shd w:val="clear" w:color="auto" w:fill="auto"/>
            <w:vAlign w:val="center"/>
          </w:tcPr>
          <w:p w14:paraId="1864EFBE">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四冲程单缸汽油机剖面模型，由进气管、进气阀、排气管、排气阀、气缸、活塞、连杆、曲轴、火花塞、齿轮凸轮总成、飞轮、挺杆等组成，可手动转动。</w:t>
            </w:r>
          </w:p>
        </w:tc>
        <w:tc>
          <w:tcPr>
            <w:tcW w:w="1933" w:type="dxa"/>
            <w:shd w:val="clear" w:color="auto" w:fill="auto"/>
            <w:vAlign w:val="center"/>
          </w:tcPr>
          <w:p w14:paraId="02A43C0F">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1.观察热机的工作过程</w:t>
            </w:r>
          </w:p>
        </w:tc>
        <w:tc>
          <w:tcPr>
            <w:tcW w:w="700" w:type="dxa"/>
            <w:shd w:val="clear" w:color="auto" w:fill="auto"/>
            <w:vAlign w:val="center"/>
          </w:tcPr>
          <w:p w14:paraId="07C4A2C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个</w:t>
            </w:r>
          </w:p>
        </w:tc>
        <w:tc>
          <w:tcPr>
            <w:tcW w:w="723" w:type="dxa"/>
            <w:shd w:val="clear" w:color="auto" w:fill="auto"/>
            <w:vAlign w:val="center"/>
          </w:tcPr>
          <w:p w14:paraId="3AF320B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291F5754">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750C960B">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3E568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54A4ADD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33</w:t>
            </w:r>
          </w:p>
        </w:tc>
        <w:tc>
          <w:tcPr>
            <w:tcW w:w="1071" w:type="dxa"/>
            <w:shd w:val="clear" w:color="auto" w:fill="auto"/>
            <w:vAlign w:val="center"/>
          </w:tcPr>
          <w:p w14:paraId="5112BE9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柴油机模型</w:t>
            </w:r>
          </w:p>
        </w:tc>
        <w:tc>
          <w:tcPr>
            <w:tcW w:w="7783" w:type="dxa"/>
            <w:shd w:val="clear" w:color="auto" w:fill="auto"/>
            <w:vAlign w:val="center"/>
          </w:tcPr>
          <w:p w14:paraId="16A5BCAD">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四冲程单缸柴油机剖面模型。由进气管、进气阀、排气管、排气阀、气缸、活塞、连杆、曲轴、喷油嘴、齿轮凸轮总成、飞轮、挺杆组成。可手动转动。</w:t>
            </w:r>
          </w:p>
        </w:tc>
        <w:tc>
          <w:tcPr>
            <w:tcW w:w="1933" w:type="dxa"/>
            <w:shd w:val="clear" w:color="auto" w:fill="auto"/>
            <w:vAlign w:val="center"/>
          </w:tcPr>
          <w:p w14:paraId="310E0646">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1.观察热机的工作过程</w:t>
            </w:r>
          </w:p>
        </w:tc>
        <w:tc>
          <w:tcPr>
            <w:tcW w:w="700" w:type="dxa"/>
            <w:shd w:val="clear" w:color="auto" w:fill="auto"/>
            <w:vAlign w:val="center"/>
          </w:tcPr>
          <w:p w14:paraId="1C2DFE2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个</w:t>
            </w:r>
          </w:p>
        </w:tc>
        <w:tc>
          <w:tcPr>
            <w:tcW w:w="723" w:type="dxa"/>
            <w:shd w:val="clear" w:color="auto" w:fill="auto"/>
            <w:vAlign w:val="center"/>
          </w:tcPr>
          <w:p w14:paraId="3261546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37A7CC55">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3BFDF41B">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47846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1948D41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34</w:t>
            </w:r>
          </w:p>
        </w:tc>
        <w:tc>
          <w:tcPr>
            <w:tcW w:w="1071" w:type="dxa"/>
            <w:shd w:val="clear" w:color="auto" w:fill="auto"/>
            <w:vAlign w:val="center"/>
          </w:tcPr>
          <w:p w14:paraId="2BF11BF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演示电流表（磁吸）</w:t>
            </w:r>
          </w:p>
        </w:tc>
        <w:tc>
          <w:tcPr>
            <w:tcW w:w="7783" w:type="dxa"/>
            <w:shd w:val="clear" w:color="auto" w:fill="auto"/>
            <w:vAlign w:val="center"/>
          </w:tcPr>
          <w:p w14:paraId="3D2C61FC">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由外壳、表盘、调零旋钮、香蕉插头接线柱等组成。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外形尺寸：≥330mm*290mm*60mm（±5mm）；材质工艺：ABS塑料精密注塑成型；量程：≥-0.2A～0.6 A/-1A～3 A 双量程，功能描述：磁吸式，内嵌磁铁，可调零，可以吸附在黑板，进行演示操作。</w:t>
            </w:r>
          </w:p>
        </w:tc>
        <w:tc>
          <w:tcPr>
            <w:tcW w:w="1933" w:type="dxa"/>
            <w:shd w:val="clear" w:color="auto" w:fill="auto"/>
            <w:vAlign w:val="center"/>
          </w:tcPr>
          <w:p w14:paraId="65973BDE">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配套仪器</w:t>
            </w:r>
          </w:p>
        </w:tc>
        <w:tc>
          <w:tcPr>
            <w:tcW w:w="700" w:type="dxa"/>
            <w:shd w:val="clear" w:color="auto" w:fill="auto"/>
            <w:vAlign w:val="center"/>
          </w:tcPr>
          <w:p w14:paraId="13273D9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只</w:t>
            </w:r>
          </w:p>
        </w:tc>
        <w:tc>
          <w:tcPr>
            <w:tcW w:w="723" w:type="dxa"/>
            <w:shd w:val="clear" w:color="auto" w:fill="auto"/>
            <w:vAlign w:val="center"/>
          </w:tcPr>
          <w:p w14:paraId="3BED56F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6EB63E85">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3AEA656F">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3C8A2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0E888C5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35</w:t>
            </w:r>
          </w:p>
        </w:tc>
        <w:tc>
          <w:tcPr>
            <w:tcW w:w="1071" w:type="dxa"/>
            <w:shd w:val="clear" w:color="auto" w:fill="auto"/>
            <w:vAlign w:val="center"/>
          </w:tcPr>
          <w:p w14:paraId="2CAA649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演示电压表（磁吸）</w:t>
            </w:r>
          </w:p>
        </w:tc>
        <w:tc>
          <w:tcPr>
            <w:tcW w:w="7783" w:type="dxa"/>
            <w:shd w:val="clear" w:color="auto" w:fill="auto"/>
            <w:vAlign w:val="center"/>
          </w:tcPr>
          <w:p w14:paraId="5DA34804">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由外壳、表盘、调零旋钮、香蕉插头接线柱等组成。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外形尺寸：≥330mm*290mm*60mm（±5mm）；材质工艺：ABS塑料精密注塑成型；量程：≥-1V～3V/-3V～15 V 双量程；功能描述：磁吸式，内嵌磁铁，可调零，可以吸附在黑板，进行演示操作。</w:t>
            </w:r>
          </w:p>
        </w:tc>
        <w:tc>
          <w:tcPr>
            <w:tcW w:w="1933" w:type="dxa"/>
            <w:shd w:val="clear" w:color="auto" w:fill="auto"/>
            <w:vAlign w:val="center"/>
          </w:tcPr>
          <w:p w14:paraId="457055C8">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配套仪器</w:t>
            </w:r>
          </w:p>
        </w:tc>
        <w:tc>
          <w:tcPr>
            <w:tcW w:w="700" w:type="dxa"/>
            <w:shd w:val="clear" w:color="auto" w:fill="auto"/>
            <w:vAlign w:val="center"/>
          </w:tcPr>
          <w:p w14:paraId="0559175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只</w:t>
            </w:r>
          </w:p>
        </w:tc>
        <w:tc>
          <w:tcPr>
            <w:tcW w:w="723" w:type="dxa"/>
            <w:shd w:val="clear" w:color="auto" w:fill="auto"/>
            <w:vAlign w:val="center"/>
          </w:tcPr>
          <w:p w14:paraId="4A7B791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6AD5908D">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21CDC54C">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77D47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3B88C26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36</w:t>
            </w:r>
          </w:p>
        </w:tc>
        <w:tc>
          <w:tcPr>
            <w:tcW w:w="1071" w:type="dxa"/>
            <w:shd w:val="clear" w:color="auto" w:fill="auto"/>
            <w:vAlign w:val="center"/>
          </w:tcPr>
          <w:p w14:paraId="7EDDF1B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演示灵敏电流计（磁吸）</w:t>
            </w:r>
          </w:p>
        </w:tc>
        <w:tc>
          <w:tcPr>
            <w:tcW w:w="7783" w:type="dxa"/>
            <w:shd w:val="clear" w:color="auto" w:fill="auto"/>
            <w:vAlign w:val="center"/>
          </w:tcPr>
          <w:p w14:paraId="5CA21E1F">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由外壳、表盘、调零旋钮、香蕉插头接线柱等组成。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外形尺寸：≥330mm*290mm*60mm（±5mm）；材质工艺：ABS塑料精密注塑成型；量程：≥-300μA～300μA；功能描述：磁吸式，内嵌磁铁，可以吸附在黑板，进行演示操作。</w:t>
            </w:r>
          </w:p>
        </w:tc>
        <w:tc>
          <w:tcPr>
            <w:tcW w:w="1933" w:type="dxa"/>
            <w:shd w:val="clear" w:color="auto" w:fill="auto"/>
            <w:vAlign w:val="center"/>
          </w:tcPr>
          <w:p w14:paraId="2F286C9F">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配套仪器</w:t>
            </w:r>
          </w:p>
        </w:tc>
        <w:tc>
          <w:tcPr>
            <w:tcW w:w="700" w:type="dxa"/>
            <w:shd w:val="clear" w:color="auto" w:fill="auto"/>
            <w:vAlign w:val="center"/>
          </w:tcPr>
          <w:p w14:paraId="65A14DD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只</w:t>
            </w:r>
          </w:p>
        </w:tc>
        <w:tc>
          <w:tcPr>
            <w:tcW w:w="723" w:type="dxa"/>
            <w:shd w:val="clear" w:color="auto" w:fill="auto"/>
            <w:vAlign w:val="center"/>
          </w:tcPr>
          <w:p w14:paraId="7DD1301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5CB81541">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398F04C8">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721E6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7E64D2C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37</w:t>
            </w:r>
          </w:p>
        </w:tc>
        <w:tc>
          <w:tcPr>
            <w:tcW w:w="1071" w:type="dxa"/>
            <w:shd w:val="clear" w:color="auto" w:fill="auto"/>
            <w:vAlign w:val="center"/>
          </w:tcPr>
          <w:p w14:paraId="220932F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演示电表（磁吸）</w:t>
            </w:r>
          </w:p>
        </w:tc>
        <w:tc>
          <w:tcPr>
            <w:tcW w:w="7783" w:type="dxa"/>
            <w:shd w:val="clear" w:color="auto" w:fill="auto"/>
            <w:vAlign w:val="center"/>
          </w:tcPr>
          <w:p w14:paraId="58337F10">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由外壳、表盘、调零旋钮、香蕉插头接线柱等组成。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外形尺寸：≥330mm*290mm*60mm（±5mm）；材质工艺：ABS塑料精密注塑成型；功能描述：直流电流：≥0.5 A、(2)5 A；直流电压：≥5 V、10 V，检流：≥－100 μA～100 μA；磁吸式，内嵌磁铁，可以吸附在黑板，进行演示操作。</w:t>
            </w:r>
          </w:p>
        </w:tc>
        <w:tc>
          <w:tcPr>
            <w:tcW w:w="1933" w:type="dxa"/>
            <w:shd w:val="clear" w:color="auto" w:fill="auto"/>
            <w:vAlign w:val="center"/>
          </w:tcPr>
          <w:p w14:paraId="20691C6A">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配套仪器</w:t>
            </w:r>
          </w:p>
        </w:tc>
        <w:tc>
          <w:tcPr>
            <w:tcW w:w="700" w:type="dxa"/>
            <w:shd w:val="clear" w:color="auto" w:fill="auto"/>
            <w:vAlign w:val="center"/>
          </w:tcPr>
          <w:p w14:paraId="0456AD0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只</w:t>
            </w:r>
          </w:p>
        </w:tc>
        <w:tc>
          <w:tcPr>
            <w:tcW w:w="723" w:type="dxa"/>
            <w:shd w:val="clear" w:color="auto" w:fill="auto"/>
            <w:vAlign w:val="center"/>
          </w:tcPr>
          <w:p w14:paraId="1112115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160F9E06">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370B899E">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6DC86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7E96F3D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38</w:t>
            </w:r>
          </w:p>
        </w:tc>
        <w:tc>
          <w:tcPr>
            <w:tcW w:w="1071" w:type="dxa"/>
            <w:shd w:val="clear" w:color="auto" w:fill="auto"/>
            <w:vAlign w:val="center"/>
          </w:tcPr>
          <w:p w14:paraId="7CBA343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数字演示电表（磁吸）</w:t>
            </w:r>
          </w:p>
        </w:tc>
        <w:tc>
          <w:tcPr>
            <w:tcW w:w="7783" w:type="dxa"/>
            <w:shd w:val="clear" w:color="auto" w:fill="auto"/>
            <w:vAlign w:val="center"/>
          </w:tcPr>
          <w:p w14:paraId="0717A908">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由外壳、A/D转换集成电路、LED大屏幕、开关、档位按键、功能选择按键等组成。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外形尺寸：≥330mm*290mm*60mm（±5mm）；材质工艺：ABS塑料精密注塑成型；显示方式：超高亮LED发光数码管显示；测量方式：微处理器控制双积分式A/D转换；功能描述：1、双面显示，同一物理量能自动 转换量程；自动过载保护，故障排除自动恢复；2、交流供电，采用 II 类变压器。</w:t>
            </w:r>
          </w:p>
        </w:tc>
        <w:tc>
          <w:tcPr>
            <w:tcW w:w="1933" w:type="dxa"/>
            <w:shd w:val="clear" w:color="auto" w:fill="auto"/>
            <w:vAlign w:val="center"/>
          </w:tcPr>
          <w:p w14:paraId="2A5BEDE2">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配套仪器</w:t>
            </w:r>
          </w:p>
        </w:tc>
        <w:tc>
          <w:tcPr>
            <w:tcW w:w="700" w:type="dxa"/>
            <w:shd w:val="clear" w:color="auto" w:fill="auto"/>
            <w:vAlign w:val="center"/>
          </w:tcPr>
          <w:p w14:paraId="3258224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只</w:t>
            </w:r>
          </w:p>
        </w:tc>
        <w:tc>
          <w:tcPr>
            <w:tcW w:w="723" w:type="dxa"/>
            <w:shd w:val="clear" w:color="auto" w:fill="auto"/>
            <w:vAlign w:val="center"/>
          </w:tcPr>
          <w:p w14:paraId="6BAB8AF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5D8AD00F">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22D36D24">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23E46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7DD95D5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39</w:t>
            </w:r>
          </w:p>
        </w:tc>
        <w:tc>
          <w:tcPr>
            <w:tcW w:w="1071" w:type="dxa"/>
            <w:shd w:val="clear" w:color="auto" w:fill="auto"/>
            <w:vAlign w:val="center"/>
          </w:tcPr>
          <w:p w14:paraId="0BFB60A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电阻定律演示器</w:t>
            </w:r>
          </w:p>
        </w:tc>
        <w:tc>
          <w:tcPr>
            <w:tcW w:w="7783" w:type="dxa"/>
            <w:shd w:val="clear" w:color="auto" w:fill="auto"/>
            <w:vAlign w:val="center"/>
          </w:tcPr>
          <w:p w14:paraId="1377E93D">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由亚克力面板、金属导线、铜螺柱、接线柱、电阻定律演示器支架等组成。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亚克力面板：尺寸规格：≥1050mm*185mm*78mm（±5mm），厚度5mm；材质：黑色亚克力，良好耐候性；功能描述：良好的载体功能，为金属丝、铜螺柱以及接线柱提供良好的安装载体；表面刻度丝印，具有快速准确的测量长度的功能，同时具备较好的绝缘性，提高实验的准确度。</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金属导线：材质：镍铬丝，康铜丝；功能描述：提供倍数性变化的金属丝，配合不同的材料，采用控制变量的实验方法，确保实验的准确性。</w:t>
            </w:r>
          </w:p>
        </w:tc>
        <w:tc>
          <w:tcPr>
            <w:tcW w:w="1933" w:type="dxa"/>
            <w:shd w:val="clear" w:color="auto" w:fill="auto"/>
            <w:vAlign w:val="center"/>
          </w:tcPr>
          <w:p w14:paraId="4F1920E9">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1.用电流表和电压表测量电阻</w:t>
            </w:r>
          </w:p>
        </w:tc>
        <w:tc>
          <w:tcPr>
            <w:tcW w:w="700" w:type="dxa"/>
            <w:shd w:val="clear" w:color="auto" w:fill="auto"/>
            <w:vAlign w:val="center"/>
          </w:tcPr>
          <w:p w14:paraId="7F44FBF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台</w:t>
            </w:r>
          </w:p>
        </w:tc>
        <w:tc>
          <w:tcPr>
            <w:tcW w:w="723" w:type="dxa"/>
            <w:shd w:val="clear" w:color="auto" w:fill="auto"/>
            <w:vAlign w:val="center"/>
          </w:tcPr>
          <w:p w14:paraId="2A05640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77D5E470">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7DA9B1FD">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614E2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4737C0B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40</w:t>
            </w:r>
          </w:p>
        </w:tc>
        <w:tc>
          <w:tcPr>
            <w:tcW w:w="1071" w:type="dxa"/>
            <w:shd w:val="clear" w:color="auto" w:fill="auto"/>
            <w:vAlign w:val="center"/>
          </w:tcPr>
          <w:p w14:paraId="1BE36F0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焦耳定律演示器</w:t>
            </w:r>
          </w:p>
        </w:tc>
        <w:tc>
          <w:tcPr>
            <w:tcW w:w="7783" w:type="dxa"/>
            <w:shd w:val="clear" w:color="auto" w:fill="auto"/>
            <w:vAlign w:val="center"/>
          </w:tcPr>
          <w:p w14:paraId="3266AB26">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由透明贮液筒、底座、电阻、数显温度计等组成。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外形尺寸≥660mm*470mm（±5mm）；上下为铝型材结构，具有良好的抗拉强度，表面黑色氧化细喷砂处理。左右为ABS塑料精密注塑成型边框；仪器面板表面印有原理电路图，配有透明透明贮液筒（带底座）≥3个，电阻≥4个，一次实验可直接完成以下焦耳定律相关演示。</w:t>
            </w:r>
          </w:p>
        </w:tc>
        <w:tc>
          <w:tcPr>
            <w:tcW w:w="1933" w:type="dxa"/>
            <w:shd w:val="clear" w:color="auto" w:fill="auto"/>
            <w:vAlign w:val="center"/>
          </w:tcPr>
          <w:p w14:paraId="1511740C">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1.观察电能转化为内能的实验现象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2.探究电流产生热量与哪些因素有关</w:t>
            </w:r>
          </w:p>
        </w:tc>
        <w:tc>
          <w:tcPr>
            <w:tcW w:w="700" w:type="dxa"/>
            <w:shd w:val="clear" w:color="auto" w:fill="auto"/>
            <w:vAlign w:val="center"/>
          </w:tcPr>
          <w:p w14:paraId="3B8652F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vAlign w:val="center"/>
          </w:tcPr>
          <w:p w14:paraId="2EC83E0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24B57266">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65C0CFC1">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02A33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5" w:type="dxa"/>
            <w:shd w:val="clear" w:color="auto" w:fill="auto"/>
            <w:vAlign w:val="center"/>
          </w:tcPr>
          <w:p w14:paraId="03CF1B0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41</w:t>
            </w:r>
          </w:p>
        </w:tc>
        <w:tc>
          <w:tcPr>
            <w:tcW w:w="1071" w:type="dxa"/>
            <w:shd w:val="clear" w:color="auto" w:fill="auto"/>
            <w:vAlign w:val="center"/>
          </w:tcPr>
          <w:p w14:paraId="2038184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家庭电路示教板A款</w:t>
            </w:r>
          </w:p>
        </w:tc>
        <w:tc>
          <w:tcPr>
            <w:tcW w:w="7783" w:type="dxa"/>
            <w:shd w:val="clear" w:color="auto" w:fill="auto"/>
            <w:vAlign w:val="center"/>
          </w:tcPr>
          <w:p w14:paraId="3930EABE">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由电能表（5A）、漏电保护器、闸刀开关、保险丝盒、插座、螺口灯座、螺口灯泡、卡口灯座、卡口灯泡、拉线开关、倒板开关、AC电源插座、电源线等组成。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外形尺寸≥1070mm*470mm（±5mm）；上下为铝型材结构，具有良好的抗拉强度，表面黑色氧化细喷砂处理。左右为ABS塑料精密注塑成型边框。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仪器面板表面印有原理电路图，电路图中包含家庭电路中的常用用电器、常用开关、漏电保护、电能表等。导线采用暗线布置，内部接线与面板上的电路图一致。火线为红色，零线为蓝色，保护地线为黄绿双色。开关电极左面是零线，右面是火线。</w:t>
            </w:r>
          </w:p>
        </w:tc>
        <w:tc>
          <w:tcPr>
            <w:tcW w:w="1933" w:type="dxa"/>
            <w:shd w:val="clear" w:color="auto" w:fill="auto"/>
            <w:vAlign w:val="center"/>
          </w:tcPr>
          <w:p w14:paraId="20066D31">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1.用低压电模拟家庭电路中的安全用电</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家庭电路的组成</w:t>
            </w:r>
          </w:p>
        </w:tc>
        <w:tc>
          <w:tcPr>
            <w:tcW w:w="700" w:type="dxa"/>
            <w:shd w:val="clear" w:color="auto" w:fill="auto"/>
            <w:vAlign w:val="center"/>
          </w:tcPr>
          <w:p w14:paraId="3BE0D63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vAlign w:val="center"/>
          </w:tcPr>
          <w:p w14:paraId="7AC300E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7D64164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1903B89F">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7C185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082C644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42</w:t>
            </w:r>
          </w:p>
        </w:tc>
        <w:tc>
          <w:tcPr>
            <w:tcW w:w="1071" w:type="dxa"/>
            <w:shd w:val="clear" w:color="auto" w:fill="auto"/>
            <w:vAlign w:val="center"/>
          </w:tcPr>
          <w:p w14:paraId="0A5CCB3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家庭电路示教板B款</w:t>
            </w:r>
          </w:p>
        </w:tc>
        <w:tc>
          <w:tcPr>
            <w:tcW w:w="7783" w:type="dxa"/>
            <w:shd w:val="clear" w:color="auto" w:fill="auto"/>
            <w:vAlign w:val="center"/>
          </w:tcPr>
          <w:p w14:paraId="6DCA1FEB">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由电能表（5A）、漏电保护器、声光开关、插座、螺口灯座、螺口灯泡、卡口灯座、卡口灯泡、拉线开关、倒板开关、AC电源插座、电源线等组成。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外形尺寸≥1070mm*470mm（±5mm）；上下为铝型材结构，具有良好的抗拉强度，表面黑色氧化细喷砂处理。左右为ABS塑料精密注塑成型边框。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仪器面板表面印有原理电路图，电路图中包含家庭电路中的常用用电器、常用开关、声光开关、漏电保护器、电能表等。导线采用暗线布置，内部接线与面板上的电路图一致。火线为红色，零线为蓝色，保护地线为黄绿双色。开关电极应为左面是零线，右面是火线。</w:t>
            </w:r>
          </w:p>
        </w:tc>
        <w:tc>
          <w:tcPr>
            <w:tcW w:w="1933" w:type="dxa"/>
            <w:shd w:val="clear" w:color="auto" w:fill="auto"/>
            <w:vAlign w:val="center"/>
          </w:tcPr>
          <w:p w14:paraId="5D453151">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1.用低压电模拟家庭电路中的安全用电</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家庭电路的组成</w:t>
            </w:r>
          </w:p>
        </w:tc>
        <w:tc>
          <w:tcPr>
            <w:tcW w:w="700" w:type="dxa"/>
            <w:shd w:val="clear" w:color="auto" w:fill="auto"/>
            <w:vAlign w:val="center"/>
          </w:tcPr>
          <w:p w14:paraId="10D73AA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vAlign w:val="center"/>
          </w:tcPr>
          <w:p w14:paraId="7AB3F95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191D4962">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3E71C933">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5A51A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5" w:type="dxa"/>
            <w:shd w:val="clear" w:color="auto" w:fill="auto"/>
            <w:vAlign w:val="center"/>
          </w:tcPr>
          <w:p w14:paraId="44FB65B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43</w:t>
            </w:r>
          </w:p>
        </w:tc>
        <w:tc>
          <w:tcPr>
            <w:tcW w:w="1071" w:type="dxa"/>
            <w:shd w:val="clear" w:color="auto" w:fill="auto"/>
            <w:vAlign w:val="center"/>
          </w:tcPr>
          <w:p w14:paraId="15376D3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安全用电示教板</w:t>
            </w:r>
          </w:p>
        </w:tc>
        <w:tc>
          <w:tcPr>
            <w:tcW w:w="7783" w:type="dxa"/>
            <w:shd w:val="clear" w:color="auto" w:fill="auto"/>
            <w:vAlign w:val="center"/>
          </w:tcPr>
          <w:p w14:paraId="62198795">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由示教板、仿真人等组成。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示教板：外形尺≥寸660mm*470mm（±5mm）；上下为铝型材结构，具有良好的抗拉强度，表面黑色氧化细喷砂处理。左右为ABS塑料精密注塑成型边框。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仿真人：亚克力材质，自带灯珠，可模拟触电时的电流路线。手脚可吸附在示教板上。</w:t>
            </w:r>
          </w:p>
        </w:tc>
        <w:tc>
          <w:tcPr>
            <w:tcW w:w="1933" w:type="dxa"/>
            <w:shd w:val="clear" w:color="auto" w:fill="auto"/>
            <w:vAlign w:val="center"/>
          </w:tcPr>
          <w:p w14:paraId="2564B199">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1.用低压电模拟家庭电路中的安全用电</w:t>
            </w:r>
          </w:p>
        </w:tc>
        <w:tc>
          <w:tcPr>
            <w:tcW w:w="700" w:type="dxa"/>
            <w:shd w:val="clear" w:color="auto" w:fill="auto"/>
            <w:vAlign w:val="center"/>
          </w:tcPr>
          <w:p w14:paraId="6B57A74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23" w:type="dxa"/>
            <w:shd w:val="clear" w:color="auto" w:fill="auto"/>
            <w:vAlign w:val="center"/>
          </w:tcPr>
          <w:p w14:paraId="672F787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3" w:type="dxa"/>
            <w:shd w:val="clear" w:color="auto" w:fill="auto"/>
            <w:noWrap/>
            <w:vAlign w:val="center"/>
          </w:tcPr>
          <w:p w14:paraId="68B0A7EA">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7AAD9FD5">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0BC8C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13638" w:type="dxa"/>
            <w:gridSpan w:val="7"/>
            <w:shd w:val="clear" w:color="auto" w:fill="auto"/>
            <w:noWrap/>
            <w:vAlign w:val="center"/>
          </w:tcPr>
          <w:p w14:paraId="6A2920C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小计：</w:t>
            </w:r>
          </w:p>
        </w:tc>
        <w:tc>
          <w:tcPr>
            <w:tcW w:w="942" w:type="dxa"/>
            <w:shd w:val="clear" w:color="auto" w:fill="auto"/>
            <w:noWrap/>
            <w:vAlign w:val="center"/>
          </w:tcPr>
          <w:p w14:paraId="51FE2591">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 xml:space="preserve"> </w:t>
            </w:r>
          </w:p>
        </w:tc>
      </w:tr>
      <w:tr w14:paraId="1756B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3638" w:type="dxa"/>
            <w:gridSpan w:val="7"/>
            <w:shd w:val="clear" w:color="auto" w:fill="auto"/>
            <w:noWrap/>
            <w:vAlign w:val="center"/>
          </w:tcPr>
          <w:p w14:paraId="5505CBC3">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合计：</w:t>
            </w:r>
          </w:p>
        </w:tc>
        <w:tc>
          <w:tcPr>
            <w:tcW w:w="942" w:type="dxa"/>
            <w:shd w:val="clear" w:color="auto" w:fill="auto"/>
            <w:noWrap/>
            <w:vAlign w:val="center"/>
          </w:tcPr>
          <w:p w14:paraId="5B75D7E9">
            <w:pPr>
              <w:keepNext w:val="0"/>
              <w:keepLines w:val="0"/>
              <w:widowControl/>
              <w:suppressLineNumbers w:val="0"/>
              <w:wordWrap w:val="0"/>
              <w:jc w:val="righ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 xml:space="preserve"> </w:t>
            </w:r>
          </w:p>
        </w:tc>
      </w:tr>
    </w:tbl>
    <w:p w14:paraId="07478147">
      <w:pPr>
        <w:rPr>
          <w:b w:val="0"/>
          <w:bCs w:val="0"/>
          <w:color w:val="auto"/>
        </w:rPr>
      </w:pPr>
    </w:p>
    <w:p w14:paraId="615BB707">
      <w:pPr>
        <w:rPr>
          <w:b w:val="0"/>
          <w:bCs w:val="0"/>
          <w:color w:val="auto"/>
        </w:rPr>
      </w:pPr>
    </w:p>
    <w:p w14:paraId="3F6FEA00">
      <w:pPr>
        <w:rPr>
          <w:b w:val="0"/>
          <w:bCs w:val="0"/>
          <w:color w:val="auto"/>
        </w:rPr>
      </w:pPr>
    </w:p>
    <w:p w14:paraId="22B77F70">
      <w:pPr>
        <w:rPr>
          <w:b w:val="0"/>
          <w:bCs w:val="0"/>
          <w:color w:val="auto"/>
        </w:rPr>
      </w:pPr>
    </w:p>
    <w:p w14:paraId="3272CE75">
      <w:pPr>
        <w:rPr>
          <w:b w:val="0"/>
          <w:bCs w:val="0"/>
          <w:color w:val="auto"/>
        </w:rPr>
      </w:pPr>
    </w:p>
    <w:p w14:paraId="375D3D83">
      <w:pPr>
        <w:rPr>
          <w:b w:val="0"/>
          <w:bCs w:val="0"/>
          <w:color w:val="auto"/>
        </w:rPr>
      </w:pPr>
    </w:p>
    <w:p w14:paraId="66ACEF90">
      <w:pPr>
        <w:rPr>
          <w:b w:val="0"/>
          <w:bCs w:val="0"/>
          <w:color w:val="auto"/>
        </w:rPr>
      </w:pPr>
    </w:p>
    <w:p w14:paraId="0A7F53BC">
      <w:pPr>
        <w:rPr>
          <w:b w:val="0"/>
          <w:bCs w:val="0"/>
          <w:color w:val="auto"/>
        </w:rPr>
      </w:pPr>
    </w:p>
    <w:p w14:paraId="22866BE3">
      <w:pPr>
        <w:rPr>
          <w:b w:val="0"/>
          <w:bCs w:val="0"/>
          <w:color w:val="auto"/>
        </w:rPr>
      </w:pPr>
    </w:p>
    <w:p w14:paraId="205FFF0E">
      <w:pPr>
        <w:rPr>
          <w:b w:val="0"/>
          <w:bCs w:val="0"/>
          <w:color w:val="auto"/>
        </w:rPr>
      </w:pPr>
    </w:p>
    <w:p w14:paraId="3F27FD92">
      <w:pPr>
        <w:rPr>
          <w:b w:val="0"/>
          <w:bCs w:val="0"/>
          <w:color w:val="auto"/>
        </w:rPr>
      </w:pPr>
    </w:p>
    <w:p w14:paraId="7FD3E2D9">
      <w:pPr>
        <w:rPr>
          <w:b w:val="0"/>
          <w:bCs w:val="0"/>
          <w:color w:val="auto"/>
        </w:rPr>
      </w:pPr>
    </w:p>
    <w:p w14:paraId="46E23789">
      <w:pPr>
        <w:rPr>
          <w:b w:val="0"/>
          <w:bCs w:val="0"/>
          <w:color w:val="auto"/>
        </w:rPr>
      </w:pPr>
    </w:p>
    <w:p w14:paraId="2C13C680">
      <w:pPr>
        <w:rPr>
          <w:b w:val="0"/>
          <w:bCs w:val="0"/>
          <w:color w:val="auto"/>
        </w:rPr>
      </w:pPr>
    </w:p>
    <w:p w14:paraId="1642F34C">
      <w:pPr>
        <w:rPr>
          <w:b w:val="0"/>
          <w:bCs w:val="0"/>
          <w:color w:val="auto"/>
        </w:rPr>
      </w:pPr>
    </w:p>
    <w:p w14:paraId="5FE3DDB7">
      <w:pPr>
        <w:rPr>
          <w:b w:val="0"/>
          <w:bCs w:val="0"/>
          <w:color w:val="auto"/>
        </w:rPr>
      </w:pPr>
    </w:p>
    <w:p w14:paraId="515B0679">
      <w:pPr>
        <w:rPr>
          <w:b w:val="0"/>
          <w:bCs w:val="0"/>
          <w:color w:val="auto"/>
        </w:rPr>
      </w:pPr>
    </w:p>
    <w:p w14:paraId="28F84B13">
      <w:pPr>
        <w:rPr>
          <w:b w:val="0"/>
          <w:bCs w:val="0"/>
          <w:color w:val="auto"/>
        </w:rPr>
      </w:pPr>
    </w:p>
    <w:p w14:paraId="14F7942A">
      <w:pPr>
        <w:rPr>
          <w:b w:val="0"/>
          <w:bCs w:val="0"/>
          <w:color w:val="auto"/>
        </w:rPr>
      </w:pPr>
    </w:p>
    <w:p w14:paraId="53B6E479">
      <w:pPr>
        <w:rPr>
          <w:b w:val="0"/>
          <w:bCs w:val="0"/>
          <w:color w:val="auto"/>
        </w:rPr>
      </w:pPr>
    </w:p>
    <w:p w14:paraId="4DE5264C">
      <w:pPr>
        <w:rPr>
          <w:b w:val="0"/>
          <w:bCs w:val="0"/>
          <w:color w:val="auto"/>
        </w:rPr>
      </w:pPr>
    </w:p>
    <w:p w14:paraId="77F42EA3">
      <w:pPr>
        <w:rPr>
          <w:b w:val="0"/>
          <w:bCs w:val="0"/>
          <w:color w:val="auto"/>
        </w:rPr>
      </w:pPr>
    </w:p>
    <w:p w14:paraId="3F1FA14E">
      <w:pPr>
        <w:rPr>
          <w:b w:val="0"/>
          <w:bCs w:val="0"/>
          <w:color w:val="auto"/>
        </w:rPr>
      </w:pPr>
    </w:p>
    <w:p w14:paraId="57043FD8">
      <w:pPr>
        <w:rPr>
          <w:b w:val="0"/>
          <w:bCs w:val="0"/>
          <w:color w:val="auto"/>
        </w:rPr>
      </w:pPr>
    </w:p>
    <w:p w14:paraId="15D3EEDD">
      <w:pPr>
        <w:rPr>
          <w:b w:val="0"/>
          <w:bCs w:val="0"/>
          <w:color w:val="auto"/>
        </w:rPr>
      </w:pPr>
    </w:p>
    <w:tbl>
      <w:tblPr>
        <w:tblStyle w:val="4"/>
        <w:tblW w:w="14600"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61"/>
        <w:gridCol w:w="1108"/>
        <w:gridCol w:w="7733"/>
        <w:gridCol w:w="1934"/>
        <w:gridCol w:w="733"/>
        <w:gridCol w:w="731"/>
        <w:gridCol w:w="758"/>
        <w:gridCol w:w="942"/>
      </w:tblGrid>
      <w:tr w14:paraId="62669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14600" w:type="dxa"/>
            <w:gridSpan w:val="8"/>
            <w:shd w:val="clear" w:color="auto" w:fill="auto"/>
            <w:vAlign w:val="center"/>
          </w:tcPr>
          <w:p w14:paraId="646855CE">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初中化学实验箱</w:t>
            </w:r>
          </w:p>
        </w:tc>
      </w:tr>
      <w:tr w14:paraId="79A2C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1" w:type="dxa"/>
            <w:shd w:val="clear" w:color="auto" w:fill="E7E6E6"/>
            <w:vAlign w:val="center"/>
          </w:tcPr>
          <w:p w14:paraId="04626B8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序号</w:t>
            </w:r>
          </w:p>
        </w:tc>
        <w:tc>
          <w:tcPr>
            <w:tcW w:w="1108" w:type="dxa"/>
            <w:shd w:val="clear" w:color="auto" w:fill="E7E6E6"/>
            <w:vAlign w:val="center"/>
          </w:tcPr>
          <w:p w14:paraId="58B773F2">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产品名称</w:t>
            </w:r>
          </w:p>
        </w:tc>
        <w:tc>
          <w:tcPr>
            <w:tcW w:w="7733" w:type="dxa"/>
            <w:shd w:val="clear" w:color="auto" w:fill="E7E6E6"/>
            <w:vAlign w:val="center"/>
          </w:tcPr>
          <w:p w14:paraId="436C7E8A">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产品技术参数</w:t>
            </w:r>
          </w:p>
        </w:tc>
        <w:tc>
          <w:tcPr>
            <w:tcW w:w="1934" w:type="dxa"/>
            <w:shd w:val="clear" w:color="auto" w:fill="E7E6E6"/>
            <w:vAlign w:val="center"/>
          </w:tcPr>
          <w:p w14:paraId="73DFD8C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基本实验活动</w:t>
            </w:r>
          </w:p>
        </w:tc>
        <w:tc>
          <w:tcPr>
            <w:tcW w:w="733" w:type="dxa"/>
            <w:shd w:val="clear" w:color="auto" w:fill="E7E6E6"/>
            <w:vAlign w:val="center"/>
          </w:tcPr>
          <w:p w14:paraId="79C62F2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单位</w:t>
            </w:r>
          </w:p>
        </w:tc>
        <w:tc>
          <w:tcPr>
            <w:tcW w:w="731" w:type="dxa"/>
            <w:shd w:val="clear" w:color="auto" w:fill="E7E6E6"/>
            <w:vAlign w:val="center"/>
          </w:tcPr>
          <w:p w14:paraId="1BB50CD3">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数量</w:t>
            </w:r>
          </w:p>
        </w:tc>
        <w:tc>
          <w:tcPr>
            <w:tcW w:w="758" w:type="dxa"/>
            <w:shd w:val="clear" w:color="auto" w:fill="E7E6E6"/>
            <w:vAlign w:val="center"/>
          </w:tcPr>
          <w:p w14:paraId="2DF37B48">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单价</w:t>
            </w:r>
          </w:p>
        </w:tc>
        <w:tc>
          <w:tcPr>
            <w:tcW w:w="942" w:type="dxa"/>
            <w:shd w:val="clear" w:color="auto" w:fill="E7E6E6"/>
            <w:vAlign w:val="center"/>
          </w:tcPr>
          <w:p w14:paraId="69BD1C97">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金额</w:t>
            </w:r>
          </w:p>
        </w:tc>
      </w:tr>
      <w:tr w14:paraId="5163E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1" w:type="dxa"/>
            <w:shd w:val="clear" w:color="auto" w:fill="auto"/>
            <w:vAlign w:val="center"/>
          </w:tcPr>
          <w:p w14:paraId="3B59628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1108" w:type="dxa"/>
            <w:shd w:val="clear" w:color="auto" w:fill="auto"/>
            <w:vAlign w:val="center"/>
          </w:tcPr>
          <w:p w14:paraId="5731E4C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科学探究与化学实验</w:t>
            </w:r>
          </w:p>
        </w:tc>
        <w:tc>
          <w:tcPr>
            <w:tcW w:w="7733" w:type="dxa"/>
            <w:shd w:val="clear" w:color="auto" w:fill="auto"/>
            <w:vAlign w:val="center"/>
          </w:tcPr>
          <w:p w14:paraId="3954DA75">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大试管（≥φ30mm×200mm）2支、试管（≥φ20mm×195mm）2支、方玻璃片（≥50mm×50mm×2mm）1片、研钵（陶瓷≥60mL，附研杵）1套、23号红色单孔硅胶塞（16mm/20mm/27mm，孔径≥φ7mm）1个、小试管（≥φ15mm×150mm）2支、玻璃量筒（≥10mL，≥140mm×10mm×1mm）1个、玻璃量筒（≥100mL，≥240mm×31mm×2mm）1个、细口瓶（≥125mL）1个、玻璃烧杯（≥250mL，≥99mm×70mm）1个、玻璃烧杯（≥100mL，≥70mm×50mm）2个、90°玻璃弯管（D≥8mm，L≥60mm+190mm）2支、90°玻璃弯管（D≥8mm，L≥85mm+55mm）2支、硅胶管（≥φ7mm×φ10mm，L≥80mm）3根、止水夹（不锈钢）1个、白色中长蜡烛2根、美工刀1把、直头镊子（不锈钢，L≥125mm）1把、长柄药匙（塑料，L≥195mm）1把、短胶头滴管（细嘴，D≥10mm，L≥90mm）1支、木质试管夹（L≥180mm）1个、小号试管刷（L≥180mm，毛粗20mm）1把、大号试管刷（L≥230mm，毛粗35mm）1把、木条（≥φ5mm×150mm）10根、化学实验室安全警示标志和常用危险化学品的标志1张、安全防护设施的使用1张、毛玻璃片（≥50mmx50mmx3mm）2片、集气瓶（玻璃，≥125mL，平磨口）2个等。</w:t>
            </w:r>
          </w:p>
        </w:tc>
        <w:tc>
          <w:tcPr>
            <w:tcW w:w="1934" w:type="dxa"/>
            <w:shd w:val="clear" w:color="auto" w:fill="auto"/>
            <w:vAlign w:val="center"/>
          </w:tcPr>
          <w:p w14:paraId="412B6AEB">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1.辨别物理变化和化学变化</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2.体验观察物质物理性质和化学性质的常用方法</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3.对物质及其变化的探究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4.识别化学实验室安全警示标志和常用危险化学品的标志</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5.安全防护设施的使用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6.化学药品的取用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7.物质的加热</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8.仪器装置的连接</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9.玻璃仪器的洗涤</w:t>
            </w:r>
          </w:p>
        </w:tc>
        <w:tc>
          <w:tcPr>
            <w:tcW w:w="733" w:type="dxa"/>
            <w:shd w:val="clear" w:color="auto" w:fill="auto"/>
            <w:vAlign w:val="center"/>
          </w:tcPr>
          <w:p w14:paraId="0A1FA03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31" w:type="dxa"/>
            <w:shd w:val="clear" w:color="auto" w:fill="auto"/>
            <w:noWrap/>
            <w:vAlign w:val="center"/>
          </w:tcPr>
          <w:p w14:paraId="4EE9096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758" w:type="dxa"/>
            <w:shd w:val="clear" w:color="auto" w:fill="auto"/>
            <w:noWrap/>
            <w:vAlign w:val="center"/>
          </w:tcPr>
          <w:p w14:paraId="0E0ECFE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589FBEBF">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06664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1" w:type="dxa"/>
            <w:shd w:val="clear" w:color="auto" w:fill="auto"/>
            <w:vAlign w:val="center"/>
          </w:tcPr>
          <w:p w14:paraId="4802138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1108" w:type="dxa"/>
            <w:shd w:val="clear" w:color="auto" w:fill="auto"/>
            <w:vAlign w:val="center"/>
          </w:tcPr>
          <w:p w14:paraId="7A37C5D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空气、氧气、二氧化碳</w:t>
            </w:r>
          </w:p>
        </w:tc>
        <w:tc>
          <w:tcPr>
            <w:tcW w:w="7733" w:type="dxa"/>
            <w:shd w:val="clear" w:color="auto" w:fill="auto"/>
            <w:vAlign w:val="center"/>
          </w:tcPr>
          <w:p w14:paraId="2B48CC87">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集气瓶（玻璃，平磨口）2个、毛玻璃片2片、30号红色双孔硅胶塞1个、燃烧匙（L≥215mm）1个、90°玻璃弯管（D≥8mm，L≥60mm+190mm）2支、90°玻璃弯管（D≥8mm，L≥85mm+55mm）2支、硅胶管（φ7mm×φ10mm，L≥80mm）3根、硅胶管（L≥500mm）1根、止水夹（不锈钢）2个、玻璃烧杯1个、大试管（≥φ30mm×200mm）1支、试管（≥φ20mm×195mm）2支、筛孔偏心氟胶垫2个、小试管（≥φ15mm×150mm）2支、玻璃量筒（≥10mL，140mm×10mm×1mm）1个、玻璃锥形瓶（≥100mL，105mm×60mm）1个、双孔橡胶塞（孔径≥φ7mm+φ2mm，配合集气瓶）1个、长颈漏斗（≥280mm×40mm，细管≥φ8mm）1个、阶梯型铁片（不锈钢）1个、短胶头滴管（细嘴，D≥10mm，L≥90mm）1支、木条（≥φ5mm×150mm）10根、细铁丝2米、实验用脱脂棉（5g）1包、圆形蜡烛2只、30号红色单孔硅胶塞（≥30mm/20mm/30mm，≥孔径φ7mm）1个、玻璃量筒（≥25mL，160mm×20mm×1mm）1个、直头镊子（不锈钢，L≥125mm）1把、长柄药匙（塑料，L≥195mm）1把、短柄药匙（塑料，红黄绿三色各1个）1套等。</w:t>
            </w:r>
          </w:p>
        </w:tc>
        <w:tc>
          <w:tcPr>
            <w:tcW w:w="1934" w:type="dxa"/>
            <w:shd w:val="clear" w:color="auto" w:fill="auto"/>
            <w:vAlign w:val="center"/>
          </w:tcPr>
          <w:p w14:paraId="40BA58D6">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1.测定空气中氧气的含量</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 xml:space="preserve">2.氧气的实验室制取与性质  </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3.探究过氧化氢分解反应中二氧化锰的催化作用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 xml:space="preserve">4.二氧化碳的实验室制取与性质            </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5.探究二氧化碳与水反应</w:t>
            </w:r>
          </w:p>
        </w:tc>
        <w:tc>
          <w:tcPr>
            <w:tcW w:w="733" w:type="dxa"/>
            <w:shd w:val="clear" w:color="auto" w:fill="auto"/>
            <w:vAlign w:val="center"/>
          </w:tcPr>
          <w:p w14:paraId="03B958B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31" w:type="dxa"/>
            <w:shd w:val="clear" w:color="auto" w:fill="auto"/>
            <w:noWrap/>
            <w:vAlign w:val="center"/>
          </w:tcPr>
          <w:p w14:paraId="2EDFBCF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758" w:type="dxa"/>
            <w:shd w:val="clear" w:color="auto" w:fill="auto"/>
            <w:noWrap/>
            <w:vAlign w:val="center"/>
          </w:tcPr>
          <w:p w14:paraId="3ACE5573">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667767CA">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16696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1" w:type="dxa"/>
            <w:shd w:val="clear" w:color="auto" w:fill="auto"/>
            <w:vAlign w:val="center"/>
          </w:tcPr>
          <w:p w14:paraId="2D9054E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w:t>
            </w:r>
          </w:p>
        </w:tc>
        <w:tc>
          <w:tcPr>
            <w:tcW w:w="1108" w:type="dxa"/>
            <w:shd w:val="clear" w:color="auto" w:fill="auto"/>
            <w:vAlign w:val="center"/>
          </w:tcPr>
          <w:p w14:paraId="69A275A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水和溶液</w:t>
            </w:r>
          </w:p>
        </w:tc>
        <w:tc>
          <w:tcPr>
            <w:tcW w:w="7733" w:type="dxa"/>
            <w:shd w:val="clear" w:color="auto" w:fill="auto"/>
            <w:vAlign w:val="center"/>
          </w:tcPr>
          <w:p w14:paraId="33806DD7">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玻璃锥形瓶（≥250mL，140mm×80mm）1个、红水温度计（≥0～200℃）1支、红水温度计（≥-10～110℃）1支、短颈圆底烧瓶（≥250mL，磨口24/29 ，140×80mm）1个、直型冷凝管（L≥380mm，同侧具支，螺口14mm×2，磨口24/29）1支、牛角管/尾接管（磨口24/29）1支、蒸馏头（磨口24/29）1件、冷凝管接头（紫色ABS，螺口14mm，包括冷凝弯头水咀2个、14号螺口盖子d≥10mm2个、水咀密封硅胶垫2个）2套、硅胶管（≥φ7mm×φ10mm，L≥1000mm）2根、玻璃烧杯（≥250mL，90mm×70mm）1个、玻璃烧杯（≥100mL，70mm×50mm）3个、90°玻璃弯管（D≥8mm，L≥60mm+190mm）1支、90°玻璃弯管（D≥8mm，L≥85mm+55mm）1支、硅胶管（φ7mm×φ10mm，L≥80mm）1根、试管（≥φ20mm×195mm）4支、玻璃棒（D≥6mm，L≥300mm）1支、玻璃漏斗（短颈平口，d≥60mm，h≥110mm）1个、蒸发皿（陶瓷，≥75mL）1个、短胶头滴管（细嘴，D≥10mm，L≥90mm）2支、玻璃量筒（≥50mL）1个、玻璃量筒（≥10mL，140mm×10mm×1mm）1个、30号红色双孔硅胶塞（≥30mm/22mm/30mm，孔径φ5mm+φ(7)5mm）1个等。</w:t>
            </w:r>
          </w:p>
        </w:tc>
        <w:tc>
          <w:tcPr>
            <w:tcW w:w="1934" w:type="dxa"/>
            <w:shd w:val="clear" w:color="auto" w:fill="auto"/>
            <w:vAlign w:val="center"/>
          </w:tcPr>
          <w:p w14:paraId="267CA0E3">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1.制取蒸馏水</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2.探究活性炭和明矾等净水剂的净水作用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3.粗盐中难溶性杂质的去除</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4.探究氯化钠、硝酸铵、氢氧化钠在水中溶解时溶液的温度变化</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5.观察比较不同溶质在不同溶剂中的溶解性差异</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6.一定溶质质量分数的氯化钠溶液的配制</w:t>
            </w:r>
          </w:p>
        </w:tc>
        <w:tc>
          <w:tcPr>
            <w:tcW w:w="733" w:type="dxa"/>
            <w:shd w:val="clear" w:color="auto" w:fill="auto"/>
            <w:vAlign w:val="center"/>
          </w:tcPr>
          <w:p w14:paraId="737CA08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31" w:type="dxa"/>
            <w:shd w:val="clear" w:color="auto" w:fill="auto"/>
            <w:noWrap/>
            <w:vAlign w:val="center"/>
          </w:tcPr>
          <w:p w14:paraId="5C994D2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758" w:type="dxa"/>
            <w:shd w:val="clear" w:color="auto" w:fill="auto"/>
            <w:noWrap/>
            <w:vAlign w:val="center"/>
          </w:tcPr>
          <w:p w14:paraId="7EB8F911">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210C40CF">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35A35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1" w:type="dxa"/>
            <w:shd w:val="clear" w:color="auto" w:fill="auto"/>
            <w:vAlign w:val="center"/>
          </w:tcPr>
          <w:p w14:paraId="6936BE1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4</w:t>
            </w:r>
          </w:p>
        </w:tc>
        <w:tc>
          <w:tcPr>
            <w:tcW w:w="1108" w:type="dxa"/>
            <w:shd w:val="clear" w:color="auto" w:fill="auto"/>
            <w:vAlign w:val="center"/>
          </w:tcPr>
          <w:p w14:paraId="04FB365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金属与金属矿物</w:t>
            </w:r>
          </w:p>
        </w:tc>
        <w:tc>
          <w:tcPr>
            <w:tcW w:w="7733" w:type="dxa"/>
            <w:shd w:val="clear" w:color="auto" w:fill="auto"/>
            <w:vAlign w:val="center"/>
          </w:tcPr>
          <w:p w14:paraId="0FA0F30B">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镁条（L≥500mm）1条、锌粒（m≥100g）1瓶、盒装纯铝片（10xmm100mmx0.5mm/片×5片，透明包装）1盒、盒装铁片（≥10mmx100mmx0.5mm/片×5片，透明包装）1盒、铁粉1瓶、盒装黄铜片（≥10mmx100mmx0.5mm/片×5片，透明包装）1盒、盒装纯铜片（≥10mmx100mmx0.5mm/片×5片，透明包装）1盒、木条（≥φ5mm×150mm）10根、砂纸（A4）1张、鳄鱼夹（尾部4mm圆孔）4个、≥4mm红色香蕉插头线（主体材质纯铜，红色，插头直径≥4mm，L≥500mm）2根、≥4mm黑色香蕉插头线（主体材质纯铜，黑色，插头直径≥4mm，L≥500mm）2根、1号电池盒（紫色ABS，磁吸式，≥4mm香蕉插头接线柱）2个、1号干电池2个、灯座（紫色ABS，磁吸式，≥4mm香蕉插头接线柱）1个、小灯泡1.5v（5个）1袋、小灯泡3.8v（5个）1袋、试管（ ≥φ20mm×195mm）7支、铁钉（L≥40mm）1盒、23号红色无孔硅胶塞（16mm/20mm/27mm）1个、植物油1瓶、实验用脱脂棉（5g）1包、长柄药匙（塑料，L≥195mm）1把、直头镊子（不锈钢，L≥125mm）1把等。</w:t>
            </w:r>
          </w:p>
        </w:tc>
        <w:tc>
          <w:tcPr>
            <w:tcW w:w="1934" w:type="dxa"/>
            <w:shd w:val="clear" w:color="auto" w:fill="auto"/>
            <w:vAlign w:val="center"/>
          </w:tcPr>
          <w:p w14:paraId="2273E242">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1.探究常见金属的物理性质和化学性质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2.探究铁钉生锈的条件</w:t>
            </w:r>
          </w:p>
        </w:tc>
        <w:tc>
          <w:tcPr>
            <w:tcW w:w="733" w:type="dxa"/>
            <w:shd w:val="clear" w:color="auto" w:fill="auto"/>
            <w:vAlign w:val="center"/>
          </w:tcPr>
          <w:p w14:paraId="68F148E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31" w:type="dxa"/>
            <w:shd w:val="clear" w:color="auto" w:fill="auto"/>
            <w:noWrap/>
            <w:vAlign w:val="center"/>
          </w:tcPr>
          <w:p w14:paraId="6FE4829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758" w:type="dxa"/>
            <w:shd w:val="clear" w:color="auto" w:fill="auto"/>
            <w:noWrap/>
            <w:vAlign w:val="center"/>
          </w:tcPr>
          <w:p w14:paraId="7EB73DB5">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29F9DC53">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23E6E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1" w:type="dxa"/>
            <w:shd w:val="clear" w:color="auto" w:fill="auto"/>
            <w:vAlign w:val="center"/>
          </w:tcPr>
          <w:p w14:paraId="576BB9E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5</w:t>
            </w:r>
          </w:p>
        </w:tc>
        <w:tc>
          <w:tcPr>
            <w:tcW w:w="1108" w:type="dxa"/>
            <w:shd w:val="clear" w:color="auto" w:fill="auto"/>
            <w:vAlign w:val="center"/>
          </w:tcPr>
          <w:p w14:paraId="4FDA7B6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常见的酸、碱、盐</w:t>
            </w:r>
          </w:p>
        </w:tc>
        <w:tc>
          <w:tcPr>
            <w:tcW w:w="7733" w:type="dxa"/>
            <w:shd w:val="clear" w:color="auto" w:fill="auto"/>
            <w:vAlign w:val="center"/>
          </w:tcPr>
          <w:p w14:paraId="7B824E38">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PH广泛试纸（1～14）1本、试管（ ≥φ20mm×195mm）8支、玻璃烧杯（≥250mL，≥90mm×70mm）1个、玻璃烧杯（≥100mL，≥70mm×50mm）1个、研钵（陶瓷≥60mL，附研杵）1套、反应板（白色陶瓷，≥6孔，≥80mm×50mm×10mm）1件、玻璃棒（D≥6mm，L≥300mm）1支、蒸发皿（陶瓷，≥75mL）1个、大试管（ ≥φ30mm×200mm）2支、30号红色单孔硅胶塞（30mm/22mm/30mm，孔径≥φ7mm）1个、90°玻璃弯管（D≥8mm，L≥60mm+190mm）2支、90°玻璃弯管（D≥8mm，L≥85mm+55mm）2支、硅胶管（≥φ7mm×φ10mm，L≥80mm）2根、铁钉（L≥40mm）1盒、细棉纱布1包、小试管（ ≥φ15mm×150mm） 6支、长柄药匙（塑料，L≥195mm）1把、短胶头滴管（细嘴，D≥10mm，L≥90mm）2支等。</w:t>
            </w:r>
          </w:p>
        </w:tc>
        <w:tc>
          <w:tcPr>
            <w:tcW w:w="1934" w:type="dxa"/>
            <w:shd w:val="clear" w:color="auto" w:fill="auto"/>
            <w:vAlign w:val="center"/>
          </w:tcPr>
          <w:p w14:paraId="756EFD78">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1.使用 pH 试纸等检测生活中常见溶液的酸碱性</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2.自制酸碱指示剂并观察其在不同溶液中的颜色变化</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3.探究常见酸、碱的化学性质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4.探究二氧化碳与氢氧化钠稀溶液的反应</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5.探究土壤酸碱性及氮、磷、钾元素与植物生长的关系</w:t>
            </w:r>
          </w:p>
        </w:tc>
        <w:tc>
          <w:tcPr>
            <w:tcW w:w="733" w:type="dxa"/>
            <w:shd w:val="clear" w:color="auto" w:fill="auto"/>
            <w:vAlign w:val="center"/>
          </w:tcPr>
          <w:p w14:paraId="11AEE32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31" w:type="dxa"/>
            <w:shd w:val="clear" w:color="auto" w:fill="auto"/>
            <w:noWrap/>
            <w:vAlign w:val="center"/>
          </w:tcPr>
          <w:p w14:paraId="79E5EE6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758" w:type="dxa"/>
            <w:shd w:val="clear" w:color="auto" w:fill="auto"/>
            <w:noWrap/>
            <w:vAlign w:val="center"/>
          </w:tcPr>
          <w:p w14:paraId="2D172083">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3FCB3E21">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1A571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1" w:type="dxa"/>
            <w:shd w:val="clear" w:color="auto" w:fill="auto"/>
            <w:vAlign w:val="center"/>
          </w:tcPr>
          <w:p w14:paraId="6676D46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6</w:t>
            </w:r>
          </w:p>
        </w:tc>
        <w:tc>
          <w:tcPr>
            <w:tcW w:w="1108" w:type="dxa"/>
            <w:shd w:val="clear" w:color="auto" w:fill="auto"/>
            <w:vAlign w:val="center"/>
          </w:tcPr>
          <w:p w14:paraId="48E7ED4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物质的组成与结构</w:t>
            </w:r>
          </w:p>
        </w:tc>
        <w:tc>
          <w:tcPr>
            <w:tcW w:w="7733" w:type="dxa"/>
            <w:shd w:val="clear" w:color="auto" w:fill="auto"/>
            <w:vAlign w:val="center"/>
          </w:tcPr>
          <w:p w14:paraId="3E6E5046">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玻璃烧杯（≥250mL，≥9-mm×70mm）2个、玻璃烧杯（≥100mL，≥7-mm×5-mm）1个、红色石蕊试纸1盒、大试管（ ≥φ30mm×200mm）1支、试管（ ≥φ20mm×195mm）2支、23号红色单孔硅胶塞（16mm/20mm/27mm，孔径≥φ7mm）2个、90°玻璃弯管（D≥8mm，L≥85mm+55mm）2支、电解水装置（主要材质PmmA，包含电解水装置主体、气体检验头2个、鲁尔接头注射器≥60mL等）1套、≥4mm红色香蕉插头线（主体材质纯铜，红色，插头直径≥4mm，L≥500mm）1根、≥4mm黑色香蕉插头线（主体材质纯铜，黑色，插头直径≥4mm，L≥500mm）1根、白色中长蜡烛2根、木条（≥φ5mm×150mm）10根、实验用脱脂棉（5g）1包、玻璃棒（D≥6mm，L≥300mm）1支、短柄药匙（塑料，红黄绿三色各1个）1套、硅胶管（≥φ7mm×φ10mm，L≥80mm）2根等。</w:t>
            </w:r>
          </w:p>
        </w:tc>
        <w:tc>
          <w:tcPr>
            <w:tcW w:w="1934" w:type="dxa"/>
            <w:shd w:val="clear" w:color="auto" w:fill="auto"/>
            <w:vAlign w:val="center"/>
          </w:tcPr>
          <w:p w14:paraId="52DB6E04">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1.观察并分析氨水挥发使酚酞溶液变红</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2.比较物质在冷水和热水中扩散的实验现象</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3.水的组成及变化的探究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4.通过蜡烛、乙醇的燃烧实验探究物质元素的组成</w:t>
            </w:r>
          </w:p>
        </w:tc>
        <w:tc>
          <w:tcPr>
            <w:tcW w:w="733" w:type="dxa"/>
            <w:shd w:val="clear" w:color="auto" w:fill="auto"/>
            <w:vAlign w:val="center"/>
          </w:tcPr>
          <w:p w14:paraId="6A946E9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31" w:type="dxa"/>
            <w:shd w:val="clear" w:color="auto" w:fill="auto"/>
            <w:noWrap/>
            <w:vAlign w:val="center"/>
          </w:tcPr>
          <w:p w14:paraId="3200828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758" w:type="dxa"/>
            <w:shd w:val="clear" w:color="auto" w:fill="auto"/>
            <w:noWrap/>
            <w:vAlign w:val="center"/>
          </w:tcPr>
          <w:p w14:paraId="23FFF9F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30CFF507">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2A937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1" w:type="dxa"/>
            <w:shd w:val="clear" w:color="auto" w:fill="auto"/>
            <w:vAlign w:val="center"/>
          </w:tcPr>
          <w:p w14:paraId="021460C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7</w:t>
            </w:r>
          </w:p>
        </w:tc>
        <w:tc>
          <w:tcPr>
            <w:tcW w:w="1108" w:type="dxa"/>
            <w:shd w:val="clear" w:color="auto" w:fill="auto"/>
            <w:vAlign w:val="center"/>
          </w:tcPr>
          <w:p w14:paraId="6EFB2F7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物质的化学变化</w:t>
            </w:r>
          </w:p>
        </w:tc>
        <w:tc>
          <w:tcPr>
            <w:tcW w:w="7733" w:type="dxa"/>
            <w:shd w:val="clear" w:color="auto" w:fill="auto"/>
            <w:vAlign w:val="center"/>
          </w:tcPr>
          <w:p w14:paraId="50DB4C74">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玻璃烧杯（≥100mL，≥7-mm×5-mm）2个、红水温度计（-10～110℃）1支、PH计(酸度计)1件、PH广泛试纸（1～14）1本、玻璃量筒（≥50mL，≥195mm×25mm×2mm）1个、试管（ ≥φ20mm×195mm）7支、薄铜片（≥8cm×4cm）1片、玻璃锥形瓶（≥100mL，≥105mm×6-mm）2个、30号红色单孔硅胶塞（30mm/22mm/30mm，孔径≥φ7mm）1个、30号红色无孔硅胶塞（30mm/22mm/30mm）1个、直玻璃导管（D≥8mm，L≥200mm）1支、气球（小号）4只、玻璃棒（D≥6mm，L≥300mm）1支、玻璃量筒（≥10mL，≥140mm×10mm×1mm）1个、中和热测定器（透明壳体，≥D95mmx105mm）1件、镁条（L≥500mm）1包、木条（≥φ5mm×150mm）10根、锌片（≥1×1cm）10片、铜片（≥1×1cm）10片、砂纸1张、铝丝（≥30cm）2根、铜丝（≥30cm）2根、实验用脱脂棉（5g）1包、乒乓球（≥40mm）2只、白色中长蜡烛2根、橡皮筋5个、实验用托盘天平（≥200g，带砝码套盒）1套、称量纸（≥100mm×100mm） 1盒、铁钉（L≥40mm）1盒、特小试管（ ≥φ10mm×70mm）1支、长柄药匙（塑料，L≥195mm）1把、直头镊子（不锈钢，L≥125mm）1把等。</w:t>
            </w:r>
          </w:p>
        </w:tc>
        <w:tc>
          <w:tcPr>
            <w:tcW w:w="1934" w:type="dxa"/>
            <w:shd w:val="clear" w:color="auto" w:fill="auto"/>
            <w:vAlign w:val="center"/>
          </w:tcPr>
          <w:p w14:paraId="40985DCB">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1.探究氢氧化钠溶液和稀盐酸发生中和反应时的温度和pH的变化</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2.探究常见酸溶液、盐溶液与金属发生置换反应的规律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3.燃烧条件的探究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4.比较反应前后物质的质量关系</w:t>
            </w:r>
          </w:p>
        </w:tc>
        <w:tc>
          <w:tcPr>
            <w:tcW w:w="733" w:type="dxa"/>
            <w:shd w:val="clear" w:color="auto" w:fill="auto"/>
            <w:vAlign w:val="center"/>
          </w:tcPr>
          <w:p w14:paraId="09A5BEF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31" w:type="dxa"/>
            <w:shd w:val="clear" w:color="auto" w:fill="auto"/>
            <w:noWrap/>
            <w:vAlign w:val="center"/>
          </w:tcPr>
          <w:p w14:paraId="5FFAE12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758" w:type="dxa"/>
            <w:shd w:val="clear" w:color="auto" w:fill="auto"/>
            <w:noWrap/>
            <w:vAlign w:val="center"/>
          </w:tcPr>
          <w:p w14:paraId="6B37A246">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4D20B67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44899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1" w:type="dxa"/>
            <w:shd w:val="clear" w:color="auto" w:fill="auto"/>
            <w:vAlign w:val="center"/>
          </w:tcPr>
          <w:p w14:paraId="65DE5B5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8</w:t>
            </w:r>
          </w:p>
        </w:tc>
        <w:tc>
          <w:tcPr>
            <w:tcW w:w="1108" w:type="dxa"/>
            <w:shd w:val="clear" w:color="auto" w:fill="auto"/>
            <w:vAlign w:val="center"/>
          </w:tcPr>
          <w:p w14:paraId="5894C8C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初中化学配套实验仪器</w:t>
            </w:r>
          </w:p>
        </w:tc>
        <w:tc>
          <w:tcPr>
            <w:tcW w:w="7733" w:type="dxa"/>
            <w:shd w:val="clear" w:color="auto" w:fill="auto"/>
            <w:vAlign w:val="center"/>
          </w:tcPr>
          <w:p w14:paraId="72161FA6">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X型支座（尼龙、镀锌圆钢，≥φ10mm凹凸式双轨插孔）2套、≥600mm支撑杆-母杆（不锈钢，D≥10mm，L≥300mm）2根、≥600mm支撑杆-公杆（不锈钢，D≥10mm，L≥310mm）2根、双向转接头（铝合金，配紫色M6螺丝2个）2个、万用夹具（金属，黑色）2个、铁三环（金属，黑色，配紫色M6螺丝，大中小各1个）1套、酒精灯（≥150mL）1个、陶土网（≥150mmx150mm）2个、直头镊子（不锈钢，L≥125mm）1把、剪刀1把、木质试管夹（L≥180mm）2个、坩埚钳1个、实验用电子天平（≥1000g，精度0.1g）1台、塑料水槽（≥270mmx200mmx100mm）1个、短柄药匙（塑料，红黄绿三色各1个）1套、长柄药匙（塑料，L≥195mm）1个、试管架（塑料，≥8孔8立柱，孔径≥20mm）1个、小号试管刷（L≥180mm，毛粗20mm）1把、大号试管刷（L≥230mm，毛粗35mm）1把、中号烧瓶刷（L≥300mm，毛最粗处70mm）1把、升降台（金属，≥100mmx100mm）1件、塑料洗瓶（≥250mL）1个、玻璃棒（D≥6mm，L≥300mm）2支、滤纸（中速，D≥110mm）1盒、短胶头滴管（细嘴，D≥10mm，L≥90mm）2支、长胶头滴管（细嘴 D≥10mm，L≥200mm）2支、电子点火器（≥230mm×45mm）1把、三脚架（铁制可拆卸，环内径≥75 mm，h≥150mm）1套、记号笔1支等。</w:t>
            </w:r>
          </w:p>
        </w:tc>
        <w:tc>
          <w:tcPr>
            <w:tcW w:w="1934" w:type="dxa"/>
            <w:shd w:val="clear" w:color="auto" w:fill="auto"/>
            <w:vAlign w:val="center"/>
          </w:tcPr>
          <w:p w14:paraId="6D17A678">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配套实验仪器，应与其他实验箱配合使用。</w:t>
            </w:r>
          </w:p>
        </w:tc>
        <w:tc>
          <w:tcPr>
            <w:tcW w:w="733" w:type="dxa"/>
            <w:shd w:val="clear" w:color="auto" w:fill="auto"/>
            <w:vAlign w:val="center"/>
          </w:tcPr>
          <w:p w14:paraId="023953A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31" w:type="dxa"/>
            <w:shd w:val="clear" w:color="auto" w:fill="auto"/>
            <w:noWrap/>
            <w:vAlign w:val="center"/>
          </w:tcPr>
          <w:p w14:paraId="6C578F6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758" w:type="dxa"/>
            <w:shd w:val="clear" w:color="auto" w:fill="auto"/>
            <w:noWrap/>
            <w:vAlign w:val="center"/>
          </w:tcPr>
          <w:p w14:paraId="7D8B72FE">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5D1EC80B">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5845B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1" w:type="dxa"/>
            <w:shd w:val="clear" w:color="auto" w:fill="auto"/>
            <w:vAlign w:val="center"/>
          </w:tcPr>
          <w:p w14:paraId="6050FBE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9</w:t>
            </w:r>
          </w:p>
        </w:tc>
        <w:tc>
          <w:tcPr>
            <w:tcW w:w="1108" w:type="dxa"/>
            <w:shd w:val="clear" w:color="auto" w:fill="auto"/>
            <w:vAlign w:val="center"/>
          </w:tcPr>
          <w:p w14:paraId="5BDF5811">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溶液导电演示器</w:t>
            </w:r>
          </w:p>
        </w:tc>
        <w:tc>
          <w:tcPr>
            <w:tcW w:w="7733" w:type="dxa"/>
            <w:shd w:val="clear" w:color="auto" w:fill="auto"/>
            <w:vAlign w:val="center"/>
          </w:tcPr>
          <w:p w14:paraId="230EDFF3">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由电表、电位器、电阻、石墨电极、透明贮液筒、底座、档位开关等组成。</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外形尺寸≥660mm×470mm（±5mm）；上下为铝型材结构，具有良好的抗拉强度，表面黑色氧化细喷砂处理。左右为ABS塑料精密注塑成型边框。</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仪器面板表面印有原理电路图，配有透明透明贮液筒（带底座）、内表外表切换开关、≥1×7档位开关（其中一档为校验），预留外表接口，可同时比较五组溶液的导电性能。</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标▲项参数要求的需提供第三方检测机构出具的检测报告复印件并加盖公章佐证。</w:t>
            </w:r>
          </w:p>
        </w:tc>
        <w:tc>
          <w:tcPr>
            <w:tcW w:w="1934" w:type="dxa"/>
            <w:shd w:val="clear" w:color="auto" w:fill="auto"/>
            <w:vAlign w:val="center"/>
          </w:tcPr>
          <w:p w14:paraId="2BDC1979">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1.探究常见酸、碱的化学性质</w:t>
            </w:r>
          </w:p>
        </w:tc>
        <w:tc>
          <w:tcPr>
            <w:tcW w:w="733" w:type="dxa"/>
            <w:shd w:val="clear" w:color="auto" w:fill="auto"/>
            <w:vAlign w:val="center"/>
          </w:tcPr>
          <w:p w14:paraId="74A104A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台</w:t>
            </w:r>
          </w:p>
        </w:tc>
        <w:tc>
          <w:tcPr>
            <w:tcW w:w="731" w:type="dxa"/>
            <w:shd w:val="clear" w:color="auto" w:fill="auto"/>
            <w:vAlign w:val="center"/>
          </w:tcPr>
          <w:p w14:paraId="5DAC878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758" w:type="dxa"/>
            <w:shd w:val="clear" w:color="auto" w:fill="auto"/>
            <w:noWrap/>
            <w:vAlign w:val="center"/>
          </w:tcPr>
          <w:p w14:paraId="12D23B6E">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6FFCD02E">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4A183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1" w:type="dxa"/>
            <w:shd w:val="clear" w:color="auto" w:fill="auto"/>
            <w:vAlign w:val="center"/>
          </w:tcPr>
          <w:p w14:paraId="7C76F56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10</w:t>
            </w:r>
          </w:p>
        </w:tc>
        <w:tc>
          <w:tcPr>
            <w:tcW w:w="1108" w:type="dxa"/>
            <w:shd w:val="clear" w:color="auto" w:fill="auto"/>
            <w:vAlign w:val="center"/>
          </w:tcPr>
          <w:p w14:paraId="2A063C3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多功能移动电源实验箱</w:t>
            </w:r>
          </w:p>
        </w:tc>
        <w:tc>
          <w:tcPr>
            <w:tcW w:w="7733" w:type="dxa"/>
            <w:shd w:val="clear" w:color="auto" w:fill="auto"/>
            <w:vAlign w:val="center"/>
          </w:tcPr>
          <w:p w14:paraId="3305E70E">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1、产品规格：≥310mm×155mm×125mm（±2mm）。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2、主要材质：增强型阻燃ABS工程塑料；工艺：塑料注塑成型。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(1)输入电压220V±22V，频率50Hz/60Hz；</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(2)电源输入线为≥1米欧标圆柱两脚插头线；带快速熔断保险；</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(3)前置黄色交流插座接口和红黑色直流插座接口，配套红黑香蕉插头线；</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(4)前置交直流电压AC/DC切换按钮，一键切换，通过指示灯显示当前档位；</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(5)前置电源开关按钮；具有电压调档旋钮，可切换输出交流或直流电压为六个档位，具有指示灯显示当前电压；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内部大功率环形变压器可提供多档足电压足电流足功率交流电源，主控板同时具有显示控制与智能电源保护功能：提供短路保护。短路保护需要移走负载并重启电源，过载保护可在移走负载或降低负载功率的条件下自动恢复到正常工作状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配套仪器</w:t>
            </w:r>
          </w:p>
        </w:tc>
        <w:tc>
          <w:tcPr>
            <w:tcW w:w="1934" w:type="dxa"/>
            <w:shd w:val="clear" w:color="auto" w:fill="auto"/>
            <w:vAlign w:val="center"/>
          </w:tcPr>
          <w:p w14:paraId="2DE4AEF7">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配套仪器</w:t>
            </w:r>
          </w:p>
        </w:tc>
        <w:tc>
          <w:tcPr>
            <w:tcW w:w="733" w:type="dxa"/>
            <w:shd w:val="clear" w:color="auto" w:fill="auto"/>
            <w:vAlign w:val="center"/>
          </w:tcPr>
          <w:p w14:paraId="5A27330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台</w:t>
            </w:r>
          </w:p>
        </w:tc>
        <w:tc>
          <w:tcPr>
            <w:tcW w:w="731" w:type="dxa"/>
            <w:shd w:val="clear" w:color="auto" w:fill="auto"/>
            <w:vAlign w:val="center"/>
          </w:tcPr>
          <w:p w14:paraId="63815D6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758" w:type="dxa"/>
            <w:shd w:val="clear" w:color="auto" w:fill="auto"/>
            <w:noWrap/>
            <w:vAlign w:val="center"/>
          </w:tcPr>
          <w:p w14:paraId="114F76E1">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942" w:type="dxa"/>
            <w:shd w:val="clear" w:color="auto" w:fill="auto"/>
            <w:vAlign w:val="center"/>
          </w:tcPr>
          <w:p w14:paraId="07A83B1D">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36A42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1" w:type="dxa"/>
            <w:shd w:val="clear" w:color="auto" w:fill="auto"/>
            <w:noWrap/>
            <w:vAlign w:val="center"/>
          </w:tcPr>
          <w:p w14:paraId="3CE1C1AB">
            <w:pPr>
              <w:jc w:val="center"/>
              <w:rPr>
                <w:rFonts w:hint="eastAsia" w:ascii="宋体" w:hAnsi="宋体" w:eastAsia="宋体" w:cs="宋体"/>
                <w:b w:val="0"/>
                <w:bCs w:val="0"/>
                <w:i w:val="0"/>
                <w:iCs w:val="0"/>
                <w:color w:val="auto"/>
                <w:sz w:val="20"/>
                <w:szCs w:val="20"/>
                <w:u w:val="none"/>
              </w:rPr>
            </w:pPr>
          </w:p>
        </w:tc>
        <w:tc>
          <w:tcPr>
            <w:tcW w:w="1108" w:type="dxa"/>
            <w:shd w:val="clear" w:color="auto" w:fill="auto"/>
            <w:vAlign w:val="center"/>
          </w:tcPr>
          <w:p w14:paraId="6A245371">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合计</w:t>
            </w:r>
          </w:p>
        </w:tc>
        <w:tc>
          <w:tcPr>
            <w:tcW w:w="7733" w:type="dxa"/>
            <w:shd w:val="clear" w:color="auto" w:fill="auto"/>
            <w:noWrap/>
            <w:vAlign w:val="center"/>
          </w:tcPr>
          <w:p w14:paraId="58E21478">
            <w:pPr>
              <w:jc w:val="left"/>
              <w:rPr>
                <w:rFonts w:hint="eastAsia" w:ascii="宋体" w:hAnsi="宋体" w:eastAsia="宋体" w:cs="宋体"/>
                <w:b/>
                <w:bCs/>
                <w:i w:val="0"/>
                <w:iCs w:val="0"/>
                <w:color w:val="auto"/>
                <w:sz w:val="20"/>
                <w:szCs w:val="20"/>
                <w:u w:val="none"/>
              </w:rPr>
            </w:pPr>
          </w:p>
        </w:tc>
        <w:tc>
          <w:tcPr>
            <w:tcW w:w="1934" w:type="dxa"/>
            <w:shd w:val="clear" w:color="auto" w:fill="auto"/>
            <w:noWrap/>
            <w:vAlign w:val="center"/>
          </w:tcPr>
          <w:p w14:paraId="0431808F">
            <w:pPr>
              <w:jc w:val="center"/>
              <w:rPr>
                <w:rFonts w:hint="eastAsia" w:ascii="宋体" w:hAnsi="宋体" w:eastAsia="宋体" w:cs="宋体"/>
                <w:b/>
                <w:bCs/>
                <w:i w:val="0"/>
                <w:iCs w:val="0"/>
                <w:color w:val="auto"/>
                <w:sz w:val="20"/>
                <w:szCs w:val="20"/>
                <w:u w:val="none"/>
              </w:rPr>
            </w:pPr>
          </w:p>
        </w:tc>
        <w:tc>
          <w:tcPr>
            <w:tcW w:w="733" w:type="dxa"/>
            <w:shd w:val="clear" w:color="auto" w:fill="auto"/>
            <w:noWrap/>
            <w:vAlign w:val="center"/>
          </w:tcPr>
          <w:p w14:paraId="5AFD5F91">
            <w:pPr>
              <w:jc w:val="center"/>
              <w:rPr>
                <w:rFonts w:hint="eastAsia" w:ascii="宋体" w:hAnsi="宋体" w:eastAsia="宋体" w:cs="宋体"/>
                <w:b/>
                <w:bCs/>
                <w:i w:val="0"/>
                <w:iCs w:val="0"/>
                <w:color w:val="auto"/>
                <w:sz w:val="20"/>
                <w:szCs w:val="20"/>
                <w:u w:val="none"/>
              </w:rPr>
            </w:pPr>
          </w:p>
        </w:tc>
        <w:tc>
          <w:tcPr>
            <w:tcW w:w="731" w:type="dxa"/>
            <w:shd w:val="clear" w:color="auto" w:fill="auto"/>
            <w:noWrap/>
            <w:vAlign w:val="center"/>
          </w:tcPr>
          <w:p w14:paraId="201EA8E0">
            <w:pPr>
              <w:jc w:val="center"/>
              <w:rPr>
                <w:rFonts w:hint="eastAsia" w:ascii="宋体" w:hAnsi="宋体" w:eastAsia="宋体" w:cs="宋体"/>
                <w:b/>
                <w:bCs/>
                <w:i w:val="0"/>
                <w:iCs w:val="0"/>
                <w:color w:val="auto"/>
                <w:sz w:val="20"/>
                <w:szCs w:val="20"/>
                <w:u w:val="none"/>
              </w:rPr>
            </w:pPr>
          </w:p>
        </w:tc>
        <w:tc>
          <w:tcPr>
            <w:tcW w:w="758" w:type="dxa"/>
            <w:shd w:val="clear" w:color="auto" w:fill="auto"/>
            <w:noWrap/>
            <w:vAlign w:val="center"/>
          </w:tcPr>
          <w:p w14:paraId="3FED2679">
            <w:pPr>
              <w:jc w:val="center"/>
              <w:rPr>
                <w:rFonts w:hint="eastAsia" w:ascii="宋体" w:hAnsi="宋体" w:eastAsia="宋体" w:cs="宋体"/>
                <w:b/>
                <w:bCs/>
                <w:i w:val="0"/>
                <w:iCs w:val="0"/>
                <w:color w:val="auto"/>
                <w:sz w:val="20"/>
                <w:szCs w:val="20"/>
                <w:u w:val="none"/>
              </w:rPr>
            </w:pPr>
          </w:p>
        </w:tc>
        <w:tc>
          <w:tcPr>
            <w:tcW w:w="942" w:type="dxa"/>
            <w:shd w:val="clear" w:color="auto" w:fill="auto"/>
            <w:noWrap/>
            <w:vAlign w:val="center"/>
          </w:tcPr>
          <w:p w14:paraId="30A365E2">
            <w:pPr>
              <w:keepNext w:val="0"/>
              <w:keepLines w:val="0"/>
              <w:widowControl/>
              <w:suppressLineNumbers w:val="0"/>
              <w:jc w:val="center"/>
              <w:textAlignment w:val="center"/>
              <w:rPr>
                <w:rFonts w:hint="default" w:ascii="宋体" w:hAnsi="宋体" w:eastAsia="宋体" w:cs="宋体"/>
                <w:b/>
                <w:bCs/>
                <w:i w:val="0"/>
                <w:iCs w:val="0"/>
                <w:color w:val="auto"/>
                <w:sz w:val="24"/>
                <w:szCs w:val="24"/>
                <w:u w:val="none"/>
                <w:lang w:val="en-US"/>
              </w:rPr>
            </w:pPr>
            <w:r>
              <w:rPr>
                <w:rFonts w:hint="eastAsia" w:ascii="宋体" w:hAnsi="宋体" w:eastAsia="宋体" w:cs="宋体"/>
                <w:b/>
                <w:bCs/>
                <w:i w:val="0"/>
                <w:iCs w:val="0"/>
                <w:color w:val="auto"/>
                <w:kern w:val="0"/>
                <w:sz w:val="24"/>
                <w:szCs w:val="24"/>
                <w:u w:val="none"/>
                <w:lang w:val="en-US" w:eastAsia="zh-CN" w:bidi="ar"/>
              </w:rPr>
              <w:t xml:space="preserve"> </w:t>
            </w:r>
          </w:p>
        </w:tc>
      </w:tr>
    </w:tbl>
    <w:p w14:paraId="26357D5B">
      <w:pPr>
        <w:rPr>
          <w:b w:val="0"/>
          <w:bCs w:val="0"/>
          <w:color w:val="auto"/>
        </w:rPr>
      </w:pPr>
    </w:p>
    <w:p w14:paraId="2509E720">
      <w:pPr>
        <w:rPr>
          <w:b w:val="0"/>
          <w:bCs w:val="0"/>
          <w:color w:val="auto"/>
        </w:rPr>
      </w:pPr>
    </w:p>
    <w:p w14:paraId="3DCDAC07">
      <w:pPr>
        <w:rPr>
          <w:b w:val="0"/>
          <w:bCs w:val="0"/>
          <w:color w:val="auto"/>
        </w:rPr>
      </w:pPr>
    </w:p>
    <w:p w14:paraId="5E779A32">
      <w:pPr>
        <w:rPr>
          <w:b w:val="0"/>
          <w:bCs w:val="0"/>
          <w:color w:val="auto"/>
        </w:rPr>
      </w:pPr>
    </w:p>
    <w:p w14:paraId="224A4B87">
      <w:pPr>
        <w:rPr>
          <w:b w:val="0"/>
          <w:bCs w:val="0"/>
          <w:color w:val="auto"/>
        </w:rPr>
      </w:pPr>
    </w:p>
    <w:tbl>
      <w:tblPr>
        <w:tblStyle w:val="4"/>
        <w:tblW w:w="14560"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56"/>
        <w:gridCol w:w="1113"/>
        <w:gridCol w:w="6050"/>
        <w:gridCol w:w="3633"/>
        <w:gridCol w:w="684"/>
        <w:gridCol w:w="783"/>
        <w:gridCol w:w="767"/>
        <w:gridCol w:w="874"/>
      </w:tblGrid>
      <w:tr w14:paraId="3F461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4560" w:type="dxa"/>
            <w:gridSpan w:val="8"/>
            <w:shd w:val="clear" w:color="auto" w:fill="auto"/>
            <w:vAlign w:val="center"/>
          </w:tcPr>
          <w:p w14:paraId="1EA5069A">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初中生物实验箱</w:t>
            </w:r>
          </w:p>
        </w:tc>
      </w:tr>
      <w:tr w14:paraId="15DFD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56" w:type="dxa"/>
            <w:shd w:val="clear" w:color="auto" w:fill="E7E6E6"/>
            <w:vAlign w:val="center"/>
          </w:tcPr>
          <w:p w14:paraId="41CA1E06">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序号</w:t>
            </w:r>
          </w:p>
        </w:tc>
        <w:tc>
          <w:tcPr>
            <w:tcW w:w="1113" w:type="dxa"/>
            <w:shd w:val="clear" w:color="auto" w:fill="E7E6E6"/>
            <w:vAlign w:val="center"/>
          </w:tcPr>
          <w:p w14:paraId="7B758395">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产品名称</w:t>
            </w:r>
          </w:p>
        </w:tc>
        <w:tc>
          <w:tcPr>
            <w:tcW w:w="6050" w:type="dxa"/>
            <w:shd w:val="clear" w:color="auto" w:fill="E7E6E6"/>
            <w:vAlign w:val="center"/>
          </w:tcPr>
          <w:p w14:paraId="0BC665BA">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产品技术参数</w:t>
            </w:r>
          </w:p>
        </w:tc>
        <w:tc>
          <w:tcPr>
            <w:tcW w:w="3633" w:type="dxa"/>
            <w:shd w:val="clear" w:color="auto" w:fill="E7E6E6"/>
            <w:vAlign w:val="center"/>
          </w:tcPr>
          <w:p w14:paraId="69AEE006">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基本实验活动</w:t>
            </w:r>
          </w:p>
        </w:tc>
        <w:tc>
          <w:tcPr>
            <w:tcW w:w="684" w:type="dxa"/>
            <w:shd w:val="clear" w:color="auto" w:fill="E7E6E6"/>
            <w:vAlign w:val="center"/>
          </w:tcPr>
          <w:p w14:paraId="3F5B2E2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单位</w:t>
            </w:r>
          </w:p>
        </w:tc>
        <w:tc>
          <w:tcPr>
            <w:tcW w:w="783" w:type="dxa"/>
            <w:shd w:val="clear" w:color="auto" w:fill="E7E6E6"/>
            <w:vAlign w:val="center"/>
          </w:tcPr>
          <w:p w14:paraId="165DA4DA">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数量</w:t>
            </w:r>
          </w:p>
        </w:tc>
        <w:tc>
          <w:tcPr>
            <w:tcW w:w="767" w:type="dxa"/>
            <w:shd w:val="clear" w:color="auto" w:fill="E7E6E6"/>
            <w:vAlign w:val="center"/>
          </w:tcPr>
          <w:p w14:paraId="120E9B20">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单价</w:t>
            </w:r>
          </w:p>
        </w:tc>
        <w:tc>
          <w:tcPr>
            <w:tcW w:w="874" w:type="dxa"/>
            <w:shd w:val="clear" w:color="auto" w:fill="E7E6E6"/>
            <w:vAlign w:val="center"/>
          </w:tcPr>
          <w:p w14:paraId="72301E71">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金额</w:t>
            </w:r>
          </w:p>
        </w:tc>
      </w:tr>
      <w:tr w14:paraId="40718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56" w:type="dxa"/>
            <w:shd w:val="clear" w:color="auto" w:fill="auto"/>
            <w:vAlign w:val="center"/>
          </w:tcPr>
          <w:p w14:paraId="5E1BC17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1113" w:type="dxa"/>
            <w:shd w:val="clear" w:color="auto" w:fill="auto"/>
            <w:vAlign w:val="center"/>
          </w:tcPr>
          <w:p w14:paraId="6AAD3DA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生物体的结构层次</w:t>
            </w:r>
          </w:p>
        </w:tc>
        <w:tc>
          <w:tcPr>
            <w:tcW w:w="6050" w:type="dxa"/>
            <w:shd w:val="clear" w:color="auto" w:fill="auto"/>
            <w:vAlign w:val="center"/>
          </w:tcPr>
          <w:p w14:paraId="649A3614">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上”字玻片1片、松叶切片1片、小鼠肾脏纵切永久装片1片、洋葱鳞片叶表皮装片1片、口腔上皮细胞装片1片、洋葱根尖细胞有丝分裂装片1片、上皮组织永久玻片1片、结缔组织永久玻片1片、肌肉组织永久玻片1片、神经组织永久玻片1片、番茄果肉切片1片、实验用纱布1袋、直头镊子（不锈钢，L≥125mm）1把、短胶头滴管（细嘴，D≥10mm，L≥90mm）2支、玻璃烧杯（≥250mL，≥90mm×70mm）1个、单面刀片1盒、吸水纸1盒、载玻片1盒、盖玻片1盒、消毒牙签1筒、实验用脱脂棉1包、12色彩泥套装1个、放大镜（带LED灯）1个等。</w:t>
            </w:r>
          </w:p>
        </w:tc>
        <w:tc>
          <w:tcPr>
            <w:tcW w:w="3633" w:type="dxa"/>
            <w:shd w:val="clear" w:color="auto" w:fill="auto"/>
            <w:vAlign w:val="center"/>
          </w:tcPr>
          <w:p w14:paraId="7666F769">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1.练习使用光学显微镜</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2.观察池塘水中的微小生物</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3.制作植物细胞、动物细胞的临时装片（如观察洋葱鳞片叶表皮细胞、观察人体口腔上皮细胞等）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4.制作植物细胞、动物细胞的结构模型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5.观察根尖细胞分裂的永久装片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6.观察人体和植物体的基本组织（如人体组织的永久装片、番茄果实不同组织的临时装片等）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7.观察某种原生动物（如草履虫），并探究其取食、运动或趋性</w:t>
            </w:r>
          </w:p>
        </w:tc>
        <w:tc>
          <w:tcPr>
            <w:tcW w:w="684" w:type="dxa"/>
            <w:shd w:val="clear" w:color="auto" w:fill="auto"/>
            <w:vAlign w:val="center"/>
          </w:tcPr>
          <w:p w14:paraId="436B004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83" w:type="dxa"/>
            <w:shd w:val="clear" w:color="auto" w:fill="auto"/>
            <w:noWrap/>
            <w:vAlign w:val="center"/>
          </w:tcPr>
          <w:p w14:paraId="2F69E4F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767" w:type="dxa"/>
            <w:shd w:val="clear" w:color="auto" w:fill="auto"/>
            <w:noWrap/>
            <w:vAlign w:val="center"/>
          </w:tcPr>
          <w:p w14:paraId="0297F3FC">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874" w:type="dxa"/>
            <w:shd w:val="clear" w:color="auto" w:fill="auto"/>
            <w:vAlign w:val="center"/>
          </w:tcPr>
          <w:p w14:paraId="1FDE25B9">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3BFED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56" w:type="dxa"/>
            <w:shd w:val="clear" w:color="auto" w:fill="auto"/>
            <w:vAlign w:val="center"/>
          </w:tcPr>
          <w:p w14:paraId="11E2648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2</w:t>
            </w:r>
          </w:p>
        </w:tc>
        <w:tc>
          <w:tcPr>
            <w:tcW w:w="1113" w:type="dxa"/>
            <w:shd w:val="clear" w:color="auto" w:fill="auto"/>
            <w:vAlign w:val="center"/>
          </w:tcPr>
          <w:p w14:paraId="006C956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生物的多样性</w:t>
            </w:r>
          </w:p>
        </w:tc>
        <w:tc>
          <w:tcPr>
            <w:tcW w:w="6050" w:type="dxa"/>
            <w:shd w:val="clear" w:color="auto" w:fill="auto"/>
            <w:vAlign w:val="center"/>
          </w:tcPr>
          <w:p w14:paraId="41BA79CE">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放大镜（带LED灯）1个、实验用脱脂棉1包、短胶头滴管（细嘴，D≥10mm，L≥90mm）1支、直头镊子（不锈钢，L≥125mm）1把、载玻片1盒、盖玻片1盒、吸水纸1盒、实验用纱布1包、大头针1盒、解剖盘（带蜡盘）1个、培养皿（玻璃，D≥90mm）2套、透明胶带（小号）1卷、接种针（镍铬合金材料，含手柄）1个、酒精灯（150mL）1盏、电子点火器（≥230mm×45mm）1把、血球计数板1盒、解剖针1支、标签纸1包、无菌棉棒（4支/包）4包等。</w:t>
            </w:r>
          </w:p>
        </w:tc>
        <w:tc>
          <w:tcPr>
            <w:tcW w:w="3633" w:type="dxa"/>
            <w:shd w:val="clear" w:color="auto" w:fill="auto"/>
            <w:vAlign w:val="center"/>
          </w:tcPr>
          <w:p w14:paraId="377E86F5">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1.观察不同类群的植物，认识其主要特征（如观察藻类、苔藓植物、蕨类植物、裸子植物、被子植物等）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2.观察不同类群的动物，认识其主要特征（如观察蛔虫、缢蛏、蚯蚓、蝗虫、鲫鱼、家鸽、家兔等）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 xml:space="preserve">3.培养并观察细菌的菌落   </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4.观察酵母菌和霉菌</w:t>
            </w:r>
          </w:p>
        </w:tc>
        <w:tc>
          <w:tcPr>
            <w:tcW w:w="684" w:type="dxa"/>
            <w:shd w:val="clear" w:color="auto" w:fill="auto"/>
            <w:vAlign w:val="center"/>
          </w:tcPr>
          <w:p w14:paraId="334BFBF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83" w:type="dxa"/>
            <w:shd w:val="clear" w:color="auto" w:fill="auto"/>
            <w:noWrap/>
            <w:vAlign w:val="center"/>
          </w:tcPr>
          <w:p w14:paraId="61059B3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767" w:type="dxa"/>
            <w:shd w:val="clear" w:color="auto" w:fill="auto"/>
            <w:noWrap/>
            <w:vAlign w:val="center"/>
          </w:tcPr>
          <w:p w14:paraId="55224B51">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874" w:type="dxa"/>
            <w:shd w:val="clear" w:color="auto" w:fill="auto"/>
            <w:vAlign w:val="center"/>
          </w:tcPr>
          <w:p w14:paraId="7DF1A41C">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6FFBA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56" w:type="dxa"/>
            <w:shd w:val="clear" w:color="auto" w:fill="auto"/>
            <w:vAlign w:val="center"/>
          </w:tcPr>
          <w:p w14:paraId="20938AE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3</w:t>
            </w:r>
          </w:p>
        </w:tc>
        <w:tc>
          <w:tcPr>
            <w:tcW w:w="1113" w:type="dxa"/>
            <w:shd w:val="clear" w:color="auto" w:fill="auto"/>
            <w:vAlign w:val="center"/>
          </w:tcPr>
          <w:p w14:paraId="4AA8E82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生物与环境</w:t>
            </w:r>
          </w:p>
        </w:tc>
        <w:tc>
          <w:tcPr>
            <w:tcW w:w="6050" w:type="dxa"/>
            <w:shd w:val="clear" w:color="auto" w:fill="auto"/>
            <w:vAlign w:val="center"/>
          </w:tcPr>
          <w:p w14:paraId="6CB1FE23">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铁盘 （不锈钢）1个、硬纸板1张、有机玻璃板（圆角，≥210mm×150mm×3mm）1块、电子秒表计时器（PVC）1个、记号笔1只、干湿计1个等。</w:t>
            </w:r>
          </w:p>
        </w:tc>
        <w:tc>
          <w:tcPr>
            <w:tcW w:w="3633" w:type="dxa"/>
            <w:shd w:val="clear" w:color="auto" w:fill="auto"/>
            <w:vAlign w:val="center"/>
          </w:tcPr>
          <w:p w14:paraId="2450D8D3">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1.探究影响鼠妇（或蚯蚓等）分布的环境因素</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2.探究植被类型与环境湿度或温度之间的关系</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3.调查校园或附近的小池塘、农田等环境中生物之间的关系</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4.调查生态环境被破坏或者改善的实例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5.设计校园绿化方案</w:t>
            </w:r>
          </w:p>
        </w:tc>
        <w:tc>
          <w:tcPr>
            <w:tcW w:w="684" w:type="dxa"/>
            <w:shd w:val="clear" w:color="auto" w:fill="auto"/>
            <w:vAlign w:val="center"/>
          </w:tcPr>
          <w:p w14:paraId="746BA7E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83" w:type="dxa"/>
            <w:shd w:val="clear" w:color="auto" w:fill="auto"/>
            <w:noWrap/>
            <w:vAlign w:val="center"/>
          </w:tcPr>
          <w:p w14:paraId="51AF8F8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767" w:type="dxa"/>
            <w:shd w:val="clear" w:color="auto" w:fill="auto"/>
            <w:noWrap/>
            <w:vAlign w:val="center"/>
          </w:tcPr>
          <w:p w14:paraId="2856154B">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874" w:type="dxa"/>
            <w:shd w:val="clear" w:color="auto" w:fill="auto"/>
            <w:vAlign w:val="center"/>
          </w:tcPr>
          <w:p w14:paraId="0FFCFEAD">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40D23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56" w:type="dxa"/>
            <w:shd w:val="clear" w:color="auto" w:fill="auto"/>
            <w:vAlign w:val="center"/>
          </w:tcPr>
          <w:p w14:paraId="631E2F5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4</w:t>
            </w:r>
          </w:p>
        </w:tc>
        <w:tc>
          <w:tcPr>
            <w:tcW w:w="1113" w:type="dxa"/>
            <w:shd w:val="clear" w:color="auto" w:fill="auto"/>
            <w:vAlign w:val="center"/>
          </w:tcPr>
          <w:p w14:paraId="75E82B2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植物的生活</w:t>
            </w:r>
          </w:p>
        </w:tc>
        <w:tc>
          <w:tcPr>
            <w:tcW w:w="6050" w:type="dxa"/>
            <w:shd w:val="clear" w:color="auto" w:fill="auto"/>
            <w:vAlign w:val="center"/>
          </w:tcPr>
          <w:p w14:paraId="0731ADB9">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放大镜（带LED灯）1个、单面刀片1盒、短胶头滴管（细嘴，D≥10mm，L≥90mm）1支、直头镊子（不锈钢，L≥125mm）1把、培养皿（玻璃，D≥90mm）1套、解剖针1支、玉米根尖纵切玻片1片、迎春叶横切玻片1片、松叶切片玻片1片、双面刀片1盒、载玻片1盒、吸水纸1盒、实验用纱布1包、毛笔1支、小木板（≥100mm×100mm×5mm）1块、实验用胶布（≥9mm×3m）1卷、短柄药匙（塑料，红黄绿三色各1个）1套、标签纸1包、罐头瓶4个、绿豆种子1袋、花盆带底座1套、向日葵种子1袋、回形针1盒、遮光纸1张、玻璃烧杯（≥100mL，≥70mm×50mm）1个、玻璃烧杯（≥250mL，≥90mm×70mm）1个等</w:t>
            </w:r>
          </w:p>
        </w:tc>
        <w:tc>
          <w:tcPr>
            <w:tcW w:w="3633" w:type="dxa"/>
            <w:shd w:val="clear" w:color="auto" w:fill="auto"/>
            <w:vAlign w:val="center"/>
          </w:tcPr>
          <w:p w14:paraId="17EA47DB">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1.观察种子的结构（如菜豆、玉米等）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2.观察根尖的结构（如洋葱根尖、大蒜根尖等）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3.解剖和观察花的结构（如桃花、百合等）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4.制作徒手切片，观察叶片的结构（如绿萝、黑藻等）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5.探究种子萌发所需的条件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6.栽培一种常见植物并观察其生长发育的全过程（如向日葵、彩椒等）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7.运用无土栽培技术栽培一种植物（如水培大蒜、沙培花生等）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8.探究植物光合作用的条件、原料和产物</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9.调查生活中利用呼吸作用原理保存食物的方法措施</w:t>
            </w:r>
          </w:p>
        </w:tc>
        <w:tc>
          <w:tcPr>
            <w:tcW w:w="684" w:type="dxa"/>
            <w:shd w:val="clear" w:color="auto" w:fill="auto"/>
            <w:vAlign w:val="center"/>
          </w:tcPr>
          <w:p w14:paraId="1036E5D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83" w:type="dxa"/>
            <w:shd w:val="clear" w:color="auto" w:fill="auto"/>
            <w:noWrap/>
            <w:vAlign w:val="center"/>
          </w:tcPr>
          <w:p w14:paraId="15FA122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767" w:type="dxa"/>
            <w:shd w:val="clear" w:color="auto" w:fill="auto"/>
            <w:noWrap/>
            <w:vAlign w:val="center"/>
          </w:tcPr>
          <w:p w14:paraId="19C5D2A0">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874" w:type="dxa"/>
            <w:shd w:val="clear" w:color="auto" w:fill="auto"/>
            <w:vAlign w:val="center"/>
          </w:tcPr>
          <w:p w14:paraId="63C700CD">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405DC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56" w:type="dxa"/>
            <w:shd w:val="clear" w:color="auto" w:fill="auto"/>
            <w:vAlign w:val="center"/>
          </w:tcPr>
          <w:p w14:paraId="2737E319">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5</w:t>
            </w:r>
          </w:p>
        </w:tc>
        <w:tc>
          <w:tcPr>
            <w:tcW w:w="1113" w:type="dxa"/>
            <w:shd w:val="clear" w:color="auto" w:fill="auto"/>
            <w:vAlign w:val="center"/>
          </w:tcPr>
          <w:p w14:paraId="45BB517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人体生理与健康</w:t>
            </w:r>
          </w:p>
        </w:tc>
        <w:tc>
          <w:tcPr>
            <w:tcW w:w="6050" w:type="dxa"/>
            <w:shd w:val="clear" w:color="auto" w:fill="auto"/>
            <w:vAlign w:val="center"/>
          </w:tcPr>
          <w:p w14:paraId="221DCB5C">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培养皿（玻璃，D≥90mm）1套、实验用棉球1袋、玻璃烧杯（≥100mL，≥70mm×50mm）1个、玻璃烧杯（≥250mL，≥90mm×70mm）1个、单面刀片1盒、小试管（ ≥φ15mm×150mm）3支、玻璃棒（D≥6mm，L≥300mm）1支、玻璃量筒（≥10mL，≥140mm×10mm×1mm）1个、记号笔1支、垫板（≥10cm×10cm×5mm）1块、玻璃量筒（≥50mL，≥195mm×25mm×2mm）1个、玻璃锥形瓶（≥100mL，≥105mm×60mm）1个、30号红色单孔硅胶塞（孔径≥φ7）1个、红水温度计（≥-10～110℃）1支、棉线（≥10cm）1根、燃烧匙1支、实验用纱布1包、人血永久涂片1片、小鼠肾脏纵切永久装片1片、肾的内部结构示意图1张、观察某种脊椎动物的肌肉、骨骼、关节的基本结构1张、短胶头滴管（细嘴，D≥10mm，L≥90mm）1支、载玻片1盒、试管（ ≥φ20mm×195mm）2支、吸管10支、直玻璃导管（D≥8mm，L≥80mm）1支、90°玻璃弯管（D≥8mm，L≥85mm+55mm）1支、30号红色双孔胶塞（孔径≥φ7mm）1个、呼吸膈肌模拟器1套、橡皮锤1把、3D立体遮光眼罩2个、电子秒表计时器（PVC）1个、计数器1个等。</w:t>
            </w:r>
          </w:p>
        </w:tc>
        <w:tc>
          <w:tcPr>
            <w:tcW w:w="3633" w:type="dxa"/>
            <w:shd w:val="clear" w:color="auto" w:fill="auto"/>
            <w:vAlign w:val="center"/>
          </w:tcPr>
          <w:p w14:paraId="3D7985BD">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1.探究唾液淀粉酶对淀粉的消化作用</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2.探究几种食物能量的差异（如薯条、花生等）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3.制订合理的膳食计划</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4.观察血涂片永久装片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 xml:space="preserve">5.观察小鱼尾鳍内血液流动现象 </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6.观察哺乳动物心脏的形态与结构</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7.验证人体呼出的气体中含有较多的二氧化碳</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8.模拟吸气与呼气时肺与胸廓的变化</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9.观察哺乳动物肾脏的形态与结构</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10.观察小鼠肾脏纵切永久装片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11.观察人或动物的某些反射活动（如膝跳、缩手、眨眼、唾液分泌等反射</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12.观察某种脊椎动物的肌肉、骨骼、关节的基本结构（如鸡翅、羊腿骨等）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13.探究酒精对水蚤心率或成活率的影响</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14.调查当地某种传染病的发生及预防措施</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15.设计和制作社区海报，宣传预防某种传染病的科普知识</w:t>
            </w:r>
          </w:p>
        </w:tc>
        <w:tc>
          <w:tcPr>
            <w:tcW w:w="684" w:type="dxa"/>
            <w:shd w:val="clear" w:color="auto" w:fill="auto"/>
            <w:vAlign w:val="center"/>
          </w:tcPr>
          <w:p w14:paraId="0F40223C">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83" w:type="dxa"/>
            <w:shd w:val="clear" w:color="auto" w:fill="auto"/>
            <w:noWrap/>
            <w:vAlign w:val="center"/>
          </w:tcPr>
          <w:p w14:paraId="431368D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767" w:type="dxa"/>
            <w:shd w:val="clear" w:color="auto" w:fill="auto"/>
            <w:noWrap/>
            <w:vAlign w:val="center"/>
          </w:tcPr>
          <w:p w14:paraId="73001745">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874" w:type="dxa"/>
            <w:shd w:val="clear" w:color="auto" w:fill="auto"/>
            <w:vAlign w:val="center"/>
          </w:tcPr>
          <w:p w14:paraId="71A00853">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636B7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56" w:type="dxa"/>
            <w:shd w:val="clear" w:color="auto" w:fill="auto"/>
            <w:vAlign w:val="center"/>
          </w:tcPr>
          <w:p w14:paraId="00307AF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6</w:t>
            </w:r>
          </w:p>
        </w:tc>
        <w:tc>
          <w:tcPr>
            <w:tcW w:w="1113" w:type="dxa"/>
            <w:shd w:val="clear" w:color="auto" w:fill="auto"/>
            <w:vAlign w:val="center"/>
          </w:tcPr>
          <w:p w14:paraId="44BC9B8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遗传与进化</w:t>
            </w:r>
          </w:p>
        </w:tc>
        <w:tc>
          <w:tcPr>
            <w:tcW w:w="6050" w:type="dxa"/>
            <w:shd w:val="clear" w:color="auto" w:fill="auto"/>
            <w:vAlign w:val="center"/>
          </w:tcPr>
          <w:p w14:paraId="6143DD06">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放大镜（带LED灯）1个、解剖剪刀1把、培养皿（玻璃，D≥90mm）1套、直头镊子（不锈钢，L≥125mm）1把、白棋子（≥30枚，袋装）1袋、黑棋子（≥10枚，袋装）1袋、圆底金属盒（不透明，小号）2套、记号笔1支、蓝球（D≥15mm，20个袋装）1袋、红球（D≥15mm，20个袋装）1袋、圆规套尺1套、红色彩纸（全开）1张、彩纸（≥15cm×15cm，2张/色）8张、剪刀1把等。</w:t>
            </w:r>
          </w:p>
        </w:tc>
        <w:tc>
          <w:tcPr>
            <w:tcW w:w="3633" w:type="dxa"/>
            <w:shd w:val="clear" w:color="auto" w:fill="auto"/>
            <w:vAlign w:val="center"/>
          </w:tcPr>
          <w:p w14:paraId="409A5BF6">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1.观察鸡卵的结构</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2.模拟人的性别决定过程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3.模拟遗传性状显隐性的形成过程</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4.探究某种植物果实的性状差异（如玉米果穗、花生果实等）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5.模拟保护色的形成过程</w:t>
            </w:r>
          </w:p>
        </w:tc>
        <w:tc>
          <w:tcPr>
            <w:tcW w:w="684" w:type="dxa"/>
            <w:shd w:val="clear" w:color="auto" w:fill="auto"/>
            <w:vAlign w:val="center"/>
          </w:tcPr>
          <w:p w14:paraId="2DC15DF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83" w:type="dxa"/>
            <w:shd w:val="clear" w:color="auto" w:fill="auto"/>
            <w:noWrap/>
            <w:vAlign w:val="center"/>
          </w:tcPr>
          <w:p w14:paraId="05C6506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767" w:type="dxa"/>
            <w:shd w:val="clear" w:color="auto" w:fill="auto"/>
            <w:noWrap/>
            <w:vAlign w:val="center"/>
          </w:tcPr>
          <w:p w14:paraId="3097915F">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874" w:type="dxa"/>
            <w:shd w:val="clear" w:color="auto" w:fill="auto"/>
            <w:vAlign w:val="center"/>
          </w:tcPr>
          <w:p w14:paraId="187018B3">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15AC5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56" w:type="dxa"/>
            <w:shd w:val="clear" w:color="auto" w:fill="auto"/>
            <w:vAlign w:val="center"/>
          </w:tcPr>
          <w:p w14:paraId="58FD228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7</w:t>
            </w:r>
          </w:p>
        </w:tc>
        <w:tc>
          <w:tcPr>
            <w:tcW w:w="1113" w:type="dxa"/>
            <w:shd w:val="clear" w:color="auto" w:fill="auto"/>
            <w:vAlign w:val="center"/>
          </w:tcPr>
          <w:p w14:paraId="7676BD9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生物学与社会·跨学科实践</w:t>
            </w:r>
          </w:p>
        </w:tc>
        <w:tc>
          <w:tcPr>
            <w:tcW w:w="6050" w:type="dxa"/>
            <w:shd w:val="clear" w:color="auto" w:fill="auto"/>
            <w:vAlign w:val="center"/>
          </w:tcPr>
          <w:p w14:paraId="7BFEDFB4">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具支洗气瓶（≥100mL，两侧具支口最大直径≥10mm，带24号螺口盖子和硅胶垫≥φ20mm）1个、硅胶管（≥φ7mm×φ10mm，L≥80mm）2根、鲁尔头注射器（≥60mL）1个、实验用脱脂棉（≥5g）1包、直头镊子（不锈钢，L≥125mm）1把、生态瓶（≥85mm×85mm）1个、沙子（浅肤色，≥200g）1袋、玻璃烧杯（≥250mL，≥90mm×70mm）1个、玻璃锥形瓶（≥100mL，≥105mm×60mm）2个、蚕的生长变化图片卡1张、蚕的一生图卡1张、小鱼缸（饲养盒）（透明，方形不带绳）1个、气球4只、短柄药匙（塑料，红黄绿三色各1个）1套、玻璃棒（D≥6mm，L≥300mm）1支、酸奶布丁瓶1个、红水温度计（-10～110℃）1支、玻璃烧杯（≥100mL，≥70mm×50mm）1个、容量瓶（玻璃，≥100mL，配玻璃塞）1个、比色管（磨口，≥25mL，带玻璃塞）6支、胶头刻度滴管（≥3mL）1支、陶瓷刀1把、记号笔1支、pH广泛试纸（1～14）1本、实验用纱布1包、玻璃漏斗（短颈平口，d≥60mm，h≥110mm）1个等。</w:t>
            </w:r>
          </w:p>
        </w:tc>
        <w:tc>
          <w:tcPr>
            <w:tcW w:w="3633" w:type="dxa"/>
            <w:shd w:val="clear" w:color="auto" w:fill="auto"/>
            <w:vAlign w:val="center"/>
          </w:tcPr>
          <w:p w14:paraId="1F09A996">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1.制作实验装置模拟吸烟有害健康</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2.设计并制作能较长时间维持平衡的生态瓶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3.探究栽培一种植物所需的物理和化学环境条件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4.探究影响扦插植物成活的生物和非生物因素</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5.饲养家蚕并观察家蚕的生殖与发育</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6.制作水族箱，饲养热带鱼</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7.收集当地面包酵母菌种并比较发酵效果</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8.制作泡菜并探究影响泡菜亚硝酸盐浓度的因素</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9.设计简单装置，制作酸奶</w:t>
            </w:r>
          </w:p>
        </w:tc>
        <w:tc>
          <w:tcPr>
            <w:tcW w:w="684" w:type="dxa"/>
            <w:shd w:val="clear" w:color="auto" w:fill="auto"/>
            <w:vAlign w:val="center"/>
          </w:tcPr>
          <w:p w14:paraId="65A97B7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83" w:type="dxa"/>
            <w:shd w:val="clear" w:color="auto" w:fill="auto"/>
            <w:noWrap/>
            <w:vAlign w:val="center"/>
          </w:tcPr>
          <w:p w14:paraId="7B7913F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767" w:type="dxa"/>
            <w:shd w:val="clear" w:color="auto" w:fill="auto"/>
            <w:noWrap/>
            <w:vAlign w:val="center"/>
          </w:tcPr>
          <w:p w14:paraId="1BA4855B">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874" w:type="dxa"/>
            <w:shd w:val="clear" w:color="auto" w:fill="auto"/>
            <w:vAlign w:val="center"/>
          </w:tcPr>
          <w:p w14:paraId="053A74EB">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17F8D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56" w:type="dxa"/>
            <w:shd w:val="clear" w:color="auto" w:fill="auto"/>
            <w:vAlign w:val="center"/>
          </w:tcPr>
          <w:p w14:paraId="7E7C391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8</w:t>
            </w:r>
          </w:p>
        </w:tc>
        <w:tc>
          <w:tcPr>
            <w:tcW w:w="1113" w:type="dxa"/>
            <w:shd w:val="clear" w:color="auto" w:fill="auto"/>
            <w:vAlign w:val="center"/>
          </w:tcPr>
          <w:p w14:paraId="5208625A">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初中生物配套实验仪器</w:t>
            </w:r>
          </w:p>
        </w:tc>
        <w:tc>
          <w:tcPr>
            <w:tcW w:w="6050" w:type="dxa"/>
            <w:shd w:val="clear" w:color="auto" w:fill="auto"/>
            <w:vAlign w:val="center"/>
          </w:tcPr>
          <w:p w14:paraId="12ED9C71">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上下双层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3、主要配置及特征参数：符合国家人教版新课标实验器材的要求，不低于以下数量配置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酒精灯（≥150mL）1盏、X型支座（尼龙、镀锌圆钢，≥φ10mm凹凸式双轨插孔）1套、铁三环（金属，黑色，配紫色M6螺丝，大中小各1个） 1套、≥600mm支撑杆-母杆（不锈钢，D≥10mm，L≥300mm）1根、≥600mm支撑杆-公杆（不锈钢，D≥10mm，L≥310mm）1根、≥250mm支撑杆（不锈钢，D≥10mm，L≥250mm）1个、陶土网（≥150mmx150mm）1个、电子点火器（≥230mm×45mm）1把、双向转接头（铝合金，配紫色M6螺丝2个）2个、实验用电子天平（≥1000g，0.1g）1套、多功能卡夹（橙色ABS，≥70×35×25mm）1个、万用夹具（金属，黑色）1个、试管架（塑料，8孔8立柱，孔径≥22mm）1个、滤纸（中速，D≥110mm）1包、称量纸（≥100mm×100mm）1盒、解剖盘1个、解剖器（7件套）1套、小号试管刷（L≥180mm，毛粗20mm）1把、大号试管刷（L≥230mm，毛粗35mm）1把、砧板（塑料）1个、LED灯（白色，插电款，三档白光+线+充电头）1个等。</w:t>
            </w:r>
          </w:p>
        </w:tc>
        <w:tc>
          <w:tcPr>
            <w:tcW w:w="3633" w:type="dxa"/>
            <w:shd w:val="clear" w:color="auto" w:fill="auto"/>
            <w:vAlign w:val="center"/>
          </w:tcPr>
          <w:p w14:paraId="6013FD01">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配套实验仪器，应与其他实验箱配合使用。</w:t>
            </w:r>
          </w:p>
        </w:tc>
        <w:tc>
          <w:tcPr>
            <w:tcW w:w="684" w:type="dxa"/>
            <w:shd w:val="clear" w:color="auto" w:fill="auto"/>
            <w:vAlign w:val="center"/>
          </w:tcPr>
          <w:p w14:paraId="443CFAF8">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83" w:type="dxa"/>
            <w:shd w:val="clear" w:color="auto" w:fill="auto"/>
            <w:noWrap/>
            <w:vAlign w:val="center"/>
          </w:tcPr>
          <w:p w14:paraId="2B89C13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767" w:type="dxa"/>
            <w:shd w:val="clear" w:color="auto" w:fill="auto"/>
            <w:noWrap/>
            <w:vAlign w:val="center"/>
          </w:tcPr>
          <w:p w14:paraId="66B1A4AE">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874" w:type="dxa"/>
            <w:shd w:val="clear" w:color="auto" w:fill="auto"/>
            <w:vAlign w:val="center"/>
          </w:tcPr>
          <w:p w14:paraId="2DCE78D0">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3E5D2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56" w:type="dxa"/>
            <w:shd w:val="clear" w:color="auto" w:fill="auto"/>
            <w:vAlign w:val="center"/>
          </w:tcPr>
          <w:p w14:paraId="15E778F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9</w:t>
            </w:r>
          </w:p>
        </w:tc>
        <w:tc>
          <w:tcPr>
            <w:tcW w:w="1113" w:type="dxa"/>
            <w:shd w:val="clear" w:color="auto" w:fill="auto"/>
            <w:vAlign w:val="center"/>
          </w:tcPr>
          <w:p w14:paraId="530693E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生物条件探究</w:t>
            </w:r>
          </w:p>
        </w:tc>
        <w:tc>
          <w:tcPr>
            <w:tcW w:w="6050" w:type="dxa"/>
            <w:shd w:val="clear" w:color="auto" w:fill="auto"/>
            <w:vAlign w:val="center"/>
          </w:tcPr>
          <w:p w14:paraId="35EEA195">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1、箱体规格：450mm×320mm×170mm(±5mm)。</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材质：PC材料箱盖，ABS树脂材料箱体，PP材质活动卡扣；结构：整体采用加厚增强型扣盖卡扣式设计，箱体为上下面耦合卡槽定位，内置活动式内衬，嵌入式专槽定位，方便器材取用保管；叠加方式：既可叠加组合摆放，也可放置于仪器柜或货架。</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▲3、主要配置器材及属性描述：符合国家人教版新课标实验器材的要求，不低于以下数量配置</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生物条件探究实验箱（生物条件探究实验器）主体1件、遮光黑布≥140mm×120mm1件、电源适配器1件、次声波（地震波）发生模块1件、超声波发生模块1件、光照条件发生模块1件、温变条件发生模块1件、湿度条件发生模块1件、一次性注射器（≥(2mL）1支、橡胶手套1双、无孔硅胶塞2个、有孔硅胶塞2个等。</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标▲项参数要求的需提供第三方检测机构出具的检测报告复印件并加盖公章佐证。</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4、产品技术指标：</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生物条件探究实验箱（生物条件探究实验器）主体:</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规格：尺寸≥320mm×120mm×100mm（±5mm）； 材质：PMMA；工艺：精加工；功能描述：实验器主体有A\B两个仓室和模块卡槽，两个仓室间有活动门板，模块卡槽板配有两个磁钢，中间有孔跟B仓室联通，功能条件发生模块配有两个铁质固定螺丝，放置在模块卡槽中时可与模块卡槽板吸合靠紧，通电打开模块即可完成针对性功能实验。</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次声波（地震波）发生模块:</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尺寸≥90mm×70mm×45mm、输入电压DC6V、输出声波频率≤20Hz、连续可调；材质：PMMA；工艺：精加工；功能描述：接上电源适配器，按下独立开关，可产生次声波，通过调节频率模拟地震波的发生，可通过观察窗观察动物在受到特定频率次声波的刺激后的生物反应。</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超声波发生模块:</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尺寸≥90mm×70mm×45mm、输入电压DC6V、输出声波频率20KHz≤f≤180KHz、连续可调；材质：PMMA；工艺：精加工；功能描述：接上电源适配器，按下独立开关，可产生超声波，通过调节频率模拟超声波的发生，可通过观察窗观察动物在受到特定频率超声波的刺激后的生物反应。</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光照条件发生模块:</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尺寸≥90mm×70mm×45mm、输入电压DC6V、白光LED、功率1瓦；材质：PMMA；工艺：精加工；功能描述：接上电源适配器，按下独立开关，可产生强光照射，通过调节光强改变光照条件，可通过观察窗观察动物在受到一定光照条件下的刺激后的生物反应。</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温变条件发生模块:</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尺寸≥90mm×70mm×45mm、输入电压DC6V、内置发热功率电阻；材质：PMMA；工艺：精加工；功能描述：空气加热，改变环境温度；接上电源适配器，按下独立开关，可加热空气改变环境温度，可通过观察窗观察动物在环境温度发生改变时的生物反应。</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湿度条件发生模块:</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规格：尺寸≥90mm×70mm×45mm、输入电压DC6V、内置加湿器模组；材质：PMMA；工艺：精加工；功能描述：在注水孔内注入适量的水，接上电源适配器，按下独立开关，即可迅速产生水雾改变环境湿度，通过观察窗观察动物在环境湿度发生改变时的生物反应。</w:t>
            </w:r>
          </w:p>
        </w:tc>
        <w:tc>
          <w:tcPr>
            <w:tcW w:w="3633" w:type="dxa"/>
            <w:shd w:val="clear" w:color="auto" w:fill="auto"/>
            <w:vAlign w:val="center"/>
          </w:tcPr>
          <w:p w14:paraId="613ADF2B">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1.探究影响鼠妇（或蚯蚓等）分布的环境因素</w:t>
            </w:r>
          </w:p>
        </w:tc>
        <w:tc>
          <w:tcPr>
            <w:tcW w:w="684" w:type="dxa"/>
            <w:shd w:val="clear" w:color="auto" w:fill="auto"/>
            <w:vAlign w:val="center"/>
          </w:tcPr>
          <w:p w14:paraId="513C142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箱</w:t>
            </w:r>
          </w:p>
        </w:tc>
        <w:tc>
          <w:tcPr>
            <w:tcW w:w="783" w:type="dxa"/>
            <w:shd w:val="clear" w:color="auto" w:fill="auto"/>
            <w:noWrap/>
            <w:vAlign w:val="center"/>
          </w:tcPr>
          <w:p w14:paraId="4145F59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7" w:type="dxa"/>
            <w:shd w:val="clear" w:color="auto" w:fill="auto"/>
            <w:noWrap/>
            <w:vAlign w:val="center"/>
          </w:tcPr>
          <w:p w14:paraId="475F10E5">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874" w:type="dxa"/>
            <w:shd w:val="clear" w:color="auto" w:fill="auto"/>
            <w:vAlign w:val="center"/>
          </w:tcPr>
          <w:p w14:paraId="293D051C">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6FDF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56" w:type="dxa"/>
            <w:shd w:val="clear" w:color="auto" w:fill="auto"/>
            <w:vAlign w:val="center"/>
          </w:tcPr>
          <w:p w14:paraId="2175B0B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10</w:t>
            </w:r>
          </w:p>
        </w:tc>
        <w:tc>
          <w:tcPr>
            <w:tcW w:w="1113" w:type="dxa"/>
            <w:shd w:val="clear" w:color="auto" w:fill="auto"/>
            <w:vAlign w:val="center"/>
          </w:tcPr>
          <w:p w14:paraId="6FD4DEB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学生用数码显微镜</w:t>
            </w:r>
          </w:p>
        </w:tc>
        <w:tc>
          <w:tcPr>
            <w:tcW w:w="6050" w:type="dxa"/>
            <w:shd w:val="clear" w:color="auto" w:fill="auto"/>
            <w:vAlign w:val="center"/>
          </w:tcPr>
          <w:p w14:paraId="7894FCFE">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1、目镜：大视野广角目镜≥WF16/13mm，LB推拉式双目观察筒45°倾斜，可以360°旋转，视度可调</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2、物镜：消色差物镜≥4X/0.10成像清晰圆直径≧7mm，消色差物镜≥10X/0.25成像清晰圆直径≧7mm，消色差物镜≥40X/0.65成像清晰圆直径≧6mm，消色差物镜≥100XS/1.25。</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3、放大倍率：≥64X-1600X</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4、转换器：四孔物镜转换器，转换器稳定性≤0.025；</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5、载物台：复全金属机械载物台≥110×120mm，平台移动范围≥60mm（X）×30（Y）mm，精度不高于0.1mm，载物台侧向守5N水平方向作用力最大位移≤0.020，不可重复性≤0.003</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6、聚光镜：阿贝式聚光镜N.A=1.25、光栏：可变光栏</w:t>
            </w:r>
            <w:r>
              <w:rPr>
                <w:rFonts w:hint="eastAsia" w:ascii="宋体" w:hAnsi="宋体" w:eastAsia="宋体" w:cs="宋体"/>
                <w:b w:val="0"/>
                <w:bCs w:val="0"/>
                <w:i w:val="0"/>
                <w:iCs w:val="0"/>
                <w:color w:val="auto"/>
                <w:kern w:val="0"/>
                <w:sz w:val="20"/>
                <w:szCs w:val="20"/>
                <w:u w:val="none"/>
                <w:lang w:val="en-US" w:eastAsia="zh-CN" w:bidi="ar"/>
              </w:rPr>
              <w:br w:type="textWrapping"/>
            </w:r>
            <w:r>
              <w:rPr>
                <w:rFonts w:hint="eastAsia" w:ascii="宋体" w:hAnsi="宋体" w:eastAsia="宋体" w:cs="宋体"/>
                <w:b w:val="0"/>
                <w:bCs w:val="0"/>
                <w:i w:val="0"/>
                <w:iCs w:val="0"/>
                <w:color w:val="auto"/>
                <w:kern w:val="0"/>
                <w:sz w:val="20"/>
                <w:szCs w:val="20"/>
                <w:u w:val="none"/>
                <w:lang w:val="en-US" w:eastAsia="zh-CN" w:bidi="ar"/>
              </w:rPr>
              <w:t>7、显微镜内置LED可充电式底光源，充电后可以连续使用50小时以上。</w:t>
            </w:r>
          </w:p>
        </w:tc>
        <w:tc>
          <w:tcPr>
            <w:tcW w:w="3633" w:type="dxa"/>
            <w:shd w:val="clear" w:color="auto" w:fill="auto"/>
            <w:noWrap/>
            <w:vAlign w:val="center"/>
          </w:tcPr>
          <w:p w14:paraId="60748553">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配套仪器</w:t>
            </w:r>
          </w:p>
        </w:tc>
        <w:tc>
          <w:tcPr>
            <w:tcW w:w="684" w:type="dxa"/>
            <w:shd w:val="clear" w:color="auto" w:fill="auto"/>
            <w:vAlign w:val="center"/>
          </w:tcPr>
          <w:p w14:paraId="29530ED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台</w:t>
            </w:r>
          </w:p>
        </w:tc>
        <w:tc>
          <w:tcPr>
            <w:tcW w:w="783" w:type="dxa"/>
            <w:shd w:val="clear" w:color="auto" w:fill="auto"/>
            <w:noWrap/>
            <w:vAlign w:val="center"/>
          </w:tcPr>
          <w:p w14:paraId="4244039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767" w:type="dxa"/>
            <w:shd w:val="clear" w:color="auto" w:fill="auto"/>
            <w:vAlign w:val="center"/>
          </w:tcPr>
          <w:p w14:paraId="6D6672E8">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874" w:type="dxa"/>
            <w:shd w:val="clear" w:color="auto" w:fill="auto"/>
            <w:vAlign w:val="center"/>
          </w:tcPr>
          <w:p w14:paraId="404F8575">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108DB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56" w:type="dxa"/>
            <w:shd w:val="clear" w:color="auto" w:fill="auto"/>
            <w:vAlign w:val="center"/>
          </w:tcPr>
          <w:p w14:paraId="123B2F9E">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11</w:t>
            </w:r>
          </w:p>
        </w:tc>
        <w:tc>
          <w:tcPr>
            <w:tcW w:w="1113" w:type="dxa"/>
            <w:shd w:val="clear" w:color="auto" w:fill="auto"/>
            <w:vAlign w:val="center"/>
          </w:tcPr>
          <w:p w14:paraId="00F88EF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心肺复苏模型</w:t>
            </w:r>
          </w:p>
        </w:tc>
        <w:tc>
          <w:tcPr>
            <w:tcW w:w="6050" w:type="dxa"/>
            <w:shd w:val="clear" w:color="auto" w:fill="auto"/>
            <w:vAlign w:val="center"/>
          </w:tcPr>
          <w:p w14:paraId="6544F1DF">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全身心肺复苏模拟人≥1具（身长≥1600mm；采用热塑弹性体混合胶材料；解剖标志准确，开展人工呼吸、心肺复苏、包扎止血等模拟实践活动；2、使用说明书≥1本；3、屏障面膜≥(50张/盒)1盒；4、可换肺袋装置≥4套；5、可换面皮≥1只；6、操作指南光盘≥1张；7、急救手册≥1本；8、保修卡合格证≥1套；9、复苏操作垫≥1条；10、豪华超厚牛津袋≥1只等。</w:t>
            </w:r>
          </w:p>
        </w:tc>
        <w:tc>
          <w:tcPr>
            <w:tcW w:w="3633" w:type="dxa"/>
            <w:shd w:val="clear" w:color="auto" w:fill="auto"/>
            <w:vAlign w:val="center"/>
          </w:tcPr>
          <w:p w14:paraId="3C2C27C7">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1.开展人工呼吸、心肺复苏、包扎止血的模拟实践活动</w:t>
            </w:r>
          </w:p>
        </w:tc>
        <w:tc>
          <w:tcPr>
            <w:tcW w:w="684" w:type="dxa"/>
            <w:shd w:val="clear" w:color="auto" w:fill="auto"/>
            <w:vAlign w:val="center"/>
          </w:tcPr>
          <w:p w14:paraId="748B967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套</w:t>
            </w:r>
          </w:p>
        </w:tc>
        <w:tc>
          <w:tcPr>
            <w:tcW w:w="783" w:type="dxa"/>
            <w:shd w:val="clear" w:color="auto" w:fill="auto"/>
            <w:noWrap/>
            <w:vAlign w:val="center"/>
          </w:tcPr>
          <w:p w14:paraId="45FC6F80">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w:t>
            </w:r>
          </w:p>
        </w:tc>
        <w:tc>
          <w:tcPr>
            <w:tcW w:w="767" w:type="dxa"/>
            <w:shd w:val="clear" w:color="auto" w:fill="auto"/>
            <w:noWrap/>
            <w:vAlign w:val="center"/>
          </w:tcPr>
          <w:p w14:paraId="443ABF3C">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874" w:type="dxa"/>
            <w:shd w:val="clear" w:color="auto" w:fill="auto"/>
            <w:vAlign w:val="center"/>
          </w:tcPr>
          <w:p w14:paraId="191FAB45">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38596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56" w:type="dxa"/>
            <w:shd w:val="clear" w:color="auto" w:fill="auto"/>
            <w:vAlign w:val="center"/>
          </w:tcPr>
          <w:p w14:paraId="6F0801B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12</w:t>
            </w:r>
          </w:p>
        </w:tc>
        <w:tc>
          <w:tcPr>
            <w:tcW w:w="1113" w:type="dxa"/>
            <w:shd w:val="clear" w:color="auto" w:fill="auto"/>
            <w:vAlign w:val="center"/>
          </w:tcPr>
          <w:p w14:paraId="33A024D5">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泡菜坛</w:t>
            </w:r>
          </w:p>
        </w:tc>
        <w:tc>
          <w:tcPr>
            <w:tcW w:w="6050" w:type="dxa"/>
            <w:shd w:val="clear" w:color="auto" w:fill="auto"/>
            <w:vAlign w:val="center"/>
          </w:tcPr>
          <w:p w14:paraId="7D0CAFE2">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≥1000 mL</w:t>
            </w:r>
          </w:p>
        </w:tc>
        <w:tc>
          <w:tcPr>
            <w:tcW w:w="3633" w:type="dxa"/>
            <w:shd w:val="clear" w:color="auto" w:fill="auto"/>
            <w:vAlign w:val="center"/>
          </w:tcPr>
          <w:p w14:paraId="7766C88C">
            <w:pPr>
              <w:keepNext w:val="0"/>
              <w:keepLines w:val="0"/>
              <w:widowControl/>
              <w:suppressLineNumbers w:val="0"/>
              <w:jc w:val="left"/>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1.制作泡菜并探究影响泡菜亚硝酸盐浓度的因素</w:t>
            </w:r>
          </w:p>
        </w:tc>
        <w:tc>
          <w:tcPr>
            <w:tcW w:w="684" w:type="dxa"/>
            <w:shd w:val="clear" w:color="auto" w:fill="auto"/>
            <w:vAlign w:val="center"/>
          </w:tcPr>
          <w:p w14:paraId="7B696E7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个</w:t>
            </w:r>
          </w:p>
        </w:tc>
        <w:tc>
          <w:tcPr>
            <w:tcW w:w="783" w:type="dxa"/>
            <w:shd w:val="clear" w:color="auto" w:fill="auto"/>
            <w:noWrap/>
            <w:vAlign w:val="center"/>
          </w:tcPr>
          <w:p w14:paraId="25A5E637">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0"/>
                <w:szCs w:val="20"/>
                <w:u w:val="none"/>
                <w:lang w:val="en-US" w:eastAsia="zh-CN" w:bidi="ar"/>
              </w:rPr>
              <w:t>13</w:t>
            </w:r>
          </w:p>
        </w:tc>
        <w:tc>
          <w:tcPr>
            <w:tcW w:w="767" w:type="dxa"/>
            <w:shd w:val="clear" w:color="auto" w:fill="auto"/>
            <w:vAlign w:val="center"/>
          </w:tcPr>
          <w:p w14:paraId="685B6561">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r>
              <w:rPr>
                <w:rFonts w:hint="eastAsia" w:ascii="宋体" w:hAnsi="宋体" w:eastAsia="宋体" w:cs="宋体"/>
                <w:b w:val="0"/>
                <w:bCs w:val="0"/>
                <w:i w:val="0"/>
                <w:iCs w:val="0"/>
                <w:color w:val="auto"/>
                <w:kern w:val="0"/>
                <w:sz w:val="20"/>
                <w:szCs w:val="20"/>
                <w:u w:val="none"/>
                <w:lang w:val="en-US" w:eastAsia="zh-CN" w:bidi="ar"/>
              </w:rPr>
              <w:t xml:space="preserve"> </w:t>
            </w:r>
          </w:p>
        </w:tc>
        <w:tc>
          <w:tcPr>
            <w:tcW w:w="874" w:type="dxa"/>
            <w:shd w:val="clear" w:color="auto" w:fill="auto"/>
            <w:vAlign w:val="center"/>
          </w:tcPr>
          <w:p w14:paraId="2FAF76B5">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u w:val="none"/>
                <w:lang w:val="en-US"/>
              </w:rPr>
            </w:pPr>
          </w:p>
        </w:tc>
      </w:tr>
      <w:tr w14:paraId="62D50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56" w:type="dxa"/>
            <w:shd w:val="clear" w:color="auto" w:fill="auto"/>
            <w:noWrap/>
            <w:vAlign w:val="center"/>
          </w:tcPr>
          <w:p w14:paraId="0DB7B0DA">
            <w:pPr>
              <w:jc w:val="center"/>
              <w:rPr>
                <w:rFonts w:hint="eastAsia" w:ascii="宋体" w:hAnsi="宋体" w:eastAsia="宋体" w:cs="宋体"/>
                <w:b w:val="0"/>
                <w:bCs w:val="0"/>
                <w:i w:val="0"/>
                <w:iCs w:val="0"/>
                <w:color w:val="auto"/>
                <w:sz w:val="20"/>
                <w:szCs w:val="20"/>
                <w:u w:val="none"/>
              </w:rPr>
            </w:pPr>
          </w:p>
        </w:tc>
        <w:tc>
          <w:tcPr>
            <w:tcW w:w="1113" w:type="dxa"/>
            <w:shd w:val="clear" w:color="auto" w:fill="auto"/>
            <w:vAlign w:val="center"/>
          </w:tcPr>
          <w:p w14:paraId="2EE2D205">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合计</w:t>
            </w:r>
          </w:p>
        </w:tc>
        <w:tc>
          <w:tcPr>
            <w:tcW w:w="6050" w:type="dxa"/>
            <w:shd w:val="clear" w:color="auto" w:fill="auto"/>
            <w:noWrap/>
            <w:vAlign w:val="center"/>
          </w:tcPr>
          <w:p w14:paraId="51588A7D">
            <w:pPr>
              <w:jc w:val="left"/>
              <w:rPr>
                <w:rFonts w:hint="eastAsia" w:ascii="宋体" w:hAnsi="宋体" w:eastAsia="宋体" w:cs="宋体"/>
                <w:b/>
                <w:bCs/>
                <w:i w:val="0"/>
                <w:iCs w:val="0"/>
                <w:color w:val="auto"/>
                <w:sz w:val="20"/>
                <w:szCs w:val="20"/>
                <w:u w:val="none"/>
              </w:rPr>
            </w:pPr>
          </w:p>
        </w:tc>
        <w:tc>
          <w:tcPr>
            <w:tcW w:w="3633" w:type="dxa"/>
            <w:shd w:val="clear" w:color="auto" w:fill="auto"/>
            <w:noWrap/>
            <w:vAlign w:val="center"/>
          </w:tcPr>
          <w:p w14:paraId="022BFC87">
            <w:pPr>
              <w:jc w:val="center"/>
              <w:rPr>
                <w:rFonts w:hint="eastAsia" w:ascii="宋体" w:hAnsi="宋体" w:eastAsia="宋体" w:cs="宋体"/>
                <w:b/>
                <w:bCs/>
                <w:i w:val="0"/>
                <w:iCs w:val="0"/>
                <w:color w:val="auto"/>
                <w:sz w:val="20"/>
                <w:szCs w:val="20"/>
                <w:u w:val="none"/>
              </w:rPr>
            </w:pPr>
          </w:p>
        </w:tc>
        <w:tc>
          <w:tcPr>
            <w:tcW w:w="684" w:type="dxa"/>
            <w:shd w:val="clear" w:color="auto" w:fill="auto"/>
            <w:noWrap/>
            <w:vAlign w:val="center"/>
          </w:tcPr>
          <w:p w14:paraId="53041711">
            <w:pPr>
              <w:jc w:val="center"/>
              <w:rPr>
                <w:rFonts w:hint="eastAsia" w:ascii="宋体" w:hAnsi="宋体" w:eastAsia="宋体" w:cs="宋体"/>
                <w:b/>
                <w:bCs/>
                <w:i w:val="0"/>
                <w:iCs w:val="0"/>
                <w:color w:val="auto"/>
                <w:sz w:val="20"/>
                <w:szCs w:val="20"/>
                <w:u w:val="none"/>
              </w:rPr>
            </w:pPr>
          </w:p>
        </w:tc>
        <w:tc>
          <w:tcPr>
            <w:tcW w:w="783" w:type="dxa"/>
            <w:shd w:val="clear" w:color="auto" w:fill="auto"/>
            <w:noWrap/>
            <w:vAlign w:val="center"/>
          </w:tcPr>
          <w:p w14:paraId="2B30BE35">
            <w:pPr>
              <w:jc w:val="center"/>
              <w:rPr>
                <w:rFonts w:hint="eastAsia" w:ascii="宋体" w:hAnsi="宋体" w:eastAsia="宋体" w:cs="宋体"/>
                <w:b/>
                <w:bCs/>
                <w:i w:val="0"/>
                <w:iCs w:val="0"/>
                <w:color w:val="auto"/>
                <w:sz w:val="20"/>
                <w:szCs w:val="20"/>
                <w:u w:val="none"/>
              </w:rPr>
            </w:pPr>
          </w:p>
        </w:tc>
        <w:tc>
          <w:tcPr>
            <w:tcW w:w="1641" w:type="dxa"/>
            <w:gridSpan w:val="2"/>
            <w:shd w:val="clear" w:color="auto" w:fill="auto"/>
            <w:noWrap/>
            <w:vAlign w:val="center"/>
          </w:tcPr>
          <w:p w14:paraId="7A63EB04">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 xml:space="preserve"> </w:t>
            </w:r>
          </w:p>
        </w:tc>
      </w:tr>
    </w:tbl>
    <w:p w14:paraId="43901E7A">
      <w:pPr>
        <w:rPr>
          <w:b w:val="0"/>
          <w:bCs w:val="0"/>
          <w:color w:val="auto"/>
        </w:rPr>
      </w:pPr>
    </w:p>
    <w:sectPr>
      <w:pgSz w:w="16838" w:h="11906" w:orient="landscape"/>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CB4A77"/>
    <w:multiLevelType w:val="singleLevel"/>
    <w:tmpl w:val="9FCB4A7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405DB3"/>
    <w:rsid w:val="02AE1145"/>
    <w:rsid w:val="03153335"/>
    <w:rsid w:val="03C6073D"/>
    <w:rsid w:val="046643CE"/>
    <w:rsid w:val="05730F2F"/>
    <w:rsid w:val="067D32B4"/>
    <w:rsid w:val="076D15CF"/>
    <w:rsid w:val="08A70B11"/>
    <w:rsid w:val="09E65792"/>
    <w:rsid w:val="0AC56CFC"/>
    <w:rsid w:val="0B8D66E4"/>
    <w:rsid w:val="0DBB7526"/>
    <w:rsid w:val="0FD0094D"/>
    <w:rsid w:val="12FE5199"/>
    <w:rsid w:val="1353655B"/>
    <w:rsid w:val="140103FF"/>
    <w:rsid w:val="14445DAD"/>
    <w:rsid w:val="14575AE1"/>
    <w:rsid w:val="15DC1C7A"/>
    <w:rsid w:val="1702234F"/>
    <w:rsid w:val="18B56CA7"/>
    <w:rsid w:val="19A277FE"/>
    <w:rsid w:val="1CFF0AA8"/>
    <w:rsid w:val="1E5F5CBE"/>
    <w:rsid w:val="1F244811"/>
    <w:rsid w:val="200545E0"/>
    <w:rsid w:val="22242CEA"/>
    <w:rsid w:val="22F15352"/>
    <w:rsid w:val="24405DB3"/>
    <w:rsid w:val="24A81A41"/>
    <w:rsid w:val="24C1418D"/>
    <w:rsid w:val="25914A3B"/>
    <w:rsid w:val="25C71A6C"/>
    <w:rsid w:val="27160EE4"/>
    <w:rsid w:val="28A13E54"/>
    <w:rsid w:val="28EA2628"/>
    <w:rsid w:val="2A1D4C7F"/>
    <w:rsid w:val="2B761A86"/>
    <w:rsid w:val="2B80464F"/>
    <w:rsid w:val="2B911A2E"/>
    <w:rsid w:val="2BF43A89"/>
    <w:rsid w:val="2C792640"/>
    <w:rsid w:val="2DFA155F"/>
    <w:rsid w:val="2F1000DF"/>
    <w:rsid w:val="30801FAB"/>
    <w:rsid w:val="344C326F"/>
    <w:rsid w:val="391060DB"/>
    <w:rsid w:val="39EB0163"/>
    <w:rsid w:val="3BD74C8E"/>
    <w:rsid w:val="3C6D73A0"/>
    <w:rsid w:val="3C830972"/>
    <w:rsid w:val="3CD5085D"/>
    <w:rsid w:val="3D7E738B"/>
    <w:rsid w:val="3FBB0422"/>
    <w:rsid w:val="40534AFF"/>
    <w:rsid w:val="40A37810"/>
    <w:rsid w:val="40ED0AAF"/>
    <w:rsid w:val="414F4C70"/>
    <w:rsid w:val="42EC3477"/>
    <w:rsid w:val="432B218E"/>
    <w:rsid w:val="46717A8D"/>
    <w:rsid w:val="476D74A3"/>
    <w:rsid w:val="492359B6"/>
    <w:rsid w:val="4A7638C4"/>
    <w:rsid w:val="4B8E2E8F"/>
    <w:rsid w:val="4C2C7669"/>
    <w:rsid w:val="4CA23096"/>
    <w:rsid w:val="4DB34E2F"/>
    <w:rsid w:val="4E661EA1"/>
    <w:rsid w:val="504050C4"/>
    <w:rsid w:val="505A77E4"/>
    <w:rsid w:val="50AB665B"/>
    <w:rsid w:val="50C86E43"/>
    <w:rsid w:val="51532BB1"/>
    <w:rsid w:val="524D46CF"/>
    <w:rsid w:val="52FB3500"/>
    <w:rsid w:val="5479596D"/>
    <w:rsid w:val="573B036F"/>
    <w:rsid w:val="59BE5287"/>
    <w:rsid w:val="59D6612D"/>
    <w:rsid w:val="59F6057D"/>
    <w:rsid w:val="5C3A55CD"/>
    <w:rsid w:val="5C841E70"/>
    <w:rsid w:val="5CAC7095"/>
    <w:rsid w:val="5DB669A1"/>
    <w:rsid w:val="5E76701B"/>
    <w:rsid w:val="5EC073AC"/>
    <w:rsid w:val="5F245B8C"/>
    <w:rsid w:val="60D1094A"/>
    <w:rsid w:val="62E713AB"/>
    <w:rsid w:val="64584B88"/>
    <w:rsid w:val="65624D19"/>
    <w:rsid w:val="66BB529A"/>
    <w:rsid w:val="671958AB"/>
    <w:rsid w:val="67FA56DC"/>
    <w:rsid w:val="6A050368"/>
    <w:rsid w:val="6C046B2A"/>
    <w:rsid w:val="6C9E6F7E"/>
    <w:rsid w:val="6CA17546"/>
    <w:rsid w:val="6E972C4F"/>
    <w:rsid w:val="6E9F4E0D"/>
    <w:rsid w:val="705706D0"/>
    <w:rsid w:val="712A5284"/>
    <w:rsid w:val="724520DD"/>
    <w:rsid w:val="75FD0057"/>
    <w:rsid w:val="78E27E65"/>
    <w:rsid w:val="78EF3E26"/>
    <w:rsid w:val="794A5D98"/>
    <w:rsid w:val="79915775"/>
    <w:rsid w:val="79C51D9A"/>
    <w:rsid w:val="7AD7365B"/>
    <w:rsid w:val="7BAB5214"/>
    <w:rsid w:val="7C156F1A"/>
    <w:rsid w:val="7C8A307B"/>
    <w:rsid w:val="7E7B20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6">
    <w:name w:val="font61"/>
    <w:basedOn w:val="5"/>
    <w:qFormat/>
    <w:uiPriority w:val="0"/>
    <w:rPr>
      <w:rFonts w:hint="eastAsia" w:ascii="宋体" w:hAnsi="宋体" w:eastAsia="宋体" w:cs="宋体"/>
      <w:b/>
      <w:bCs/>
      <w:color w:val="FF0000"/>
      <w:sz w:val="20"/>
      <w:szCs w:val="20"/>
      <w:u w:val="none"/>
    </w:rPr>
  </w:style>
  <w:style w:type="character" w:customStyle="1" w:styleId="7">
    <w:name w:val="font51"/>
    <w:basedOn w:val="5"/>
    <w:qFormat/>
    <w:uiPriority w:val="0"/>
    <w:rPr>
      <w:rFonts w:hint="eastAsia" w:ascii="宋体" w:hAnsi="宋体" w:eastAsia="宋体" w:cs="宋体"/>
      <w:color w:val="000000"/>
      <w:sz w:val="20"/>
      <w:szCs w:val="20"/>
      <w:u w:val="none"/>
    </w:rPr>
  </w:style>
  <w:style w:type="character" w:customStyle="1" w:styleId="8">
    <w:name w:val="font71"/>
    <w:basedOn w:val="5"/>
    <w:qFormat/>
    <w:uiPriority w:val="0"/>
    <w:rPr>
      <w:rFonts w:hint="eastAsia" w:ascii="宋体" w:hAnsi="宋体" w:eastAsia="宋体" w:cs="宋体"/>
      <w:b/>
      <w:bCs/>
      <w:color w:val="00B050"/>
      <w:sz w:val="20"/>
      <w:szCs w:val="20"/>
      <w:u w:val="none"/>
    </w:rPr>
  </w:style>
  <w:style w:type="character" w:customStyle="1" w:styleId="9">
    <w:name w:val="font81"/>
    <w:basedOn w:val="5"/>
    <w:qFormat/>
    <w:uiPriority w:val="0"/>
    <w:rPr>
      <w:rFonts w:hint="eastAsia" w:ascii="宋体" w:hAnsi="宋体" w:eastAsia="宋体" w:cs="宋体"/>
      <w:b/>
      <w:bCs/>
      <w:color w:val="FF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90</Pages>
  <Words>32360</Words>
  <Characters>36988</Characters>
  <Lines>0</Lines>
  <Paragraphs>0</Paragraphs>
  <TotalTime>15</TotalTime>
  <ScaleCrop>false</ScaleCrop>
  <LinksUpToDate>false</LinksUpToDate>
  <CharactersWithSpaces>37292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2026-02-28T07:40:00Z</dcterms:created>
  <dc:creator>冯超</dc:creator>
  <cp:lastModifiedBy>wang</cp:lastModifiedBy>
  <dcterms:modified xsi:type="dcterms:W3CDTF">2026-07-14T07:28:11Z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C7CCF3F3CCBB4FD0A7567A79387DE844_13</vt:lpwstr>
  </property>
  <property fmtid="{D5CDD505-2E9C-101B-9397-08002B2CF9AE}" pid="4" name="KSOTemplateDocerSaveRecord">
    <vt:lpwstr>eyJoZGlkIjoiYzNkNTA2MjRjMzA2MGZkOTBkYTFhZjRiMDg0MzI4OTUiLCJ1c2VySWQiOiIxMTMyNzU5Nzk5In0=</vt:lpwstr>
  </property>
</Properties>
</file>