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DA438">
      <w:pPr>
        <w:spacing w:line="360" w:lineRule="auto"/>
        <w:jc w:val="center"/>
        <w:rPr>
          <w:rFonts w:ascii="仿宋" w:hAnsi="仿宋" w:eastAsia="仿宋" w:cs="仿宋"/>
          <w:b/>
          <w:bCs/>
          <w:sz w:val="36"/>
          <w:szCs w:val="36"/>
        </w:rPr>
      </w:pPr>
      <w:r>
        <w:rPr>
          <w:rFonts w:hint="eastAsia" w:ascii="仿宋" w:hAnsi="仿宋" w:eastAsia="仿宋" w:cs="仿宋"/>
          <w:b/>
          <w:bCs/>
          <w:spacing w:val="9"/>
          <w:sz w:val="36"/>
          <w:szCs w:val="36"/>
          <w14:textOutline w14:w="4064" w14:cap="flat" w14:cmpd="sng" w14:algn="ctr">
            <w14:solidFill>
              <w14:srgbClr w14:val="000000"/>
            </w14:solidFill>
            <w14:prstDash w14:val="solid"/>
            <w14:miter w14:val="0"/>
          </w14:textOutline>
        </w:rPr>
        <w:t>杭锦旗独贵塔拉学校体育运动场维修工程</w:t>
      </w:r>
      <w:r>
        <w:rPr>
          <w:rFonts w:hint="eastAsia" w:ascii="仿宋" w:hAnsi="仿宋" w:eastAsia="仿宋" w:cs="仿宋"/>
          <w:b/>
          <w:bCs/>
          <w:spacing w:val="9"/>
          <w:sz w:val="36"/>
          <w:szCs w:val="36"/>
          <w:lang w:val="en-US" w:eastAsia="zh-CN"/>
          <w14:textOutline w14:w="4064" w14:cap="flat" w14:cmpd="sng" w14:algn="ctr">
            <w14:solidFill>
              <w14:srgbClr w14:val="000000"/>
            </w14:solidFill>
            <w14:prstDash w14:val="solid"/>
            <w14:miter w14:val="0"/>
          </w14:textOutline>
        </w:rPr>
        <w:t>工程量清单</w:t>
      </w:r>
      <w:r>
        <w:rPr>
          <w:rFonts w:ascii="仿宋" w:hAnsi="仿宋" w:eastAsia="仿宋" w:cs="仿宋"/>
          <w:b/>
          <w:bCs/>
          <w:spacing w:val="9"/>
          <w:sz w:val="36"/>
          <w:szCs w:val="36"/>
          <w14:textOutline w14:w="4064" w14:cap="flat" w14:cmpd="sng" w14:algn="ctr">
            <w14:solidFill>
              <w14:srgbClr w14:val="000000"/>
            </w14:solidFill>
            <w14:prstDash w14:val="solid"/>
            <w14:miter w14:val="0"/>
          </w14:textOutline>
        </w:rPr>
        <w:t>编制说</w:t>
      </w:r>
      <w:r>
        <w:rPr>
          <w:rFonts w:ascii="仿宋" w:hAnsi="仿宋" w:eastAsia="仿宋" w:cs="仿宋"/>
          <w:b/>
          <w:bCs/>
          <w:spacing w:val="8"/>
          <w:sz w:val="36"/>
          <w:szCs w:val="36"/>
          <w14:textOutline w14:w="4064" w14:cap="flat" w14:cmpd="sng" w14:algn="ctr">
            <w14:solidFill>
              <w14:srgbClr w14:val="000000"/>
            </w14:solidFill>
            <w14:prstDash w14:val="solid"/>
            <w14:miter w14:val="0"/>
          </w14:textOutline>
        </w:rPr>
        <w:t>明</w:t>
      </w:r>
    </w:p>
    <w:p w14:paraId="6312844D">
      <w:pPr>
        <w:keepNext w:val="0"/>
        <w:keepLines w:val="0"/>
        <w:pageBreakBefore w:val="0"/>
        <w:widowControl/>
        <w:kinsoku w:val="0"/>
        <w:wordWrap/>
        <w:overflowPunct/>
        <w:topLinePunct w:val="0"/>
        <w:autoSpaceDE w:val="0"/>
        <w:autoSpaceDN w:val="0"/>
        <w:bidi w:val="0"/>
        <w:adjustRightInd w:val="0"/>
        <w:snapToGrid w:val="0"/>
        <w:spacing w:line="540" w:lineRule="exact"/>
        <w:ind w:firstLine="512" w:firstLineChars="200"/>
        <w:textAlignment w:val="baseline"/>
        <w:rPr>
          <w:rFonts w:ascii="仿宋" w:hAnsi="仿宋" w:eastAsia="仿宋" w:cs="仿宋"/>
          <w:sz w:val="24"/>
          <w:szCs w:val="24"/>
        </w:rPr>
      </w:pPr>
      <w:r>
        <w:rPr>
          <w:rFonts w:ascii="仿宋" w:hAnsi="仿宋" w:eastAsia="仿宋" w:cs="仿宋"/>
          <w:spacing w:val="8"/>
          <w:sz w:val="24"/>
          <w:szCs w:val="24"/>
          <w14:textOutline w14:w="3556" w14:cap="flat" w14:cmpd="sng" w14:algn="ctr">
            <w14:solidFill>
              <w14:srgbClr w14:val="000000"/>
            </w14:solidFill>
            <w14:prstDash w14:val="solid"/>
            <w14:miter w14:val="0"/>
          </w14:textOutline>
        </w:rPr>
        <w:t>一</w:t>
      </w:r>
      <w:r>
        <w:rPr>
          <w:rFonts w:ascii="仿宋" w:hAnsi="仿宋" w:eastAsia="仿宋" w:cs="仿宋"/>
          <w:spacing w:val="7"/>
          <w:sz w:val="24"/>
          <w:szCs w:val="24"/>
          <w14:textOutline w14:w="3556" w14:cap="flat" w14:cmpd="sng" w14:algn="ctr">
            <w14:solidFill>
              <w14:srgbClr w14:val="000000"/>
            </w14:solidFill>
            <w14:prstDash w14:val="solid"/>
            <w14:miter w14:val="0"/>
          </w14:textOutline>
        </w:rPr>
        <w:t>、工程概况</w:t>
      </w:r>
    </w:p>
    <w:p w14:paraId="1458520E">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rPr>
      </w:pPr>
      <w:r>
        <w:rPr>
          <w:rFonts w:hint="eastAsia" w:ascii="仿宋" w:hAnsi="仿宋" w:eastAsia="仿宋" w:cs="仿宋"/>
          <w:spacing w:val="34"/>
          <w:sz w:val="24"/>
          <w:szCs w:val="24"/>
        </w:rPr>
        <w:t>1、工程名称：</w:t>
      </w:r>
      <w:r>
        <w:rPr>
          <w:rFonts w:hint="eastAsia" w:ascii="仿宋" w:hAnsi="仿宋" w:eastAsia="仿宋" w:cs="仿宋"/>
          <w:spacing w:val="-11"/>
          <w:sz w:val="24"/>
          <w:szCs w:val="24"/>
        </w:rPr>
        <w:t>杭锦旗独贵塔拉学校体育运动场维修工程</w:t>
      </w:r>
    </w:p>
    <w:p w14:paraId="2FF6AB11">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default" w:ascii="仿宋" w:hAnsi="仿宋" w:eastAsia="仿宋" w:cs="仿宋"/>
          <w:spacing w:val="34"/>
          <w:sz w:val="24"/>
          <w:szCs w:val="24"/>
          <w:lang w:val="en-US" w:eastAsia="zh-CN"/>
        </w:rPr>
      </w:pPr>
      <w:r>
        <w:rPr>
          <w:rFonts w:hint="eastAsia" w:ascii="仿宋" w:hAnsi="仿宋" w:eastAsia="仿宋" w:cs="仿宋"/>
          <w:spacing w:val="34"/>
          <w:sz w:val="24"/>
          <w:szCs w:val="24"/>
        </w:rPr>
        <w:t>2、建设单位：</w:t>
      </w:r>
      <w:r>
        <w:rPr>
          <w:rFonts w:hint="eastAsia" w:ascii="仿宋" w:hAnsi="仿宋" w:eastAsia="仿宋" w:cs="仿宋"/>
          <w:spacing w:val="34"/>
          <w:sz w:val="24"/>
          <w:szCs w:val="24"/>
          <w:lang w:val="en-US" w:eastAsia="zh-CN"/>
        </w:rPr>
        <w:t>杭锦旗教育体育局</w:t>
      </w:r>
    </w:p>
    <w:p w14:paraId="09FF386A">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default" w:ascii="仿宋" w:hAnsi="仿宋" w:eastAsia="仿宋" w:cs="仿宋"/>
          <w:spacing w:val="34"/>
          <w:sz w:val="24"/>
          <w:szCs w:val="24"/>
          <w:lang w:val="en-US"/>
        </w:rPr>
      </w:pPr>
      <w:r>
        <w:rPr>
          <w:rFonts w:hint="eastAsia" w:ascii="仿宋" w:hAnsi="仿宋" w:eastAsia="仿宋" w:cs="仿宋"/>
          <w:spacing w:val="34"/>
          <w:sz w:val="24"/>
          <w:szCs w:val="24"/>
        </w:rPr>
        <w:t>3、建设地点：</w:t>
      </w:r>
      <w:r>
        <w:rPr>
          <w:rFonts w:hint="eastAsia" w:ascii="仿宋" w:hAnsi="仿宋" w:eastAsia="仿宋" w:cs="仿宋"/>
          <w:spacing w:val="34"/>
          <w:sz w:val="24"/>
          <w:szCs w:val="24"/>
          <w:lang w:val="en-US" w:eastAsia="zh-CN"/>
        </w:rPr>
        <w:t>杭锦旗独贵塔拉镇</w:t>
      </w:r>
    </w:p>
    <w:p w14:paraId="566A020D">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default" w:ascii="仿宋" w:hAnsi="仿宋" w:eastAsia="仿宋" w:cs="仿宋"/>
          <w:spacing w:val="34"/>
          <w:sz w:val="24"/>
          <w:szCs w:val="24"/>
          <w:lang w:val="en-US" w:eastAsia="zh-CN"/>
        </w:rPr>
      </w:pPr>
      <w:r>
        <w:rPr>
          <w:rFonts w:hint="eastAsia" w:ascii="仿宋" w:hAnsi="仿宋" w:eastAsia="仿宋" w:cs="仿宋"/>
          <w:spacing w:val="34"/>
          <w:sz w:val="24"/>
          <w:szCs w:val="24"/>
        </w:rPr>
        <w:t>4、</w:t>
      </w:r>
      <w:r>
        <w:rPr>
          <w:rFonts w:hint="eastAsia" w:ascii="仿宋" w:hAnsi="仿宋" w:eastAsia="仿宋" w:cs="仿宋"/>
          <w:spacing w:val="34"/>
          <w:sz w:val="24"/>
          <w:szCs w:val="24"/>
          <w:lang w:val="en-US" w:eastAsia="zh-CN"/>
        </w:rPr>
        <w:t>工程</w:t>
      </w:r>
      <w:r>
        <w:rPr>
          <w:rFonts w:hint="eastAsia" w:ascii="仿宋" w:hAnsi="仿宋" w:eastAsia="仿宋" w:cs="仿宋"/>
          <w:spacing w:val="34"/>
          <w:sz w:val="24"/>
          <w:szCs w:val="24"/>
        </w:rPr>
        <w:t>内容：</w:t>
      </w:r>
      <w:r>
        <w:rPr>
          <w:rFonts w:hint="eastAsia" w:ascii="仿宋" w:hAnsi="仿宋" w:eastAsia="仿宋" w:cs="仿宋"/>
          <w:spacing w:val="34"/>
          <w:sz w:val="24"/>
          <w:szCs w:val="24"/>
          <w:lang w:val="en-US" w:eastAsia="zh-CN"/>
        </w:rPr>
        <w:t>杭锦旗独贵塔拉学校足球场、排球场、塑胶跑道、及看台主席台、雨水排水系统、照明及弱电等相关内容</w:t>
      </w:r>
    </w:p>
    <w:p w14:paraId="719DC4A6">
      <w:pPr>
        <w:keepNext w:val="0"/>
        <w:keepLines w:val="0"/>
        <w:pageBreakBefore w:val="0"/>
        <w:widowControl/>
        <w:kinsoku w:val="0"/>
        <w:wordWrap/>
        <w:overflowPunct/>
        <w:topLinePunct w:val="0"/>
        <w:autoSpaceDE w:val="0"/>
        <w:autoSpaceDN w:val="0"/>
        <w:bidi w:val="0"/>
        <w:adjustRightInd w:val="0"/>
        <w:snapToGrid w:val="0"/>
        <w:spacing w:line="540" w:lineRule="exact"/>
        <w:ind w:firstLine="512" w:firstLineChars="200"/>
        <w:textAlignment w:val="baseline"/>
        <w:rPr>
          <w:rFonts w:ascii="仿宋" w:hAnsi="仿宋" w:eastAsia="仿宋" w:cs="仿宋"/>
          <w:sz w:val="24"/>
          <w:szCs w:val="24"/>
        </w:rPr>
      </w:pPr>
      <w:r>
        <w:rPr>
          <w:rFonts w:ascii="仿宋" w:hAnsi="仿宋" w:eastAsia="仿宋" w:cs="仿宋"/>
          <w:spacing w:val="8"/>
          <w:sz w:val="24"/>
          <w:szCs w:val="24"/>
          <w14:textOutline w14:w="3556" w14:cap="flat" w14:cmpd="sng" w14:algn="ctr">
            <w14:solidFill>
              <w14:srgbClr w14:val="000000"/>
            </w14:solidFill>
            <w14:prstDash w14:val="solid"/>
            <w14:miter w14:val="0"/>
          </w14:textOutline>
        </w:rPr>
        <w:t>二</w:t>
      </w:r>
      <w:r>
        <w:rPr>
          <w:rFonts w:ascii="仿宋" w:hAnsi="仿宋" w:eastAsia="仿宋" w:cs="仿宋"/>
          <w:spacing w:val="6"/>
          <w:sz w:val="24"/>
          <w:szCs w:val="24"/>
          <w14:textOutline w14:w="3556" w14:cap="flat" w14:cmpd="sng" w14:algn="ctr">
            <w14:solidFill>
              <w14:srgbClr w14:val="000000"/>
            </w14:solidFill>
            <w14:prstDash w14:val="solid"/>
            <w14:miter w14:val="0"/>
          </w14:textOutline>
        </w:rPr>
        <w:t>、编制依据</w:t>
      </w:r>
    </w:p>
    <w:p w14:paraId="15487664">
      <w:pPr>
        <w:keepNext w:val="0"/>
        <w:keepLines w:val="0"/>
        <w:pageBreakBefore w:val="0"/>
        <w:widowControl/>
        <w:kinsoku w:val="0"/>
        <w:wordWrap/>
        <w:overflowPunct/>
        <w:topLinePunct w:val="0"/>
        <w:autoSpaceDE w:val="0"/>
        <w:autoSpaceDN w:val="0"/>
        <w:bidi w:val="0"/>
        <w:adjustRightInd w:val="0"/>
        <w:snapToGrid w:val="0"/>
        <w:spacing w:line="540" w:lineRule="exact"/>
        <w:ind w:firstLine="602" w:firstLineChars="200"/>
        <w:textAlignment w:val="baseline"/>
        <w:rPr>
          <w:rFonts w:ascii="仿宋" w:hAnsi="仿宋" w:eastAsia="仿宋" w:cs="仿宋"/>
          <w:spacing w:val="30"/>
          <w:sz w:val="24"/>
          <w:szCs w:val="24"/>
        </w:rPr>
      </w:pPr>
      <w:r>
        <w:rPr>
          <w:rFonts w:ascii="仿宋" w:hAnsi="仿宋" w:eastAsia="仿宋" w:cs="仿宋"/>
          <w:b/>
          <w:bCs/>
          <w:spacing w:val="30"/>
          <w:sz w:val="24"/>
          <w:szCs w:val="24"/>
        </w:rPr>
        <w:t>(一)工程量依据</w:t>
      </w:r>
    </w:p>
    <w:p w14:paraId="4FED3D5F">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ascii="仿宋" w:hAnsi="仿宋" w:eastAsia="仿宋" w:cs="仿宋"/>
          <w:spacing w:val="34"/>
          <w:sz w:val="24"/>
          <w:szCs w:val="24"/>
        </w:rPr>
      </w:pPr>
      <w:r>
        <w:rPr>
          <w:rFonts w:ascii="仿宋" w:hAnsi="仿宋" w:eastAsia="仿宋" w:cs="仿宋"/>
          <w:spacing w:val="34"/>
          <w:sz w:val="24"/>
          <w:szCs w:val="24"/>
        </w:rPr>
        <w:t>1、</w:t>
      </w:r>
      <w:r>
        <w:rPr>
          <w:rFonts w:hint="eastAsia" w:ascii="仿宋" w:hAnsi="仿宋" w:eastAsia="仿宋" w:cs="仿宋"/>
          <w:spacing w:val="34"/>
          <w:sz w:val="24"/>
          <w:szCs w:val="24"/>
          <w:lang w:val="en-US" w:eastAsia="zh-CN"/>
        </w:rPr>
        <w:t>送审控制价的工程量及工程做法</w:t>
      </w:r>
      <w:r>
        <w:rPr>
          <w:rFonts w:ascii="仿宋" w:hAnsi="仿宋" w:eastAsia="仿宋" w:cs="仿宋"/>
          <w:spacing w:val="34"/>
          <w:sz w:val="24"/>
          <w:szCs w:val="24"/>
        </w:rPr>
        <w:t>；</w:t>
      </w:r>
    </w:p>
    <w:p w14:paraId="68B11F1D">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17"/>
          <w:sz w:val="24"/>
          <w:szCs w:val="24"/>
          <w:lang w:eastAsia="zh-CN"/>
        </w:rPr>
      </w:pPr>
      <w:r>
        <w:rPr>
          <w:rFonts w:ascii="仿宋" w:hAnsi="仿宋" w:eastAsia="仿宋" w:cs="仿宋"/>
          <w:spacing w:val="34"/>
          <w:sz w:val="24"/>
          <w:szCs w:val="24"/>
        </w:rPr>
        <w:t>2</w:t>
      </w:r>
      <w:r>
        <w:rPr>
          <w:rFonts w:ascii="仿宋" w:hAnsi="仿宋" w:eastAsia="仿宋" w:cs="仿宋"/>
          <w:spacing w:val="20"/>
          <w:sz w:val="24"/>
          <w:szCs w:val="24"/>
        </w:rPr>
        <w:t>、</w:t>
      </w:r>
      <w:r>
        <w:rPr>
          <w:rFonts w:ascii="仿宋" w:hAnsi="仿宋" w:eastAsia="仿宋" w:cs="仿宋"/>
          <w:spacing w:val="17"/>
          <w:sz w:val="24"/>
          <w:szCs w:val="24"/>
        </w:rPr>
        <w:t>与本工程有关的标准(包括标准图集)、规范、技术资料</w:t>
      </w:r>
      <w:r>
        <w:rPr>
          <w:rFonts w:hint="eastAsia" w:ascii="仿宋" w:hAnsi="仿宋" w:eastAsia="仿宋" w:cs="仿宋"/>
          <w:spacing w:val="17"/>
          <w:sz w:val="24"/>
          <w:szCs w:val="24"/>
          <w:lang w:eastAsia="zh-CN"/>
        </w:rPr>
        <w:t>；</w:t>
      </w:r>
    </w:p>
    <w:p w14:paraId="444C2AC9">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default" w:ascii="仿宋" w:hAnsi="仿宋" w:eastAsia="仿宋" w:cs="仿宋"/>
          <w:spacing w:val="34"/>
          <w:sz w:val="24"/>
          <w:szCs w:val="24"/>
          <w:lang w:val="en-US" w:eastAsia="zh-CN"/>
        </w:rPr>
      </w:pPr>
      <w:r>
        <w:rPr>
          <w:rFonts w:hint="eastAsia" w:ascii="仿宋" w:hAnsi="仿宋" w:eastAsia="仿宋" w:cs="仿宋"/>
          <w:spacing w:val="34"/>
          <w:sz w:val="24"/>
          <w:szCs w:val="24"/>
          <w:lang w:val="en-US" w:eastAsia="zh-CN"/>
        </w:rPr>
        <w:t>3、审核回复文件。</w:t>
      </w:r>
    </w:p>
    <w:p w14:paraId="18356881">
      <w:pPr>
        <w:keepNext w:val="0"/>
        <w:keepLines w:val="0"/>
        <w:pageBreakBefore w:val="0"/>
        <w:widowControl/>
        <w:kinsoku w:val="0"/>
        <w:wordWrap/>
        <w:overflowPunct/>
        <w:topLinePunct w:val="0"/>
        <w:autoSpaceDE w:val="0"/>
        <w:autoSpaceDN w:val="0"/>
        <w:bidi w:val="0"/>
        <w:adjustRightInd w:val="0"/>
        <w:snapToGrid w:val="0"/>
        <w:spacing w:line="540" w:lineRule="exact"/>
        <w:ind w:firstLine="602" w:firstLineChars="200"/>
        <w:textAlignment w:val="baseline"/>
        <w:rPr>
          <w:rFonts w:ascii="仿宋" w:hAnsi="仿宋" w:eastAsia="仿宋" w:cs="仿宋"/>
          <w:b/>
          <w:bCs/>
          <w:sz w:val="24"/>
          <w:szCs w:val="24"/>
        </w:rPr>
      </w:pPr>
      <w:r>
        <w:rPr>
          <w:rFonts w:ascii="仿宋" w:hAnsi="仿宋" w:eastAsia="仿宋" w:cs="仿宋"/>
          <w:b/>
          <w:bCs/>
          <w:spacing w:val="30"/>
          <w:sz w:val="24"/>
          <w:szCs w:val="24"/>
        </w:rPr>
        <w:t>(</w:t>
      </w:r>
      <w:r>
        <w:rPr>
          <w:rFonts w:ascii="仿宋" w:hAnsi="仿宋" w:eastAsia="仿宋" w:cs="仿宋"/>
          <w:b/>
          <w:bCs/>
          <w:spacing w:val="28"/>
          <w:sz w:val="24"/>
          <w:szCs w:val="24"/>
        </w:rPr>
        <w:t>二)法律法规文件</w:t>
      </w:r>
    </w:p>
    <w:p w14:paraId="2B752063">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ascii="仿宋" w:hAnsi="仿宋" w:eastAsia="仿宋" w:cs="仿宋"/>
          <w:spacing w:val="34"/>
          <w:sz w:val="24"/>
          <w:szCs w:val="24"/>
        </w:rPr>
      </w:pPr>
      <w:r>
        <w:rPr>
          <w:rFonts w:ascii="仿宋" w:hAnsi="仿宋" w:eastAsia="仿宋" w:cs="仿宋"/>
          <w:spacing w:val="34"/>
          <w:sz w:val="24"/>
          <w:szCs w:val="24"/>
        </w:rPr>
        <w:t>1、《中华人民共和国</w:t>
      </w:r>
      <w:r>
        <w:rPr>
          <w:rFonts w:hint="eastAsia" w:ascii="仿宋" w:hAnsi="仿宋" w:eastAsia="仿宋" w:cs="仿宋"/>
          <w:spacing w:val="34"/>
          <w:sz w:val="24"/>
          <w:szCs w:val="24"/>
          <w:lang w:val="en-US" w:eastAsia="zh-CN"/>
        </w:rPr>
        <w:t>民法典</w:t>
      </w:r>
      <w:r>
        <w:rPr>
          <w:rFonts w:ascii="仿宋" w:hAnsi="仿宋" w:eastAsia="仿宋" w:cs="仿宋"/>
          <w:spacing w:val="34"/>
          <w:sz w:val="24"/>
          <w:szCs w:val="24"/>
        </w:rPr>
        <w:t>》；</w:t>
      </w:r>
    </w:p>
    <w:p w14:paraId="1BA206D9">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ascii="仿宋" w:hAnsi="仿宋" w:eastAsia="仿宋" w:cs="仿宋"/>
          <w:spacing w:val="34"/>
          <w:sz w:val="24"/>
          <w:szCs w:val="24"/>
        </w:rPr>
      </w:pPr>
      <w:r>
        <w:rPr>
          <w:rFonts w:ascii="仿宋" w:hAnsi="仿宋" w:eastAsia="仿宋" w:cs="仿宋"/>
          <w:spacing w:val="34"/>
          <w:sz w:val="24"/>
          <w:szCs w:val="24"/>
        </w:rPr>
        <w:t>2、《工程造价咨询业务操作指导规程》；</w:t>
      </w:r>
    </w:p>
    <w:p w14:paraId="37CA67AA">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ascii="仿宋" w:hAnsi="仿宋" w:eastAsia="仿宋" w:cs="仿宋"/>
          <w:spacing w:val="34"/>
          <w:sz w:val="24"/>
          <w:szCs w:val="24"/>
        </w:rPr>
      </w:pPr>
      <w:r>
        <w:rPr>
          <w:rFonts w:ascii="仿宋" w:hAnsi="仿宋" w:eastAsia="仿宋" w:cs="仿宋"/>
          <w:spacing w:val="34"/>
          <w:sz w:val="24"/>
          <w:szCs w:val="24"/>
        </w:rPr>
        <w:t>3、《工程造价咨询单位执业行为准则》；</w:t>
      </w:r>
    </w:p>
    <w:p w14:paraId="51BEF63B">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ascii="仿宋" w:hAnsi="仿宋" w:eastAsia="仿宋" w:cs="仿宋"/>
          <w:spacing w:val="34"/>
          <w:sz w:val="24"/>
          <w:szCs w:val="24"/>
        </w:rPr>
      </w:pPr>
      <w:r>
        <w:rPr>
          <w:rFonts w:ascii="仿宋" w:hAnsi="仿宋" w:eastAsia="仿宋" w:cs="仿宋"/>
          <w:spacing w:val="34"/>
          <w:sz w:val="24"/>
          <w:szCs w:val="24"/>
        </w:rPr>
        <w:t>4、《建设工程造价咨询规范》GB/T51095-2015。</w:t>
      </w:r>
    </w:p>
    <w:p w14:paraId="223124CD">
      <w:pPr>
        <w:keepNext w:val="0"/>
        <w:keepLines w:val="0"/>
        <w:pageBreakBefore w:val="0"/>
        <w:widowControl/>
        <w:kinsoku w:val="0"/>
        <w:wordWrap/>
        <w:overflowPunct/>
        <w:topLinePunct w:val="0"/>
        <w:autoSpaceDE w:val="0"/>
        <w:autoSpaceDN w:val="0"/>
        <w:bidi w:val="0"/>
        <w:adjustRightInd w:val="0"/>
        <w:snapToGrid w:val="0"/>
        <w:spacing w:line="540" w:lineRule="exact"/>
        <w:ind w:firstLine="490" w:firstLineChars="200"/>
        <w:textAlignment w:val="baseline"/>
        <w:rPr>
          <w:rFonts w:ascii="仿宋" w:hAnsi="仿宋" w:eastAsia="仿宋" w:cs="仿宋"/>
          <w:sz w:val="24"/>
          <w:szCs w:val="24"/>
        </w:rPr>
      </w:pPr>
      <w:r>
        <w:rPr>
          <w:rFonts w:ascii="仿宋" w:hAnsi="仿宋" w:eastAsia="仿宋" w:cs="仿宋"/>
          <w:b/>
          <w:bCs/>
          <w:spacing w:val="2"/>
          <w:sz w:val="24"/>
          <w:szCs w:val="24"/>
        </w:rPr>
        <w:t>(三) 清单定额执</w:t>
      </w:r>
      <w:r>
        <w:rPr>
          <w:rFonts w:ascii="仿宋" w:hAnsi="仿宋" w:eastAsia="仿宋" w:cs="仿宋"/>
          <w:b/>
          <w:bCs/>
          <w:spacing w:val="1"/>
          <w:sz w:val="24"/>
          <w:szCs w:val="24"/>
        </w:rPr>
        <w:t>行内蒙古自治区建设厅颁布的标准、规范及相关</w:t>
      </w:r>
      <w:r>
        <w:rPr>
          <w:rFonts w:ascii="仿宋" w:hAnsi="仿宋" w:eastAsia="仿宋" w:cs="仿宋"/>
          <w:b/>
          <w:bCs/>
          <w:spacing w:val="-19"/>
          <w:sz w:val="24"/>
          <w:szCs w:val="24"/>
        </w:rPr>
        <w:t>文</w:t>
      </w:r>
      <w:r>
        <w:rPr>
          <w:rFonts w:ascii="仿宋" w:hAnsi="仿宋" w:eastAsia="仿宋" w:cs="仿宋"/>
          <w:b/>
          <w:bCs/>
          <w:spacing w:val="-17"/>
          <w:sz w:val="24"/>
          <w:szCs w:val="24"/>
        </w:rPr>
        <w:t>件</w:t>
      </w:r>
    </w:p>
    <w:p w14:paraId="5DB5CE70">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rPr>
      </w:pPr>
      <w:r>
        <w:rPr>
          <w:rFonts w:hint="eastAsia" w:ascii="仿宋" w:hAnsi="仿宋" w:eastAsia="仿宋" w:cs="仿宋"/>
          <w:spacing w:val="34"/>
          <w:sz w:val="24"/>
          <w:szCs w:val="24"/>
        </w:rPr>
        <w:t>1、清单依据《建设工程工程量清单计价标准》GB/T50500-2024、《房屋建筑与装饰工程工程量计算标准》GB/T50854-2024</w:t>
      </w:r>
      <w:r>
        <w:rPr>
          <w:rFonts w:hint="eastAsia" w:ascii="仿宋" w:hAnsi="仿宋" w:eastAsia="仿宋" w:cs="仿宋"/>
          <w:spacing w:val="34"/>
          <w:sz w:val="24"/>
          <w:szCs w:val="24"/>
          <w:lang w:eastAsia="zh-CN"/>
        </w:rPr>
        <w:t>、</w:t>
      </w:r>
      <w:r>
        <w:rPr>
          <w:rFonts w:hint="eastAsia" w:ascii="仿宋" w:hAnsi="仿宋" w:eastAsia="仿宋" w:cs="仿宋"/>
          <w:spacing w:val="34"/>
          <w:sz w:val="24"/>
          <w:szCs w:val="24"/>
        </w:rPr>
        <w:t>《通用安装工程工程量计算标准》GB/T50856-2024</w:t>
      </w:r>
      <w:r>
        <w:rPr>
          <w:rFonts w:hint="eastAsia" w:ascii="仿宋" w:hAnsi="仿宋" w:eastAsia="仿宋" w:cs="仿宋"/>
          <w:spacing w:val="34"/>
          <w:sz w:val="24"/>
          <w:szCs w:val="24"/>
          <w:lang w:eastAsia="zh-CN"/>
        </w:rPr>
        <w:t>、</w:t>
      </w:r>
      <w:r>
        <w:rPr>
          <w:rFonts w:hint="eastAsia" w:ascii="仿宋" w:hAnsi="仿宋" w:eastAsia="仿宋" w:cs="仿宋"/>
          <w:spacing w:val="34"/>
          <w:sz w:val="24"/>
          <w:szCs w:val="24"/>
        </w:rPr>
        <w:t>《市政工程工程量计算标准》GB/T50857-2024</w:t>
      </w:r>
      <w:r>
        <w:rPr>
          <w:rFonts w:hint="eastAsia" w:ascii="仿宋" w:hAnsi="仿宋" w:eastAsia="仿宋" w:cs="仿宋"/>
          <w:spacing w:val="34"/>
          <w:sz w:val="24"/>
          <w:szCs w:val="24"/>
          <w:lang w:eastAsia="zh-CN"/>
        </w:rPr>
        <w:t>、</w:t>
      </w:r>
      <w:r>
        <w:rPr>
          <w:rFonts w:hint="eastAsia" w:ascii="仿宋" w:hAnsi="仿宋" w:eastAsia="仿宋" w:cs="仿宋"/>
          <w:spacing w:val="34"/>
          <w:sz w:val="24"/>
          <w:szCs w:val="24"/>
        </w:rPr>
        <w:t>《园林绿化工程工程量计算标准》GB/T50858-2024；</w:t>
      </w:r>
    </w:p>
    <w:p w14:paraId="30307FE2">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rPr>
      </w:pPr>
      <w:r>
        <w:rPr>
          <w:rFonts w:hint="eastAsia" w:ascii="仿宋" w:hAnsi="仿宋" w:eastAsia="仿宋" w:cs="仿宋"/>
          <w:spacing w:val="34"/>
          <w:sz w:val="24"/>
          <w:szCs w:val="24"/>
        </w:rPr>
        <w:t>2、2017年《内蒙古自治区房屋建筑与装饰工程预算定额》；</w:t>
      </w:r>
    </w:p>
    <w:p w14:paraId="07748A32">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rPr>
      </w:pPr>
      <w:r>
        <w:rPr>
          <w:rFonts w:hint="eastAsia" w:ascii="仿宋" w:hAnsi="仿宋" w:eastAsia="仿宋" w:cs="仿宋"/>
          <w:spacing w:val="34"/>
          <w:sz w:val="24"/>
          <w:szCs w:val="24"/>
        </w:rPr>
        <w:t>3、2017年《内蒙古自治区安装工程预算定额》；</w:t>
      </w:r>
    </w:p>
    <w:p w14:paraId="6266A7E2">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rPr>
      </w:pPr>
      <w:r>
        <w:rPr>
          <w:rFonts w:hint="eastAsia" w:ascii="仿宋" w:hAnsi="仿宋" w:eastAsia="仿宋" w:cs="仿宋"/>
          <w:spacing w:val="34"/>
          <w:sz w:val="24"/>
          <w:szCs w:val="24"/>
        </w:rPr>
        <w:t>4、2017年《内蒙古市政工程预算定额》；</w:t>
      </w:r>
    </w:p>
    <w:p w14:paraId="63922E8F">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lang w:val="en-US" w:eastAsia="zh-CN"/>
        </w:rPr>
      </w:pPr>
      <w:r>
        <w:rPr>
          <w:rFonts w:hint="eastAsia" w:ascii="仿宋" w:hAnsi="仿宋" w:eastAsia="仿宋" w:cs="仿宋"/>
          <w:spacing w:val="34"/>
          <w:sz w:val="24"/>
          <w:szCs w:val="24"/>
          <w:lang w:val="en-US" w:eastAsia="zh-CN"/>
        </w:rPr>
        <w:t>5、2021年《内蒙古自治区房屋修缮工程预算定额》；</w:t>
      </w:r>
    </w:p>
    <w:p w14:paraId="2EE36E18">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lang w:val="en-US" w:eastAsia="zh-CN"/>
        </w:rPr>
      </w:pPr>
      <w:r>
        <w:rPr>
          <w:rFonts w:hint="eastAsia" w:ascii="仿宋" w:hAnsi="仿宋" w:eastAsia="仿宋" w:cs="仿宋"/>
          <w:spacing w:val="34"/>
          <w:sz w:val="24"/>
          <w:szCs w:val="24"/>
          <w:lang w:val="en-US" w:eastAsia="zh-CN"/>
        </w:rPr>
        <w:t>6、2017年《内蒙古自治区建设工程费用定额》；</w:t>
      </w:r>
    </w:p>
    <w:p w14:paraId="5094415E">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lang w:eastAsia="zh-CN"/>
        </w:rPr>
      </w:pPr>
      <w:r>
        <w:rPr>
          <w:rFonts w:hint="eastAsia" w:ascii="仿宋" w:hAnsi="仿宋" w:eastAsia="仿宋" w:cs="仿宋"/>
          <w:spacing w:val="34"/>
          <w:sz w:val="24"/>
          <w:szCs w:val="24"/>
          <w:lang w:val="en-US" w:eastAsia="zh-CN"/>
        </w:rPr>
        <w:t>7、</w:t>
      </w:r>
      <w:r>
        <w:rPr>
          <w:rFonts w:hint="eastAsia" w:ascii="仿宋" w:hAnsi="仿宋" w:eastAsia="仿宋" w:cs="仿宋"/>
          <w:spacing w:val="34"/>
          <w:sz w:val="24"/>
          <w:szCs w:val="24"/>
        </w:rPr>
        <w:t>税金依据[2019]113号文《关于调整内蒙古自治区建设工程计价依据增值税税率的通知》为9%</w:t>
      </w:r>
      <w:r>
        <w:rPr>
          <w:rFonts w:hint="eastAsia" w:ascii="仿宋" w:hAnsi="仿宋" w:eastAsia="仿宋" w:cs="仿宋"/>
          <w:spacing w:val="34"/>
          <w:sz w:val="24"/>
          <w:szCs w:val="24"/>
          <w:highlight w:val="none"/>
          <w:lang w:eastAsia="zh-CN"/>
        </w:rPr>
        <w:t>；</w:t>
      </w:r>
    </w:p>
    <w:p w14:paraId="5CDCAB1A">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lang w:val="en-US" w:eastAsia="zh-CN"/>
        </w:rPr>
      </w:pPr>
      <w:r>
        <w:rPr>
          <w:rFonts w:hint="eastAsia" w:ascii="仿宋" w:hAnsi="仿宋" w:eastAsia="仿宋" w:cs="仿宋"/>
          <w:spacing w:val="34"/>
          <w:sz w:val="24"/>
          <w:szCs w:val="24"/>
          <w:lang w:val="en-US" w:eastAsia="zh-CN"/>
        </w:rPr>
        <w:t>8、材料价差参考2025年第六期杭锦旗、东胜区工程造价信息，对于工程造价信息没有发布价格信息的材料，参照定额测定价、广材网及市场价。</w:t>
      </w:r>
    </w:p>
    <w:p w14:paraId="3F224280">
      <w:pPr>
        <w:keepNext w:val="0"/>
        <w:keepLines w:val="0"/>
        <w:pageBreakBefore w:val="0"/>
        <w:widowControl/>
        <w:kinsoku w:val="0"/>
        <w:wordWrap/>
        <w:overflowPunct/>
        <w:topLinePunct w:val="0"/>
        <w:autoSpaceDE w:val="0"/>
        <w:autoSpaceDN w:val="0"/>
        <w:bidi w:val="0"/>
        <w:adjustRightInd w:val="0"/>
        <w:snapToGrid w:val="0"/>
        <w:spacing w:line="540" w:lineRule="exact"/>
        <w:ind w:firstLine="512" w:firstLineChars="200"/>
        <w:textAlignment w:val="baseline"/>
        <w:rPr>
          <w:rFonts w:hint="default" w:ascii="仿宋" w:hAnsi="仿宋" w:eastAsia="仿宋" w:cs="仿宋"/>
          <w:spacing w:val="8"/>
          <w:sz w:val="24"/>
          <w:szCs w:val="24"/>
          <w:lang w:val="en-US" w:eastAsia="zh-CN"/>
          <w14:textOutline w14:w="3556" w14:cap="flat" w14:cmpd="sng" w14:algn="ctr">
            <w14:solidFill>
              <w14:srgbClr w14:val="000000"/>
            </w14:solidFill>
            <w14:prstDash w14:val="solid"/>
            <w14:miter w14:val="0"/>
          </w14:textOutline>
        </w:rPr>
      </w:pPr>
      <w:r>
        <w:rPr>
          <w:rFonts w:hint="eastAsia" w:ascii="仿宋" w:hAnsi="仿宋" w:eastAsia="仿宋" w:cs="仿宋"/>
          <w:spacing w:val="8"/>
          <w:sz w:val="24"/>
          <w:szCs w:val="24"/>
          <w:lang w:val="en-US" w:eastAsia="zh-CN"/>
          <w14:textOutline w14:w="3556" w14:cap="flat" w14:cmpd="sng" w14:algn="ctr">
            <w14:solidFill>
              <w14:srgbClr w14:val="000000"/>
            </w14:solidFill>
            <w14:prstDash w14:val="solid"/>
            <w14:miter w14:val="0"/>
          </w14:textOutline>
        </w:rPr>
        <w:t>三、计价说明</w:t>
      </w:r>
    </w:p>
    <w:p w14:paraId="33C6CD9A">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lang w:val="en-US" w:eastAsia="zh-CN"/>
        </w:rPr>
      </w:pPr>
      <w:r>
        <w:rPr>
          <w:rFonts w:hint="eastAsia" w:ascii="仿宋" w:hAnsi="仿宋" w:eastAsia="仿宋" w:cs="仿宋"/>
          <w:spacing w:val="34"/>
          <w:sz w:val="24"/>
          <w:szCs w:val="24"/>
          <w:lang w:val="en-US" w:eastAsia="zh-CN"/>
        </w:rPr>
        <w:t>1、经与建设单位沟通工程费中不计取暂列金额；</w:t>
      </w:r>
    </w:p>
    <w:p w14:paraId="1822D688">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lang w:val="en-US" w:eastAsia="zh-CN"/>
        </w:rPr>
      </w:pPr>
      <w:r>
        <w:rPr>
          <w:rFonts w:hint="eastAsia" w:ascii="仿宋" w:hAnsi="仿宋" w:eastAsia="仿宋" w:cs="仿宋"/>
          <w:spacing w:val="34"/>
          <w:sz w:val="24"/>
          <w:szCs w:val="24"/>
          <w:lang w:val="en-US" w:eastAsia="zh-CN"/>
        </w:rPr>
        <w:t>2、安全生产费应根据《内蒙古自治区住房和城乡建设厅关于调整建设工程安全文明施工费的通知》(内建标〔2025)98号)通知要求计提，费率标准应符合我区相关规定且不可竞争。结算时应根据经建设单位、监理单位、监督单位及安全生产管理部门批复的安全生产施工方案结合实际投入情况据实结算。工程竣工决算后结余的企业安全生产费用，应当退回建设单位;</w:t>
      </w:r>
    </w:p>
    <w:p w14:paraId="1F7D1DFA">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eastAsia" w:ascii="仿宋" w:hAnsi="仿宋" w:eastAsia="仿宋" w:cs="仿宋"/>
          <w:spacing w:val="34"/>
          <w:sz w:val="24"/>
          <w:szCs w:val="24"/>
          <w:lang w:val="en-US" w:eastAsia="zh-CN"/>
        </w:rPr>
      </w:pPr>
      <w:r>
        <w:rPr>
          <w:rFonts w:hint="eastAsia" w:ascii="仿宋" w:hAnsi="仿宋" w:eastAsia="仿宋" w:cs="仿宋"/>
          <w:spacing w:val="34"/>
          <w:sz w:val="24"/>
          <w:szCs w:val="24"/>
          <w:lang w:val="en-US" w:eastAsia="zh-CN"/>
        </w:rPr>
        <w:t>3、规费不再单独列项计价，按照相应费率以人工增加费计入其他项目费中。</w:t>
      </w:r>
    </w:p>
    <w:p w14:paraId="185D51B0">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jc w:val="right"/>
        <w:textAlignment w:val="baseline"/>
        <w:rPr>
          <w:rFonts w:hint="eastAsia" w:ascii="仿宋" w:hAnsi="仿宋" w:eastAsia="仿宋" w:cs="仿宋"/>
          <w:spacing w:val="34"/>
          <w:sz w:val="24"/>
          <w:szCs w:val="24"/>
          <w:lang w:val="en-US" w:eastAsia="zh-CN"/>
        </w:rPr>
      </w:pPr>
    </w:p>
    <w:p w14:paraId="37903F5A">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jc w:val="right"/>
        <w:textAlignment w:val="baseline"/>
        <w:rPr>
          <w:rFonts w:hint="eastAsia" w:ascii="仿宋" w:hAnsi="仿宋" w:eastAsia="仿宋" w:cs="仿宋"/>
          <w:spacing w:val="34"/>
          <w:sz w:val="24"/>
          <w:szCs w:val="24"/>
          <w:lang w:val="en-US" w:eastAsia="zh-CN"/>
        </w:rPr>
      </w:pPr>
    </w:p>
    <w:p w14:paraId="3D58747C">
      <w:pPr>
        <w:rPr>
          <w:rFonts w:hint="eastAsia"/>
          <w:lang w:val="en-US" w:eastAsia="zh-CN"/>
        </w:rPr>
      </w:pPr>
      <w:bookmarkStart w:id="0" w:name="_GoBack"/>
      <w:bookmarkEnd w:id="0"/>
    </w:p>
    <w:p w14:paraId="22BAB840">
      <w:pPr>
        <w:keepNext w:val="0"/>
        <w:keepLines w:val="0"/>
        <w:pageBreakBefore w:val="0"/>
        <w:widowControl/>
        <w:kinsoku w:val="0"/>
        <w:wordWrap/>
        <w:overflowPunct/>
        <w:topLinePunct w:val="0"/>
        <w:autoSpaceDE w:val="0"/>
        <w:autoSpaceDN w:val="0"/>
        <w:bidi w:val="0"/>
        <w:adjustRightInd w:val="0"/>
        <w:snapToGrid w:val="0"/>
        <w:spacing w:line="540" w:lineRule="exact"/>
        <w:ind w:firstLine="616" w:firstLineChars="200"/>
        <w:textAlignment w:val="baseline"/>
        <w:rPr>
          <w:rFonts w:hint="default" w:ascii="仿宋" w:hAnsi="仿宋" w:eastAsia="仿宋" w:cs="仿宋"/>
          <w:spacing w:val="34"/>
          <w:sz w:val="24"/>
          <w:szCs w:val="24"/>
          <w:lang w:val="en-US" w:eastAsia="zh-CN"/>
        </w:rPr>
      </w:pPr>
    </w:p>
    <w:sectPr>
      <w:pgSz w:w="11905" w:h="16840"/>
      <w:pgMar w:top="1440" w:right="1800" w:bottom="1440" w:left="1800" w:header="0" w:footer="0"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TVhMWE5MDY4Mjc5YmRjYmU2YzE2ODg1ZTI2NmU4MDcifQ=="/>
    <w:docVar w:name="KSO_WPS_MARK_KEY" w:val="860536ac-94e7-4c8f-a558-baeff6a1f317"/>
  </w:docVars>
  <w:rsids>
    <w:rsidRoot w:val="00E12EF0"/>
    <w:rsid w:val="000E2B7E"/>
    <w:rsid w:val="001A5B82"/>
    <w:rsid w:val="004A6BDF"/>
    <w:rsid w:val="004D0C99"/>
    <w:rsid w:val="006130D0"/>
    <w:rsid w:val="0062637A"/>
    <w:rsid w:val="006842BB"/>
    <w:rsid w:val="00A64F9A"/>
    <w:rsid w:val="00A72727"/>
    <w:rsid w:val="00B23B29"/>
    <w:rsid w:val="00B87BB4"/>
    <w:rsid w:val="00BA4DDC"/>
    <w:rsid w:val="00CB3303"/>
    <w:rsid w:val="00D7522F"/>
    <w:rsid w:val="00E12EF0"/>
    <w:rsid w:val="00F73BA8"/>
    <w:rsid w:val="00F96F9E"/>
    <w:rsid w:val="029C3B08"/>
    <w:rsid w:val="02C976C5"/>
    <w:rsid w:val="05670DF1"/>
    <w:rsid w:val="05A3050F"/>
    <w:rsid w:val="05D830A9"/>
    <w:rsid w:val="062736E9"/>
    <w:rsid w:val="06F10B69"/>
    <w:rsid w:val="08C6543B"/>
    <w:rsid w:val="09774987"/>
    <w:rsid w:val="0B494599"/>
    <w:rsid w:val="0D0522AA"/>
    <w:rsid w:val="10802373"/>
    <w:rsid w:val="128D25BF"/>
    <w:rsid w:val="14BF5434"/>
    <w:rsid w:val="187D753B"/>
    <w:rsid w:val="198F7ACB"/>
    <w:rsid w:val="1B832FF3"/>
    <w:rsid w:val="1BF65BDF"/>
    <w:rsid w:val="1C5631FF"/>
    <w:rsid w:val="1FED65EB"/>
    <w:rsid w:val="20971013"/>
    <w:rsid w:val="20A83220"/>
    <w:rsid w:val="2141562E"/>
    <w:rsid w:val="22151A80"/>
    <w:rsid w:val="22AD4B1E"/>
    <w:rsid w:val="23891BF0"/>
    <w:rsid w:val="26357304"/>
    <w:rsid w:val="26395046"/>
    <w:rsid w:val="26774F4F"/>
    <w:rsid w:val="27F76F67"/>
    <w:rsid w:val="2ACD2201"/>
    <w:rsid w:val="2E2D6352"/>
    <w:rsid w:val="2F542EF1"/>
    <w:rsid w:val="2F725125"/>
    <w:rsid w:val="3104265F"/>
    <w:rsid w:val="315847F2"/>
    <w:rsid w:val="3434509F"/>
    <w:rsid w:val="34A73978"/>
    <w:rsid w:val="3645019F"/>
    <w:rsid w:val="37CA01F4"/>
    <w:rsid w:val="3ADB2718"/>
    <w:rsid w:val="3BC419C2"/>
    <w:rsid w:val="3CD86B99"/>
    <w:rsid w:val="3D3F6F8E"/>
    <w:rsid w:val="3EBD1A70"/>
    <w:rsid w:val="3F2D5977"/>
    <w:rsid w:val="3FDB0AC5"/>
    <w:rsid w:val="41CC2DBB"/>
    <w:rsid w:val="42D83553"/>
    <w:rsid w:val="43B059CF"/>
    <w:rsid w:val="44867251"/>
    <w:rsid w:val="44DB094F"/>
    <w:rsid w:val="44EE4B49"/>
    <w:rsid w:val="45E348EC"/>
    <w:rsid w:val="470E79D1"/>
    <w:rsid w:val="47ED32A1"/>
    <w:rsid w:val="480F1C53"/>
    <w:rsid w:val="4B9132B3"/>
    <w:rsid w:val="4FD712A8"/>
    <w:rsid w:val="4FEA28BF"/>
    <w:rsid w:val="5012408F"/>
    <w:rsid w:val="51BF0246"/>
    <w:rsid w:val="520143BB"/>
    <w:rsid w:val="52420820"/>
    <w:rsid w:val="52495D62"/>
    <w:rsid w:val="52E02222"/>
    <w:rsid w:val="55C21E48"/>
    <w:rsid w:val="562E51AE"/>
    <w:rsid w:val="56707D61"/>
    <w:rsid w:val="56F42740"/>
    <w:rsid w:val="5809221B"/>
    <w:rsid w:val="591C7D2C"/>
    <w:rsid w:val="5B70610D"/>
    <w:rsid w:val="5D9F603C"/>
    <w:rsid w:val="5E4F2952"/>
    <w:rsid w:val="5E5F0DE7"/>
    <w:rsid w:val="5E9842F9"/>
    <w:rsid w:val="5FBC4017"/>
    <w:rsid w:val="600B1606"/>
    <w:rsid w:val="608F34D9"/>
    <w:rsid w:val="61181721"/>
    <w:rsid w:val="61B41449"/>
    <w:rsid w:val="64FE1EDD"/>
    <w:rsid w:val="655B370F"/>
    <w:rsid w:val="6646288C"/>
    <w:rsid w:val="67F26828"/>
    <w:rsid w:val="67F81964"/>
    <w:rsid w:val="6AB04778"/>
    <w:rsid w:val="6B8A4FC9"/>
    <w:rsid w:val="6BAC3191"/>
    <w:rsid w:val="6D58745C"/>
    <w:rsid w:val="6E810905"/>
    <w:rsid w:val="700F3CEF"/>
    <w:rsid w:val="70366B8A"/>
    <w:rsid w:val="721113E9"/>
    <w:rsid w:val="726C367A"/>
    <w:rsid w:val="74311E72"/>
    <w:rsid w:val="74392BB2"/>
    <w:rsid w:val="79DC08AE"/>
    <w:rsid w:val="7A990D85"/>
    <w:rsid w:val="7CB4634A"/>
    <w:rsid w:val="7D4A1113"/>
    <w:rsid w:val="7E4D393D"/>
    <w:rsid w:val="7F0D3AEF"/>
    <w:rsid w:val="7F8A15E4"/>
    <w:rsid w:val="7F91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pPr>
    <w:rPr>
      <w:sz w:val="18"/>
      <w:szCs w:val="18"/>
    </w:rPr>
  </w:style>
  <w:style w:type="paragraph" w:styleId="3">
    <w:name w:val="header"/>
    <w:basedOn w:val="1"/>
    <w:link w:val="8"/>
    <w:qFormat/>
    <w:uiPriority w:val="0"/>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Autospacing="1" w:afterAutospacing="1"/>
    </w:pPr>
    <w:rPr>
      <w:rFonts w:cs="Times New Roman"/>
      <w:sz w:val="24"/>
    </w:rPr>
  </w:style>
  <w:style w:type="table" w:customStyle="1" w:styleId="7">
    <w:name w:val="Table Normal"/>
    <w:semiHidden/>
    <w:unhideWhenUsed/>
    <w:qFormat/>
    <w:uiPriority w:val="0"/>
    <w:tblPr>
      <w:tblCellMar>
        <w:top w:w="0" w:type="dxa"/>
        <w:left w:w="0" w:type="dxa"/>
        <w:bottom w:w="0" w:type="dxa"/>
        <w:right w:w="0" w:type="dxa"/>
      </w:tblCellMar>
    </w:tblPr>
  </w:style>
  <w:style w:type="character" w:customStyle="1" w:styleId="8">
    <w:name w:val="页眉 Char"/>
    <w:basedOn w:val="6"/>
    <w:link w:val="3"/>
    <w:qFormat/>
    <w:uiPriority w:val="0"/>
    <w:rPr>
      <w:rFonts w:ascii="Arial" w:hAnsi="Arial" w:eastAsia="Arial" w:cs="Arial"/>
      <w:snapToGrid w:val="0"/>
      <w:color w:val="000000"/>
      <w:sz w:val="18"/>
      <w:szCs w:val="18"/>
    </w:rPr>
  </w:style>
  <w:style w:type="character" w:customStyle="1" w:styleId="9">
    <w:name w:val="页脚 Char"/>
    <w:basedOn w:val="6"/>
    <w:link w:val="2"/>
    <w:qFormat/>
    <w:uiPriority w:val="0"/>
    <w:rPr>
      <w:rFonts w:ascii="Arial" w:hAnsi="Arial" w:eastAsia="Arial" w:cs="Arial"/>
      <w:snapToGrid w:val="0"/>
      <w:color w:val="00000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867</Words>
  <Characters>982</Characters>
  <Lines>5</Lines>
  <Paragraphs>1</Paragraphs>
  <TotalTime>1</TotalTime>
  <ScaleCrop>false</ScaleCrop>
  <LinksUpToDate>false</LinksUpToDate>
  <CharactersWithSpaces>1017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2022-11-26T11:21:00Z</dcterms:created>
  <dc:creator>Administrator</dc:creator>
  <cp:keywords>GrandReport</cp:keywords>
  <cp:lastModifiedBy>test</cp:lastModifiedBy>
  <dcterms:modified xsi:type="dcterms:W3CDTF">2026-05-28T09:28:43Z</dcterms:modified>
  <dc:subject>None</dc:subject>
  <dc:title>GrandReport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2022-11-26T11:21:49Z</vt:filetime>
  </property>
  <property fmtid="{D5CDD505-2E9C-101B-9397-08002B2CF9AE}" pid="4" name="KSOProductBuildVer">
    <vt:lpwstr>2052-12.1.0.26375</vt:lpwstr>
  </property>
  <property fmtid="{D5CDD505-2E9C-101B-9397-08002B2CF9AE}" pid="5" name="ICV">
    <vt:lpwstr>3A45C44F68924F8F9648C4B6154A8470</vt:lpwstr>
  </property>
  <property fmtid="{D5CDD505-2E9C-101B-9397-08002B2CF9AE}" pid="6" name="KSOTemplateDocerSaveRecord">
    <vt:lpwstr>eyJoZGlkIjoiY2ZmMTkyZDJjMDkzZTIzM2NkZmMzNjE3NDc3ZmZkNjUiLCJ1c2VySWQiOiI0MDcwNDc4NzEifQ==</vt:lpwstr>
  </property>
</Properties>
</file>