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567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41"/>
        <w:gridCol w:w="432"/>
        <w:gridCol w:w="1428"/>
        <w:gridCol w:w="8705"/>
        <w:gridCol w:w="995"/>
        <w:gridCol w:w="852"/>
        <w:gridCol w:w="995"/>
        <w:gridCol w:w="1027"/>
        <w:gridCol w:w="599"/>
      </w:tblGrid>
      <w:tr w14:paraId="3BB6F9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5674" w:type="dxa"/>
            <w:gridSpan w:val="9"/>
            <w:tcBorders>
              <w:top w:val="nil"/>
              <w:left w:val="nil"/>
              <w:bottom w:val="nil"/>
              <w:right w:val="nil"/>
            </w:tcBorders>
            <w:shd w:val="clear" w:color="auto" w:fill="auto"/>
            <w:noWrap/>
            <w:vAlign w:val="center"/>
          </w:tcPr>
          <w:p w14:paraId="6E23CCDA">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b/>
                <w:bCs/>
                <w:i w:val="0"/>
                <w:iCs w:val="0"/>
                <w:color w:val="000000"/>
                <w:kern w:val="0"/>
                <w:sz w:val="32"/>
                <w:szCs w:val="32"/>
                <w:u w:val="none"/>
                <w:lang w:val="en-US" w:eastAsia="zh-CN" w:bidi="ar"/>
              </w:rPr>
              <w:t>甘其毛都口岸限定区域基础设施升级改造项目清单</w:t>
            </w:r>
          </w:p>
        </w:tc>
      </w:tr>
      <w:tr w14:paraId="327C2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5674"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6454B">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一、业务系统硬件预算清单</w:t>
            </w:r>
          </w:p>
        </w:tc>
      </w:tr>
      <w:tr w14:paraId="037AF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EA466">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484C2">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b/>
                <w:bCs/>
                <w:i w:val="0"/>
                <w:iCs w:val="0"/>
                <w:color w:val="000000"/>
                <w:sz w:val="20"/>
                <w:szCs w:val="20"/>
                <w:u w:val="none"/>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78B11">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设备名称</w:t>
            </w:r>
          </w:p>
        </w:tc>
        <w:tc>
          <w:tcPr>
            <w:tcW w:w="8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1A748">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技术参数</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994A3">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8E25A">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数量</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A94CD">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单价</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06DDC">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总价</w:t>
            </w:r>
          </w:p>
        </w:tc>
        <w:tc>
          <w:tcPr>
            <w:tcW w:w="5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7F171">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备注</w:t>
            </w:r>
          </w:p>
        </w:tc>
      </w:tr>
      <w:tr w14:paraId="65A6C6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0" w:hRule="atLeast"/>
        </w:trPr>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31279">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B7CA8">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72A16">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业务服务器1</w:t>
            </w:r>
          </w:p>
        </w:tc>
        <w:tc>
          <w:tcPr>
            <w:tcW w:w="8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10B17">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1、配置≥2颗 国产化处理器，主频（基础频率或加速频率）≥2.1GHz，核心数或线程数≥32个；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2、配置≥12条DDR5 32GB 内存，总内存≥384GB；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3、配置≥6块 8TB SATA 7.2K RPM 3.5英寸硬盘；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4、配置≥3块480GB  企业级SSD硬盘；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5、配置≥2个万兆光接口，含2个万兆光模块；配置≥4个千兆电接口；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6、配置独立RAID卡，缓存≥4GB，支持0/1/5等RAID模式，配置超级电容；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7、配置冗余电源；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8、配置硬盘不返还服务；</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A2781">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3099D">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BBBE6">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8E8BB">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5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0E0FF">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国产化</w:t>
            </w:r>
          </w:p>
        </w:tc>
      </w:tr>
      <w:tr w14:paraId="762E2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0" w:hRule="atLeast"/>
        </w:trPr>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F504A">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B01C7">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1CF02">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业务服务器2</w:t>
            </w:r>
          </w:p>
        </w:tc>
        <w:tc>
          <w:tcPr>
            <w:tcW w:w="8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B1E66">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1、配置≥2颗 国产化处理器，主频（基础频率或加速频率）≥2.6GHz，核心数或线程数≥32个；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2、配置≥12条DDR4 32GB 内存，总内存≥384GB；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3、配置≥6块 8TB SATA 7.2K RPM 3.5英寸硬盘；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4、配置≥3块480GB  企业级SSD硬盘；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5、配置≥2个万兆光接口，含2个万兆光模块；配置≥4个千兆电接口；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6、配置独立RAID卡，缓存≥4GB，支持0/1/5等RAID模式，配置超级电容；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7、配置冗余电源；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8、配置硬盘不返还服务；</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00E7F">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422F4">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4A380">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60774">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5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BF395">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国产化</w:t>
            </w:r>
          </w:p>
        </w:tc>
      </w:tr>
      <w:tr w14:paraId="18DB55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0" w:hRule="atLeast"/>
        </w:trPr>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BA6A1">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5B00A">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9CB90">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网闸</w:t>
            </w:r>
          </w:p>
        </w:tc>
        <w:tc>
          <w:tcPr>
            <w:tcW w:w="8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A8090">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U,内外端机双侧液晶屏；内端机≥8个10/100/1000Base-T接口，4个光口，1个串口，2个USB口，1个网卡扩展槽位，1个硬盘扩展槽位；外端机≥8个10/100/1000Base-T接口，4个光口，1个串口，2个USB口，1个网卡扩展槽位，1个硬盘扩展槽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2、网络吞吐量≥500Mbps，并发连接数≥4万，内外端机各≥8G内存，内外端机各≥128G SSD。</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3、含36个月硬件维保。</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4、提供HTTP、HTTPS页面访问和WEB代理上网功能。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5、支持IP地址、端口、时间以及基于角色的访问控制策略。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6、提供安全的邮件访问功能，支持POP3、SMTP协议。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7、提供音视频通话访问功能，支持SIP、H323、RTSP、GB28181等音视频协议，实现音视频浏览、实时传输等操作。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8、支持自定义的TCP、UDP协议的数据访问功能，用户自定义应用无需对自定义协议软件进行二次修改开发。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9、支持NFS、FTP、SMB、SFTP等多种文件服务器类型。支持文件服务器一对一、一对多的文件同步。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10、支持实时和周期的同步类型。支持增量同步和全量同步的同步方式。可分别控制数据插入、更新、删除的同步操作。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11、支持管理员配置系统日志生成条件，控制可记录的日志类型和级别，并设置相应日志类型的数据表的最大容量。支持日志文件的编码方式为UTF-8或GBK。</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12、提供状态信息监控，以图表形式实时展现内外端机的CPU、内存、硬盘利用率，流量和会话数。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13、支持日志记录本地数据库存储，也可以将日志传输到独立的日志服务器上，传输日志格式支持syslog和welf，支持日志加密传输。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14、支持自定义报表内容；可导出报表为word，pdf，excel格式，支持自动生成报表并存储报表。</w:t>
            </w: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4F77F">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9C4F3">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4863F">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472DC">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5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F0963">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国产化</w:t>
            </w:r>
          </w:p>
        </w:tc>
      </w:tr>
      <w:tr w14:paraId="2C694B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0" w:hRule="atLeast"/>
        </w:trPr>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254D4">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7C343">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CBDC9">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防火墙</w:t>
            </w:r>
          </w:p>
        </w:tc>
        <w:tc>
          <w:tcPr>
            <w:tcW w:w="8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0A125">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▲1、1U标准设备，具备≥16个千兆电口、≥8个千兆光接口、≥8个万兆光接口、≥2个100G接口，冗余电源，2个扩展槽位，提供国产化芯片证明文件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2、防火墙吞吐≥4G，并发连接≥180万，每秒新建连接≥3.5万，应用层吞吐量≥2.5G。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3、含3年IPS授权，36个月硬件维保。</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4、支持路由、透明以及混合接入模式，满足复杂应用环境的接入需求。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5、支持静态路由、OSPF\OSPFv3\BGP\RIP\RIPNG等动态路由。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6、具有IP/MAC绑定功能，保证IP地址唯一性；支持手动绑定和自动探测两种方式进行IP/MAC绑定。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7、支持一体化安全策略配置，可以通过一条策略实现五元组、源MAC、服务、时间等功能配置，简化用户管理。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8、支持链路和四层通道嵌套的流量控制功能，可基于上下行区域、地址、服务/服务组、应用/应用组和时间等配置带宽策略。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9、支持拒绝服务攻击防御。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10、支持通过关键字实现对流出防火墙的http、ftp、smtp、pop3、dns等协议数据进行过滤，如网页内容、外发邮件主题及正文等。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11、内置静态黑名单功能，可设置多个对象条件，如：源目IP地址、源目端口、协议等，实现对特定报文进行快速过滤。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12、支持本地多配置文件存储及配置回滚功能，并且可以有选择性的下载“运行配置”、“存盘配置”、“备份配置”、配置文件加密下载以及按对象、策略等分类的部分配置文件下载/上传功能。</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F976F">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183A9">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690D3">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28987">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5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85390">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国产化</w:t>
            </w:r>
          </w:p>
        </w:tc>
      </w:tr>
      <w:tr w14:paraId="576C93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281C0">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59D87">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A1E61">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移动办公设备</w:t>
            </w:r>
          </w:p>
        </w:tc>
        <w:tc>
          <w:tcPr>
            <w:tcW w:w="8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92385">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1、处理器：配置1颗处理器，≥3.5GHz,核心数量≥4颗；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2、内存：≥32G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3、硬盘：≥1T 固态硬盘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4、操作系统：含操作系统</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C2A9C">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67B91">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24527">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56617">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5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CE7FE">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国产化</w:t>
            </w:r>
          </w:p>
        </w:tc>
      </w:tr>
      <w:tr w14:paraId="6FB4C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3D472">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531AA">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0948E">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移动办公设备</w:t>
            </w:r>
          </w:p>
        </w:tc>
        <w:tc>
          <w:tcPr>
            <w:tcW w:w="8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F63A0">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1、处理器：配置1颗处理器，主频≥4.0GHz,核心数量≥24颗；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2、内存：≥64GB；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3、硬盘：≥1TB SSD硬盘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4、显卡：性能不低于RTX4090-16G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5、操作系统：含正版操作系统</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B001F">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1EE72">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53B06">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6C2EF">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5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78975">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国产化</w:t>
            </w:r>
          </w:p>
        </w:tc>
      </w:tr>
      <w:tr w14:paraId="694C2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DBA09">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432" w:type="dxa"/>
            <w:tcBorders>
              <w:top w:val="single" w:color="000000" w:sz="4" w:space="0"/>
              <w:left w:val="single" w:color="000000" w:sz="4" w:space="0"/>
              <w:bottom w:val="single" w:color="000000" w:sz="4" w:space="0"/>
              <w:right w:val="nil"/>
            </w:tcBorders>
            <w:shd w:val="clear" w:color="auto" w:fill="auto"/>
            <w:noWrap/>
            <w:vAlign w:val="center"/>
          </w:tcPr>
          <w:p w14:paraId="037E9B3F">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0133" w:type="dxa"/>
            <w:gridSpan w:val="2"/>
            <w:tcBorders>
              <w:top w:val="single" w:color="000000" w:sz="4" w:space="0"/>
              <w:left w:val="single" w:color="000000" w:sz="4" w:space="0"/>
              <w:bottom w:val="single" w:color="000000" w:sz="4" w:space="0"/>
              <w:right w:val="nil"/>
            </w:tcBorders>
            <w:shd w:val="clear" w:color="auto" w:fill="auto"/>
            <w:noWrap/>
            <w:vAlign w:val="center"/>
          </w:tcPr>
          <w:p w14:paraId="32D2EE45">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小计1：元</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2DDFD">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FA2CC">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A6D27">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6"/>
                <w:szCs w:val="16"/>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B9E6A">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6"/>
                <w:szCs w:val="16"/>
                <w:u w:val="none"/>
              </w:rPr>
            </w:pPr>
          </w:p>
        </w:tc>
        <w:tc>
          <w:tcPr>
            <w:tcW w:w="5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20B8C">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r>
    </w:tbl>
    <w:p w14:paraId="627DB4DC">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br w:type="page"/>
      </w:r>
    </w:p>
    <w:tbl>
      <w:tblPr>
        <w:tblStyle w:val="2"/>
        <w:tblW w:w="15611"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41"/>
        <w:gridCol w:w="432"/>
        <w:gridCol w:w="1573"/>
        <w:gridCol w:w="8560"/>
        <w:gridCol w:w="869"/>
        <w:gridCol w:w="726"/>
        <w:gridCol w:w="995"/>
        <w:gridCol w:w="1121"/>
        <w:gridCol w:w="694"/>
      </w:tblGrid>
      <w:tr w14:paraId="42F38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trPr>
        <w:tc>
          <w:tcPr>
            <w:tcW w:w="15611" w:type="dxa"/>
            <w:gridSpan w:val="9"/>
            <w:shd w:val="clear" w:color="auto" w:fill="auto"/>
            <w:noWrap/>
            <w:vAlign w:val="center"/>
          </w:tcPr>
          <w:p w14:paraId="49102DBD">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二、网络升级改造预算清单</w:t>
            </w:r>
          </w:p>
        </w:tc>
      </w:tr>
      <w:tr w14:paraId="312EC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41" w:type="dxa"/>
            <w:shd w:val="clear" w:color="auto" w:fill="auto"/>
            <w:noWrap/>
            <w:vAlign w:val="center"/>
          </w:tcPr>
          <w:p w14:paraId="5B1799B4">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432" w:type="dxa"/>
            <w:shd w:val="clear" w:color="auto" w:fill="auto"/>
            <w:noWrap/>
            <w:vAlign w:val="center"/>
          </w:tcPr>
          <w:p w14:paraId="28CFDCEF">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b/>
                <w:bCs/>
                <w:i w:val="0"/>
                <w:iCs w:val="0"/>
                <w:color w:val="000000"/>
                <w:sz w:val="20"/>
                <w:szCs w:val="20"/>
                <w:u w:val="none"/>
              </w:rPr>
            </w:pPr>
          </w:p>
        </w:tc>
        <w:tc>
          <w:tcPr>
            <w:tcW w:w="1573" w:type="dxa"/>
            <w:shd w:val="clear" w:color="auto" w:fill="auto"/>
            <w:noWrap/>
            <w:vAlign w:val="center"/>
          </w:tcPr>
          <w:p w14:paraId="57AF450B">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设备名称</w:t>
            </w:r>
          </w:p>
        </w:tc>
        <w:tc>
          <w:tcPr>
            <w:tcW w:w="8560" w:type="dxa"/>
            <w:shd w:val="clear" w:color="auto" w:fill="auto"/>
            <w:noWrap/>
            <w:vAlign w:val="center"/>
          </w:tcPr>
          <w:p w14:paraId="61EB45C2">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技术参数</w:t>
            </w:r>
          </w:p>
        </w:tc>
        <w:tc>
          <w:tcPr>
            <w:tcW w:w="869" w:type="dxa"/>
            <w:shd w:val="clear" w:color="auto" w:fill="auto"/>
            <w:noWrap/>
            <w:vAlign w:val="center"/>
          </w:tcPr>
          <w:p w14:paraId="128EDF68">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c>
          <w:tcPr>
            <w:tcW w:w="726" w:type="dxa"/>
            <w:shd w:val="clear" w:color="auto" w:fill="auto"/>
            <w:noWrap/>
            <w:vAlign w:val="center"/>
          </w:tcPr>
          <w:p w14:paraId="576FA18E">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数量</w:t>
            </w:r>
          </w:p>
        </w:tc>
        <w:tc>
          <w:tcPr>
            <w:tcW w:w="995" w:type="dxa"/>
            <w:shd w:val="clear" w:color="auto" w:fill="auto"/>
            <w:noWrap/>
            <w:vAlign w:val="center"/>
          </w:tcPr>
          <w:p w14:paraId="0AA37A1C">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单价</w:t>
            </w:r>
          </w:p>
        </w:tc>
        <w:tc>
          <w:tcPr>
            <w:tcW w:w="1121" w:type="dxa"/>
            <w:shd w:val="clear" w:color="auto" w:fill="auto"/>
            <w:noWrap/>
            <w:vAlign w:val="center"/>
          </w:tcPr>
          <w:p w14:paraId="3E517294">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总价</w:t>
            </w:r>
          </w:p>
        </w:tc>
        <w:tc>
          <w:tcPr>
            <w:tcW w:w="694" w:type="dxa"/>
            <w:shd w:val="clear" w:color="auto" w:fill="auto"/>
            <w:noWrap/>
            <w:vAlign w:val="center"/>
          </w:tcPr>
          <w:p w14:paraId="0D680E46">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备注</w:t>
            </w:r>
          </w:p>
        </w:tc>
      </w:tr>
      <w:tr w14:paraId="5F8C2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1206" w:type="dxa"/>
            <w:gridSpan w:val="4"/>
            <w:shd w:val="clear" w:color="auto" w:fill="auto"/>
            <w:vAlign w:val="center"/>
          </w:tcPr>
          <w:p w14:paraId="78FC56CD">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（一）网络升级改造</w:t>
            </w:r>
          </w:p>
        </w:tc>
        <w:tc>
          <w:tcPr>
            <w:tcW w:w="869" w:type="dxa"/>
            <w:shd w:val="clear" w:color="auto" w:fill="auto"/>
            <w:noWrap/>
            <w:vAlign w:val="center"/>
          </w:tcPr>
          <w:p w14:paraId="3816C76B">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726" w:type="dxa"/>
            <w:shd w:val="clear" w:color="auto" w:fill="auto"/>
            <w:noWrap/>
            <w:vAlign w:val="center"/>
          </w:tcPr>
          <w:p w14:paraId="011C5FC5">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995" w:type="dxa"/>
            <w:shd w:val="clear" w:color="auto" w:fill="auto"/>
            <w:noWrap/>
            <w:vAlign w:val="center"/>
          </w:tcPr>
          <w:p w14:paraId="72F5BADC">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121" w:type="dxa"/>
            <w:shd w:val="clear" w:color="auto" w:fill="auto"/>
            <w:noWrap/>
            <w:vAlign w:val="center"/>
          </w:tcPr>
          <w:p w14:paraId="5693C076">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694" w:type="dxa"/>
            <w:shd w:val="clear" w:color="auto" w:fill="auto"/>
            <w:vAlign w:val="center"/>
          </w:tcPr>
          <w:p w14:paraId="5279B24D">
            <w:pPr>
              <w:keepNext/>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20"/>
                <w:szCs w:val="20"/>
                <w:u w:val="none"/>
              </w:rPr>
            </w:pPr>
          </w:p>
        </w:tc>
      </w:tr>
      <w:tr w14:paraId="23A2B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0" w:hRule="atLeast"/>
        </w:trPr>
        <w:tc>
          <w:tcPr>
            <w:tcW w:w="641" w:type="dxa"/>
            <w:shd w:val="clear" w:color="auto" w:fill="auto"/>
            <w:noWrap/>
            <w:vAlign w:val="center"/>
          </w:tcPr>
          <w:p w14:paraId="019A0AC7">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432" w:type="dxa"/>
            <w:shd w:val="clear" w:color="auto" w:fill="auto"/>
            <w:noWrap/>
            <w:vAlign w:val="center"/>
          </w:tcPr>
          <w:p w14:paraId="0D78029A">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noWrap/>
            <w:vAlign w:val="center"/>
          </w:tcPr>
          <w:p w14:paraId="3D7F9DCD">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核心交换机</w:t>
            </w:r>
          </w:p>
        </w:tc>
        <w:tc>
          <w:tcPr>
            <w:tcW w:w="8560" w:type="dxa"/>
            <w:shd w:val="clear" w:color="auto" w:fill="auto"/>
            <w:vAlign w:val="center"/>
          </w:tcPr>
          <w:p w14:paraId="22B319B3">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1、交换容量≥100Tbps，包转发率≥76000Mpps ，主控板槽位数≥2，业务板槽位数≥6</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2、配置主控板≥2，≥16个千兆光口，≥32个万兆光，≥48千兆电口，≥24个千兆单模光模块，≥24个万兆多模光模块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3、支持随板AC，支持AP接入控制、AP域管理和AP配置模板管理，支持射频模板管理、统一静态配置和集中动态管理，支持WLAN基本业务、QoS、安全和用户管理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4、支持IPV4静态路由、RIP、OSPF、IS-IS、BGP4等，支持IPv6静态路由、RIPng、OSPFv3、IS-ISv6、BGP4+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5、支持直接对业务报文标记以获得丢包数量和丢包率统计数据，实时统计，零开销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6、支持基于 Layer2 协议头、Layer3 协议、Layer4 协议、802.1p 优先级等的组合流分类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7、包含3年原厂质保服务</w:t>
            </w:r>
          </w:p>
        </w:tc>
        <w:tc>
          <w:tcPr>
            <w:tcW w:w="869" w:type="dxa"/>
            <w:shd w:val="clear" w:color="auto" w:fill="auto"/>
            <w:noWrap/>
            <w:vAlign w:val="center"/>
          </w:tcPr>
          <w:p w14:paraId="581574D0">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726" w:type="dxa"/>
            <w:shd w:val="clear" w:color="auto" w:fill="auto"/>
            <w:noWrap/>
            <w:vAlign w:val="center"/>
          </w:tcPr>
          <w:p w14:paraId="5BCEBDDB">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995" w:type="dxa"/>
            <w:shd w:val="clear" w:color="auto" w:fill="auto"/>
            <w:noWrap/>
            <w:vAlign w:val="center"/>
          </w:tcPr>
          <w:p w14:paraId="3C29B1A3">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1121" w:type="dxa"/>
            <w:shd w:val="clear" w:color="auto" w:fill="auto"/>
            <w:noWrap/>
            <w:vAlign w:val="center"/>
          </w:tcPr>
          <w:p w14:paraId="216A122C">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694" w:type="dxa"/>
            <w:shd w:val="clear" w:color="auto" w:fill="auto"/>
            <w:noWrap/>
            <w:vAlign w:val="center"/>
          </w:tcPr>
          <w:p w14:paraId="75DB2B22">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GA网</w:t>
            </w:r>
          </w:p>
        </w:tc>
      </w:tr>
      <w:tr w14:paraId="5196E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80" w:hRule="atLeast"/>
        </w:trPr>
        <w:tc>
          <w:tcPr>
            <w:tcW w:w="641" w:type="dxa"/>
            <w:shd w:val="clear" w:color="auto" w:fill="auto"/>
            <w:noWrap/>
            <w:vAlign w:val="center"/>
          </w:tcPr>
          <w:p w14:paraId="70D90F6F">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432" w:type="dxa"/>
            <w:shd w:val="clear" w:color="auto" w:fill="auto"/>
            <w:noWrap/>
            <w:vAlign w:val="center"/>
          </w:tcPr>
          <w:p w14:paraId="1D2BFDD2">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noWrap/>
            <w:vAlign w:val="center"/>
          </w:tcPr>
          <w:p w14:paraId="4FEC9BAE">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路由器</w:t>
            </w:r>
          </w:p>
        </w:tc>
        <w:tc>
          <w:tcPr>
            <w:tcW w:w="8560" w:type="dxa"/>
            <w:shd w:val="clear" w:color="auto" w:fill="auto"/>
            <w:vAlign w:val="center"/>
          </w:tcPr>
          <w:p w14:paraId="69DDDE96">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1、转发性能≥25Gpps，IPSec 性能≥20 Gbps，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2、≥10*10GE SFP+，≥10个千兆光接口，≥16个千兆电接口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3、业务插槽≥8</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4、主控板≥2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5、支持IP FRR，LDP FRR，MPLS 6VPE，MPLS 6PE</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6、支持PIM SM，PIM DM，MSDP，MBGP</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▲7、提供国产化芯片证明文件</w:t>
            </w:r>
          </w:p>
        </w:tc>
        <w:tc>
          <w:tcPr>
            <w:tcW w:w="869" w:type="dxa"/>
            <w:shd w:val="clear" w:color="auto" w:fill="auto"/>
            <w:noWrap/>
            <w:vAlign w:val="center"/>
          </w:tcPr>
          <w:p w14:paraId="24B91FBC">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726" w:type="dxa"/>
            <w:shd w:val="clear" w:color="auto" w:fill="auto"/>
            <w:noWrap/>
            <w:vAlign w:val="center"/>
          </w:tcPr>
          <w:p w14:paraId="3967D558">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995" w:type="dxa"/>
            <w:shd w:val="clear" w:color="auto" w:fill="auto"/>
            <w:noWrap/>
            <w:vAlign w:val="center"/>
          </w:tcPr>
          <w:p w14:paraId="6BA6803F">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1121" w:type="dxa"/>
            <w:shd w:val="clear" w:color="auto" w:fill="auto"/>
            <w:noWrap/>
            <w:vAlign w:val="center"/>
          </w:tcPr>
          <w:p w14:paraId="296C9288">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694" w:type="dxa"/>
            <w:shd w:val="clear" w:color="auto" w:fill="auto"/>
            <w:noWrap/>
            <w:vAlign w:val="center"/>
          </w:tcPr>
          <w:p w14:paraId="57552940">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GA网</w:t>
            </w:r>
          </w:p>
        </w:tc>
      </w:tr>
      <w:tr w14:paraId="3AA24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0" w:hRule="atLeast"/>
        </w:trPr>
        <w:tc>
          <w:tcPr>
            <w:tcW w:w="641" w:type="dxa"/>
            <w:shd w:val="clear" w:color="auto" w:fill="auto"/>
            <w:noWrap/>
            <w:vAlign w:val="center"/>
          </w:tcPr>
          <w:p w14:paraId="78119DAF">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432" w:type="dxa"/>
            <w:shd w:val="clear" w:color="auto" w:fill="auto"/>
            <w:noWrap/>
            <w:vAlign w:val="center"/>
          </w:tcPr>
          <w:p w14:paraId="1EDEC52C">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noWrap/>
            <w:vAlign w:val="center"/>
          </w:tcPr>
          <w:p w14:paraId="082D78BB">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边界防火墙</w:t>
            </w:r>
          </w:p>
        </w:tc>
        <w:tc>
          <w:tcPr>
            <w:tcW w:w="8560" w:type="dxa"/>
            <w:shd w:val="clear" w:color="auto" w:fill="auto"/>
            <w:vAlign w:val="center"/>
          </w:tcPr>
          <w:p w14:paraId="240F3A5E">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▲1、1U标准设备，具备≥16个千兆电口、≥8个千兆光接口、≥8个万兆光接口（满配多模光模块）、≥2个100G接口，冗余电源，2个扩展槽位，提供国产化芯片证明文件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2、防火墙吞吐≥25G，并发连接≥1000万，每秒新建连接≥35万，应用层吞吐量≥20G。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3、包含≥3年IPS特征库、AV病毒库、URL过滤规则库、威胁情报库、应用识别特征库升级服务许可;含36个月硬件维保。</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4、支持路由、交换、虚拟线、Listening、混合工作模式。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5、支持策略略路由，支持根据入接口、源/目的IP地址、协议、用户、应用、选路算法、探测等多种条件设置策略路由。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6、支持一体化安全策略配置，可以通过一条策略实现五元组、源MAC、源地区、目的地区、域名、应用、服务、时间等功能配置，简化用户管理。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7、提供策略分析功能，支持策略命中分析、策略冗余分析等，可在WEB界面显示检测结果。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8、支持独立的入侵防护规则特征库，特征总数在5900条以上，能对常见漏洞进行安全防护。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9、支持对达梦、人大金仓等数据库应用、P2P、移动应用、迅雷加密流量、向日葵/Teamview等软件进行识别控制，支持自定义应用特征。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10、内置静态黑名单功能，可设置多个对象条件，如：五元组信息、源MAC、地址范围、应用、用户，实现对特定报文进行快速过滤。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11、支持针对IP、ICMP、TCP、UDP、DNS、HTTP等协议进行DDOS防护；支持预定义和自定义策略模板。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12、内置内容过滤功能，支持基于HTTP、FTP、TELNET、SMTP、POP3、IMAP等协议的内容过滤策略。</w:t>
            </w:r>
          </w:p>
        </w:tc>
        <w:tc>
          <w:tcPr>
            <w:tcW w:w="869" w:type="dxa"/>
            <w:shd w:val="clear" w:color="auto" w:fill="auto"/>
            <w:noWrap/>
            <w:vAlign w:val="center"/>
          </w:tcPr>
          <w:p w14:paraId="74CDE8A6">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726" w:type="dxa"/>
            <w:shd w:val="clear" w:color="auto" w:fill="auto"/>
            <w:noWrap/>
            <w:vAlign w:val="center"/>
          </w:tcPr>
          <w:p w14:paraId="6CDB85DD">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995" w:type="dxa"/>
            <w:shd w:val="clear" w:color="auto" w:fill="auto"/>
            <w:noWrap/>
            <w:vAlign w:val="center"/>
          </w:tcPr>
          <w:p w14:paraId="643D0AA0">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1121" w:type="dxa"/>
            <w:shd w:val="clear" w:color="auto" w:fill="auto"/>
            <w:noWrap/>
            <w:vAlign w:val="center"/>
          </w:tcPr>
          <w:p w14:paraId="4E34C9BD">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694" w:type="dxa"/>
            <w:shd w:val="clear" w:color="auto" w:fill="auto"/>
            <w:noWrap/>
            <w:vAlign w:val="center"/>
          </w:tcPr>
          <w:p w14:paraId="418DAEBA">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GA网</w:t>
            </w:r>
          </w:p>
        </w:tc>
      </w:tr>
      <w:tr w14:paraId="693B4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20" w:hRule="atLeast"/>
        </w:trPr>
        <w:tc>
          <w:tcPr>
            <w:tcW w:w="641" w:type="dxa"/>
            <w:shd w:val="clear" w:color="auto" w:fill="auto"/>
            <w:noWrap/>
            <w:vAlign w:val="center"/>
          </w:tcPr>
          <w:p w14:paraId="1376F7F2">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432" w:type="dxa"/>
            <w:shd w:val="clear" w:color="auto" w:fill="auto"/>
            <w:noWrap/>
            <w:vAlign w:val="center"/>
          </w:tcPr>
          <w:p w14:paraId="778325C7">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vAlign w:val="center"/>
          </w:tcPr>
          <w:p w14:paraId="03605688">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接入交换机</w:t>
            </w:r>
          </w:p>
        </w:tc>
        <w:tc>
          <w:tcPr>
            <w:tcW w:w="8560" w:type="dxa"/>
            <w:shd w:val="clear" w:color="auto" w:fill="auto"/>
            <w:vAlign w:val="center"/>
          </w:tcPr>
          <w:p w14:paraId="2321E6CC">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1、交换容量≥672Gbps，包转发率≥120Mpps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2、≥28个千兆电口，≥8个万兆光口，≥2个万兆多模光模块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3、包含3年原厂质保服务</w:t>
            </w:r>
          </w:p>
        </w:tc>
        <w:tc>
          <w:tcPr>
            <w:tcW w:w="869" w:type="dxa"/>
            <w:shd w:val="clear" w:color="auto" w:fill="auto"/>
            <w:vAlign w:val="center"/>
          </w:tcPr>
          <w:p w14:paraId="32674E01">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726" w:type="dxa"/>
            <w:shd w:val="clear" w:color="auto" w:fill="auto"/>
            <w:vAlign w:val="center"/>
          </w:tcPr>
          <w:p w14:paraId="05E066FC">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995" w:type="dxa"/>
            <w:shd w:val="clear" w:color="auto" w:fill="auto"/>
            <w:vAlign w:val="center"/>
          </w:tcPr>
          <w:p w14:paraId="182FFB27">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1121" w:type="dxa"/>
            <w:shd w:val="clear" w:color="auto" w:fill="auto"/>
            <w:vAlign w:val="center"/>
          </w:tcPr>
          <w:p w14:paraId="3BC952FC">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694" w:type="dxa"/>
            <w:shd w:val="clear" w:color="auto" w:fill="auto"/>
            <w:vAlign w:val="center"/>
          </w:tcPr>
          <w:p w14:paraId="2B3022E0">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GA网</w:t>
            </w:r>
          </w:p>
        </w:tc>
      </w:tr>
      <w:tr w14:paraId="7C92D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641" w:type="dxa"/>
            <w:shd w:val="clear" w:color="auto" w:fill="auto"/>
            <w:noWrap/>
            <w:vAlign w:val="center"/>
          </w:tcPr>
          <w:p w14:paraId="0DE04A95">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432" w:type="dxa"/>
            <w:shd w:val="clear" w:color="auto" w:fill="auto"/>
            <w:noWrap/>
            <w:vAlign w:val="center"/>
          </w:tcPr>
          <w:p w14:paraId="44FC8198">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vAlign w:val="center"/>
          </w:tcPr>
          <w:p w14:paraId="4F919B92">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互联网核心交换机</w:t>
            </w:r>
          </w:p>
        </w:tc>
        <w:tc>
          <w:tcPr>
            <w:tcW w:w="8560" w:type="dxa"/>
            <w:shd w:val="clear" w:color="auto" w:fill="auto"/>
            <w:vAlign w:val="center"/>
          </w:tcPr>
          <w:p w14:paraId="7BBE84F0">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1、交换容量≥1.3Tbps，包转发率≥170Mpps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2、≥28个千兆SFP（含8个复用10/100/1000BASE-T以太网端口Combo），≥8个万兆光口（支持堆叠），≥2个万兆多模光模块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3、包含3年原厂质保服务</w:t>
            </w:r>
          </w:p>
        </w:tc>
        <w:tc>
          <w:tcPr>
            <w:tcW w:w="869" w:type="dxa"/>
            <w:shd w:val="clear" w:color="auto" w:fill="auto"/>
            <w:vAlign w:val="center"/>
          </w:tcPr>
          <w:p w14:paraId="598ECFC6">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726" w:type="dxa"/>
            <w:shd w:val="clear" w:color="auto" w:fill="auto"/>
            <w:vAlign w:val="center"/>
          </w:tcPr>
          <w:p w14:paraId="772A5391">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95" w:type="dxa"/>
            <w:shd w:val="clear" w:color="auto" w:fill="auto"/>
            <w:vAlign w:val="center"/>
          </w:tcPr>
          <w:p w14:paraId="64C83E96">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1121" w:type="dxa"/>
            <w:shd w:val="clear" w:color="auto" w:fill="auto"/>
            <w:vAlign w:val="center"/>
          </w:tcPr>
          <w:p w14:paraId="2F26A6E7">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694" w:type="dxa"/>
            <w:shd w:val="clear" w:color="auto" w:fill="auto"/>
            <w:vAlign w:val="center"/>
          </w:tcPr>
          <w:p w14:paraId="5501F3E1">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互联网</w:t>
            </w:r>
          </w:p>
        </w:tc>
      </w:tr>
      <w:tr w14:paraId="0C43D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0" w:hRule="atLeast"/>
        </w:trPr>
        <w:tc>
          <w:tcPr>
            <w:tcW w:w="641" w:type="dxa"/>
            <w:shd w:val="clear" w:color="auto" w:fill="auto"/>
            <w:noWrap/>
            <w:vAlign w:val="center"/>
          </w:tcPr>
          <w:p w14:paraId="46CD3494">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432" w:type="dxa"/>
            <w:shd w:val="clear" w:color="auto" w:fill="auto"/>
            <w:noWrap/>
            <w:vAlign w:val="center"/>
          </w:tcPr>
          <w:p w14:paraId="00C04D0C">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vAlign w:val="center"/>
          </w:tcPr>
          <w:p w14:paraId="72100A06">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互联网出口防火墙</w:t>
            </w:r>
          </w:p>
        </w:tc>
        <w:tc>
          <w:tcPr>
            <w:tcW w:w="8560" w:type="dxa"/>
            <w:shd w:val="clear" w:color="auto" w:fill="auto"/>
            <w:vAlign w:val="center"/>
          </w:tcPr>
          <w:p w14:paraId="743C52E3">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▲1、1U标准设备，具备≥16个千兆电口、≥8个千兆光接口（满配千兆多模光模块）、≥8个万兆光接口（满配万兆多模光模块）、≥2个100G接口，冗余电源，2个扩展槽位。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2、防火墙吞吐≥25G，并发连接≥1000万，每秒新建连接≥35万，应用层吞吐量≥20G。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3、包含≥3年IPS特征库、AV病毒库、URL过滤规则库、威胁情报库、应用识别特征库升级服务许可;含36个月硬件维保。</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4、支持路由、交换、虚拟线、Listening、混合工作模式。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5、支持策略略路由，支持根据入接口、源/目的IP地址、协议、用户、应用、选路算法、探测等多种条件设置策略路由。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6、支持一体化安全策略配置，可以通过一条策略实现五元组、源MAC、源地区、目的地区、域名、应用、服务、时间等功能配置，简化用户管理。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7、提供策略分析功能，支持策略命中分析、策略冗余分析等，可在WEB界面显示检测结果。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8、支持独立的入侵防护规则特征库，特征总数在5900条以上，能对常见漏洞进行安全防护。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9、支持对达梦、人大金仓等数据库应用、P2P、移动应用、迅雷加密流量、向日葵/Teamview等软件进行识别控制，支持自定义应用特征。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10、内置静态黑名单功能，可设置多个对象条件，如：五元组信息、源MAC、地址范围、应用、用户，实现对特定报文进行快速过滤。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11、支持针对IP、ICMP、TCP、UDP、DNS、HTTP等协议进行DDOS防护；支持预定义和自定义策略模板。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12、内置内容过滤功能，支持基于HTTP、FTP、TELNET、SMTP、POP3、IMAP等协议的内容过滤策略。</w:t>
            </w:r>
          </w:p>
        </w:tc>
        <w:tc>
          <w:tcPr>
            <w:tcW w:w="869" w:type="dxa"/>
            <w:shd w:val="clear" w:color="auto" w:fill="auto"/>
            <w:vAlign w:val="center"/>
          </w:tcPr>
          <w:p w14:paraId="38BCA266">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726" w:type="dxa"/>
            <w:shd w:val="clear" w:color="auto" w:fill="auto"/>
            <w:vAlign w:val="center"/>
          </w:tcPr>
          <w:p w14:paraId="05B4C0DE">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95" w:type="dxa"/>
            <w:shd w:val="clear" w:color="auto" w:fill="auto"/>
            <w:vAlign w:val="center"/>
          </w:tcPr>
          <w:p w14:paraId="3574ACD9">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1121" w:type="dxa"/>
            <w:shd w:val="clear" w:color="auto" w:fill="auto"/>
            <w:vAlign w:val="center"/>
          </w:tcPr>
          <w:p w14:paraId="50A2E0A7">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694" w:type="dxa"/>
            <w:shd w:val="clear" w:color="auto" w:fill="auto"/>
            <w:vAlign w:val="center"/>
          </w:tcPr>
          <w:p w14:paraId="04FE8580">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互联网</w:t>
            </w:r>
          </w:p>
        </w:tc>
      </w:tr>
      <w:tr w14:paraId="59089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641" w:type="dxa"/>
            <w:shd w:val="clear" w:color="auto" w:fill="auto"/>
            <w:noWrap/>
            <w:vAlign w:val="center"/>
          </w:tcPr>
          <w:p w14:paraId="35453ADA">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432" w:type="dxa"/>
            <w:shd w:val="clear" w:color="auto" w:fill="auto"/>
            <w:noWrap/>
            <w:vAlign w:val="center"/>
          </w:tcPr>
          <w:p w14:paraId="0B19A5DD">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vAlign w:val="center"/>
          </w:tcPr>
          <w:p w14:paraId="492BD215">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互联网接入交换机</w:t>
            </w:r>
          </w:p>
        </w:tc>
        <w:tc>
          <w:tcPr>
            <w:tcW w:w="8560" w:type="dxa"/>
            <w:shd w:val="clear" w:color="auto" w:fill="auto"/>
            <w:vAlign w:val="center"/>
          </w:tcPr>
          <w:p w14:paraId="07EFE968">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1、交换容量≥670Gbps，包转发率≥120Mpps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2、≥28个千兆电口，≥8个万兆光口，≥2个千兆单模光模块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3、包含3年原厂质保服务</w:t>
            </w:r>
          </w:p>
        </w:tc>
        <w:tc>
          <w:tcPr>
            <w:tcW w:w="869" w:type="dxa"/>
            <w:shd w:val="clear" w:color="auto" w:fill="auto"/>
            <w:vAlign w:val="center"/>
          </w:tcPr>
          <w:p w14:paraId="289B2D17">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726" w:type="dxa"/>
            <w:shd w:val="clear" w:color="auto" w:fill="auto"/>
            <w:vAlign w:val="center"/>
          </w:tcPr>
          <w:p w14:paraId="6CAE47D9">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995" w:type="dxa"/>
            <w:shd w:val="clear" w:color="auto" w:fill="auto"/>
            <w:vAlign w:val="center"/>
          </w:tcPr>
          <w:p w14:paraId="138B1417">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1121" w:type="dxa"/>
            <w:shd w:val="clear" w:color="auto" w:fill="auto"/>
            <w:vAlign w:val="center"/>
          </w:tcPr>
          <w:p w14:paraId="2C79E91C">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694" w:type="dxa"/>
            <w:shd w:val="clear" w:color="auto" w:fill="auto"/>
            <w:vAlign w:val="center"/>
          </w:tcPr>
          <w:p w14:paraId="3B4A5CF2">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互联网</w:t>
            </w:r>
          </w:p>
        </w:tc>
      </w:tr>
      <w:tr w14:paraId="37968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520" w:hRule="atLeast"/>
        </w:trPr>
        <w:tc>
          <w:tcPr>
            <w:tcW w:w="641" w:type="dxa"/>
            <w:shd w:val="clear" w:color="auto" w:fill="auto"/>
            <w:noWrap/>
            <w:vAlign w:val="center"/>
          </w:tcPr>
          <w:p w14:paraId="4303F28B">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432" w:type="dxa"/>
            <w:shd w:val="clear" w:color="auto" w:fill="auto"/>
            <w:noWrap/>
            <w:vAlign w:val="center"/>
          </w:tcPr>
          <w:p w14:paraId="4DE0FFB3">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vAlign w:val="center"/>
          </w:tcPr>
          <w:p w14:paraId="7BCFE02A">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互联网入侵防御</w:t>
            </w:r>
          </w:p>
        </w:tc>
        <w:tc>
          <w:tcPr>
            <w:tcW w:w="8560" w:type="dxa"/>
            <w:shd w:val="clear" w:color="auto" w:fill="auto"/>
            <w:vAlign w:val="center"/>
          </w:tcPr>
          <w:p w14:paraId="216BF63C">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U标准设备，国产化芯片，内存≥32G，硬盘≥4T，具备≥8个千兆电口（含1个HA口，1个管理口），≥8个千兆光口（默认带8个千兆多模光模块），≥8个bypass接口，≥4个万兆光口（默认带2个万兆多模光模块），冗余电源，≥6个扩展槽位。含≥3年IPS特征库、AV病毒库、应用识别特征库升级服务许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2、整机吞吐率≥27Gbps，最大并发连接数≥200万，IPS吞吐率≥1Gbps。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3、含36个月硬件维保。</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4、支持对设备信息进行监控，包括：CPU使用率、内存使用率、磁盘使用率、CPU温度、系统温度、并发连接数、连接新建速率、接口带宽使用率、冗余电源、风扇状态。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5、支持攻击者视角分析，按照时间范围、攻击主机、事件类型、处置状态、来源（境外、境内）、攻击者所属国家等条件综合分析攻击者信息。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6、支持流量视角分析，支持按照应用、接口、连接进行流量统计分析。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7、支持独立的攻击检测引擎，涵盖10000种以上的攻击检测规则库。规则库支持按照攻击类型、操作系统、风险等级、应用类型等方式进行分类。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8、支持针对SMTP、POP3、IMAP等协议的钓鱼邮件检测，识别发件人欺骗、URL欺骗、钓鱼URL等信息，判断是否为可疑钓鱼邮件。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9、支持DDoS自学习模式检测，可设定学习时长，根据周期内流量状态自动学习，设置检测流量阈值。流量异常触发阈值系统自动进行告警。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10、支持能够检测包括：僵尸网络、木马控制、蠕虫、挖矿、勒索、移动端木马控制等多类型的僵尸主机行为。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11、支持异常登录检测，能够检测账号多IP登录行为，并记录登录失败日志。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12、支持用户对FLOOD类攻击网络流量阈值设置，可按照pps、Kbps、Mbps等单位设置。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13、支持卸载SSL，实现对HTTPS、IMAPS、SMTPS、POP3S、FTPS等加密流量的分析检测。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14、支持取证文件外发功能，取证文件可外发到第三方服务器平台。</w:t>
            </w:r>
          </w:p>
        </w:tc>
        <w:tc>
          <w:tcPr>
            <w:tcW w:w="869" w:type="dxa"/>
            <w:shd w:val="clear" w:color="auto" w:fill="auto"/>
            <w:vAlign w:val="center"/>
          </w:tcPr>
          <w:p w14:paraId="6233E3BA">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726" w:type="dxa"/>
            <w:shd w:val="clear" w:color="auto" w:fill="auto"/>
            <w:vAlign w:val="center"/>
          </w:tcPr>
          <w:p w14:paraId="1A6D7136">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95" w:type="dxa"/>
            <w:shd w:val="clear" w:color="auto" w:fill="auto"/>
            <w:vAlign w:val="center"/>
          </w:tcPr>
          <w:p w14:paraId="76F260BA">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1121" w:type="dxa"/>
            <w:shd w:val="clear" w:color="auto" w:fill="auto"/>
            <w:vAlign w:val="center"/>
          </w:tcPr>
          <w:p w14:paraId="2BF75D69">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694" w:type="dxa"/>
            <w:shd w:val="clear" w:color="auto" w:fill="auto"/>
            <w:vAlign w:val="center"/>
          </w:tcPr>
          <w:p w14:paraId="560293E6">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互联网</w:t>
            </w:r>
          </w:p>
        </w:tc>
      </w:tr>
      <w:tr w14:paraId="5B7AD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960" w:hRule="atLeast"/>
        </w:trPr>
        <w:tc>
          <w:tcPr>
            <w:tcW w:w="641" w:type="dxa"/>
            <w:shd w:val="clear" w:color="auto" w:fill="auto"/>
            <w:noWrap/>
            <w:vAlign w:val="center"/>
          </w:tcPr>
          <w:p w14:paraId="1FDA181E">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432" w:type="dxa"/>
            <w:shd w:val="clear" w:color="auto" w:fill="auto"/>
            <w:noWrap/>
            <w:vAlign w:val="center"/>
          </w:tcPr>
          <w:p w14:paraId="0EE3B692">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vAlign w:val="center"/>
          </w:tcPr>
          <w:p w14:paraId="6659E84A">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上网行为管理</w:t>
            </w:r>
          </w:p>
        </w:tc>
        <w:tc>
          <w:tcPr>
            <w:tcW w:w="8560" w:type="dxa"/>
            <w:shd w:val="clear" w:color="auto" w:fill="auto"/>
            <w:vAlign w:val="center"/>
          </w:tcPr>
          <w:p w14:paraId="269C3F8F">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U标准设备，国产化芯片，国产化操作系统，内存≥32G，日志存储硬盘≥4T，具备≥8个千兆电口，≥4个千兆光口插槽，支持≥3对电口Bypass,双电源，≥4个扩展槽位，包含≥3年系统版本升级、URL库及应用特征库升级许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2、带宽性能≥1G，应用层吞吐≥5G，网络吞吐量≥15G，最大并发连接数≥340W，新建连接数≥10W，推荐用户数≥5000人。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3、含36个月硬件维保。</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4、支持路由模式，旁路模式、网桥模式、混合模式部署；切换部署模式无需重启，不影响设备正常使用。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5、支持ISP自动地址表（电信、移动、网通、铁通等）的策略路由的选路方式。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6、能够提供一小时内cpu使用率、内存使用率、活跃会话数、在线认证用户数以及最新的磁盘占用情况。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7、支持移动终端发现后拒绝移动终端接入并支持启用事件告警。支持移动终端列表添加信任列表。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8、支持按照单位架构创建用户组、用户、支持多层组和用户，分组能继承父组策略，用户能继承组的策略。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9、支持认证用户首次登陆修改密码，支持自定义密码复杂度（包括长度、英文字母、数字、特殊字符的多种组合方式），另外支持密码有效期。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10、支持url白名单，添加到白名单的url不受策略控制和审计，可设置完全放通（不审计，不控制），或者审计但是不统计和控制流量。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11、支持通过snmp服务读取下层三层设备的arp表象获取客户真实的mac地址。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12、支持临时账号自动申请功能，方便外来的临时用户使用。支持自动审核和管理员手动审核的核定方法将临时帐户加入到组织结构中。支12、持网页发送和邮件方式通知临时用户账号和密码。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13、支持https网站识别，支持加密网站搜索，支持ssl论坛加密发帖内容识别，支持基于关键字的控制。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14、支持基于用户、协议、应用、url、文件类型的带宽保障行为，可以通过队列实现重要业务优先转发。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15、支持非法网站、违规帖子、ftp上传、网页上传、违规邮件以及匹配潜在威胁的记录。</w:t>
            </w:r>
          </w:p>
        </w:tc>
        <w:tc>
          <w:tcPr>
            <w:tcW w:w="869" w:type="dxa"/>
            <w:shd w:val="clear" w:color="auto" w:fill="auto"/>
            <w:vAlign w:val="center"/>
          </w:tcPr>
          <w:p w14:paraId="23437066">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726" w:type="dxa"/>
            <w:shd w:val="clear" w:color="auto" w:fill="auto"/>
            <w:vAlign w:val="center"/>
          </w:tcPr>
          <w:p w14:paraId="3AE52C3A">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95" w:type="dxa"/>
            <w:shd w:val="clear" w:color="auto" w:fill="auto"/>
            <w:vAlign w:val="center"/>
          </w:tcPr>
          <w:p w14:paraId="1AF899A0">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1121" w:type="dxa"/>
            <w:shd w:val="clear" w:color="auto" w:fill="auto"/>
            <w:vAlign w:val="center"/>
          </w:tcPr>
          <w:p w14:paraId="2F11810D">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694" w:type="dxa"/>
            <w:shd w:val="clear" w:color="auto" w:fill="auto"/>
            <w:vAlign w:val="center"/>
          </w:tcPr>
          <w:p w14:paraId="748ECDBB">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互联网</w:t>
            </w:r>
          </w:p>
        </w:tc>
      </w:tr>
      <w:tr w14:paraId="1BE68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0" w:hRule="atLeast"/>
        </w:trPr>
        <w:tc>
          <w:tcPr>
            <w:tcW w:w="641" w:type="dxa"/>
            <w:shd w:val="clear" w:color="auto" w:fill="auto"/>
            <w:noWrap/>
            <w:vAlign w:val="center"/>
          </w:tcPr>
          <w:p w14:paraId="3B890596">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432" w:type="dxa"/>
            <w:shd w:val="clear" w:color="auto" w:fill="auto"/>
            <w:noWrap/>
            <w:vAlign w:val="center"/>
          </w:tcPr>
          <w:p w14:paraId="54363483">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vAlign w:val="center"/>
          </w:tcPr>
          <w:p w14:paraId="742E8274">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终端安全</w:t>
            </w:r>
          </w:p>
        </w:tc>
        <w:tc>
          <w:tcPr>
            <w:tcW w:w="8560" w:type="dxa"/>
            <w:shd w:val="clear" w:color="auto" w:fill="auto"/>
            <w:vAlign w:val="center"/>
          </w:tcPr>
          <w:p w14:paraId="0BBFC520">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网络版管理端软件，支持通过管理中心对安装杀毒客户端的主机进行集中管理，具备病毒检测、病毒处理、策略自定义、隔离区管理、告警信息、日志、升级更新、统一管理等功能。支持飞腾、龙芯、鲲鹏、兆芯等硬件平台和银河麒麟、中标麒麟、中科方德、统信等操作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2、包含≥10个服务器端授权、≥50个终端授权，含≥3年升级服务。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管理中心支持实时显示客户端的状态及终端基本信息，包括客户端连接状态、服务状态、终端机器名称、客户端版本、病毒库版本、IP地址、MAC地址、操作系统版本、主板信息、显卡信息、内存大小和物理位置等信息，并支持终端信息导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4、支持配置在线终端状态异常告警、终端离线告警，及时掌握终端连接状态。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即时/定时实现客户端病毒查杀，支持下发关机、重启、升级、病毒查杀、重新连接、显示消息、文件分发设置等操作，并对以上操作配置详情，客户端执行情况跟踪，实现管理中心对客户端的任务状况监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6、支持文件分发功能，通过管理中心对终端进行统一的文件分发。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7、支持客户端主程序、病毒库的灰度升级，可以按照部门、标签、终端维度进行灰度升级验证，设置不同终端类型设置和观察时长，确保程序无误后再全局升级。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8、支持通过PING、ARP、NMAP方式扫描，及时发现尚未纳入管控的终端，支持以IP地址池方式展示终端的终端在线、离线、安装情况。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9、支持终端防卸载、防退出功能，管理员能够统一设置防卸载密码，防止终端用户随意脱离保护。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10、支持病毒自动隔离备份功能，能自动将病毒文件隔离到本地隔离区，同时支持从客户端恢复隔离文件。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11、支持对压缩文件内的恶意文件扫描，包括但不限于对Arj、bzip2、Lzh、Tar、Zip、Rar4等压缩文件格式类型查杀防护。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12、支持对客户端与管理中心通信信息进行统计，包括请求升级、请求上线、请求升级病毒库等，管理员可通过日志筛选查询终端日志，以方便及时了解终端运行状况。</w:t>
            </w:r>
          </w:p>
        </w:tc>
        <w:tc>
          <w:tcPr>
            <w:tcW w:w="869" w:type="dxa"/>
            <w:shd w:val="clear" w:color="auto" w:fill="auto"/>
            <w:vAlign w:val="center"/>
          </w:tcPr>
          <w:p w14:paraId="177EF67E">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726" w:type="dxa"/>
            <w:shd w:val="clear" w:color="auto" w:fill="auto"/>
            <w:vAlign w:val="center"/>
          </w:tcPr>
          <w:p w14:paraId="338EEA43">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95" w:type="dxa"/>
            <w:shd w:val="clear" w:color="auto" w:fill="auto"/>
            <w:vAlign w:val="center"/>
          </w:tcPr>
          <w:p w14:paraId="52DE1E59">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1121" w:type="dxa"/>
            <w:shd w:val="clear" w:color="auto" w:fill="auto"/>
            <w:vAlign w:val="center"/>
          </w:tcPr>
          <w:p w14:paraId="3C4C5C46">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694" w:type="dxa"/>
            <w:shd w:val="clear" w:color="auto" w:fill="auto"/>
            <w:vAlign w:val="center"/>
          </w:tcPr>
          <w:p w14:paraId="313FE2E9">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互联网</w:t>
            </w:r>
          </w:p>
        </w:tc>
      </w:tr>
      <w:tr w14:paraId="72251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0" w:hRule="atLeast"/>
        </w:trPr>
        <w:tc>
          <w:tcPr>
            <w:tcW w:w="641" w:type="dxa"/>
            <w:shd w:val="clear" w:color="auto" w:fill="auto"/>
            <w:noWrap/>
            <w:vAlign w:val="center"/>
          </w:tcPr>
          <w:p w14:paraId="03F16E0F">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432" w:type="dxa"/>
            <w:shd w:val="clear" w:color="auto" w:fill="auto"/>
            <w:noWrap/>
            <w:vAlign w:val="center"/>
          </w:tcPr>
          <w:p w14:paraId="3C3BBFF0">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vAlign w:val="center"/>
          </w:tcPr>
          <w:p w14:paraId="0EDC25D5">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局域网核心交换机</w:t>
            </w:r>
          </w:p>
        </w:tc>
        <w:tc>
          <w:tcPr>
            <w:tcW w:w="8560" w:type="dxa"/>
            <w:shd w:val="clear" w:color="auto" w:fill="auto"/>
            <w:vAlign w:val="center"/>
          </w:tcPr>
          <w:p w14:paraId="19365EB5">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1、交换容量≥100Tbps，包转发率≥76000Mpps ，主控板槽位数≥2，业务板槽位数≥6</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2、配置主控板≥2，≥16个千兆光口接口板，≥32个万兆光接口板，≥48千兆电口接口板，≥24个千兆单模光模块，≥24个万兆多模光模块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3、支持随板AC，支持AP接入控制、AP域管理和AP配置模板管理，支持射频模板管理、统一静态配置和集中动态管理，支持WLAN基本业务、QoS、安全和用户管理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4、支持IPV4静态路由、RIP、OSPF、IS-IS、BGP4等，支持IPv6静态路由、RIPng、OSPFv3、IS-ISv6、BGP4+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5、支持直接对业务报文标记以获得丢包数量和丢包率统计数据，实时统计，零开销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6、支持基于 Layer2 协议头、Layer3 协议、Layer4 协议、802.1p 优先级等的组合流分类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7、包含3年原厂质保服务</w:t>
            </w:r>
          </w:p>
        </w:tc>
        <w:tc>
          <w:tcPr>
            <w:tcW w:w="869" w:type="dxa"/>
            <w:shd w:val="clear" w:color="auto" w:fill="auto"/>
            <w:vAlign w:val="center"/>
          </w:tcPr>
          <w:p w14:paraId="56930B61">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726" w:type="dxa"/>
            <w:shd w:val="clear" w:color="auto" w:fill="auto"/>
            <w:vAlign w:val="center"/>
          </w:tcPr>
          <w:p w14:paraId="335912C3">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995" w:type="dxa"/>
            <w:shd w:val="clear" w:color="auto" w:fill="auto"/>
            <w:vAlign w:val="center"/>
          </w:tcPr>
          <w:p w14:paraId="1D08A750">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1121" w:type="dxa"/>
            <w:shd w:val="clear" w:color="auto" w:fill="auto"/>
            <w:vAlign w:val="center"/>
          </w:tcPr>
          <w:p w14:paraId="42BC28FF">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694" w:type="dxa"/>
            <w:shd w:val="clear" w:color="auto" w:fill="auto"/>
            <w:vAlign w:val="center"/>
          </w:tcPr>
          <w:p w14:paraId="162C9148">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局域网</w:t>
            </w:r>
          </w:p>
        </w:tc>
      </w:tr>
      <w:tr w14:paraId="21D8C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641" w:type="dxa"/>
            <w:shd w:val="clear" w:color="auto" w:fill="auto"/>
            <w:noWrap/>
            <w:vAlign w:val="center"/>
          </w:tcPr>
          <w:p w14:paraId="6F912F3F">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432" w:type="dxa"/>
            <w:shd w:val="clear" w:color="auto" w:fill="auto"/>
            <w:noWrap/>
            <w:vAlign w:val="center"/>
          </w:tcPr>
          <w:p w14:paraId="04E39350">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vAlign w:val="center"/>
          </w:tcPr>
          <w:p w14:paraId="00F6D7C8">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局域网汇聚交换机</w:t>
            </w:r>
          </w:p>
        </w:tc>
        <w:tc>
          <w:tcPr>
            <w:tcW w:w="8560" w:type="dxa"/>
            <w:shd w:val="clear" w:color="auto" w:fill="auto"/>
            <w:vAlign w:val="center"/>
          </w:tcPr>
          <w:p w14:paraId="5CC389F5">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1、交换容量≥2.4Tbps，包转发率≥600Mpps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2、≥48个千兆SFP，≥4个万兆光口（支持堆叠），≥2个万兆多模光模块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3、包含3年原厂质保服务</w:t>
            </w:r>
          </w:p>
        </w:tc>
        <w:tc>
          <w:tcPr>
            <w:tcW w:w="869" w:type="dxa"/>
            <w:shd w:val="clear" w:color="auto" w:fill="auto"/>
            <w:vAlign w:val="center"/>
          </w:tcPr>
          <w:p w14:paraId="2C5BD92F">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726" w:type="dxa"/>
            <w:shd w:val="clear" w:color="auto" w:fill="auto"/>
            <w:vAlign w:val="center"/>
          </w:tcPr>
          <w:p w14:paraId="41DD9A17">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995" w:type="dxa"/>
            <w:shd w:val="clear" w:color="auto" w:fill="auto"/>
            <w:vAlign w:val="center"/>
          </w:tcPr>
          <w:p w14:paraId="33D75ACB">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1121" w:type="dxa"/>
            <w:shd w:val="clear" w:color="auto" w:fill="auto"/>
            <w:vAlign w:val="center"/>
          </w:tcPr>
          <w:p w14:paraId="23FB83CA">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694" w:type="dxa"/>
            <w:shd w:val="clear" w:color="auto" w:fill="auto"/>
            <w:vAlign w:val="center"/>
          </w:tcPr>
          <w:p w14:paraId="497F5A0E">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局域网</w:t>
            </w:r>
          </w:p>
        </w:tc>
      </w:tr>
      <w:tr w14:paraId="6536E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641" w:type="dxa"/>
            <w:shd w:val="clear" w:color="auto" w:fill="auto"/>
            <w:noWrap/>
            <w:vAlign w:val="center"/>
          </w:tcPr>
          <w:p w14:paraId="38A921A8">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432" w:type="dxa"/>
            <w:shd w:val="clear" w:color="auto" w:fill="auto"/>
            <w:noWrap/>
            <w:vAlign w:val="center"/>
          </w:tcPr>
          <w:p w14:paraId="39F3C249">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vAlign w:val="center"/>
          </w:tcPr>
          <w:p w14:paraId="338DC404">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局域网POE接入交换机</w:t>
            </w:r>
          </w:p>
        </w:tc>
        <w:tc>
          <w:tcPr>
            <w:tcW w:w="8560" w:type="dxa"/>
            <w:shd w:val="clear" w:color="auto" w:fill="auto"/>
            <w:vAlign w:val="center"/>
          </w:tcPr>
          <w:p w14:paraId="740C4BB9">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1、交换容量≥672Gbps，包转发率≥170Mpps，支持POE+功能，POE功率≥380W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2、≥24个千兆电口，≥4个万兆光口，≥2个千兆单模光模块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3、包含3年原厂质保服务</w:t>
            </w:r>
          </w:p>
        </w:tc>
        <w:tc>
          <w:tcPr>
            <w:tcW w:w="869" w:type="dxa"/>
            <w:shd w:val="clear" w:color="auto" w:fill="auto"/>
            <w:vAlign w:val="center"/>
          </w:tcPr>
          <w:p w14:paraId="3855B7AF">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726" w:type="dxa"/>
            <w:shd w:val="clear" w:color="auto" w:fill="auto"/>
            <w:vAlign w:val="center"/>
          </w:tcPr>
          <w:p w14:paraId="71D0103A">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995" w:type="dxa"/>
            <w:shd w:val="clear" w:color="auto" w:fill="auto"/>
            <w:vAlign w:val="center"/>
          </w:tcPr>
          <w:p w14:paraId="3F953F99">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1121" w:type="dxa"/>
            <w:shd w:val="clear" w:color="auto" w:fill="auto"/>
            <w:vAlign w:val="center"/>
          </w:tcPr>
          <w:p w14:paraId="425BA57F">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694" w:type="dxa"/>
            <w:shd w:val="clear" w:color="auto" w:fill="auto"/>
            <w:vAlign w:val="center"/>
          </w:tcPr>
          <w:p w14:paraId="2F642881">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局域网</w:t>
            </w:r>
          </w:p>
        </w:tc>
      </w:tr>
      <w:tr w14:paraId="6C671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41" w:type="dxa"/>
            <w:shd w:val="clear" w:color="auto" w:fill="auto"/>
            <w:noWrap/>
            <w:vAlign w:val="center"/>
          </w:tcPr>
          <w:p w14:paraId="0EF971C9">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432" w:type="dxa"/>
            <w:shd w:val="clear" w:color="auto" w:fill="auto"/>
            <w:noWrap/>
            <w:vAlign w:val="center"/>
          </w:tcPr>
          <w:p w14:paraId="1326C7E4">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0133" w:type="dxa"/>
            <w:gridSpan w:val="2"/>
            <w:shd w:val="clear" w:color="auto" w:fill="auto"/>
            <w:vAlign w:val="center"/>
          </w:tcPr>
          <w:p w14:paraId="0ABEC169">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小计2：元</w:t>
            </w:r>
          </w:p>
        </w:tc>
        <w:tc>
          <w:tcPr>
            <w:tcW w:w="869" w:type="dxa"/>
            <w:shd w:val="clear" w:color="auto" w:fill="auto"/>
            <w:vAlign w:val="center"/>
          </w:tcPr>
          <w:p w14:paraId="5EDAFD1B">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726" w:type="dxa"/>
            <w:shd w:val="clear" w:color="auto" w:fill="auto"/>
            <w:noWrap/>
            <w:vAlign w:val="center"/>
          </w:tcPr>
          <w:p w14:paraId="60EAF290">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995" w:type="dxa"/>
            <w:shd w:val="clear" w:color="auto" w:fill="auto"/>
            <w:noWrap/>
            <w:vAlign w:val="center"/>
          </w:tcPr>
          <w:p w14:paraId="599FC5E1">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121" w:type="dxa"/>
            <w:shd w:val="clear" w:color="auto" w:fill="auto"/>
            <w:noWrap/>
            <w:vAlign w:val="center"/>
          </w:tcPr>
          <w:p w14:paraId="1D2DD2A6">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694" w:type="dxa"/>
            <w:shd w:val="clear" w:color="auto" w:fill="auto"/>
            <w:vAlign w:val="center"/>
          </w:tcPr>
          <w:p w14:paraId="6DE81715">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r>
      <w:tr w14:paraId="65F52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1206" w:type="dxa"/>
            <w:gridSpan w:val="4"/>
            <w:shd w:val="clear" w:color="auto" w:fill="auto"/>
            <w:vAlign w:val="center"/>
          </w:tcPr>
          <w:p w14:paraId="20C27179">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（二）安全等保</w:t>
            </w:r>
          </w:p>
        </w:tc>
        <w:tc>
          <w:tcPr>
            <w:tcW w:w="869" w:type="dxa"/>
            <w:shd w:val="clear" w:color="auto" w:fill="auto"/>
            <w:noWrap/>
            <w:vAlign w:val="center"/>
          </w:tcPr>
          <w:p w14:paraId="5253C471">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721" w:type="dxa"/>
            <w:gridSpan w:val="2"/>
            <w:shd w:val="clear" w:color="auto" w:fill="auto"/>
            <w:noWrap/>
            <w:vAlign w:val="center"/>
          </w:tcPr>
          <w:p w14:paraId="5C43FB99">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815" w:type="dxa"/>
            <w:gridSpan w:val="2"/>
            <w:shd w:val="clear" w:color="auto" w:fill="auto"/>
            <w:noWrap/>
            <w:vAlign w:val="center"/>
          </w:tcPr>
          <w:p w14:paraId="67FE672A">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r>
      <w:tr w14:paraId="13C2A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0" w:hRule="atLeast"/>
        </w:trPr>
        <w:tc>
          <w:tcPr>
            <w:tcW w:w="641" w:type="dxa"/>
            <w:shd w:val="clear" w:color="auto" w:fill="auto"/>
            <w:noWrap/>
            <w:vAlign w:val="center"/>
          </w:tcPr>
          <w:p w14:paraId="096FAFF9">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432" w:type="dxa"/>
            <w:shd w:val="clear" w:color="auto" w:fill="auto"/>
            <w:noWrap/>
            <w:vAlign w:val="center"/>
          </w:tcPr>
          <w:p w14:paraId="6A7D28AE">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vAlign w:val="center"/>
          </w:tcPr>
          <w:p w14:paraId="79A79D0F">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漏洞扫描</w:t>
            </w:r>
          </w:p>
        </w:tc>
        <w:tc>
          <w:tcPr>
            <w:tcW w:w="8560" w:type="dxa"/>
            <w:shd w:val="clear" w:color="auto" w:fill="auto"/>
            <w:vAlign w:val="center"/>
          </w:tcPr>
          <w:p w14:paraId="72D145D0">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▲1、2U标准设备，国产化芯片，国产化操作系统，具备≥8个千兆电口，≥4个千兆光口（带4个千兆多模光模块）和≥4个万兆光口（带2个万兆多模光模块），内存≥32GB，数据盘≥4T SATA硬盘，冗余电源，≥4个扩展槽位。默认含≥3年特征库升级服务。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2、配置无限制IP扫描授权，并发扫描≥8个系统扫描任务，并发扫描≥120个IP地址；支持无限制Web域名扫描，支持并发扫描≥10个web扫描任务，支持并发扫描≥10个Web站点。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3、含36个月硬件维保。</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4、支持对扫描任务进行克隆、查询、导出、删除、查看等操作，支持断点续扫功能。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5、支持快速扫描任务，使用系统默认参数，快速下发任务，支持全量扫描任务，提供多种扫描参数自定义。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6、产品漏洞库应涵盖目前的安全漏洞和攻击特征，漏洞库具备至少CVE、CNCVE、CNVD、BUGTRAQ、CNNVD、 CVSS等信息。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7、支持扫描主流操作系统、Web服务器、数据库、网络主机、移动设备、应用及软件的安全漏洞。</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8、支持扫描虚拟机安全漏洞，如VMWare、EXSI、KVM、XEN、XenServer、HyperV、Openstack、FusionSphere，可扫描漏洞数量大于5700条。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9、支持扫描系统漏洞数量大于400000种，数据库大于3300种，国产化漏洞大于55000种，云计算平台漏洞大于5700种，大数据组件漏洞大于430种，Web漏洞数量大于7400种。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10、支持网络打印机、摄像头、移动终端等设备的漏洞发现。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11、主机存活探测支持ARP ping、ICMP ping、TCP ping、UDP ping、TCP SYN、TCP ACK等多种方式。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12、支持密码字典模板管理，能够按照用户名、密码以及用户名&amp;密码组合等不同类别的字典。</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13、支持创建漏洞验证任务，核查漏洞修复情况。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14、支持添加组织节点，支持自定义组织节点名称、组织节点IP范围、管理员、管理员邮箱等信息。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15、支持资产自动发现，快速发现组织节点范围内的资产信息。</w:t>
            </w:r>
          </w:p>
        </w:tc>
        <w:tc>
          <w:tcPr>
            <w:tcW w:w="869" w:type="dxa"/>
            <w:shd w:val="clear" w:color="auto" w:fill="auto"/>
            <w:noWrap/>
            <w:vAlign w:val="center"/>
          </w:tcPr>
          <w:p w14:paraId="428C6FD9">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726" w:type="dxa"/>
            <w:shd w:val="clear" w:color="auto" w:fill="auto"/>
            <w:vAlign w:val="center"/>
          </w:tcPr>
          <w:p w14:paraId="26E49F22">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95" w:type="dxa"/>
            <w:shd w:val="clear" w:color="auto" w:fill="auto"/>
            <w:vAlign w:val="center"/>
          </w:tcPr>
          <w:p w14:paraId="6476D87A">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1121" w:type="dxa"/>
            <w:shd w:val="clear" w:color="auto" w:fill="auto"/>
            <w:vAlign w:val="center"/>
          </w:tcPr>
          <w:p w14:paraId="45644F6B">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694" w:type="dxa"/>
            <w:shd w:val="clear" w:color="auto" w:fill="auto"/>
            <w:vAlign w:val="center"/>
          </w:tcPr>
          <w:p w14:paraId="07090EFC">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局域网</w:t>
            </w:r>
          </w:p>
        </w:tc>
      </w:tr>
      <w:tr w14:paraId="15531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960" w:hRule="atLeast"/>
        </w:trPr>
        <w:tc>
          <w:tcPr>
            <w:tcW w:w="641" w:type="dxa"/>
            <w:shd w:val="clear" w:color="auto" w:fill="auto"/>
            <w:noWrap/>
            <w:vAlign w:val="center"/>
          </w:tcPr>
          <w:p w14:paraId="17C85ECD">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432" w:type="dxa"/>
            <w:shd w:val="clear" w:color="auto" w:fill="auto"/>
            <w:noWrap/>
            <w:vAlign w:val="center"/>
          </w:tcPr>
          <w:p w14:paraId="1FB8A9B3">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vAlign w:val="center"/>
          </w:tcPr>
          <w:p w14:paraId="02405668">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行为审计</w:t>
            </w:r>
          </w:p>
        </w:tc>
        <w:tc>
          <w:tcPr>
            <w:tcW w:w="8560" w:type="dxa"/>
            <w:shd w:val="clear" w:color="auto" w:fill="auto"/>
            <w:vAlign w:val="center"/>
          </w:tcPr>
          <w:p w14:paraId="322AA1B4">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U标准设备，国产化芯片，国产化操作系统，内存≥32G，日志存储硬盘≥4T，具备≥8个千兆电口，≥4个千兆光口插槽，支持≥3对电口Bypass,双电源，≥4个扩展槽位，包含≥3年系统版本升级、URL库及应用特征库升级许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2、带宽性能≥1G，应用层吞吐≥5G，网络吞吐量≥15G，最大并发连接数≥340W，新建连接数≥10W，推荐用户数≥5000人。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3、含36个月硬件维保。</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4、支持路由模式，旁路模式、网桥模式、混合模式部署；切换部署模式无需重启，不影响设备正常使用。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5、支持ISP自动地址表（电信、移动、网通、铁通等）的策略路由的选路方式。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6、能够提供一小时内cpu使用率、内存使用率、活跃会话数、在线认证用户数以及最新的磁盘占用情况。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7、支持移动终端发现后拒绝移动终端接入并支持启用事件告警。支持移动终端列表添加信任列表。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8、支持按照单位架构创建用户组、用户、支持多层组和用户，分组能继承父组策略，用户能继承组的策略。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9、支持认证用户首次登陆修改密码，支持自定义密码复杂度（包括长度、英文字母、数字、特殊字符的多种组合方式），另外支持密码有效期。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10、支持url白名单，添加到白名单的url不受策略控制和审计，可设置完全放通（不审计，不控制），或者审计但是不统计和控制流量。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11、支持通过snmp服务读取下层三层设备的arp表象获取客户真实的mac地址。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12、支持临时账号自动申请功能，方便外来的临时用户使用。支持自动审核和管理员手动审核的核定方法将临时帐户加入到组织结构中。支12、持网页发送和邮件方式通知临时用户账号和密码。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13、支持https网站识别，支持加密网站搜索，支持ssl论坛加密发帖内容识别，支持基于关键字的控制。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14、支持基于用户、协议、应用、url、文件类型的带宽保障行为，可以通过队列实现重要业务优先转发。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15、支持非法网站、违规帖子、ftp上传、网页上传、违规邮件以及匹配潜在威胁的记录。</w:t>
            </w:r>
          </w:p>
        </w:tc>
        <w:tc>
          <w:tcPr>
            <w:tcW w:w="869" w:type="dxa"/>
            <w:shd w:val="clear" w:color="auto" w:fill="auto"/>
            <w:noWrap/>
            <w:vAlign w:val="center"/>
          </w:tcPr>
          <w:p w14:paraId="377BF66B">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726" w:type="dxa"/>
            <w:shd w:val="clear" w:color="auto" w:fill="auto"/>
            <w:vAlign w:val="center"/>
          </w:tcPr>
          <w:p w14:paraId="24A3685F">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95" w:type="dxa"/>
            <w:shd w:val="clear" w:color="auto" w:fill="auto"/>
            <w:vAlign w:val="center"/>
          </w:tcPr>
          <w:p w14:paraId="6DCB6230">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1121" w:type="dxa"/>
            <w:shd w:val="clear" w:color="auto" w:fill="auto"/>
            <w:vAlign w:val="center"/>
          </w:tcPr>
          <w:p w14:paraId="5D67A52D">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694" w:type="dxa"/>
            <w:shd w:val="clear" w:color="auto" w:fill="auto"/>
            <w:noWrap/>
            <w:vAlign w:val="center"/>
          </w:tcPr>
          <w:p w14:paraId="1CC15FC7">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局域网</w:t>
            </w:r>
          </w:p>
        </w:tc>
      </w:tr>
      <w:tr w14:paraId="1A68D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0" w:hRule="atLeast"/>
        </w:trPr>
        <w:tc>
          <w:tcPr>
            <w:tcW w:w="641" w:type="dxa"/>
            <w:shd w:val="clear" w:color="auto" w:fill="auto"/>
            <w:noWrap/>
            <w:vAlign w:val="center"/>
          </w:tcPr>
          <w:p w14:paraId="7C7B01B5">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432" w:type="dxa"/>
            <w:shd w:val="clear" w:color="auto" w:fill="auto"/>
            <w:noWrap/>
            <w:vAlign w:val="center"/>
          </w:tcPr>
          <w:p w14:paraId="6B4A024C">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vAlign w:val="center"/>
          </w:tcPr>
          <w:p w14:paraId="72E2B568">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数据库审计</w:t>
            </w:r>
          </w:p>
        </w:tc>
        <w:tc>
          <w:tcPr>
            <w:tcW w:w="8560" w:type="dxa"/>
            <w:shd w:val="clear" w:color="auto" w:fill="auto"/>
            <w:vAlign w:val="center"/>
          </w:tcPr>
          <w:p w14:paraId="7E773E6C">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U标准设备，国产化芯片，国产化操作系统，内存≥32G，硬盘≥4T，具备≥6个千兆电口（1个管理，1个HA），≥4个千兆光口（配置4个千兆多模光模块）≥，4个万兆口（配置2个万兆多模光模块），≥2个8TB硬盘，冗余电源，≥8个扩展槽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2、可审计≥8类数据库，具体实例数不受限制。记录事件能力≥10W条/秒，最大吞吐量≥6000Mbps。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3、含36个月硬件维保。</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4、支持国内外40余种主流数据库协议，包括国产化/非国产化的关系型数据库、非关系型数据库等。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5、支持HTTP、Telnet、FTP、Rlogin的解析。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6、内置默认控制规则，包括用户登录、低中高风险操作、数据库DML、DCL、DDL等操作语句等规则定义，方便用户引用和制定控制规则。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7、支持数据库请求和返回的双向审计，特别是SQL返回结果集、SQL语句响应时间、连接时长、表影响的字段、影响行数等内容。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8、支持展示加入管理数据库的数据库名、数据库类型、数据库IP端口、发现日期、今日会话数、今日事件数等。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9、支持展示指定监控实例中告警数量最多的报警级别、账号信息，以及操作失败次数最多的账号信息。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10、支持查看会话回放，支持倍速回放，至少包括2倍速、3倍速、4倍速等，完整还原数据库操作情况。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11、以图的形式展示指定数据库类型和数据库实例的源IP（Top10）对应的SQL错误数。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12、支持用户数据库中敏感信息的自动发现和手动添加，可定位敏感数据所在数据库名、实例名、表名、列名，并形成针对敏感信息的检测规则。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13、支持数据库漏洞扫描功能，可添加目标数据库，进行漏洞扫描，支持查看扫描结果。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14、支持通过声光、邮件、短信、企业微信等方式对审计日志、系统日志进行告警通知。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15、支持系统本身主要运行功能服务模块的运行状态巡检，保证系统安全稳定运行。</w:t>
            </w:r>
          </w:p>
        </w:tc>
        <w:tc>
          <w:tcPr>
            <w:tcW w:w="869" w:type="dxa"/>
            <w:shd w:val="clear" w:color="auto" w:fill="auto"/>
            <w:noWrap/>
            <w:vAlign w:val="center"/>
          </w:tcPr>
          <w:p w14:paraId="7C6AF571">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726" w:type="dxa"/>
            <w:shd w:val="clear" w:color="auto" w:fill="auto"/>
            <w:vAlign w:val="center"/>
          </w:tcPr>
          <w:p w14:paraId="1BC0CB7D">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95" w:type="dxa"/>
            <w:shd w:val="clear" w:color="auto" w:fill="auto"/>
            <w:vAlign w:val="center"/>
          </w:tcPr>
          <w:p w14:paraId="3A1A5CF5">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1121" w:type="dxa"/>
            <w:shd w:val="clear" w:color="auto" w:fill="auto"/>
            <w:vAlign w:val="center"/>
          </w:tcPr>
          <w:p w14:paraId="38F3AD86">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694" w:type="dxa"/>
            <w:shd w:val="clear" w:color="auto" w:fill="auto"/>
            <w:noWrap/>
            <w:vAlign w:val="center"/>
          </w:tcPr>
          <w:p w14:paraId="432EEAD3">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局域网</w:t>
            </w:r>
          </w:p>
        </w:tc>
      </w:tr>
      <w:tr w14:paraId="0AFBE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80" w:hRule="atLeast"/>
        </w:trPr>
        <w:tc>
          <w:tcPr>
            <w:tcW w:w="641" w:type="dxa"/>
            <w:shd w:val="clear" w:color="auto" w:fill="auto"/>
            <w:noWrap/>
            <w:vAlign w:val="center"/>
          </w:tcPr>
          <w:p w14:paraId="7792C2B5">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432" w:type="dxa"/>
            <w:shd w:val="clear" w:color="auto" w:fill="auto"/>
            <w:noWrap/>
            <w:vAlign w:val="center"/>
          </w:tcPr>
          <w:p w14:paraId="400CD305">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vAlign w:val="center"/>
          </w:tcPr>
          <w:p w14:paraId="671EF095">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日志审计</w:t>
            </w:r>
          </w:p>
        </w:tc>
        <w:tc>
          <w:tcPr>
            <w:tcW w:w="8560" w:type="dxa"/>
            <w:shd w:val="clear" w:color="auto" w:fill="auto"/>
            <w:vAlign w:val="center"/>
          </w:tcPr>
          <w:p w14:paraId="3B0E46F0">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1、2U标准设备，国产化芯片，国产化操作系统，具备≥8个千兆电口，≥4个千兆光插槽，≥4个万兆光插槽，冗余电源，内存≥32G，数据盘≥4T。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2、日志采集处理均值≥5000EPS。默认包含≥100日志源。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3、含36个月硬件维保。</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4、支持安全设备、网络设备、中间件、服务器、数据库、操作系统、业务系统等日志数据采集。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5、支持Syslog、SNMP Trap、Netflow、JDBC、WMI、FTP、SFTP、SCP、文件等方式进行数据采集；支持通过Agent采集日志数据。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6、支持对所管理设备的日志原始数据完整存储，支持数据本地集中存储。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7、支持日志备份功能，支持本地备份和FTP备份方式，支持自动备份和手动备份。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8、支持实时日志查询，支持历史备份文件导入查询。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9、内置系统运行相关告警规则，包括检测到新日志源、节点掉线、主动日志源长期不外发日志、存储上限告警、主机认证失败等，可启用/禁用规则。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10、支持手动添加日志源，管理员可以对日志源进行查看、批量修改、添加、编辑、删除以及启\禁用的操作。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11、支持日志源在线状态监测告警，实时监测日志源的可用性，可显示每个日志源采集日志的最近时间，实时展示每个日志源最近一天日志趋势变化。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12、系统内置安全知识库，支持自定义增加安全知识内容，可在关联分析规则中关联知识。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13、系统内置多种维度的数据在线分析模型，在数据查询结果界面直接对查询结果数据进行多维度在线数据分析，分析结果实时展示，分析模型包括但不限于树图、关系图、折线图、时序图、柱状图等。</w:t>
            </w:r>
          </w:p>
        </w:tc>
        <w:tc>
          <w:tcPr>
            <w:tcW w:w="869" w:type="dxa"/>
            <w:shd w:val="clear" w:color="auto" w:fill="auto"/>
            <w:noWrap/>
            <w:vAlign w:val="center"/>
          </w:tcPr>
          <w:p w14:paraId="4E326B25">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726" w:type="dxa"/>
            <w:shd w:val="clear" w:color="auto" w:fill="auto"/>
            <w:vAlign w:val="center"/>
          </w:tcPr>
          <w:p w14:paraId="0D583367">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95" w:type="dxa"/>
            <w:shd w:val="clear" w:color="auto" w:fill="auto"/>
            <w:vAlign w:val="center"/>
          </w:tcPr>
          <w:p w14:paraId="51C06B3D">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1121" w:type="dxa"/>
            <w:shd w:val="clear" w:color="auto" w:fill="auto"/>
            <w:vAlign w:val="center"/>
          </w:tcPr>
          <w:p w14:paraId="12D4A12D">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694" w:type="dxa"/>
            <w:shd w:val="clear" w:color="auto" w:fill="auto"/>
            <w:noWrap/>
            <w:vAlign w:val="center"/>
          </w:tcPr>
          <w:p w14:paraId="5E8386F4">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局域网</w:t>
            </w:r>
          </w:p>
        </w:tc>
      </w:tr>
      <w:tr w14:paraId="74C23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720" w:hRule="atLeast"/>
        </w:trPr>
        <w:tc>
          <w:tcPr>
            <w:tcW w:w="641" w:type="dxa"/>
            <w:shd w:val="clear" w:color="auto" w:fill="auto"/>
            <w:noWrap/>
            <w:vAlign w:val="center"/>
          </w:tcPr>
          <w:p w14:paraId="765BA20B">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432" w:type="dxa"/>
            <w:shd w:val="clear" w:color="auto" w:fill="auto"/>
            <w:noWrap/>
            <w:vAlign w:val="center"/>
          </w:tcPr>
          <w:p w14:paraId="1669BA99">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vAlign w:val="center"/>
          </w:tcPr>
          <w:p w14:paraId="09DBC018">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堡垒机</w:t>
            </w:r>
          </w:p>
        </w:tc>
        <w:tc>
          <w:tcPr>
            <w:tcW w:w="8560" w:type="dxa"/>
            <w:shd w:val="clear" w:color="auto" w:fill="auto"/>
            <w:vAlign w:val="center"/>
          </w:tcPr>
          <w:p w14:paraId="5513FE8F">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U标准设备，国产化芯片，国产化操作系统，具备≥6个千兆电口，≥4个千兆光口（已含4个千兆多模光模块），≥4个万兆光口（已含2个万兆多模光模块），内存≥64G，数据盘≥2*8T，冗余电源，≥8个扩展槽位，含≥3年软件升级许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2、含≥400个主机/设备许可。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3、含36个月硬件维保。</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4、支持用户的增删改查、锁定、解锁、清空等操作，对用户进行全生命周期管理。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5、支持系统管理员、保密管理员、密码管理员、安全审计员、保密员、运维管理员、操作员七种角色；同时也可按需分配角色权限，权限间相互制约。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6、认证方式支持OTP动态口令认证、短信认证、数字证书认证、USB-KEY认证等多因素认证方式。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7、支持资产批量修改属性：部门，网络，资产类型、资产型号、备注、ip、名称等信息。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8、自动对Linux、Windows、安全设备、数据库等资产进行账号改密，改密支持手动和定期自动改密。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9、通过IP网段扫描，快速发现指定IP地址范围内的资产，并自动识别IP和端口，方便管理员快速添加资产。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10、密码口令变更方式支持手动指定固定口令、依照密码规则生成随机口令，包括随机相同密码，随机不同密码。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11、支持密码信封功能；支持自动改密前备份密码，密码以密码信封形式存在，且可外发。可进行密码邮件、FTP加密外发，支持密码信封的下载和上传。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12、支持常见运维标准协议：SSH、TELNET、RDP、VNC、FTP、SFTP、SCP，可通过应用发布的方式进行协议扩展，如浏览器、数据库、C/S客户端工具等。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13、支持按照用户、用户组、账号、账号组、资产组进行一对一、一对多、多对一、多对多授权。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14、支持会话、指令（支持正则表达式）、剪切板上下行、文件上传下载、新建删除重命名文件/目录的约束行为，包括：放行、审批、阻断和告警。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15、支持对用户和管理员的认证登录、操作和配置管理进行日志记录，支持查看系统日志详情。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16、支持RDP图形操作过程中键盘输入操作记录、剪贴板和鼠标点击行为记录。</w:t>
            </w:r>
          </w:p>
        </w:tc>
        <w:tc>
          <w:tcPr>
            <w:tcW w:w="869" w:type="dxa"/>
            <w:shd w:val="clear" w:color="auto" w:fill="auto"/>
            <w:noWrap/>
            <w:vAlign w:val="center"/>
          </w:tcPr>
          <w:p w14:paraId="30F9ABF6">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726" w:type="dxa"/>
            <w:shd w:val="clear" w:color="auto" w:fill="auto"/>
            <w:vAlign w:val="center"/>
          </w:tcPr>
          <w:p w14:paraId="7AD83FC0">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95" w:type="dxa"/>
            <w:shd w:val="clear" w:color="auto" w:fill="auto"/>
            <w:vAlign w:val="center"/>
          </w:tcPr>
          <w:p w14:paraId="54E3865C">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1121" w:type="dxa"/>
            <w:shd w:val="clear" w:color="auto" w:fill="auto"/>
            <w:vAlign w:val="center"/>
          </w:tcPr>
          <w:p w14:paraId="35C7CA0B">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694" w:type="dxa"/>
            <w:shd w:val="clear" w:color="auto" w:fill="auto"/>
            <w:noWrap/>
            <w:vAlign w:val="center"/>
          </w:tcPr>
          <w:p w14:paraId="723122D1">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局域网</w:t>
            </w:r>
          </w:p>
        </w:tc>
      </w:tr>
      <w:tr w14:paraId="40827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0" w:hRule="atLeast"/>
        </w:trPr>
        <w:tc>
          <w:tcPr>
            <w:tcW w:w="641" w:type="dxa"/>
            <w:shd w:val="clear" w:color="auto" w:fill="auto"/>
            <w:noWrap/>
            <w:vAlign w:val="center"/>
          </w:tcPr>
          <w:p w14:paraId="592BEBF4">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432" w:type="dxa"/>
            <w:shd w:val="clear" w:color="auto" w:fill="auto"/>
            <w:noWrap/>
            <w:vAlign w:val="center"/>
          </w:tcPr>
          <w:p w14:paraId="648EEEFA">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vAlign w:val="center"/>
          </w:tcPr>
          <w:p w14:paraId="264826A7">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终端安全</w:t>
            </w:r>
          </w:p>
        </w:tc>
        <w:tc>
          <w:tcPr>
            <w:tcW w:w="8560" w:type="dxa"/>
            <w:shd w:val="clear" w:color="auto" w:fill="auto"/>
            <w:vAlign w:val="center"/>
          </w:tcPr>
          <w:p w14:paraId="03C58AE3">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网络版管理端软件，支持通过管理中心对安装杀毒客户端的主机进行集中管理，具备病毒检测、病毒处理、策略自定义、隔离区管理、告警信息、日志、升级更新、统一管理等功能。支持飞腾、龙芯、鲲鹏、兆芯等硬件平台和银河麒麟、中标麒麟、中科方德、统信等操作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2、包含≥20个服务器端授权、≥100个终端授权，含≥3年升级服务。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管理中心支持实时显示客户端的状态及终端基本信息，包括客户端连接状态、服务状态、终端机器名称、客户端版本、病毒库版本、IP地址、MAC地址、操作系统版本、主板信息、显卡信息、内存大小和物理位置等信息，并支持终端信息导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4、支持配置在线终端状态异常告警、终端离线告警，及时掌握终端连接状态。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即时/定时实现客户端病毒查杀，支持下发关机、重启、升级、病毒查杀、重新连接、显示消息、文件分发设置等操作，并对以上操作配置详情，客户端执行情况跟踪，实现管理中心对客户端的任务状况监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6、支持文件分发功能，通过管理中心对终端进行统一的文件分发。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7、支持客户端主程序、病毒库的灰度升级，可以按照部门、标签、终端维度进行灰度升级验证，设置不同终端类型设置和观察时长，确保程序无误后再全局升级。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8、支持通过PING、ARP、NMAP方式扫描，及时发现尚未纳入管控的终端，支持以IP地址池方式展示终端的终端在线、离线、安装情况。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9、支持终端防卸载、防退出功能，管理员能够统一设置防卸载密码，防止终端用户随意脱离保护。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10、支持病毒自动隔离备份功能，能自动将病毒文件隔离到本地隔离区，同时支持从客户端恢复隔离文件。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11、支持对压缩文件内的恶意文件扫描，包括但不限于对Arj、bzip2、Lzh、Tar、Zip、Rar4等压缩文件格式类型查杀防护。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12、支持对客户端与管理中心通信信息进行统计，包括请求升级、请求上线、请求升级病毒库等，管理员可通过日志筛选查询终端日志，以方便及时了解终端运行状况。</w:t>
            </w:r>
          </w:p>
        </w:tc>
        <w:tc>
          <w:tcPr>
            <w:tcW w:w="869" w:type="dxa"/>
            <w:shd w:val="clear" w:color="auto" w:fill="auto"/>
            <w:noWrap/>
            <w:vAlign w:val="center"/>
          </w:tcPr>
          <w:p w14:paraId="3D3941EA">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726" w:type="dxa"/>
            <w:shd w:val="clear" w:color="auto" w:fill="auto"/>
            <w:vAlign w:val="center"/>
          </w:tcPr>
          <w:p w14:paraId="19156431">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95" w:type="dxa"/>
            <w:shd w:val="clear" w:color="auto" w:fill="auto"/>
            <w:vAlign w:val="center"/>
          </w:tcPr>
          <w:p w14:paraId="1969CD6B">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1121" w:type="dxa"/>
            <w:shd w:val="clear" w:color="auto" w:fill="auto"/>
            <w:vAlign w:val="center"/>
          </w:tcPr>
          <w:p w14:paraId="3299585B">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694" w:type="dxa"/>
            <w:shd w:val="clear" w:color="auto" w:fill="auto"/>
            <w:noWrap/>
            <w:vAlign w:val="center"/>
          </w:tcPr>
          <w:p w14:paraId="3E70C932">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局域网</w:t>
            </w:r>
          </w:p>
        </w:tc>
      </w:tr>
      <w:tr w14:paraId="02E07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641" w:type="dxa"/>
            <w:shd w:val="clear" w:color="auto" w:fill="auto"/>
            <w:noWrap/>
            <w:vAlign w:val="center"/>
          </w:tcPr>
          <w:p w14:paraId="58703CBF">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7</w:t>
            </w:r>
          </w:p>
        </w:tc>
        <w:tc>
          <w:tcPr>
            <w:tcW w:w="432" w:type="dxa"/>
            <w:shd w:val="clear" w:color="auto" w:fill="auto"/>
            <w:noWrap/>
            <w:vAlign w:val="center"/>
          </w:tcPr>
          <w:p w14:paraId="1E84F19A">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vAlign w:val="center"/>
          </w:tcPr>
          <w:p w14:paraId="3AC00BA3">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其他</w:t>
            </w:r>
          </w:p>
        </w:tc>
        <w:tc>
          <w:tcPr>
            <w:tcW w:w="8560" w:type="dxa"/>
            <w:shd w:val="clear" w:color="auto" w:fill="auto"/>
            <w:vAlign w:val="center"/>
          </w:tcPr>
          <w:p w14:paraId="018CA4C5">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bookmarkStart w:id="0" w:name="_GoBack"/>
            <w:bookmarkEnd w:id="0"/>
            <w:r>
              <w:rPr>
                <w:rFonts w:hint="eastAsia" w:ascii="宋体" w:hAnsi="宋体" w:eastAsia="宋体" w:cs="宋体"/>
                <w:b w:val="0"/>
                <w:bCs w:val="0"/>
                <w:i w:val="0"/>
                <w:iCs w:val="0"/>
                <w:color w:val="000000"/>
                <w:kern w:val="0"/>
                <w:sz w:val="20"/>
                <w:szCs w:val="20"/>
                <w:u w:val="none"/>
                <w:lang w:val="en-US" w:eastAsia="zh-CN" w:bidi="ar"/>
              </w:rPr>
              <w:t>所投标的设施设备与现有设备兼容并提供承诺函</w:t>
            </w:r>
          </w:p>
        </w:tc>
        <w:tc>
          <w:tcPr>
            <w:tcW w:w="869" w:type="dxa"/>
            <w:shd w:val="clear" w:color="auto" w:fill="auto"/>
            <w:noWrap/>
            <w:vAlign w:val="center"/>
          </w:tcPr>
          <w:p w14:paraId="63B01E99">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20"/>
                <w:szCs w:val="20"/>
                <w:u w:val="none"/>
                <w:lang w:val="en-US" w:eastAsia="zh-CN" w:bidi="ar"/>
              </w:rPr>
            </w:pPr>
          </w:p>
        </w:tc>
        <w:tc>
          <w:tcPr>
            <w:tcW w:w="726" w:type="dxa"/>
            <w:shd w:val="clear" w:color="auto" w:fill="auto"/>
            <w:vAlign w:val="center"/>
          </w:tcPr>
          <w:p w14:paraId="7EF368FD">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20"/>
                <w:szCs w:val="20"/>
                <w:u w:val="none"/>
                <w:lang w:val="en-US" w:eastAsia="zh-CN" w:bidi="ar"/>
              </w:rPr>
            </w:pPr>
          </w:p>
        </w:tc>
        <w:tc>
          <w:tcPr>
            <w:tcW w:w="995" w:type="dxa"/>
            <w:shd w:val="clear" w:color="auto" w:fill="auto"/>
            <w:vAlign w:val="center"/>
          </w:tcPr>
          <w:p w14:paraId="59F915FC">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1121" w:type="dxa"/>
            <w:shd w:val="clear" w:color="auto" w:fill="auto"/>
            <w:vAlign w:val="center"/>
          </w:tcPr>
          <w:p w14:paraId="5B1C8CF2">
            <w:pPr>
              <w:keepNext w:val="0"/>
              <w:keepLines w:val="0"/>
              <w:widowControl/>
              <w:suppressLineNumbers w:val="0"/>
              <w:jc w:val="right"/>
              <w:textAlignment w:val="center"/>
              <w:rPr>
                <w:rFonts w:hint="eastAsia" w:ascii="宋体" w:hAnsi="宋体" w:eastAsia="宋体" w:cs="宋体"/>
                <w:i w:val="0"/>
                <w:iCs w:val="0"/>
                <w:color w:val="000000"/>
                <w:kern w:val="2"/>
                <w:sz w:val="16"/>
                <w:szCs w:val="16"/>
                <w:u w:val="none"/>
                <w:lang w:val="en-US" w:eastAsia="zh-CN" w:bidi="ar-SA"/>
              </w:rPr>
            </w:pPr>
          </w:p>
        </w:tc>
        <w:tc>
          <w:tcPr>
            <w:tcW w:w="694" w:type="dxa"/>
            <w:shd w:val="clear" w:color="auto" w:fill="auto"/>
            <w:noWrap/>
            <w:vAlign w:val="center"/>
          </w:tcPr>
          <w:p w14:paraId="119670C0">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20"/>
                <w:szCs w:val="20"/>
                <w:u w:val="none"/>
                <w:lang w:val="en-US" w:eastAsia="zh-CN" w:bidi="ar"/>
              </w:rPr>
            </w:pPr>
          </w:p>
        </w:tc>
      </w:tr>
      <w:tr w14:paraId="4E78A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41" w:type="dxa"/>
            <w:shd w:val="clear" w:color="auto" w:fill="auto"/>
            <w:noWrap/>
            <w:vAlign w:val="center"/>
          </w:tcPr>
          <w:p w14:paraId="41889934">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432" w:type="dxa"/>
            <w:shd w:val="clear" w:color="auto" w:fill="auto"/>
            <w:noWrap/>
            <w:vAlign w:val="center"/>
          </w:tcPr>
          <w:p w14:paraId="03CEF63B">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0133" w:type="dxa"/>
            <w:gridSpan w:val="2"/>
            <w:shd w:val="clear" w:color="auto" w:fill="auto"/>
            <w:vAlign w:val="center"/>
          </w:tcPr>
          <w:p w14:paraId="77EFB4E2">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小计3：元</w:t>
            </w:r>
          </w:p>
        </w:tc>
        <w:tc>
          <w:tcPr>
            <w:tcW w:w="869" w:type="dxa"/>
            <w:shd w:val="clear" w:color="auto" w:fill="auto"/>
            <w:noWrap/>
            <w:vAlign w:val="center"/>
          </w:tcPr>
          <w:p w14:paraId="31A6BCFF">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726" w:type="dxa"/>
            <w:shd w:val="clear" w:color="auto" w:fill="auto"/>
            <w:noWrap/>
            <w:vAlign w:val="center"/>
          </w:tcPr>
          <w:p w14:paraId="0A39628B">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995" w:type="dxa"/>
            <w:shd w:val="clear" w:color="auto" w:fill="auto"/>
            <w:noWrap/>
            <w:vAlign w:val="center"/>
          </w:tcPr>
          <w:p w14:paraId="69EF9A26">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121" w:type="dxa"/>
            <w:shd w:val="clear" w:color="auto" w:fill="auto"/>
            <w:noWrap/>
            <w:vAlign w:val="center"/>
          </w:tcPr>
          <w:p w14:paraId="742520F0">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694" w:type="dxa"/>
            <w:shd w:val="clear" w:color="auto" w:fill="auto"/>
            <w:noWrap/>
            <w:vAlign w:val="center"/>
          </w:tcPr>
          <w:p w14:paraId="57E63EF4">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r>
      <w:tr w14:paraId="5C01A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1206" w:type="dxa"/>
            <w:gridSpan w:val="4"/>
            <w:shd w:val="clear" w:color="auto" w:fill="auto"/>
            <w:vAlign w:val="center"/>
          </w:tcPr>
          <w:p w14:paraId="6C7AC163">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（三）专业技术认证</w:t>
            </w:r>
          </w:p>
        </w:tc>
        <w:tc>
          <w:tcPr>
            <w:tcW w:w="869" w:type="dxa"/>
            <w:shd w:val="clear" w:color="auto" w:fill="auto"/>
            <w:noWrap/>
            <w:vAlign w:val="center"/>
          </w:tcPr>
          <w:p w14:paraId="0708FE18">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721" w:type="dxa"/>
            <w:gridSpan w:val="2"/>
            <w:shd w:val="clear" w:color="auto" w:fill="auto"/>
            <w:noWrap/>
            <w:vAlign w:val="center"/>
          </w:tcPr>
          <w:p w14:paraId="73FFC396">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815" w:type="dxa"/>
            <w:gridSpan w:val="2"/>
            <w:shd w:val="clear" w:color="auto" w:fill="auto"/>
            <w:noWrap/>
            <w:vAlign w:val="center"/>
          </w:tcPr>
          <w:p w14:paraId="7DE1E17C">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r>
      <w:tr w14:paraId="2E99C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41" w:type="dxa"/>
            <w:shd w:val="clear" w:color="auto" w:fill="auto"/>
            <w:noWrap/>
            <w:vAlign w:val="center"/>
          </w:tcPr>
          <w:p w14:paraId="2A56E755">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432" w:type="dxa"/>
            <w:shd w:val="clear" w:color="auto" w:fill="auto"/>
            <w:noWrap/>
            <w:vAlign w:val="center"/>
          </w:tcPr>
          <w:p w14:paraId="63E09EBA">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vAlign w:val="center"/>
          </w:tcPr>
          <w:p w14:paraId="6DF87DFF">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专业资质认证费</w:t>
            </w:r>
          </w:p>
        </w:tc>
        <w:tc>
          <w:tcPr>
            <w:tcW w:w="8560" w:type="dxa"/>
            <w:shd w:val="clear" w:color="auto" w:fill="auto"/>
            <w:vAlign w:val="center"/>
          </w:tcPr>
          <w:p w14:paraId="72554062">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注册信息安全专业人员证书认证，包含培训、教材及考试</w:t>
            </w:r>
          </w:p>
        </w:tc>
        <w:tc>
          <w:tcPr>
            <w:tcW w:w="869" w:type="dxa"/>
            <w:shd w:val="clear" w:color="auto" w:fill="auto"/>
            <w:noWrap/>
            <w:vAlign w:val="center"/>
          </w:tcPr>
          <w:p w14:paraId="16EFCEA1">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w:t>
            </w:r>
          </w:p>
        </w:tc>
        <w:tc>
          <w:tcPr>
            <w:tcW w:w="726" w:type="dxa"/>
            <w:shd w:val="clear" w:color="auto" w:fill="auto"/>
            <w:vAlign w:val="center"/>
          </w:tcPr>
          <w:p w14:paraId="73402AD2">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995" w:type="dxa"/>
            <w:shd w:val="clear" w:color="auto" w:fill="auto"/>
            <w:vAlign w:val="center"/>
          </w:tcPr>
          <w:p w14:paraId="214142A5">
            <w:pPr>
              <w:keepNext w:val="0"/>
              <w:keepLines w:val="0"/>
              <w:widowControl/>
              <w:suppressLineNumbers w:val="0"/>
              <w:jc w:val="right"/>
              <w:textAlignment w:val="center"/>
              <w:rPr>
                <w:rFonts w:hint="eastAsia" w:ascii="宋体" w:hAnsi="宋体" w:eastAsia="宋体" w:cs="宋体"/>
                <w:i w:val="0"/>
                <w:iCs w:val="0"/>
                <w:color w:val="000000"/>
                <w:kern w:val="0"/>
                <w:sz w:val="18"/>
                <w:szCs w:val="18"/>
                <w:u w:val="none"/>
                <w:lang w:val="en-US" w:eastAsia="zh-CN" w:bidi="ar"/>
              </w:rPr>
            </w:pPr>
          </w:p>
        </w:tc>
        <w:tc>
          <w:tcPr>
            <w:tcW w:w="1121" w:type="dxa"/>
            <w:shd w:val="clear" w:color="auto" w:fill="auto"/>
            <w:vAlign w:val="center"/>
          </w:tcPr>
          <w:p w14:paraId="60F4A14C">
            <w:pPr>
              <w:keepNext w:val="0"/>
              <w:keepLines w:val="0"/>
              <w:widowControl/>
              <w:suppressLineNumbers w:val="0"/>
              <w:jc w:val="right"/>
              <w:textAlignment w:val="center"/>
              <w:rPr>
                <w:rFonts w:hint="eastAsia" w:ascii="宋体" w:hAnsi="宋体" w:eastAsia="宋体" w:cs="宋体"/>
                <w:i w:val="0"/>
                <w:iCs w:val="0"/>
                <w:color w:val="000000"/>
                <w:kern w:val="0"/>
                <w:sz w:val="18"/>
                <w:szCs w:val="18"/>
                <w:u w:val="none"/>
                <w:lang w:val="en-US" w:eastAsia="zh-CN" w:bidi="ar"/>
              </w:rPr>
            </w:pPr>
          </w:p>
        </w:tc>
        <w:tc>
          <w:tcPr>
            <w:tcW w:w="694" w:type="dxa"/>
            <w:shd w:val="clear" w:color="auto" w:fill="auto"/>
            <w:noWrap/>
            <w:vAlign w:val="center"/>
          </w:tcPr>
          <w:p w14:paraId="146D8D7D">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r>
      <w:tr w14:paraId="4EF5E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41" w:type="dxa"/>
            <w:shd w:val="clear" w:color="auto" w:fill="auto"/>
            <w:noWrap/>
            <w:vAlign w:val="center"/>
          </w:tcPr>
          <w:p w14:paraId="283B383D">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432" w:type="dxa"/>
            <w:shd w:val="clear" w:color="auto" w:fill="auto"/>
            <w:noWrap/>
            <w:vAlign w:val="center"/>
          </w:tcPr>
          <w:p w14:paraId="06D740B8">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0133" w:type="dxa"/>
            <w:gridSpan w:val="2"/>
            <w:shd w:val="clear" w:color="auto" w:fill="auto"/>
            <w:vAlign w:val="center"/>
          </w:tcPr>
          <w:p w14:paraId="4D8DF029">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小计4：元</w:t>
            </w:r>
          </w:p>
        </w:tc>
        <w:tc>
          <w:tcPr>
            <w:tcW w:w="869" w:type="dxa"/>
            <w:shd w:val="clear" w:color="auto" w:fill="auto"/>
            <w:noWrap/>
            <w:vAlign w:val="center"/>
          </w:tcPr>
          <w:p w14:paraId="16D20F8C">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726" w:type="dxa"/>
            <w:shd w:val="clear" w:color="auto" w:fill="auto"/>
            <w:noWrap/>
            <w:vAlign w:val="center"/>
          </w:tcPr>
          <w:p w14:paraId="3160B97C">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995" w:type="dxa"/>
            <w:shd w:val="clear" w:color="auto" w:fill="auto"/>
            <w:noWrap/>
            <w:vAlign w:val="center"/>
          </w:tcPr>
          <w:p w14:paraId="3918EFEA">
            <w:pPr>
              <w:jc w:val="right"/>
              <w:rPr>
                <w:rFonts w:hint="eastAsia" w:ascii="宋体" w:hAnsi="宋体" w:eastAsia="宋体" w:cs="宋体"/>
                <w:i w:val="0"/>
                <w:iCs w:val="0"/>
                <w:color w:val="000000"/>
                <w:sz w:val="18"/>
                <w:szCs w:val="18"/>
                <w:u w:val="none"/>
              </w:rPr>
            </w:pPr>
          </w:p>
        </w:tc>
        <w:tc>
          <w:tcPr>
            <w:tcW w:w="1121" w:type="dxa"/>
            <w:shd w:val="clear" w:color="auto" w:fill="auto"/>
            <w:noWrap/>
            <w:vAlign w:val="center"/>
          </w:tcPr>
          <w:p w14:paraId="6A7B177F">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c>
          <w:tcPr>
            <w:tcW w:w="694" w:type="dxa"/>
            <w:shd w:val="clear" w:color="auto" w:fill="auto"/>
            <w:noWrap/>
            <w:vAlign w:val="center"/>
          </w:tcPr>
          <w:p w14:paraId="56CEDEE5">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r>
      <w:tr w14:paraId="4090C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1206" w:type="dxa"/>
            <w:gridSpan w:val="4"/>
            <w:shd w:val="clear" w:color="auto" w:fill="auto"/>
            <w:vAlign w:val="center"/>
          </w:tcPr>
          <w:p w14:paraId="63A6616B">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（四）等保测评费</w:t>
            </w:r>
          </w:p>
        </w:tc>
        <w:tc>
          <w:tcPr>
            <w:tcW w:w="869" w:type="dxa"/>
            <w:shd w:val="clear" w:color="auto" w:fill="auto"/>
            <w:noWrap/>
            <w:vAlign w:val="center"/>
          </w:tcPr>
          <w:p w14:paraId="357B6750">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721" w:type="dxa"/>
            <w:gridSpan w:val="2"/>
            <w:shd w:val="clear" w:color="auto" w:fill="auto"/>
            <w:noWrap/>
            <w:vAlign w:val="center"/>
          </w:tcPr>
          <w:p w14:paraId="0A178E75">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815" w:type="dxa"/>
            <w:gridSpan w:val="2"/>
            <w:shd w:val="clear" w:color="auto" w:fill="auto"/>
            <w:noWrap/>
            <w:vAlign w:val="center"/>
          </w:tcPr>
          <w:p w14:paraId="1FFBC201">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r>
      <w:tr w14:paraId="566FF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41" w:type="dxa"/>
            <w:shd w:val="clear" w:color="auto" w:fill="auto"/>
            <w:noWrap/>
            <w:vAlign w:val="center"/>
          </w:tcPr>
          <w:p w14:paraId="28E70509">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432" w:type="dxa"/>
            <w:shd w:val="clear" w:color="auto" w:fill="auto"/>
            <w:noWrap/>
            <w:vAlign w:val="center"/>
          </w:tcPr>
          <w:p w14:paraId="47A2B80A">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vAlign w:val="center"/>
          </w:tcPr>
          <w:p w14:paraId="695B66E4">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等保测评费</w:t>
            </w:r>
          </w:p>
        </w:tc>
        <w:tc>
          <w:tcPr>
            <w:tcW w:w="8560" w:type="dxa"/>
            <w:shd w:val="clear" w:color="auto" w:fill="auto"/>
            <w:vAlign w:val="center"/>
          </w:tcPr>
          <w:p w14:paraId="346EE8A7">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局域网等级保护三级标准测评服务费</w:t>
            </w:r>
          </w:p>
        </w:tc>
        <w:tc>
          <w:tcPr>
            <w:tcW w:w="869" w:type="dxa"/>
            <w:shd w:val="clear" w:color="auto" w:fill="auto"/>
            <w:noWrap/>
            <w:vAlign w:val="center"/>
          </w:tcPr>
          <w:p w14:paraId="40D2E617">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726" w:type="dxa"/>
            <w:shd w:val="clear" w:color="auto" w:fill="auto"/>
            <w:vAlign w:val="center"/>
          </w:tcPr>
          <w:p w14:paraId="14D5CD84">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95" w:type="dxa"/>
            <w:shd w:val="clear" w:color="auto" w:fill="auto"/>
            <w:vAlign w:val="center"/>
          </w:tcPr>
          <w:p w14:paraId="0536A5A0">
            <w:pPr>
              <w:keepNext w:val="0"/>
              <w:keepLines w:val="0"/>
              <w:widowControl/>
              <w:suppressLineNumbers w:val="0"/>
              <w:jc w:val="right"/>
              <w:textAlignment w:val="center"/>
              <w:rPr>
                <w:rFonts w:hint="eastAsia" w:ascii="宋体" w:hAnsi="宋体" w:eastAsia="宋体" w:cs="宋体"/>
                <w:i w:val="0"/>
                <w:iCs w:val="0"/>
                <w:color w:val="000000"/>
                <w:kern w:val="0"/>
                <w:sz w:val="16"/>
                <w:szCs w:val="16"/>
                <w:u w:val="none"/>
                <w:lang w:val="en-US" w:eastAsia="zh-CN" w:bidi="ar"/>
              </w:rPr>
            </w:pPr>
          </w:p>
        </w:tc>
        <w:tc>
          <w:tcPr>
            <w:tcW w:w="1121" w:type="dxa"/>
            <w:shd w:val="clear" w:color="auto" w:fill="auto"/>
            <w:vAlign w:val="center"/>
          </w:tcPr>
          <w:p w14:paraId="486B5D5F">
            <w:pPr>
              <w:keepNext w:val="0"/>
              <w:keepLines w:val="0"/>
              <w:widowControl/>
              <w:suppressLineNumbers w:val="0"/>
              <w:jc w:val="right"/>
              <w:textAlignment w:val="center"/>
              <w:rPr>
                <w:rFonts w:hint="eastAsia" w:ascii="宋体" w:hAnsi="宋体" w:eastAsia="宋体" w:cs="宋体"/>
                <w:i w:val="0"/>
                <w:iCs w:val="0"/>
                <w:color w:val="000000"/>
                <w:kern w:val="0"/>
                <w:sz w:val="16"/>
                <w:szCs w:val="16"/>
                <w:u w:val="none"/>
                <w:lang w:val="en-US" w:eastAsia="zh-CN" w:bidi="ar"/>
              </w:rPr>
            </w:pPr>
          </w:p>
        </w:tc>
        <w:tc>
          <w:tcPr>
            <w:tcW w:w="694" w:type="dxa"/>
            <w:shd w:val="clear" w:color="auto" w:fill="auto"/>
            <w:noWrap/>
            <w:vAlign w:val="center"/>
          </w:tcPr>
          <w:p w14:paraId="427F4B92">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r>
      <w:tr w14:paraId="160FE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41" w:type="dxa"/>
            <w:shd w:val="clear" w:color="auto" w:fill="auto"/>
            <w:noWrap/>
            <w:vAlign w:val="center"/>
          </w:tcPr>
          <w:p w14:paraId="054B213A">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432" w:type="dxa"/>
            <w:shd w:val="clear" w:color="auto" w:fill="auto"/>
            <w:noWrap/>
            <w:vAlign w:val="center"/>
          </w:tcPr>
          <w:p w14:paraId="582A0508">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0133" w:type="dxa"/>
            <w:gridSpan w:val="2"/>
            <w:shd w:val="clear" w:color="auto" w:fill="auto"/>
            <w:vAlign w:val="center"/>
          </w:tcPr>
          <w:p w14:paraId="655724CE">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小计5:元</w:t>
            </w:r>
          </w:p>
        </w:tc>
        <w:tc>
          <w:tcPr>
            <w:tcW w:w="869" w:type="dxa"/>
            <w:shd w:val="clear" w:color="auto" w:fill="auto"/>
            <w:noWrap/>
            <w:vAlign w:val="center"/>
          </w:tcPr>
          <w:p w14:paraId="5D1C09D4">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726" w:type="dxa"/>
            <w:shd w:val="clear" w:color="auto" w:fill="auto"/>
            <w:noWrap/>
            <w:vAlign w:val="center"/>
          </w:tcPr>
          <w:p w14:paraId="5E978A30">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995" w:type="dxa"/>
            <w:shd w:val="clear" w:color="auto" w:fill="auto"/>
            <w:noWrap/>
            <w:vAlign w:val="center"/>
          </w:tcPr>
          <w:p w14:paraId="19BAC5CE">
            <w:pPr>
              <w:jc w:val="right"/>
              <w:rPr>
                <w:rFonts w:hint="eastAsia" w:ascii="宋体" w:hAnsi="宋体" w:eastAsia="宋体" w:cs="宋体"/>
                <w:i w:val="0"/>
                <w:iCs w:val="0"/>
                <w:color w:val="000000"/>
                <w:sz w:val="16"/>
                <w:szCs w:val="16"/>
                <w:u w:val="none"/>
              </w:rPr>
            </w:pPr>
          </w:p>
        </w:tc>
        <w:tc>
          <w:tcPr>
            <w:tcW w:w="1121" w:type="dxa"/>
            <w:shd w:val="clear" w:color="auto" w:fill="auto"/>
            <w:noWrap/>
            <w:vAlign w:val="center"/>
          </w:tcPr>
          <w:p w14:paraId="3B8D9C97">
            <w:pPr>
              <w:keepNext w:val="0"/>
              <w:keepLines w:val="0"/>
              <w:widowControl/>
              <w:suppressLineNumbers w:val="0"/>
              <w:jc w:val="right"/>
              <w:textAlignment w:val="center"/>
              <w:rPr>
                <w:rFonts w:hint="eastAsia" w:ascii="宋体" w:hAnsi="宋体" w:eastAsia="宋体" w:cs="宋体"/>
                <w:i w:val="0"/>
                <w:iCs w:val="0"/>
                <w:color w:val="000000"/>
                <w:sz w:val="16"/>
                <w:szCs w:val="16"/>
                <w:u w:val="none"/>
              </w:rPr>
            </w:pPr>
          </w:p>
        </w:tc>
        <w:tc>
          <w:tcPr>
            <w:tcW w:w="694" w:type="dxa"/>
            <w:shd w:val="clear" w:color="auto" w:fill="auto"/>
            <w:noWrap/>
            <w:vAlign w:val="center"/>
          </w:tcPr>
          <w:p w14:paraId="64391441">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r>
      <w:tr w14:paraId="38FD0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trPr>
        <w:tc>
          <w:tcPr>
            <w:tcW w:w="15611" w:type="dxa"/>
            <w:gridSpan w:val="9"/>
            <w:shd w:val="clear" w:color="auto" w:fill="auto"/>
            <w:noWrap/>
            <w:vAlign w:val="center"/>
          </w:tcPr>
          <w:p w14:paraId="2A08DC3C">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三、视频监控升级改造系统预算清单</w:t>
            </w:r>
          </w:p>
        </w:tc>
      </w:tr>
      <w:tr w14:paraId="11701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41" w:type="dxa"/>
            <w:shd w:val="clear" w:color="auto" w:fill="auto"/>
            <w:noWrap/>
            <w:vAlign w:val="center"/>
          </w:tcPr>
          <w:p w14:paraId="69DC91D7">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432" w:type="dxa"/>
            <w:shd w:val="clear" w:color="auto" w:fill="auto"/>
            <w:noWrap/>
            <w:vAlign w:val="center"/>
          </w:tcPr>
          <w:p w14:paraId="624B3A6A">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b/>
                <w:bCs/>
                <w:i w:val="0"/>
                <w:iCs w:val="0"/>
                <w:color w:val="000000"/>
                <w:sz w:val="20"/>
                <w:szCs w:val="20"/>
                <w:u w:val="none"/>
              </w:rPr>
            </w:pPr>
          </w:p>
        </w:tc>
        <w:tc>
          <w:tcPr>
            <w:tcW w:w="1573" w:type="dxa"/>
            <w:shd w:val="clear" w:color="auto" w:fill="auto"/>
            <w:noWrap/>
            <w:vAlign w:val="center"/>
          </w:tcPr>
          <w:p w14:paraId="0D65191D">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设备名称</w:t>
            </w:r>
          </w:p>
        </w:tc>
        <w:tc>
          <w:tcPr>
            <w:tcW w:w="8560" w:type="dxa"/>
            <w:shd w:val="clear" w:color="auto" w:fill="auto"/>
            <w:noWrap/>
            <w:vAlign w:val="center"/>
          </w:tcPr>
          <w:p w14:paraId="60E0DC54">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技术参数</w:t>
            </w:r>
          </w:p>
        </w:tc>
        <w:tc>
          <w:tcPr>
            <w:tcW w:w="869" w:type="dxa"/>
            <w:shd w:val="clear" w:color="auto" w:fill="auto"/>
            <w:noWrap/>
            <w:vAlign w:val="center"/>
          </w:tcPr>
          <w:p w14:paraId="49A3EB3F">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c>
          <w:tcPr>
            <w:tcW w:w="726" w:type="dxa"/>
            <w:shd w:val="clear" w:color="auto" w:fill="auto"/>
            <w:noWrap/>
            <w:vAlign w:val="center"/>
          </w:tcPr>
          <w:p w14:paraId="50F13965">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数量</w:t>
            </w:r>
          </w:p>
        </w:tc>
        <w:tc>
          <w:tcPr>
            <w:tcW w:w="995" w:type="dxa"/>
            <w:shd w:val="clear" w:color="auto" w:fill="auto"/>
            <w:noWrap/>
            <w:vAlign w:val="center"/>
          </w:tcPr>
          <w:p w14:paraId="70BB8240">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单价</w:t>
            </w:r>
          </w:p>
        </w:tc>
        <w:tc>
          <w:tcPr>
            <w:tcW w:w="1121" w:type="dxa"/>
            <w:shd w:val="clear" w:color="auto" w:fill="auto"/>
            <w:noWrap/>
            <w:vAlign w:val="center"/>
          </w:tcPr>
          <w:p w14:paraId="53382729">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总价</w:t>
            </w:r>
          </w:p>
        </w:tc>
        <w:tc>
          <w:tcPr>
            <w:tcW w:w="694" w:type="dxa"/>
            <w:shd w:val="clear" w:color="auto" w:fill="auto"/>
            <w:noWrap/>
            <w:vAlign w:val="center"/>
          </w:tcPr>
          <w:p w14:paraId="4E10CC32">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备注</w:t>
            </w:r>
          </w:p>
        </w:tc>
      </w:tr>
      <w:tr w14:paraId="13569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5611" w:type="dxa"/>
            <w:gridSpan w:val="9"/>
            <w:shd w:val="clear" w:color="auto" w:fill="auto"/>
            <w:noWrap/>
            <w:vAlign w:val="center"/>
          </w:tcPr>
          <w:p w14:paraId="6C509D55">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（一）全景安防监控工程</w:t>
            </w:r>
          </w:p>
        </w:tc>
      </w:tr>
      <w:tr w14:paraId="506C1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0" w:hRule="atLeast"/>
        </w:trPr>
        <w:tc>
          <w:tcPr>
            <w:tcW w:w="641" w:type="dxa"/>
            <w:shd w:val="clear" w:color="auto" w:fill="auto"/>
            <w:noWrap/>
            <w:vAlign w:val="center"/>
          </w:tcPr>
          <w:p w14:paraId="341A88AE">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432" w:type="dxa"/>
            <w:shd w:val="clear" w:color="auto" w:fill="auto"/>
            <w:noWrap/>
            <w:vAlign w:val="center"/>
          </w:tcPr>
          <w:p w14:paraId="64484302">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vAlign w:val="center"/>
          </w:tcPr>
          <w:p w14:paraId="46F58D54">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室外智能化一体球机</w:t>
            </w:r>
          </w:p>
        </w:tc>
        <w:tc>
          <w:tcPr>
            <w:tcW w:w="8560" w:type="dxa"/>
            <w:shd w:val="clear" w:color="auto" w:fill="auto"/>
            <w:vAlign w:val="center"/>
          </w:tcPr>
          <w:p w14:paraId="648DCD88">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一、图像传感器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全景通道：≤1/1.8 英寸逐行扫描 CMOS图像传感器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细节通道：≤1/2.8 英寸逐行扫描 CMOS图像传感器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二、最低照度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全景通道：彩色：≤0.0005 Lux @（F1.0，AGC ON），支持0 Lux 白光补光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细节通道：彩色：≤0.005 Lux @（F1.6，AGC ON），黑白：≤0.001 Lux @（F1.6，AGC ON），支持0 Lux 红外补光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三、光学性能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光学变倍：全景通道定焦，细节通道≥23 倍光学变倍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焦距：全景通道≥4mm 定焦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四、补光性能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全景通道：白光补光，有效距离 ≥30 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细节通道：红外补光，有效距离≥ 150 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红外波长：≥850nm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五、云台性能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旋转范围：水平360°连续旋转</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六、视频性能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视频压缩标准：支持H.265、H.264、MJPEG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宽动态：支持真宽动态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七、音频与拾音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内置麦克风：支持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音频接口：≥1 路音频输入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八、接口与扩展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网络接口：≥1 个 RJ45 网口，支持10M/100M 自适应网络数据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存储扩展：≥内置 Micro SD 卡插槽，支持 Micro SD/Micro SDHC/Micro SDXC卡，最大支持不小于512GB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报警接口：≥2 路报警输入，≥1 路报警输出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复位功能：支持恢复出厂设置</w:t>
            </w:r>
          </w:p>
        </w:tc>
        <w:tc>
          <w:tcPr>
            <w:tcW w:w="869" w:type="dxa"/>
            <w:shd w:val="clear" w:color="auto" w:fill="auto"/>
            <w:noWrap/>
            <w:vAlign w:val="center"/>
          </w:tcPr>
          <w:p w14:paraId="705209B4">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726" w:type="dxa"/>
            <w:shd w:val="clear" w:color="auto" w:fill="auto"/>
            <w:noWrap/>
            <w:vAlign w:val="center"/>
          </w:tcPr>
          <w:p w14:paraId="66BC97B0">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995" w:type="dxa"/>
            <w:shd w:val="clear" w:color="auto" w:fill="auto"/>
            <w:noWrap/>
            <w:vAlign w:val="center"/>
          </w:tcPr>
          <w:p w14:paraId="178A09B4">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1121" w:type="dxa"/>
            <w:shd w:val="clear" w:color="auto" w:fill="auto"/>
            <w:noWrap/>
            <w:vAlign w:val="center"/>
          </w:tcPr>
          <w:p w14:paraId="4436D076">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694" w:type="dxa"/>
            <w:shd w:val="clear" w:color="auto" w:fill="auto"/>
            <w:vAlign w:val="center"/>
          </w:tcPr>
          <w:p w14:paraId="4F8F4C1E">
            <w:pPr>
              <w:keepNext/>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20"/>
                <w:szCs w:val="20"/>
                <w:u w:val="none"/>
              </w:rPr>
            </w:pPr>
          </w:p>
        </w:tc>
      </w:tr>
      <w:tr w14:paraId="010ED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641" w:type="dxa"/>
            <w:shd w:val="clear" w:color="auto" w:fill="auto"/>
            <w:noWrap/>
            <w:vAlign w:val="center"/>
          </w:tcPr>
          <w:p w14:paraId="72B4ACE0">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432" w:type="dxa"/>
            <w:shd w:val="clear" w:color="auto" w:fill="auto"/>
            <w:noWrap/>
            <w:vAlign w:val="center"/>
          </w:tcPr>
          <w:p w14:paraId="016E2D32">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vAlign w:val="center"/>
          </w:tcPr>
          <w:p w14:paraId="4400AF4D">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球机支架</w:t>
            </w:r>
          </w:p>
        </w:tc>
        <w:tc>
          <w:tcPr>
            <w:tcW w:w="8560" w:type="dxa"/>
            <w:shd w:val="clear" w:color="auto" w:fill="auto"/>
            <w:vAlign w:val="center"/>
          </w:tcPr>
          <w:p w14:paraId="487F0EA2">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壁装支架，铝合金材质，包含安装</w:t>
            </w:r>
          </w:p>
        </w:tc>
        <w:tc>
          <w:tcPr>
            <w:tcW w:w="869" w:type="dxa"/>
            <w:shd w:val="clear" w:color="auto" w:fill="auto"/>
            <w:noWrap/>
            <w:vAlign w:val="center"/>
          </w:tcPr>
          <w:p w14:paraId="0F071977">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726" w:type="dxa"/>
            <w:shd w:val="clear" w:color="auto" w:fill="auto"/>
            <w:noWrap/>
            <w:vAlign w:val="center"/>
          </w:tcPr>
          <w:p w14:paraId="0D731A7B">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995" w:type="dxa"/>
            <w:shd w:val="clear" w:color="auto" w:fill="auto"/>
            <w:noWrap/>
            <w:vAlign w:val="center"/>
          </w:tcPr>
          <w:p w14:paraId="4546B88D">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1121" w:type="dxa"/>
            <w:shd w:val="clear" w:color="auto" w:fill="auto"/>
            <w:noWrap/>
            <w:vAlign w:val="center"/>
          </w:tcPr>
          <w:p w14:paraId="496543EF">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694" w:type="dxa"/>
            <w:shd w:val="clear" w:color="auto" w:fill="auto"/>
            <w:vAlign w:val="center"/>
          </w:tcPr>
          <w:p w14:paraId="6CD54189">
            <w:pPr>
              <w:keepNext/>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20"/>
                <w:szCs w:val="20"/>
                <w:u w:val="none"/>
              </w:rPr>
            </w:pPr>
          </w:p>
        </w:tc>
      </w:tr>
      <w:tr w14:paraId="3D80E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41" w:type="dxa"/>
            <w:shd w:val="clear" w:color="auto" w:fill="auto"/>
            <w:noWrap/>
            <w:vAlign w:val="center"/>
          </w:tcPr>
          <w:p w14:paraId="4EFCE715">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432" w:type="dxa"/>
            <w:shd w:val="clear" w:color="auto" w:fill="auto"/>
            <w:noWrap/>
            <w:vAlign w:val="center"/>
          </w:tcPr>
          <w:p w14:paraId="6E772F57">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vAlign w:val="center"/>
          </w:tcPr>
          <w:p w14:paraId="0AF6E30C">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球机电源</w:t>
            </w:r>
          </w:p>
        </w:tc>
        <w:tc>
          <w:tcPr>
            <w:tcW w:w="8560" w:type="dxa"/>
            <w:shd w:val="clear" w:color="auto" w:fill="auto"/>
            <w:vAlign w:val="center"/>
          </w:tcPr>
          <w:p w14:paraId="7B5586B3">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DC36V电源包含安装</w:t>
            </w:r>
          </w:p>
        </w:tc>
        <w:tc>
          <w:tcPr>
            <w:tcW w:w="869" w:type="dxa"/>
            <w:shd w:val="clear" w:color="auto" w:fill="auto"/>
            <w:noWrap/>
            <w:vAlign w:val="center"/>
          </w:tcPr>
          <w:p w14:paraId="6B24334A">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726" w:type="dxa"/>
            <w:shd w:val="clear" w:color="auto" w:fill="auto"/>
            <w:noWrap/>
            <w:vAlign w:val="center"/>
          </w:tcPr>
          <w:p w14:paraId="12628AE0">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995" w:type="dxa"/>
            <w:shd w:val="clear" w:color="auto" w:fill="auto"/>
            <w:noWrap/>
            <w:vAlign w:val="center"/>
          </w:tcPr>
          <w:p w14:paraId="040A4835">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1121" w:type="dxa"/>
            <w:shd w:val="clear" w:color="auto" w:fill="auto"/>
            <w:noWrap/>
            <w:vAlign w:val="center"/>
          </w:tcPr>
          <w:p w14:paraId="35B20DBF">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694" w:type="dxa"/>
            <w:shd w:val="clear" w:color="auto" w:fill="auto"/>
            <w:vAlign w:val="center"/>
          </w:tcPr>
          <w:p w14:paraId="5507ACB9">
            <w:pPr>
              <w:keepNext/>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20"/>
                <w:szCs w:val="20"/>
                <w:u w:val="none"/>
              </w:rPr>
            </w:pPr>
          </w:p>
        </w:tc>
      </w:tr>
      <w:tr w14:paraId="42E3F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720" w:hRule="atLeast"/>
        </w:trPr>
        <w:tc>
          <w:tcPr>
            <w:tcW w:w="641" w:type="dxa"/>
            <w:shd w:val="clear" w:color="auto" w:fill="auto"/>
            <w:noWrap/>
            <w:vAlign w:val="center"/>
          </w:tcPr>
          <w:p w14:paraId="17B395D5">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432" w:type="dxa"/>
            <w:shd w:val="clear" w:color="auto" w:fill="auto"/>
            <w:noWrap/>
            <w:vAlign w:val="center"/>
          </w:tcPr>
          <w:p w14:paraId="0E839A19">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vAlign w:val="center"/>
          </w:tcPr>
          <w:p w14:paraId="3EB08CE3">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智能球型摄像机</w:t>
            </w:r>
          </w:p>
        </w:tc>
        <w:tc>
          <w:tcPr>
            <w:tcW w:w="8560" w:type="dxa"/>
            <w:shd w:val="clear" w:color="auto" w:fill="auto"/>
            <w:vAlign w:val="center"/>
          </w:tcPr>
          <w:p w14:paraId="1095D34A">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图像传感器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采用≤1/1.2 英寸逐行扫描 CMOS图像传感器。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最低照度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彩色：≤0.0005 Lux @（F1.6，AGC ON）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黑白：≤0.0001 Lux @（F1.6，AGC ON）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支持0 Lux全彩补光开启。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光学与变倍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焦距：7.1~320mm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光学变倍：≥45 倍光学变倍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 补光系统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补光灯类型：激光补光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补光距离：最远可达 500 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支持防补光过曝功能。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5.结构与防护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防雷浪涌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 视频与编码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最大分辨率：≥3840×2160（4K）</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视频压缩标准：支持H.265、H.264、MJPEG、Smart264、Smart265。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 定位与方向感知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内置北斗卫星定位模块 + 电子罗盘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支持视场角、镜头指向、安装经纬度信息上传平台。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 网络与接口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网络接口：RJ45，自适应10M/100M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存储扩展：内置 MicroSD 卡槽，最大支持不小于512GB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报警：≥7 进 ≥2 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音频：≥1 进≥ 1 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RS-485：半双工，支持 PELCO-P/PELCO-D 协议自适应。</w:t>
            </w:r>
          </w:p>
        </w:tc>
        <w:tc>
          <w:tcPr>
            <w:tcW w:w="869" w:type="dxa"/>
            <w:shd w:val="clear" w:color="auto" w:fill="auto"/>
            <w:noWrap/>
            <w:vAlign w:val="center"/>
          </w:tcPr>
          <w:p w14:paraId="680B60FF">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726" w:type="dxa"/>
            <w:shd w:val="clear" w:color="auto" w:fill="auto"/>
            <w:noWrap/>
            <w:vAlign w:val="center"/>
          </w:tcPr>
          <w:p w14:paraId="688B3981">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95" w:type="dxa"/>
            <w:shd w:val="clear" w:color="auto" w:fill="auto"/>
            <w:noWrap/>
            <w:vAlign w:val="center"/>
          </w:tcPr>
          <w:p w14:paraId="5C6D7857">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1121" w:type="dxa"/>
            <w:shd w:val="clear" w:color="auto" w:fill="auto"/>
            <w:noWrap/>
            <w:vAlign w:val="center"/>
          </w:tcPr>
          <w:p w14:paraId="6C8A6B4D">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694" w:type="dxa"/>
            <w:shd w:val="clear" w:color="auto" w:fill="auto"/>
            <w:noWrap/>
            <w:vAlign w:val="center"/>
          </w:tcPr>
          <w:p w14:paraId="75074473">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r>
      <w:tr w14:paraId="56C82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41" w:type="dxa"/>
            <w:shd w:val="clear" w:color="auto" w:fill="auto"/>
            <w:noWrap/>
            <w:vAlign w:val="center"/>
          </w:tcPr>
          <w:p w14:paraId="2CE100EC">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432" w:type="dxa"/>
            <w:shd w:val="clear" w:color="auto" w:fill="auto"/>
            <w:noWrap/>
            <w:vAlign w:val="center"/>
          </w:tcPr>
          <w:p w14:paraId="468B8763">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vAlign w:val="center"/>
          </w:tcPr>
          <w:p w14:paraId="1624A3D3">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相机支架</w:t>
            </w:r>
          </w:p>
        </w:tc>
        <w:tc>
          <w:tcPr>
            <w:tcW w:w="8560" w:type="dxa"/>
            <w:shd w:val="clear" w:color="auto" w:fill="auto"/>
            <w:vAlign w:val="center"/>
          </w:tcPr>
          <w:p w14:paraId="04C5EEEB">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采用铝合金材质，不易生锈、壁装、吊装两种方式包含安装</w:t>
            </w:r>
          </w:p>
        </w:tc>
        <w:tc>
          <w:tcPr>
            <w:tcW w:w="869" w:type="dxa"/>
            <w:shd w:val="clear" w:color="auto" w:fill="auto"/>
            <w:noWrap/>
            <w:vAlign w:val="center"/>
          </w:tcPr>
          <w:p w14:paraId="49EA57FF">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726" w:type="dxa"/>
            <w:shd w:val="clear" w:color="auto" w:fill="auto"/>
            <w:noWrap/>
            <w:vAlign w:val="center"/>
          </w:tcPr>
          <w:p w14:paraId="4ABF2F91">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95" w:type="dxa"/>
            <w:shd w:val="clear" w:color="auto" w:fill="auto"/>
            <w:noWrap/>
            <w:vAlign w:val="center"/>
          </w:tcPr>
          <w:p w14:paraId="73204F14">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1121" w:type="dxa"/>
            <w:shd w:val="clear" w:color="auto" w:fill="auto"/>
            <w:noWrap/>
            <w:vAlign w:val="center"/>
          </w:tcPr>
          <w:p w14:paraId="321E60B8">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694" w:type="dxa"/>
            <w:shd w:val="clear" w:color="auto" w:fill="auto"/>
            <w:noWrap/>
            <w:vAlign w:val="center"/>
          </w:tcPr>
          <w:p w14:paraId="2325F465">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r>
      <w:tr w14:paraId="37F78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41" w:type="dxa"/>
            <w:shd w:val="clear" w:color="auto" w:fill="auto"/>
            <w:noWrap/>
            <w:vAlign w:val="center"/>
          </w:tcPr>
          <w:p w14:paraId="3A73C093">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432" w:type="dxa"/>
            <w:shd w:val="clear" w:color="auto" w:fill="auto"/>
            <w:noWrap/>
            <w:vAlign w:val="center"/>
          </w:tcPr>
          <w:p w14:paraId="2A7E0671">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vAlign w:val="center"/>
          </w:tcPr>
          <w:p w14:paraId="2CBA0F44">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相机电源</w:t>
            </w:r>
          </w:p>
        </w:tc>
        <w:tc>
          <w:tcPr>
            <w:tcW w:w="8560" w:type="dxa"/>
            <w:shd w:val="clear" w:color="auto" w:fill="auto"/>
            <w:vAlign w:val="center"/>
          </w:tcPr>
          <w:p w14:paraId="0E0EF8CB">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DC36V电源包含安装</w:t>
            </w:r>
          </w:p>
        </w:tc>
        <w:tc>
          <w:tcPr>
            <w:tcW w:w="869" w:type="dxa"/>
            <w:shd w:val="clear" w:color="auto" w:fill="auto"/>
            <w:noWrap/>
            <w:vAlign w:val="center"/>
          </w:tcPr>
          <w:p w14:paraId="6526BD83">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726" w:type="dxa"/>
            <w:shd w:val="clear" w:color="auto" w:fill="auto"/>
            <w:noWrap/>
            <w:vAlign w:val="center"/>
          </w:tcPr>
          <w:p w14:paraId="284CFDC9">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95" w:type="dxa"/>
            <w:shd w:val="clear" w:color="auto" w:fill="auto"/>
            <w:noWrap/>
            <w:vAlign w:val="center"/>
          </w:tcPr>
          <w:p w14:paraId="585B394C">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1121" w:type="dxa"/>
            <w:shd w:val="clear" w:color="auto" w:fill="auto"/>
            <w:noWrap/>
            <w:vAlign w:val="center"/>
          </w:tcPr>
          <w:p w14:paraId="5824D501">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694" w:type="dxa"/>
            <w:shd w:val="clear" w:color="auto" w:fill="auto"/>
            <w:noWrap/>
            <w:vAlign w:val="center"/>
          </w:tcPr>
          <w:p w14:paraId="27E19FD3">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r>
      <w:tr w14:paraId="4C252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0" w:hRule="atLeast"/>
        </w:trPr>
        <w:tc>
          <w:tcPr>
            <w:tcW w:w="641" w:type="dxa"/>
            <w:shd w:val="clear" w:color="auto" w:fill="auto"/>
            <w:noWrap/>
            <w:vAlign w:val="center"/>
          </w:tcPr>
          <w:p w14:paraId="3A01FA4C">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432" w:type="dxa"/>
            <w:shd w:val="clear" w:color="auto" w:fill="auto"/>
            <w:noWrap/>
            <w:vAlign w:val="center"/>
          </w:tcPr>
          <w:p w14:paraId="420D67F3">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vAlign w:val="center"/>
          </w:tcPr>
          <w:p w14:paraId="22DEAE79">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智能网络摄像机</w:t>
            </w:r>
          </w:p>
        </w:tc>
        <w:tc>
          <w:tcPr>
            <w:tcW w:w="8560" w:type="dxa"/>
            <w:shd w:val="clear" w:color="auto" w:fill="auto"/>
            <w:vAlign w:val="center"/>
          </w:tcPr>
          <w:p w14:paraId="6EC7DCAE">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一、图像传感器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采用双 ≤1/1.8 英寸逐行扫描 CMOS图像传感器；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全景通道：≤1/1.8 英寸逐行扫描 CMOS；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细节通道：≤1/1.8 英寸逐行扫描 CMOS。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二、最低照度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全景通道：彩色 ≤0.0005Lux @(F1.6，AGC ON)，黑白 ≤0.0001Lux @(F1.6，AGC ON)，支持0Lux 红外补光；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细节通道：彩色 ≤0.0005Lux @(F1.5，AGC ON)，黑白≤ 0.0001Lux @(F1.5，AGC ON)，支持0Lux 红外补光。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三、光学变倍与焦距</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全景通道：≥4 倍光学变倍；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细节通道：≥25 倍光学变倍。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四、外观与防护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防雷防护：符合不低于GB/T17626.2/3/4/5/6 四级标准。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五、补光功能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全景通道：采用混合补光，白光补光人脸识别距离 ≥15 米，红外补光距离≥80 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细节通道：采用混合补光，白光补光人脸识别距离 ≥30 米，红外补光距离≥200 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支持防补光过曝功能。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六、环境指标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工作环境：温度 -40℃~70℃，湿度小于95%；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功能支持：支持除雾功能。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七、视频编码与分辨率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主码流分辨率：全景 / 细节通道均支持2688×1520、2560×1440、1920×1080P、1280×960、1280×720P；</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帧率：PAL 制25 帧（默认），NTSC 制30 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视频压缩标准：支持H.265、H.264、MJPEG；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八、网络与扩展接口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网络接口：RJ45 网口，支持1000M 自适应网络数据传输；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存储扩展：内置 MicroSD 卡槽，最大支持不小于512GB本地存储；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报警接口：≥7 路报警输入，≥2 路报警输出；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音频接口：≥1 路音频输入，≥1 路音频输出；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控制接口：RS-485 半双工模式，支持自适应PELCO-P、PELCO-D协议；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复位功能：支持设备恢复出厂设置。</w:t>
            </w:r>
          </w:p>
        </w:tc>
        <w:tc>
          <w:tcPr>
            <w:tcW w:w="869" w:type="dxa"/>
            <w:shd w:val="clear" w:color="auto" w:fill="auto"/>
            <w:noWrap/>
            <w:vAlign w:val="center"/>
          </w:tcPr>
          <w:p w14:paraId="00B68696">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726" w:type="dxa"/>
            <w:shd w:val="clear" w:color="auto" w:fill="auto"/>
            <w:noWrap/>
            <w:vAlign w:val="center"/>
          </w:tcPr>
          <w:p w14:paraId="3917EB32">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5" w:type="dxa"/>
            <w:shd w:val="clear" w:color="auto" w:fill="auto"/>
            <w:noWrap/>
            <w:vAlign w:val="center"/>
          </w:tcPr>
          <w:p w14:paraId="1B051A34">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1121" w:type="dxa"/>
            <w:shd w:val="clear" w:color="auto" w:fill="auto"/>
            <w:noWrap/>
            <w:vAlign w:val="center"/>
          </w:tcPr>
          <w:p w14:paraId="5171E37F">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694" w:type="dxa"/>
            <w:shd w:val="clear" w:color="auto" w:fill="auto"/>
            <w:noWrap/>
            <w:vAlign w:val="center"/>
          </w:tcPr>
          <w:p w14:paraId="4549437A">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r>
      <w:tr w14:paraId="6745A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41" w:type="dxa"/>
            <w:shd w:val="clear" w:color="auto" w:fill="auto"/>
            <w:noWrap/>
            <w:vAlign w:val="center"/>
          </w:tcPr>
          <w:p w14:paraId="08B5B75F">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432" w:type="dxa"/>
            <w:shd w:val="clear" w:color="auto" w:fill="auto"/>
            <w:noWrap/>
            <w:vAlign w:val="center"/>
          </w:tcPr>
          <w:p w14:paraId="0F435130">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vAlign w:val="center"/>
          </w:tcPr>
          <w:p w14:paraId="1140DFE2">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相机支架</w:t>
            </w:r>
          </w:p>
        </w:tc>
        <w:tc>
          <w:tcPr>
            <w:tcW w:w="8560" w:type="dxa"/>
            <w:shd w:val="clear" w:color="auto" w:fill="auto"/>
            <w:vAlign w:val="center"/>
          </w:tcPr>
          <w:p w14:paraId="02D30A85">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重载壁装支架，铝合金材质，包含安装</w:t>
            </w:r>
          </w:p>
        </w:tc>
        <w:tc>
          <w:tcPr>
            <w:tcW w:w="869" w:type="dxa"/>
            <w:shd w:val="clear" w:color="auto" w:fill="auto"/>
            <w:noWrap/>
            <w:vAlign w:val="center"/>
          </w:tcPr>
          <w:p w14:paraId="27A79FE9">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726" w:type="dxa"/>
            <w:shd w:val="clear" w:color="auto" w:fill="auto"/>
            <w:noWrap/>
            <w:vAlign w:val="center"/>
          </w:tcPr>
          <w:p w14:paraId="3E9EBA17">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5" w:type="dxa"/>
            <w:shd w:val="clear" w:color="auto" w:fill="auto"/>
            <w:noWrap/>
            <w:vAlign w:val="center"/>
          </w:tcPr>
          <w:p w14:paraId="0DE01262">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1121" w:type="dxa"/>
            <w:shd w:val="clear" w:color="auto" w:fill="auto"/>
            <w:noWrap/>
            <w:vAlign w:val="center"/>
          </w:tcPr>
          <w:p w14:paraId="6390500B">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694" w:type="dxa"/>
            <w:shd w:val="clear" w:color="auto" w:fill="auto"/>
            <w:noWrap/>
            <w:vAlign w:val="center"/>
          </w:tcPr>
          <w:p w14:paraId="0B0BECA9">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r>
      <w:tr w14:paraId="1E549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80" w:hRule="atLeast"/>
        </w:trPr>
        <w:tc>
          <w:tcPr>
            <w:tcW w:w="641" w:type="dxa"/>
            <w:shd w:val="clear" w:color="auto" w:fill="auto"/>
            <w:noWrap/>
            <w:vAlign w:val="center"/>
          </w:tcPr>
          <w:p w14:paraId="4B6B9311">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432" w:type="dxa"/>
            <w:shd w:val="clear" w:color="auto" w:fill="auto"/>
            <w:noWrap/>
            <w:vAlign w:val="center"/>
          </w:tcPr>
          <w:p w14:paraId="693D8FF5">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vAlign w:val="center"/>
          </w:tcPr>
          <w:p w14:paraId="5F982562">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相机电源</w:t>
            </w:r>
          </w:p>
        </w:tc>
        <w:tc>
          <w:tcPr>
            <w:tcW w:w="8560" w:type="dxa"/>
            <w:shd w:val="clear" w:color="auto" w:fill="auto"/>
            <w:vAlign w:val="center"/>
          </w:tcPr>
          <w:p w14:paraId="41E07A56">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采用AC输入线≥350mm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DC输出端线≥800mm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达到不低于V5能效等级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支持AC100~240V电压供电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支持DC直流输出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通过3C检测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包含安装</w:t>
            </w:r>
          </w:p>
        </w:tc>
        <w:tc>
          <w:tcPr>
            <w:tcW w:w="869" w:type="dxa"/>
            <w:shd w:val="clear" w:color="auto" w:fill="auto"/>
            <w:noWrap/>
            <w:vAlign w:val="center"/>
          </w:tcPr>
          <w:p w14:paraId="49BD5843">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726" w:type="dxa"/>
            <w:shd w:val="clear" w:color="auto" w:fill="auto"/>
            <w:noWrap/>
            <w:vAlign w:val="center"/>
          </w:tcPr>
          <w:p w14:paraId="5685DE90">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5" w:type="dxa"/>
            <w:shd w:val="clear" w:color="auto" w:fill="auto"/>
            <w:noWrap/>
            <w:vAlign w:val="center"/>
          </w:tcPr>
          <w:p w14:paraId="19076BBB">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1121" w:type="dxa"/>
            <w:shd w:val="clear" w:color="auto" w:fill="auto"/>
            <w:noWrap/>
            <w:vAlign w:val="center"/>
          </w:tcPr>
          <w:p w14:paraId="68F814D7">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694" w:type="dxa"/>
            <w:shd w:val="clear" w:color="auto" w:fill="auto"/>
            <w:noWrap/>
            <w:vAlign w:val="center"/>
          </w:tcPr>
          <w:p w14:paraId="36B8BB96">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r>
      <w:tr w14:paraId="2713C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0" w:hRule="atLeast"/>
        </w:trPr>
        <w:tc>
          <w:tcPr>
            <w:tcW w:w="641" w:type="dxa"/>
            <w:shd w:val="clear" w:color="auto" w:fill="auto"/>
            <w:noWrap/>
            <w:vAlign w:val="center"/>
          </w:tcPr>
          <w:p w14:paraId="32F4F798">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432" w:type="dxa"/>
            <w:shd w:val="clear" w:color="auto" w:fill="auto"/>
            <w:noWrap/>
            <w:vAlign w:val="center"/>
          </w:tcPr>
          <w:p w14:paraId="3463076B">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vAlign w:val="center"/>
          </w:tcPr>
          <w:p w14:paraId="1E949ED4">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综合管理平台</w:t>
            </w:r>
          </w:p>
        </w:tc>
        <w:tc>
          <w:tcPr>
            <w:tcW w:w="8560" w:type="dxa"/>
            <w:shd w:val="clear" w:color="auto" w:fill="auto"/>
            <w:vAlign w:val="center"/>
          </w:tcPr>
          <w:p w14:paraId="42EFF2F9">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一、平台软件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基础授权：含基础平台包、视频监控、门禁管理、出入口车辆放行、停车场收费管理、园区人员布控、人车智能搜索、视频联网、入侵报警、设备网络管理模块。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二、平台硬件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机箱结构：≥16 盘位，支持前置硬盘热插拔。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供电散热：配置1+1 冗余电源、1+1 冗余风扇。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处理器：配置≥6 核 12 线程 64 位高性能处理器。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内存：配置≥48GB DDR4 高频率内存。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断电保护：内置 BBU 蓄电池冗余备份单元，支持断电保护功能。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三、存储硬件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报警接口：≥16 路报警输入、≥5 路报警输出。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串行接口：≥1 路全双工 RS485、1 路标准 RS232 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四、存储性能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接入存储：最大支持不少于128 路视频存储。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阵列模式：支持 RAID0、RAID1、RAID5、RAID6、RAID10，支持全局热备盘。</w:t>
            </w:r>
          </w:p>
        </w:tc>
        <w:tc>
          <w:tcPr>
            <w:tcW w:w="869" w:type="dxa"/>
            <w:shd w:val="clear" w:color="auto" w:fill="auto"/>
            <w:noWrap/>
            <w:vAlign w:val="center"/>
          </w:tcPr>
          <w:p w14:paraId="79F3D5F2">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726" w:type="dxa"/>
            <w:shd w:val="clear" w:color="auto" w:fill="auto"/>
            <w:noWrap/>
            <w:vAlign w:val="center"/>
          </w:tcPr>
          <w:p w14:paraId="768C8413">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95" w:type="dxa"/>
            <w:shd w:val="clear" w:color="auto" w:fill="auto"/>
            <w:noWrap/>
            <w:vAlign w:val="center"/>
          </w:tcPr>
          <w:p w14:paraId="2E1A6E82">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1121" w:type="dxa"/>
            <w:shd w:val="clear" w:color="auto" w:fill="auto"/>
            <w:noWrap/>
            <w:vAlign w:val="center"/>
          </w:tcPr>
          <w:p w14:paraId="63C08C74">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694" w:type="dxa"/>
            <w:shd w:val="clear" w:color="auto" w:fill="auto"/>
            <w:noWrap/>
            <w:vAlign w:val="center"/>
          </w:tcPr>
          <w:p w14:paraId="0E85E48F">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r>
      <w:tr w14:paraId="4C032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41" w:type="dxa"/>
            <w:shd w:val="clear" w:color="auto" w:fill="auto"/>
            <w:noWrap/>
            <w:vAlign w:val="center"/>
          </w:tcPr>
          <w:p w14:paraId="21EE9CC6">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432" w:type="dxa"/>
            <w:shd w:val="clear" w:color="auto" w:fill="auto"/>
            <w:noWrap/>
            <w:vAlign w:val="center"/>
          </w:tcPr>
          <w:p w14:paraId="26B9FDC3">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vAlign w:val="center"/>
          </w:tcPr>
          <w:p w14:paraId="41FDF612">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配套材料</w:t>
            </w:r>
          </w:p>
        </w:tc>
        <w:tc>
          <w:tcPr>
            <w:tcW w:w="8560" w:type="dxa"/>
            <w:shd w:val="clear" w:color="auto" w:fill="auto"/>
            <w:noWrap/>
            <w:vAlign w:val="center"/>
          </w:tcPr>
          <w:p w14:paraId="00E2B6E2">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包含螺丝、水晶头、胶布、标签纸、软管、接头、弯头、插板、插头等</w:t>
            </w:r>
          </w:p>
        </w:tc>
        <w:tc>
          <w:tcPr>
            <w:tcW w:w="869" w:type="dxa"/>
            <w:shd w:val="clear" w:color="auto" w:fill="auto"/>
            <w:noWrap/>
            <w:vAlign w:val="center"/>
          </w:tcPr>
          <w:p w14:paraId="6C7DB5A2">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726" w:type="dxa"/>
            <w:shd w:val="clear" w:color="auto" w:fill="auto"/>
            <w:noWrap/>
            <w:vAlign w:val="center"/>
          </w:tcPr>
          <w:p w14:paraId="259E8DD3">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95" w:type="dxa"/>
            <w:shd w:val="clear" w:color="auto" w:fill="auto"/>
            <w:noWrap/>
            <w:vAlign w:val="center"/>
          </w:tcPr>
          <w:p w14:paraId="47680490">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1121" w:type="dxa"/>
            <w:shd w:val="clear" w:color="auto" w:fill="auto"/>
            <w:noWrap/>
            <w:vAlign w:val="center"/>
          </w:tcPr>
          <w:p w14:paraId="49CC8ABE">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694" w:type="dxa"/>
            <w:shd w:val="clear" w:color="auto" w:fill="auto"/>
            <w:noWrap/>
            <w:vAlign w:val="center"/>
          </w:tcPr>
          <w:p w14:paraId="7D3A45DC">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r>
      <w:tr w14:paraId="52888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41" w:type="dxa"/>
            <w:shd w:val="clear" w:color="auto" w:fill="auto"/>
            <w:noWrap/>
            <w:vAlign w:val="center"/>
          </w:tcPr>
          <w:p w14:paraId="5875DD0D">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432" w:type="dxa"/>
            <w:shd w:val="clear" w:color="auto" w:fill="auto"/>
            <w:noWrap/>
            <w:vAlign w:val="center"/>
          </w:tcPr>
          <w:p w14:paraId="55607BCA">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0133" w:type="dxa"/>
            <w:gridSpan w:val="2"/>
            <w:shd w:val="clear" w:color="auto" w:fill="auto"/>
            <w:vAlign w:val="center"/>
          </w:tcPr>
          <w:p w14:paraId="05765E20">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小计6:元</w:t>
            </w:r>
          </w:p>
        </w:tc>
        <w:tc>
          <w:tcPr>
            <w:tcW w:w="869" w:type="dxa"/>
            <w:shd w:val="clear" w:color="auto" w:fill="auto"/>
            <w:noWrap/>
            <w:vAlign w:val="center"/>
          </w:tcPr>
          <w:p w14:paraId="35529108">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726" w:type="dxa"/>
            <w:shd w:val="clear" w:color="auto" w:fill="auto"/>
            <w:noWrap/>
            <w:vAlign w:val="center"/>
          </w:tcPr>
          <w:p w14:paraId="49BF58AA">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995" w:type="dxa"/>
            <w:shd w:val="clear" w:color="auto" w:fill="auto"/>
            <w:noWrap/>
            <w:vAlign w:val="center"/>
          </w:tcPr>
          <w:p w14:paraId="49530E73">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121" w:type="dxa"/>
            <w:shd w:val="clear" w:color="auto" w:fill="auto"/>
            <w:noWrap/>
            <w:vAlign w:val="center"/>
          </w:tcPr>
          <w:p w14:paraId="17A1B86F">
            <w:pPr>
              <w:jc w:val="right"/>
              <w:rPr>
                <w:rFonts w:hint="eastAsia" w:ascii="宋体" w:hAnsi="宋体" w:eastAsia="宋体" w:cs="宋体"/>
                <w:i w:val="0"/>
                <w:iCs w:val="0"/>
                <w:color w:val="000000"/>
                <w:kern w:val="2"/>
                <w:sz w:val="18"/>
                <w:szCs w:val="18"/>
                <w:u w:val="none"/>
                <w:lang w:val="en-US" w:eastAsia="zh-CN" w:bidi="ar-SA"/>
              </w:rPr>
            </w:pPr>
          </w:p>
        </w:tc>
        <w:tc>
          <w:tcPr>
            <w:tcW w:w="694" w:type="dxa"/>
            <w:shd w:val="clear" w:color="auto" w:fill="auto"/>
            <w:noWrap/>
            <w:vAlign w:val="center"/>
          </w:tcPr>
          <w:p w14:paraId="6AAA78D1">
            <w:pPr>
              <w:keepNext w:val="0"/>
              <w:keepLines w:val="0"/>
              <w:widowControl/>
              <w:suppressLineNumbers w:val="0"/>
              <w:jc w:val="right"/>
              <w:textAlignment w:val="center"/>
              <w:rPr>
                <w:rFonts w:hint="eastAsia"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0"/>
                <w:sz w:val="20"/>
                <w:szCs w:val="20"/>
                <w:u w:val="none"/>
                <w:lang w:val="en-US" w:eastAsia="zh-CN" w:bidi="ar"/>
              </w:rPr>
              <w:t xml:space="preserve"> </w:t>
            </w:r>
          </w:p>
        </w:tc>
      </w:tr>
      <w:tr w14:paraId="500FB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5611" w:type="dxa"/>
            <w:gridSpan w:val="9"/>
            <w:shd w:val="clear" w:color="auto" w:fill="auto"/>
            <w:noWrap/>
            <w:vAlign w:val="center"/>
          </w:tcPr>
          <w:p w14:paraId="7FE6A43A">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（二）周界安防监控工程</w:t>
            </w:r>
          </w:p>
        </w:tc>
      </w:tr>
      <w:tr w14:paraId="219ED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0" w:hRule="atLeast"/>
        </w:trPr>
        <w:tc>
          <w:tcPr>
            <w:tcW w:w="641" w:type="dxa"/>
            <w:shd w:val="clear" w:color="auto" w:fill="auto"/>
            <w:noWrap/>
            <w:vAlign w:val="center"/>
          </w:tcPr>
          <w:p w14:paraId="1AF53B54">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432" w:type="dxa"/>
            <w:shd w:val="clear" w:color="auto" w:fill="auto"/>
            <w:noWrap/>
            <w:vAlign w:val="center"/>
          </w:tcPr>
          <w:p w14:paraId="39EC71D6">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vAlign w:val="center"/>
          </w:tcPr>
          <w:p w14:paraId="287E1B76">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智能分析报警一体机</w:t>
            </w:r>
          </w:p>
        </w:tc>
        <w:tc>
          <w:tcPr>
            <w:tcW w:w="8560" w:type="dxa"/>
            <w:shd w:val="clear" w:color="auto" w:fill="auto"/>
            <w:vAlign w:val="center"/>
          </w:tcPr>
          <w:p w14:paraId="6DEE7BC9">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一、图像传感器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全景通道：采用≤1/1.8 英寸逐行扫描 CMOS图像传感器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细节通道：采用≤1/2.8 英寸逐行扫描 CMOS图像传感器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二、最低照度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全景通道：彩色≤0.0005Lux @(F1.0，AGC ON)，黑白≤0.0001Lux @(F1.0，AGC ON)，支持0Lux 红外补光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细节通道：彩色≤0.005Lux @(F1.6，AGC ON)，黑白≤0.001Lux @(F1.6，AGC ON)，支持0Lux 红外补光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三、光学性能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光学变倍：全景通道不支持，细节通道≥25 倍光学变倍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焦距：全景通道≥4mm 定焦，细节通道6-150mm 电动变焦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四、补光功能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全景通道：白光补光，人脸识别距离≥ 15 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细节通道：混合补光，白光人脸识别距离≥ 20 米，红外补光距离≥200 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支持防补光过曝功能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五、物理特性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防雷防护：符合不低于GB/T17626.2/3/4/5/6 四级标准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六、视频性能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视频压缩：支持H.265、H.264、MJPEG编码格式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七、接口与扩展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网络接口：≥1 个 RJ45 网口，支持1000M 自适应网络传输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存储扩展：内置 Micro SD 卡插槽，最大支持不小于512GB本地存储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报警接口：≥7 路报警输入，≥2 路报警输出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音频接口：≥1 路音频输入，≥1 路音频输出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复位功能：支持硬件 / 软件复位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八、电气与环境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工作环境：温度 - 40℃~70℃，湿度＜95%（无凝结）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功能支持：内置除雾功能</w:t>
            </w:r>
          </w:p>
        </w:tc>
        <w:tc>
          <w:tcPr>
            <w:tcW w:w="869" w:type="dxa"/>
            <w:shd w:val="clear" w:color="auto" w:fill="auto"/>
            <w:noWrap/>
            <w:vAlign w:val="center"/>
          </w:tcPr>
          <w:p w14:paraId="1490B7C4">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726" w:type="dxa"/>
            <w:shd w:val="clear" w:color="auto" w:fill="auto"/>
            <w:noWrap/>
            <w:vAlign w:val="center"/>
          </w:tcPr>
          <w:p w14:paraId="75848227">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w:t>
            </w:r>
          </w:p>
        </w:tc>
        <w:tc>
          <w:tcPr>
            <w:tcW w:w="995" w:type="dxa"/>
            <w:shd w:val="clear" w:color="auto" w:fill="auto"/>
            <w:noWrap/>
            <w:vAlign w:val="center"/>
          </w:tcPr>
          <w:p w14:paraId="7A23C6FF">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1121" w:type="dxa"/>
            <w:shd w:val="clear" w:color="auto" w:fill="auto"/>
            <w:noWrap/>
            <w:vAlign w:val="center"/>
          </w:tcPr>
          <w:p w14:paraId="1C3813AC">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694" w:type="dxa"/>
            <w:shd w:val="clear" w:color="auto" w:fill="auto"/>
            <w:noWrap/>
            <w:vAlign w:val="center"/>
          </w:tcPr>
          <w:p w14:paraId="6C08057F">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r>
      <w:tr w14:paraId="219D2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60" w:hRule="atLeast"/>
        </w:trPr>
        <w:tc>
          <w:tcPr>
            <w:tcW w:w="641" w:type="dxa"/>
            <w:shd w:val="clear" w:color="auto" w:fill="auto"/>
            <w:noWrap/>
            <w:vAlign w:val="center"/>
          </w:tcPr>
          <w:p w14:paraId="48CCCC7D">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432" w:type="dxa"/>
            <w:shd w:val="clear" w:color="auto" w:fill="auto"/>
            <w:noWrap/>
            <w:vAlign w:val="center"/>
          </w:tcPr>
          <w:p w14:paraId="723B35B1">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vAlign w:val="center"/>
          </w:tcPr>
          <w:p w14:paraId="05AF518A">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枪机支架</w:t>
            </w:r>
          </w:p>
        </w:tc>
        <w:tc>
          <w:tcPr>
            <w:tcW w:w="8560" w:type="dxa"/>
            <w:shd w:val="clear" w:color="auto" w:fill="auto"/>
            <w:vAlign w:val="center"/>
          </w:tcPr>
          <w:p w14:paraId="7FC3E015">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采用铝合金材质，不易生锈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防水等级≥IP66</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包含安装</w:t>
            </w:r>
          </w:p>
        </w:tc>
        <w:tc>
          <w:tcPr>
            <w:tcW w:w="869" w:type="dxa"/>
            <w:shd w:val="clear" w:color="auto" w:fill="auto"/>
            <w:noWrap/>
            <w:vAlign w:val="center"/>
          </w:tcPr>
          <w:p w14:paraId="7FE54AE6">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726" w:type="dxa"/>
            <w:shd w:val="clear" w:color="auto" w:fill="auto"/>
            <w:noWrap/>
            <w:vAlign w:val="center"/>
          </w:tcPr>
          <w:p w14:paraId="44E6D505">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w:t>
            </w:r>
          </w:p>
        </w:tc>
        <w:tc>
          <w:tcPr>
            <w:tcW w:w="995" w:type="dxa"/>
            <w:shd w:val="clear" w:color="auto" w:fill="auto"/>
            <w:noWrap/>
            <w:vAlign w:val="center"/>
          </w:tcPr>
          <w:p w14:paraId="3AB93347">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1121" w:type="dxa"/>
            <w:shd w:val="clear" w:color="auto" w:fill="auto"/>
            <w:noWrap/>
            <w:vAlign w:val="center"/>
          </w:tcPr>
          <w:p w14:paraId="2D3AB5AA">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694" w:type="dxa"/>
            <w:shd w:val="clear" w:color="auto" w:fill="auto"/>
            <w:noWrap/>
            <w:vAlign w:val="center"/>
          </w:tcPr>
          <w:p w14:paraId="5FDEB0B0">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r>
      <w:tr w14:paraId="248A1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trPr>
        <w:tc>
          <w:tcPr>
            <w:tcW w:w="641" w:type="dxa"/>
            <w:shd w:val="clear" w:color="auto" w:fill="auto"/>
            <w:noWrap/>
            <w:vAlign w:val="center"/>
          </w:tcPr>
          <w:p w14:paraId="6933BB35">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432" w:type="dxa"/>
            <w:shd w:val="clear" w:color="auto" w:fill="auto"/>
            <w:noWrap/>
            <w:vAlign w:val="center"/>
          </w:tcPr>
          <w:p w14:paraId="662B6412">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vAlign w:val="center"/>
          </w:tcPr>
          <w:p w14:paraId="40735888">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枪机电源</w:t>
            </w:r>
          </w:p>
        </w:tc>
        <w:tc>
          <w:tcPr>
            <w:tcW w:w="8560" w:type="dxa"/>
            <w:shd w:val="clear" w:color="auto" w:fill="auto"/>
            <w:vAlign w:val="center"/>
          </w:tcPr>
          <w:p w14:paraId="788BC566">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采用AC输入线≥350mm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DC输出端线≥800mm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达到不低于V5能效等级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支持AC100~240V电压供电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支持DC直流输出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通过3C检测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包含安装</w:t>
            </w:r>
          </w:p>
        </w:tc>
        <w:tc>
          <w:tcPr>
            <w:tcW w:w="869" w:type="dxa"/>
            <w:shd w:val="clear" w:color="auto" w:fill="auto"/>
            <w:noWrap/>
            <w:vAlign w:val="center"/>
          </w:tcPr>
          <w:p w14:paraId="25727F32">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726" w:type="dxa"/>
            <w:shd w:val="clear" w:color="auto" w:fill="auto"/>
            <w:noWrap/>
            <w:vAlign w:val="center"/>
          </w:tcPr>
          <w:p w14:paraId="2EBF1A10">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w:t>
            </w:r>
          </w:p>
        </w:tc>
        <w:tc>
          <w:tcPr>
            <w:tcW w:w="995" w:type="dxa"/>
            <w:shd w:val="clear" w:color="auto" w:fill="auto"/>
            <w:noWrap/>
            <w:vAlign w:val="center"/>
          </w:tcPr>
          <w:p w14:paraId="58CE0F35">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1121" w:type="dxa"/>
            <w:shd w:val="clear" w:color="auto" w:fill="auto"/>
            <w:noWrap/>
            <w:vAlign w:val="center"/>
          </w:tcPr>
          <w:p w14:paraId="61C952BC">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694" w:type="dxa"/>
            <w:shd w:val="clear" w:color="auto" w:fill="auto"/>
            <w:noWrap/>
            <w:vAlign w:val="center"/>
          </w:tcPr>
          <w:p w14:paraId="52B9CA55">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r>
      <w:tr w14:paraId="5ABB6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41" w:type="dxa"/>
            <w:shd w:val="clear" w:color="auto" w:fill="auto"/>
            <w:noWrap/>
            <w:vAlign w:val="center"/>
          </w:tcPr>
          <w:p w14:paraId="39FA3B3A">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432" w:type="dxa"/>
            <w:shd w:val="clear" w:color="auto" w:fill="auto"/>
            <w:noWrap/>
            <w:vAlign w:val="center"/>
          </w:tcPr>
          <w:p w14:paraId="5DDFA1F8">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vAlign w:val="center"/>
          </w:tcPr>
          <w:p w14:paraId="62144547">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相机立杆</w:t>
            </w:r>
          </w:p>
        </w:tc>
        <w:tc>
          <w:tcPr>
            <w:tcW w:w="8560" w:type="dxa"/>
            <w:shd w:val="clear" w:color="auto" w:fill="auto"/>
            <w:noWrap/>
            <w:vAlign w:val="center"/>
          </w:tcPr>
          <w:p w14:paraId="40F3A1A5">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定制H=6m监控立杆加横臂，杆径220mm（180mm）、壁厚≥4mm。包含安装</w:t>
            </w:r>
          </w:p>
        </w:tc>
        <w:tc>
          <w:tcPr>
            <w:tcW w:w="869" w:type="dxa"/>
            <w:shd w:val="clear" w:color="auto" w:fill="auto"/>
            <w:noWrap/>
            <w:vAlign w:val="center"/>
          </w:tcPr>
          <w:p w14:paraId="2C4790FD">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726" w:type="dxa"/>
            <w:shd w:val="clear" w:color="auto" w:fill="auto"/>
            <w:noWrap/>
            <w:vAlign w:val="center"/>
          </w:tcPr>
          <w:p w14:paraId="74ECC3BF">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995" w:type="dxa"/>
            <w:shd w:val="clear" w:color="auto" w:fill="auto"/>
            <w:noWrap/>
            <w:vAlign w:val="center"/>
          </w:tcPr>
          <w:p w14:paraId="02152DAC">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1121" w:type="dxa"/>
            <w:shd w:val="clear" w:color="auto" w:fill="auto"/>
            <w:noWrap/>
            <w:vAlign w:val="center"/>
          </w:tcPr>
          <w:p w14:paraId="6A1CC341">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694" w:type="dxa"/>
            <w:shd w:val="clear" w:color="auto" w:fill="auto"/>
            <w:noWrap/>
            <w:vAlign w:val="center"/>
          </w:tcPr>
          <w:p w14:paraId="22233C67">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r>
      <w:tr w14:paraId="0E8C1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41" w:type="dxa"/>
            <w:shd w:val="clear" w:color="auto" w:fill="auto"/>
            <w:noWrap/>
            <w:vAlign w:val="center"/>
          </w:tcPr>
          <w:p w14:paraId="009891EA">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432" w:type="dxa"/>
            <w:shd w:val="clear" w:color="auto" w:fill="auto"/>
            <w:noWrap/>
            <w:vAlign w:val="center"/>
          </w:tcPr>
          <w:p w14:paraId="1052003E">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vAlign w:val="center"/>
          </w:tcPr>
          <w:p w14:paraId="5C6AE361">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杆件抱杆箱</w:t>
            </w:r>
          </w:p>
        </w:tc>
        <w:tc>
          <w:tcPr>
            <w:tcW w:w="8560" w:type="dxa"/>
            <w:shd w:val="clear" w:color="auto" w:fill="auto"/>
            <w:noWrap/>
            <w:vAlign w:val="center"/>
          </w:tcPr>
          <w:p w14:paraId="25543011">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防水抱杆箱,包含安装</w:t>
            </w:r>
          </w:p>
        </w:tc>
        <w:tc>
          <w:tcPr>
            <w:tcW w:w="869" w:type="dxa"/>
            <w:shd w:val="clear" w:color="auto" w:fill="auto"/>
            <w:noWrap/>
            <w:vAlign w:val="center"/>
          </w:tcPr>
          <w:p w14:paraId="21F47427">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726" w:type="dxa"/>
            <w:shd w:val="clear" w:color="auto" w:fill="auto"/>
            <w:noWrap/>
            <w:vAlign w:val="center"/>
          </w:tcPr>
          <w:p w14:paraId="4542B677">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995" w:type="dxa"/>
            <w:shd w:val="clear" w:color="auto" w:fill="auto"/>
            <w:noWrap/>
            <w:vAlign w:val="center"/>
          </w:tcPr>
          <w:p w14:paraId="1919B939">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1121" w:type="dxa"/>
            <w:shd w:val="clear" w:color="auto" w:fill="auto"/>
            <w:noWrap/>
            <w:vAlign w:val="center"/>
          </w:tcPr>
          <w:p w14:paraId="6BEE566D">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694" w:type="dxa"/>
            <w:shd w:val="clear" w:color="auto" w:fill="auto"/>
            <w:noWrap/>
            <w:vAlign w:val="center"/>
          </w:tcPr>
          <w:p w14:paraId="133D1C3C">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r>
      <w:tr w14:paraId="305AD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0" w:hRule="atLeast"/>
        </w:trPr>
        <w:tc>
          <w:tcPr>
            <w:tcW w:w="641" w:type="dxa"/>
            <w:shd w:val="clear" w:color="auto" w:fill="auto"/>
            <w:noWrap/>
            <w:vAlign w:val="center"/>
          </w:tcPr>
          <w:p w14:paraId="06D6AB93">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432" w:type="dxa"/>
            <w:shd w:val="clear" w:color="auto" w:fill="auto"/>
            <w:noWrap/>
            <w:vAlign w:val="center"/>
          </w:tcPr>
          <w:p w14:paraId="5A985D11">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vAlign w:val="center"/>
          </w:tcPr>
          <w:p w14:paraId="0C8586AC">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云台照明探照灯</w:t>
            </w:r>
          </w:p>
        </w:tc>
        <w:tc>
          <w:tcPr>
            <w:tcW w:w="8560" w:type="dxa"/>
            <w:shd w:val="clear" w:color="auto" w:fill="auto"/>
            <w:vAlign w:val="center"/>
          </w:tcPr>
          <w:p w14:paraId="4B8DEAB8">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一、光源参数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1.光源类型：LED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2.功率：80～160Ｗ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3.色温：6500Ｋ可定制（2700-6500K）</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4.输入电压：AC220V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5.防水等级：≥IP65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6.光源寿命：≥30000Ｈ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7.光束角：≥L/8°；≥H/4°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8.最大光强：≥160000cd</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9.照射距离：L≥300米（1Lux）；H≥800米（1Lux）</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二、云台参数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1.旋转速度：水平12°，30°/S；俯仰2，6°/S；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2.旋转角度：水平0～350°；俯30°仰15°；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3.控制方式：遥控器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包含安装、调试</w:t>
            </w:r>
          </w:p>
        </w:tc>
        <w:tc>
          <w:tcPr>
            <w:tcW w:w="869" w:type="dxa"/>
            <w:shd w:val="clear" w:color="auto" w:fill="auto"/>
            <w:noWrap/>
            <w:vAlign w:val="center"/>
          </w:tcPr>
          <w:p w14:paraId="0E9435AC">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726" w:type="dxa"/>
            <w:shd w:val="clear" w:color="auto" w:fill="auto"/>
            <w:noWrap/>
            <w:vAlign w:val="center"/>
          </w:tcPr>
          <w:p w14:paraId="427DC402">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995" w:type="dxa"/>
            <w:shd w:val="clear" w:color="auto" w:fill="auto"/>
            <w:noWrap/>
            <w:vAlign w:val="center"/>
          </w:tcPr>
          <w:p w14:paraId="6444579F">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1121" w:type="dxa"/>
            <w:shd w:val="clear" w:color="auto" w:fill="auto"/>
            <w:noWrap/>
            <w:vAlign w:val="center"/>
          </w:tcPr>
          <w:p w14:paraId="5185ADC6">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694" w:type="dxa"/>
            <w:shd w:val="clear" w:color="auto" w:fill="auto"/>
            <w:noWrap/>
            <w:vAlign w:val="center"/>
          </w:tcPr>
          <w:p w14:paraId="128B67B8">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r>
      <w:tr w14:paraId="0866A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0" w:hRule="atLeast"/>
        </w:trPr>
        <w:tc>
          <w:tcPr>
            <w:tcW w:w="641" w:type="dxa"/>
            <w:shd w:val="clear" w:color="auto" w:fill="auto"/>
            <w:noWrap/>
            <w:vAlign w:val="center"/>
          </w:tcPr>
          <w:p w14:paraId="5A4B8290">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432" w:type="dxa"/>
            <w:shd w:val="clear" w:color="auto" w:fill="auto"/>
            <w:noWrap/>
            <w:vAlign w:val="center"/>
          </w:tcPr>
          <w:p w14:paraId="3A8240D1">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vAlign w:val="center"/>
          </w:tcPr>
          <w:p w14:paraId="1479CC55">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补光灯</w:t>
            </w:r>
          </w:p>
        </w:tc>
        <w:tc>
          <w:tcPr>
            <w:tcW w:w="8560" w:type="dxa"/>
            <w:shd w:val="clear" w:color="auto" w:fill="auto"/>
            <w:vAlign w:val="center"/>
          </w:tcPr>
          <w:p w14:paraId="5310363A">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功率:≥25w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LED灯数量:1-3WLED灯珠≥20颗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控制:光敏控制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色温:6000-7000K正白(可选冷白、暖白)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流明值:≥30001m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工作电压: AC220V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工作温度:一35度~ + 85度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防护等级:≥IP66，室内外通用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开启照度:≤6Lux (可调节)关闭照度:≥9Lux (可调节)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补光距离: 1米-50米 (根据透镜角度而定)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透镜角度:15°/30°/ 45° /60°/90° (可选)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包含安装、调试</w:t>
            </w:r>
          </w:p>
        </w:tc>
        <w:tc>
          <w:tcPr>
            <w:tcW w:w="869" w:type="dxa"/>
            <w:shd w:val="clear" w:color="auto" w:fill="auto"/>
            <w:noWrap/>
            <w:vAlign w:val="center"/>
          </w:tcPr>
          <w:p w14:paraId="2EE09441">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726" w:type="dxa"/>
            <w:shd w:val="clear" w:color="auto" w:fill="auto"/>
            <w:noWrap/>
            <w:vAlign w:val="center"/>
          </w:tcPr>
          <w:p w14:paraId="592110CA">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995" w:type="dxa"/>
            <w:shd w:val="clear" w:color="auto" w:fill="auto"/>
            <w:noWrap/>
            <w:vAlign w:val="center"/>
          </w:tcPr>
          <w:p w14:paraId="28A22D94">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1121" w:type="dxa"/>
            <w:shd w:val="clear" w:color="auto" w:fill="auto"/>
            <w:noWrap/>
            <w:vAlign w:val="center"/>
          </w:tcPr>
          <w:p w14:paraId="3F3C3221">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694" w:type="dxa"/>
            <w:shd w:val="clear" w:color="auto" w:fill="auto"/>
            <w:noWrap/>
            <w:vAlign w:val="center"/>
          </w:tcPr>
          <w:p w14:paraId="374E1DDA">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r>
      <w:tr w14:paraId="47F5D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0" w:hRule="atLeast"/>
        </w:trPr>
        <w:tc>
          <w:tcPr>
            <w:tcW w:w="641" w:type="dxa"/>
            <w:shd w:val="clear" w:color="auto" w:fill="auto"/>
            <w:noWrap/>
            <w:vAlign w:val="center"/>
          </w:tcPr>
          <w:p w14:paraId="42F808B0">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432" w:type="dxa"/>
            <w:shd w:val="clear" w:color="auto" w:fill="auto"/>
            <w:noWrap/>
            <w:vAlign w:val="center"/>
          </w:tcPr>
          <w:p w14:paraId="1F3E8529">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vAlign w:val="center"/>
          </w:tcPr>
          <w:p w14:paraId="1A843EA5">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前端接入交换机</w:t>
            </w:r>
          </w:p>
        </w:tc>
        <w:tc>
          <w:tcPr>
            <w:tcW w:w="8560" w:type="dxa"/>
            <w:shd w:val="clear" w:color="auto" w:fill="auto"/>
            <w:vAlign w:val="center"/>
          </w:tcPr>
          <w:p w14:paraId="7E2E3D0C">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交换容量：670Gbps；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包转发率：120Mpps；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安装方式：导轨式安装；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电源接口：凤凰端子；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防护等级：IP41、IK06；</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业务端口：具备8个10/100BASE-T电口(PoE)、2个10/100/1000BASE-T电口、2个100/1000Base-X SFP光口；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拨码开关：端口隔离/远距离PoE；</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供电方式：支持双电源输入（需另配适配器及配件线）；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空载功耗：≤7W；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满载功耗：≤137W；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PoE：Port1-8≤30W，总功率≤137W；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散热方式：无风扇，自然散热；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工作湿度：5%～95%RH（无凝结）；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工作温度：-40℃～85℃；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智能PoE功能检查：支持通过拨码或WEB开启远距离供电，可支持最大250 米网线长距离PoE供电。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统一管理功能检查：支持在APP、管理平台中对接入的交换机、交换机下终端设备(摄像机、球机、存储设备)进行统一管理、监控、拓扑管理、告警等功能。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包含安装、调试</w:t>
            </w:r>
          </w:p>
        </w:tc>
        <w:tc>
          <w:tcPr>
            <w:tcW w:w="869" w:type="dxa"/>
            <w:shd w:val="clear" w:color="auto" w:fill="auto"/>
            <w:noWrap/>
            <w:vAlign w:val="center"/>
          </w:tcPr>
          <w:p w14:paraId="30199EAB">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726" w:type="dxa"/>
            <w:shd w:val="clear" w:color="auto" w:fill="auto"/>
            <w:noWrap/>
            <w:vAlign w:val="center"/>
          </w:tcPr>
          <w:p w14:paraId="7DF98AD7">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995" w:type="dxa"/>
            <w:shd w:val="clear" w:color="auto" w:fill="auto"/>
            <w:noWrap/>
            <w:vAlign w:val="center"/>
          </w:tcPr>
          <w:p w14:paraId="1EC66EFB">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1121" w:type="dxa"/>
            <w:shd w:val="clear" w:color="auto" w:fill="auto"/>
            <w:noWrap/>
            <w:vAlign w:val="center"/>
          </w:tcPr>
          <w:p w14:paraId="47749CA5">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694" w:type="dxa"/>
            <w:shd w:val="clear" w:color="auto" w:fill="auto"/>
            <w:noWrap/>
            <w:vAlign w:val="center"/>
          </w:tcPr>
          <w:p w14:paraId="6C46F002">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r>
      <w:tr w14:paraId="74DBD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641" w:type="dxa"/>
            <w:shd w:val="clear" w:color="auto" w:fill="auto"/>
            <w:noWrap/>
            <w:vAlign w:val="center"/>
          </w:tcPr>
          <w:p w14:paraId="352F28A9">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432" w:type="dxa"/>
            <w:shd w:val="clear" w:color="auto" w:fill="auto"/>
            <w:noWrap/>
            <w:vAlign w:val="center"/>
          </w:tcPr>
          <w:p w14:paraId="4670DDFA">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vAlign w:val="center"/>
          </w:tcPr>
          <w:p w14:paraId="1C29301D">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光缆、电源穿线管</w:t>
            </w:r>
          </w:p>
        </w:tc>
        <w:tc>
          <w:tcPr>
            <w:tcW w:w="8560" w:type="dxa"/>
            <w:shd w:val="clear" w:color="auto" w:fill="auto"/>
            <w:vAlign w:val="center"/>
          </w:tcPr>
          <w:p w14:paraId="74FD4AF5">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DN25 JDG管。包含布管、穿线。</w:t>
            </w:r>
          </w:p>
        </w:tc>
        <w:tc>
          <w:tcPr>
            <w:tcW w:w="869" w:type="dxa"/>
            <w:shd w:val="clear" w:color="auto" w:fill="auto"/>
            <w:noWrap/>
            <w:vAlign w:val="center"/>
          </w:tcPr>
          <w:p w14:paraId="13FE94DE">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726" w:type="dxa"/>
            <w:shd w:val="clear" w:color="auto" w:fill="auto"/>
            <w:noWrap/>
            <w:vAlign w:val="center"/>
          </w:tcPr>
          <w:p w14:paraId="3A23C4F5">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8085</w:t>
            </w:r>
          </w:p>
        </w:tc>
        <w:tc>
          <w:tcPr>
            <w:tcW w:w="995" w:type="dxa"/>
            <w:shd w:val="clear" w:color="auto" w:fill="auto"/>
            <w:noWrap/>
            <w:vAlign w:val="center"/>
          </w:tcPr>
          <w:p w14:paraId="4BC0B398">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1121" w:type="dxa"/>
            <w:shd w:val="clear" w:color="auto" w:fill="auto"/>
            <w:noWrap/>
            <w:vAlign w:val="center"/>
          </w:tcPr>
          <w:p w14:paraId="61DCFB10">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694" w:type="dxa"/>
            <w:shd w:val="clear" w:color="auto" w:fill="auto"/>
            <w:noWrap/>
            <w:vAlign w:val="center"/>
          </w:tcPr>
          <w:p w14:paraId="1EB1CA1C">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r>
      <w:tr w14:paraId="0B59C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41" w:type="dxa"/>
            <w:shd w:val="clear" w:color="auto" w:fill="auto"/>
            <w:noWrap/>
            <w:vAlign w:val="center"/>
          </w:tcPr>
          <w:p w14:paraId="034D18A5">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432" w:type="dxa"/>
            <w:shd w:val="clear" w:color="auto" w:fill="auto"/>
            <w:noWrap/>
            <w:vAlign w:val="center"/>
          </w:tcPr>
          <w:p w14:paraId="5302BCE5">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noWrap/>
            <w:vAlign w:val="center"/>
          </w:tcPr>
          <w:p w14:paraId="22EB7C06">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监控电源线</w:t>
            </w:r>
          </w:p>
        </w:tc>
        <w:tc>
          <w:tcPr>
            <w:tcW w:w="8560" w:type="dxa"/>
            <w:shd w:val="clear" w:color="auto" w:fill="auto"/>
            <w:vAlign w:val="center"/>
          </w:tcPr>
          <w:p w14:paraId="0F3E6BE7">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ZR-BVR-3*2.5包含布管、穿线。</w:t>
            </w:r>
          </w:p>
        </w:tc>
        <w:tc>
          <w:tcPr>
            <w:tcW w:w="869" w:type="dxa"/>
            <w:shd w:val="clear" w:color="auto" w:fill="auto"/>
            <w:noWrap/>
            <w:vAlign w:val="center"/>
          </w:tcPr>
          <w:p w14:paraId="7CD72771">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726" w:type="dxa"/>
            <w:shd w:val="clear" w:color="auto" w:fill="auto"/>
            <w:noWrap/>
            <w:vAlign w:val="center"/>
          </w:tcPr>
          <w:p w14:paraId="46D4AF97">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3676</w:t>
            </w:r>
          </w:p>
        </w:tc>
        <w:tc>
          <w:tcPr>
            <w:tcW w:w="995" w:type="dxa"/>
            <w:shd w:val="clear" w:color="auto" w:fill="auto"/>
            <w:noWrap/>
            <w:vAlign w:val="center"/>
          </w:tcPr>
          <w:p w14:paraId="63BA5B4C">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1121" w:type="dxa"/>
            <w:shd w:val="clear" w:color="auto" w:fill="auto"/>
            <w:noWrap/>
            <w:vAlign w:val="center"/>
          </w:tcPr>
          <w:p w14:paraId="5D36F2B1">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694" w:type="dxa"/>
            <w:shd w:val="clear" w:color="auto" w:fill="auto"/>
            <w:noWrap/>
            <w:vAlign w:val="center"/>
          </w:tcPr>
          <w:p w14:paraId="4172ABB0">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r>
      <w:tr w14:paraId="07F29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641" w:type="dxa"/>
            <w:shd w:val="clear" w:color="auto" w:fill="auto"/>
            <w:noWrap/>
            <w:vAlign w:val="center"/>
          </w:tcPr>
          <w:p w14:paraId="617D62DD">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432" w:type="dxa"/>
            <w:shd w:val="clear" w:color="auto" w:fill="auto"/>
            <w:noWrap/>
            <w:vAlign w:val="center"/>
          </w:tcPr>
          <w:p w14:paraId="705A6C3B">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noWrap/>
            <w:vAlign w:val="center"/>
          </w:tcPr>
          <w:p w14:paraId="7EC1F019">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电源线</w:t>
            </w:r>
          </w:p>
        </w:tc>
        <w:tc>
          <w:tcPr>
            <w:tcW w:w="8560" w:type="dxa"/>
            <w:shd w:val="clear" w:color="auto" w:fill="auto"/>
            <w:vAlign w:val="center"/>
          </w:tcPr>
          <w:p w14:paraId="33FAB3BB">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ZR-YJV-3*4包含布管、穿线。</w:t>
            </w:r>
          </w:p>
        </w:tc>
        <w:tc>
          <w:tcPr>
            <w:tcW w:w="869" w:type="dxa"/>
            <w:shd w:val="clear" w:color="auto" w:fill="auto"/>
            <w:noWrap/>
            <w:vAlign w:val="center"/>
          </w:tcPr>
          <w:p w14:paraId="49066095">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726" w:type="dxa"/>
            <w:shd w:val="clear" w:color="auto" w:fill="auto"/>
            <w:noWrap/>
            <w:vAlign w:val="center"/>
          </w:tcPr>
          <w:p w14:paraId="2DE003A9">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1010</w:t>
            </w:r>
          </w:p>
        </w:tc>
        <w:tc>
          <w:tcPr>
            <w:tcW w:w="995" w:type="dxa"/>
            <w:shd w:val="clear" w:color="auto" w:fill="auto"/>
            <w:noWrap/>
            <w:vAlign w:val="center"/>
          </w:tcPr>
          <w:p w14:paraId="03E80E9F">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1121" w:type="dxa"/>
            <w:shd w:val="clear" w:color="auto" w:fill="auto"/>
            <w:noWrap/>
            <w:vAlign w:val="center"/>
          </w:tcPr>
          <w:p w14:paraId="46CBF666">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694" w:type="dxa"/>
            <w:shd w:val="clear" w:color="auto" w:fill="auto"/>
            <w:noWrap/>
            <w:vAlign w:val="center"/>
          </w:tcPr>
          <w:p w14:paraId="00B62451">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r>
      <w:tr w14:paraId="1A9B7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41" w:type="dxa"/>
            <w:shd w:val="clear" w:color="auto" w:fill="auto"/>
            <w:noWrap/>
            <w:vAlign w:val="center"/>
          </w:tcPr>
          <w:p w14:paraId="1245AE72">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432" w:type="dxa"/>
            <w:shd w:val="clear" w:color="auto" w:fill="auto"/>
            <w:noWrap/>
            <w:vAlign w:val="center"/>
          </w:tcPr>
          <w:p w14:paraId="7213517D">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vAlign w:val="center"/>
          </w:tcPr>
          <w:p w14:paraId="1C5B7A36">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双绞线</w:t>
            </w:r>
          </w:p>
        </w:tc>
        <w:tc>
          <w:tcPr>
            <w:tcW w:w="8560" w:type="dxa"/>
            <w:shd w:val="clear" w:color="auto" w:fill="auto"/>
            <w:vAlign w:val="center"/>
          </w:tcPr>
          <w:p w14:paraId="167D3052">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室外六类非屏蔽双绞线，包含穿线。</w:t>
            </w:r>
          </w:p>
        </w:tc>
        <w:tc>
          <w:tcPr>
            <w:tcW w:w="869" w:type="dxa"/>
            <w:shd w:val="clear" w:color="auto" w:fill="auto"/>
            <w:noWrap/>
            <w:vAlign w:val="center"/>
          </w:tcPr>
          <w:p w14:paraId="39B7B6B1">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726" w:type="dxa"/>
            <w:shd w:val="clear" w:color="auto" w:fill="auto"/>
            <w:noWrap/>
            <w:vAlign w:val="center"/>
          </w:tcPr>
          <w:p w14:paraId="4F8D81A5">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3334</w:t>
            </w:r>
          </w:p>
        </w:tc>
        <w:tc>
          <w:tcPr>
            <w:tcW w:w="995" w:type="dxa"/>
            <w:shd w:val="clear" w:color="auto" w:fill="auto"/>
            <w:noWrap/>
            <w:vAlign w:val="center"/>
          </w:tcPr>
          <w:p w14:paraId="74608AA3">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1121" w:type="dxa"/>
            <w:shd w:val="clear" w:color="auto" w:fill="auto"/>
            <w:noWrap/>
            <w:vAlign w:val="center"/>
          </w:tcPr>
          <w:p w14:paraId="0D205CD4">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694" w:type="dxa"/>
            <w:shd w:val="clear" w:color="auto" w:fill="auto"/>
            <w:noWrap/>
            <w:vAlign w:val="center"/>
          </w:tcPr>
          <w:p w14:paraId="5A39A389">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r>
      <w:tr w14:paraId="729C5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41" w:type="dxa"/>
            <w:shd w:val="clear" w:color="auto" w:fill="auto"/>
            <w:noWrap/>
            <w:vAlign w:val="center"/>
          </w:tcPr>
          <w:p w14:paraId="3ECC5ED4">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432" w:type="dxa"/>
            <w:shd w:val="clear" w:color="auto" w:fill="auto"/>
            <w:noWrap/>
            <w:vAlign w:val="center"/>
          </w:tcPr>
          <w:p w14:paraId="0AC9E387">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noWrap/>
            <w:vAlign w:val="center"/>
          </w:tcPr>
          <w:p w14:paraId="41944F1C">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光纤熔接费</w:t>
            </w:r>
          </w:p>
        </w:tc>
        <w:tc>
          <w:tcPr>
            <w:tcW w:w="8560" w:type="dxa"/>
            <w:shd w:val="clear" w:color="auto" w:fill="auto"/>
            <w:vAlign w:val="center"/>
          </w:tcPr>
          <w:p w14:paraId="1D3AA7B8">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光纤熔接，包含热熔管</w:t>
            </w:r>
          </w:p>
        </w:tc>
        <w:tc>
          <w:tcPr>
            <w:tcW w:w="869" w:type="dxa"/>
            <w:shd w:val="clear" w:color="auto" w:fill="auto"/>
            <w:noWrap/>
            <w:vAlign w:val="center"/>
          </w:tcPr>
          <w:p w14:paraId="467AF7CE">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芯</w:t>
            </w:r>
          </w:p>
        </w:tc>
        <w:tc>
          <w:tcPr>
            <w:tcW w:w="726" w:type="dxa"/>
            <w:shd w:val="clear" w:color="auto" w:fill="auto"/>
            <w:noWrap/>
            <w:vAlign w:val="center"/>
          </w:tcPr>
          <w:p w14:paraId="38966840">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w:t>
            </w:r>
          </w:p>
        </w:tc>
        <w:tc>
          <w:tcPr>
            <w:tcW w:w="995" w:type="dxa"/>
            <w:shd w:val="clear" w:color="auto" w:fill="auto"/>
            <w:noWrap/>
            <w:vAlign w:val="center"/>
          </w:tcPr>
          <w:p w14:paraId="6CBF940D">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1121" w:type="dxa"/>
            <w:shd w:val="clear" w:color="auto" w:fill="auto"/>
            <w:noWrap/>
            <w:vAlign w:val="center"/>
          </w:tcPr>
          <w:p w14:paraId="0F9EF4C0">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694" w:type="dxa"/>
            <w:shd w:val="clear" w:color="auto" w:fill="auto"/>
            <w:noWrap/>
            <w:vAlign w:val="center"/>
          </w:tcPr>
          <w:p w14:paraId="3814798B">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r>
      <w:tr w14:paraId="452CB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641" w:type="dxa"/>
            <w:shd w:val="clear" w:color="auto" w:fill="auto"/>
            <w:noWrap/>
            <w:vAlign w:val="center"/>
          </w:tcPr>
          <w:p w14:paraId="730A0D5D">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432" w:type="dxa"/>
            <w:shd w:val="clear" w:color="auto" w:fill="auto"/>
            <w:noWrap/>
            <w:vAlign w:val="center"/>
          </w:tcPr>
          <w:p w14:paraId="221B0FB2">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573" w:type="dxa"/>
            <w:shd w:val="clear" w:color="auto" w:fill="auto"/>
            <w:vAlign w:val="center"/>
          </w:tcPr>
          <w:p w14:paraId="4FD6B260">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配套材料</w:t>
            </w:r>
          </w:p>
        </w:tc>
        <w:tc>
          <w:tcPr>
            <w:tcW w:w="8560" w:type="dxa"/>
            <w:shd w:val="clear" w:color="auto" w:fill="auto"/>
            <w:vAlign w:val="center"/>
          </w:tcPr>
          <w:p w14:paraId="615E88C0">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包含螺丝、水晶头、胶布、标签纸、软管、接头、弯头、插板、插头、光纤熔接盒等</w:t>
            </w:r>
          </w:p>
        </w:tc>
        <w:tc>
          <w:tcPr>
            <w:tcW w:w="869" w:type="dxa"/>
            <w:shd w:val="clear" w:color="auto" w:fill="auto"/>
            <w:noWrap/>
            <w:vAlign w:val="center"/>
          </w:tcPr>
          <w:p w14:paraId="6939B7C0">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726" w:type="dxa"/>
            <w:shd w:val="clear" w:color="auto" w:fill="auto"/>
            <w:noWrap/>
            <w:vAlign w:val="center"/>
          </w:tcPr>
          <w:p w14:paraId="0EF3F797">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95" w:type="dxa"/>
            <w:shd w:val="clear" w:color="auto" w:fill="auto"/>
            <w:noWrap/>
            <w:vAlign w:val="center"/>
          </w:tcPr>
          <w:p w14:paraId="4C2CAD48">
            <w:pPr>
              <w:keepNext w:val="0"/>
              <w:keepLines w:val="0"/>
              <w:widowControl/>
              <w:suppressLineNumbers w:val="0"/>
              <w:jc w:val="right"/>
              <w:textAlignment w:val="center"/>
              <w:rPr>
                <w:rFonts w:hint="eastAsia" w:ascii="宋体" w:hAnsi="宋体" w:eastAsia="宋体" w:cs="宋体"/>
                <w:i w:val="0"/>
                <w:iCs w:val="0"/>
                <w:color w:val="000000"/>
                <w:kern w:val="2"/>
                <w:sz w:val="18"/>
                <w:szCs w:val="18"/>
                <w:u w:val="none"/>
                <w:lang w:val="en-US" w:eastAsia="zh-CN" w:bidi="ar-SA"/>
              </w:rPr>
            </w:pPr>
          </w:p>
        </w:tc>
        <w:tc>
          <w:tcPr>
            <w:tcW w:w="1121" w:type="dxa"/>
            <w:shd w:val="clear" w:color="auto" w:fill="auto"/>
            <w:noWrap/>
            <w:vAlign w:val="center"/>
          </w:tcPr>
          <w:p w14:paraId="02FD698E">
            <w:pPr>
              <w:keepNext w:val="0"/>
              <w:keepLines w:val="0"/>
              <w:widowControl/>
              <w:suppressLineNumbers w:val="0"/>
              <w:jc w:val="right"/>
              <w:textAlignment w:val="center"/>
              <w:rPr>
                <w:rFonts w:hint="eastAsia" w:ascii="宋体" w:hAnsi="宋体" w:eastAsia="宋体" w:cs="宋体"/>
                <w:i w:val="0"/>
                <w:iCs w:val="0"/>
                <w:color w:val="000000"/>
                <w:kern w:val="2"/>
                <w:sz w:val="18"/>
                <w:szCs w:val="18"/>
                <w:u w:val="none"/>
                <w:lang w:val="en-US" w:eastAsia="zh-CN" w:bidi="ar-SA"/>
              </w:rPr>
            </w:pPr>
          </w:p>
        </w:tc>
        <w:tc>
          <w:tcPr>
            <w:tcW w:w="694" w:type="dxa"/>
            <w:shd w:val="clear" w:color="auto" w:fill="auto"/>
            <w:noWrap/>
            <w:vAlign w:val="center"/>
          </w:tcPr>
          <w:p w14:paraId="19E4C6CD">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r>
      <w:tr w14:paraId="73BD9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41" w:type="dxa"/>
            <w:shd w:val="clear" w:color="auto" w:fill="auto"/>
            <w:noWrap/>
            <w:vAlign w:val="center"/>
          </w:tcPr>
          <w:p w14:paraId="3ADC1391">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432" w:type="dxa"/>
            <w:shd w:val="clear" w:color="auto" w:fill="auto"/>
            <w:noWrap/>
            <w:vAlign w:val="center"/>
          </w:tcPr>
          <w:p w14:paraId="18414CB8">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0133" w:type="dxa"/>
            <w:gridSpan w:val="2"/>
            <w:shd w:val="clear" w:color="auto" w:fill="auto"/>
            <w:noWrap/>
            <w:vAlign w:val="center"/>
          </w:tcPr>
          <w:p w14:paraId="07384062">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小计7：元</w:t>
            </w:r>
          </w:p>
        </w:tc>
        <w:tc>
          <w:tcPr>
            <w:tcW w:w="869" w:type="dxa"/>
            <w:shd w:val="clear" w:color="auto" w:fill="auto"/>
            <w:noWrap/>
            <w:vAlign w:val="center"/>
          </w:tcPr>
          <w:p w14:paraId="77DDCCF1">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726" w:type="dxa"/>
            <w:shd w:val="clear" w:color="auto" w:fill="auto"/>
            <w:noWrap/>
            <w:vAlign w:val="center"/>
          </w:tcPr>
          <w:p w14:paraId="431499DD">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995" w:type="dxa"/>
            <w:shd w:val="clear" w:color="auto" w:fill="auto"/>
            <w:noWrap/>
            <w:vAlign w:val="center"/>
          </w:tcPr>
          <w:p w14:paraId="4F4F8F06">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121" w:type="dxa"/>
            <w:shd w:val="clear" w:color="auto" w:fill="auto"/>
            <w:noWrap/>
            <w:vAlign w:val="center"/>
          </w:tcPr>
          <w:p w14:paraId="52817043">
            <w:pPr>
              <w:jc w:val="center"/>
              <w:rPr>
                <w:rFonts w:hint="eastAsia" w:ascii="宋体" w:hAnsi="宋体" w:eastAsia="宋体" w:cs="宋体"/>
                <w:i w:val="0"/>
                <w:iCs w:val="0"/>
                <w:color w:val="000000"/>
                <w:kern w:val="2"/>
                <w:sz w:val="16"/>
                <w:szCs w:val="16"/>
                <w:u w:val="none"/>
                <w:lang w:val="en-US" w:eastAsia="zh-CN" w:bidi="ar-SA"/>
              </w:rPr>
            </w:pPr>
          </w:p>
        </w:tc>
        <w:tc>
          <w:tcPr>
            <w:tcW w:w="694" w:type="dxa"/>
            <w:shd w:val="clear" w:color="auto" w:fill="auto"/>
            <w:noWrap/>
            <w:vAlign w:val="center"/>
          </w:tcPr>
          <w:p w14:paraId="38ED7658">
            <w:pPr>
              <w:keepNext w:val="0"/>
              <w:keepLines w:val="0"/>
              <w:widowControl/>
              <w:suppressLineNumbers w:val="0"/>
              <w:jc w:val="right"/>
              <w:textAlignment w:val="center"/>
              <w:rPr>
                <w:rFonts w:hint="eastAsia"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0"/>
                <w:sz w:val="20"/>
                <w:szCs w:val="20"/>
                <w:u w:val="none"/>
                <w:lang w:val="en-US" w:eastAsia="zh-CN" w:bidi="ar"/>
              </w:rPr>
              <w:t xml:space="preserve"> </w:t>
            </w:r>
          </w:p>
        </w:tc>
      </w:tr>
      <w:tr w14:paraId="32F53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41" w:type="dxa"/>
            <w:shd w:val="clear" w:color="auto" w:fill="auto"/>
            <w:noWrap/>
            <w:vAlign w:val="center"/>
          </w:tcPr>
          <w:p w14:paraId="4D2BC1D2">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A</w:t>
            </w:r>
          </w:p>
        </w:tc>
        <w:tc>
          <w:tcPr>
            <w:tcW w:w="432" w:type="dxa"/>
            <w:shd w:val="clear" w:color="auto" w:fill="auto"/>
            <w:noWrap/>
            <w:vAlign w:val="center"/>
          </w:tcPr>
          <w:p w14:paraId="61A8A3E6">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b/>
                <w:bCs/>
                <w:i w:val="0"/>
                <w:iCs w:val="0"/>
                <w:color w:val="000000"/>
                <w:sz w:val="20"/>
                <w:szCs w:val="20"/>
                <w:u w:val="none"/>
              </w:rPr>
            </w:pPr>
          </w:p>
        </w:tc>
        <w:tc>
          <w:tcPr>
            <w:tcW w:w="1573" w:type="dxa"/>
            <w:shd w:val="clear" w:color="auto" w:fill="auto"/>
            <w:noWrap/>
            <w:vAlign w:val="center"/>
          </w:tcPr>
          <w:p w14:paraId="367C8CB8">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8560" w:type="dxa"/>
            <w:shd w:val="clear" w:color="auto" w:fill="auto"/>
            <w:vAlign w:val="center"/>
          </w:tcPr>
          <w:p w14:paraId="412F1F68">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小计1+小计2+小计3+小计4+小计5+小计6+小计7</w:t>
            </w:r>
          </w:p>
        </w:tc>
        <w:tc>
          <w:tcPr>
            <w:tcW w:w="869" w:type="dxa"/>
            <w:shd w:val="clear" w:color="auto" w:fill="auto"/>
            <w:noWrap/>
            <w:vAlign w:val="center"/>
          </w:tcPr>
          <w:p w14:paraId="4DE871E6">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726" w:type="dxa"/>
            <w:shd w:val="clear" w:color="auto" w:fill="auto"/>
            <w:noWrap/>
            <w:vAlign w:val="center"/>
          </w:tcPr>
          <w:p w14:paraId="198F9A38">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995" w:type="dxa"/>
            <w:shd w:val="clear" w:color="auto" w:fill="auto"/>
            <w:noWrap/>
            <w:vAlign w:val="center"/>
          </w:tcPr>
          <w:p w14:paraId="66FBA6C2">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121" w:type="dxa"/>
            <w:shd w:val="clear" w:color="auto" w:fill="auto"/>
            <w:noWrap/>
            <w:vAlign w:val="center"/>
          </w:tcPr>
          <w:p w14:paraId="35CB9896">
            <w:pPr>
              <w:keepNext w:val="0"/>
              <w:keepLines w:val="0"/>
              <w:widowControl/>
              <w:suppressLineNumbers w:val="0"/>
              <w:jc w:val="right"/>
              <w:textAlignment w:val="center"/>
              <w:rPr>
                <w:rFonts w:hint="eastAsia" w:ascii="宋体" w:hAnsi="宋体" w:eastAsia="宋体" w:cs="宋体"/>
                <w:b/>
                <w:bCs/>
                <w:i w:val="0"/>
                <w:iCs w:val="0"/>
                <w:color w:val="000000"/>
                <w:kern w:val="2"/>
                <w:sz w:val="16"/>
                <w:szCs w:val="16"/>
                <w:u w:val="none"/>
                <w:lang w:val="en-US" w:eastAsia="zh-CN" w:bidi="ar-SA"/>
              </w:rPr>
            </w:pPr>
          </w:p>
        </w:tc>
        <w:tc>
          <w:tcPr>
            <w:tcW w:w="694" w:type="dxa"/>
            <w:shd w:val="clear" w:color="auto" w:fill="auto"/>
            <w:noWrap/>
            <w:vAlign w:val="center"/>
          </w:tcPr>
          <w:p w14:paraId="67F922A6">
            <w:pPr>
              <w:keepNext w:val="0"/>
              <w:keepLines w:val="0"/>
              <w:widowControl/>
              <w:suppressLineNumbers w:val="0"/>
              <w:jc w:val="right"/>
              <w:textAlignment w:val="center"/>
              <w:rPr>
                <w:rFonts w:hint="eastAsia" w:ascii="宋体" w:hAnsi="宋体" w:eastAsia="宋体" w:cs="宋体"/>
                <w:b/>
                <w:bCs/>
                <w:i w:val="0"/>
                <w:iCs w:val="0"/>
                <w:color w:val="000000"/>
                <w:kern w:val="2"/>
                <w:sz w:val="20"/>
                <w:szCs w:val="20"/>
                <w:u w:val="none"/>
                <w:lang w:val="en-US" w:eastAsia="zh-CN" w:bidi="ar-SA"/>
              </w:rPr>
            </w:pPr>
          </w:p>
        </w:tc>
      </w:tr>
      <w:tr w14:paraId="275F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41" w:type="dxa"/>
            <w:shd w:val="clear" w:color="auto" w:fill="auto"/>
            <w:noWrap/>
            <w:vAlign w:val="center"/>
          </w:tcPr>
          <w:p w14:paraId="68D647C3">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B</w:t>
            </w:r>
          </w:p>
        </w:tc>
        <w:tc>
          <w:tcPr>
            <w:tcW w:w="432" w:type="dxa"/>
            <w:shd w:val="clear" w:color="auto" w:fill="auto"/>
            <w:noWrap/>
            <w:vAlign w:val="center"/>
          </w:tcPr>
          <w:p w14:paraId="301EE4B2">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b/>
                <w:bCs/>
                <w:i w:val="0"/>
                <w:iCs w:val="0"/>
                <w:color w:val="000000"/>
                <w:sz w:val="20"/>
                <w:szCs w:val="20"/>
                <w:u w:val="none"/>
              </w:rPr>
            </w:pPr>
          </w:p>
        </w:tc>
        <w:tc>
          <w:tcPr>
            <w:tcW w:w="1573" w:type="dxa"/>
            <w:shd w:val="clear" w:color="auto" w:fill="auto"/>
            <w:noWrap/>
            <w:vAlign w:val="center"/>
          </w:tcPr>
          <w:p w14:paraId="026FE031">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系统集成费</w:t>
            </w:r>
          </w:p>
        </w:tc>
        <w:tc>
          <w:tcPr>
            <w:tcW w:w="8560" w:type="dxa"/>
            <w:shd w:val="clear" w:color="auto" w:fill="auto"/>
            <w:noWrap/>
            <w:vAlign w:val="center"/>
          </w:tcPr>
          <w:p w14:paraId="416B9EFA">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b/>
                <w:bCs/>
                <w:i w:val="0"/>
                <w:iCs w:val="0"/>
                <w:color w:val="000000"/>
                <w:sz w:val="20"/>
                <w:szCs w:val="20"/>
                <w:u w:val="none"/>
              </w:rPr>
            </w:pPr>
          </w:p>
        </w:tc>
        <w:tc>
          <w:tcPr>
            <w:tcW w:w="869" w:type="dxa"/>
            <w:shd w:val="clear" w:color="auto" w:fill="auto"/>
            <w:noWrap/>
            <w:vAlign w:val="center"/>
          </w:tcPr>
          <w:p w14:paraId="15E47DE9">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726" w:type="dxa"/>
            <w:shd w:val="clear" w:color="auto" w:fill="auto"/>
            <w:noWrap/>
            <w:vAlign w:val="center"/>
          </w:tcPr>
          <w:p w14:paraId="3E0FE6FF">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995" w:type="dxa"/>
            <w:shd w:val="clear" w:color="auto" w:fill="auto"/>
            <w:noWrap/>
            <w:vAlign w:val="center"/>
          </w:tcPr>
          <w:p w14:paraId="73876580">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121" w:type="dxa"/>
            <w:shd w:val="clear" w:color="auto" w:fill="auto"/>
            <w:noWrap/>
            <w:vAlign w:val="center"/>
          </w:tcPr>
          <w:p w14:paraId="5FB226B5">
            <w:pPr>
              <w:keepNext w:val="0"/>
              <w:keepLines w:val="0"/>
              <w:widowControl/>
              <w:suppressLineNumbers w:val="0"/>
              <w:jc w:val="right"/>
              <w:textAlignment w:val="center"/>
              <w:rPr>
                <w:rFonts w:hint="eastAsia" w:ascii="宋体" w:hAnsi="宋体" w:eastAsia="宋体" w:cs="宋体"/>
                <w:b/>
                <w:bCs/>
                <w:i w:val="0"/>
                <w:iCs w:val="0"/>
                <w:color w:val="000000"/>
                <w:kern w:val="2"/>
                <w:sz w:val="16"/>
                <w:szCs w:val="16"/>
                <w:u w:val="none"/>
                <w:lang w:val="en-US" w:eastAsia="zh-CN" w:bidi="ar-SA"/>
              </w:rPr>
            </w:pPr>
          </w:p>
        </w:tc>
        <w:tc>
          <w:tcPr>
            <w:tcW w:w="694" w:type="dxa"/>
            <w:shd w:val="clear" w:color="auto" w:fill="auto"/>
            <w:noWrap/>
            <w:vAlign w:val="center"/>
          </w:tcPr>
          <w:p w14:paraId="0539D857">
            <w:pPr>
              <w:keepNext w:val="0"/>
              <w:keepLines w:val="0"/>
              <w:widowControl/>
              <w:suppressLineNumbers w:val="0"/>
              <w:jc w:val="right"/>
              <w:textAlignment w:val="center"/>
              <w:rPr>
                <w:rFonts w:hint="eastAsia" w:ascii="宋体" w:hAnsi="宋体" w:eastAsia="宋体" w:cs="宋体"/>
                <w:b/>
                <w:bCs/>
                <w:i w:val="0"/>
                <w:iCs w:val="0"/>
                <w:color w:val="000000"/>
                <w:kern w:val="2"/>
                <w:sz w:val="20"/>
                <w:szCs w:val="20"/>
                <w:u w:val="none"/>
                <w:lang w:val="en-US" w:eastAsia="zh-CN" w:bidi="ar-SA"/>
              </w:rPr>
            </w:pPr>
          </w:p>
        </w:tc>
      </w:tr>
      <w:tr w14:paraId="32C73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41" w:type="dxa"/>
            <w:shd w:val="clear" w:color="auto" w:fill="auto"/>
            <w:noWrap/>
            <w:vAlign w:val="center"/>
          </w:tcPr>
          <w:p w14:paraId="1C579E6E">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C</w:t>
            </w:r>
          </w:p>
        </w:tc>
        <w:tc>
          <w:tcPr>
            <w:tcW w:w="432" w:type="dxa"/>
            <w:shd w:val="clear" w:color="auto" w:fill="auto"/>
            <w:noWrap/>
            <w:vAlign w:val="center"/>
          </w:tcPr>
          <w:p w14:paraId="00CE0946">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b/>
                <w:bCs/>
                <w:i w:val="0"/>
                <w:iCs w:val="0"/>
                <w:color w:val="000000"/>
                <w:sz w:val="20"/>
                <w:szCs w:val="20"/>
                <w:u w:val="none"/>
              </w:rPr>
            </w:pPr>
          </w:p>
        </w:tc>
        <w:tc>
          <w:tcPr>
            <w:tcW w:w="1573" w:type="dxa"/>
            <w:shd w:val="clear" w:color="auto" w:fill="auto"/>
            <w:noWrap/>
            <w:vAlign w:val="center"/>
          </w:tcPr>
          <w:p w14:paraId="2C0ECA5F">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总计</w:t>
            </w:r>
          </w:p>
        </w:tc>
        <w:tc>
          <w:tcPr>
            <w:tcW w:w="8560" w:type="dxa"/>
            <w:shd w:val="clear" w:color="auto" w:fill="auto"/>
            <w:noWrap/>
            <w:vAlign w:val="center"/>
          </w:tcPr>
          <w:p w14:paraId="7D4BC29E">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A+B</w:t>
            </w:r>
          </w:p>
        </w:tc>
        <w:tc>
          <w:tcPr>
            <w:tcW w:w="869" w:type="dxa"/>
            <w:shd w:val="clear" w:color="auto" w:fill="auto"/>
            <w:noWrap/>
            <w:vAlign w:val="center"/>
          </w:tcPr>
          <w:p w14:paraId="23BFFDF9">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726" w:type="dxa"/>
            <w:shd w:val="clear" w:color="auto" w:fill="auto"/>
            <w:noWrap/>
            <w:vAlign w:val="center"/>
          </w:tcPr>
          <w:p w14:paraId="02FA7F0C">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995" w:type="dxa"/>
            <w:shd w:val="clear" w:color="auto" w:fill="auto"/>
            <w:noWrap/>
            <w:vAlign w:val="center"/>
          </w:tcPr>
          <w:p w14:paraId="1585757C">
            <w:pPr>
              <w:keepNext/>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121" w:type="dxa"/>
            <w:shd w:val="clear" w:color="auto" w:fill="auto"/>
            <w:noWrap/>
            <w:vAlign w:val="center"/>
          </w:tcPr>
          <w:p w14:paraId="408A5D0B">
            <w:pPr>
              <w:keepNext w:val="0"/>
              <w:keepLines w:val="0"/>
              <w:widowControl/>
              <w:suppressLineNumbers w:val="0"/>
              <w:jc w:val="right"/>
              <w:textAlignment w:val="center"/>
              <w:rPr>
                <w:rFonts w:hint="eastAsia" w:ascii="宋体" w:hAnsi="宋体" w:eastAsia="宋体" w:cs="宋体"/>
                <w:b/>
                <w:bCs/>
                <w:i w:val="0"/>
                <w:iCs w:val="0"/>
                <w:color w:val="000000"/>
                <w:kern w:val="2"/>
                <w:sz w:val="16"/>
                <w:szCs w:val="16"/>
                <w:u w:val="none"/>
                <w:lang w:val="en-US" w:eastAsia="zh-CN" w:bidi="ar-SA"/>
              </w:rPr>
            </w:pPr>
          </w:p>
        </w:tc>
        <w:tc>
          <w:tcPr>
            <w:tcW w:w="694" w:type="dxa"/>
            <w:shd w:val="clear" w:color="auto" w:fill="auto"/>
            <w:noWrap/>
            <w:vAlign w:val="center"/>
          </w:tcPr>
          <w:p w14:paraId="47B39EBE">
            <w:pPr>
              <w:keepNext w:val="0"/>
              <w:keepLines w:val="0"/>
              <w:widowControl/>
              <w:suppressLineNumbers w:val="0"/>
              <w:jc w:val="right"/>
              <w:textAlignment w:val="center"/>
              <w:rPr>
                <w:rFonts w:hint="eastAsia" w:ascii="宋体" w:hAnsi="宋体" w:eastAsia="宋体" w:cs="宋体"/>
                <w:b/>
                <w:bCs/>
                <w:i w:val="0"/>
                <w:iCs w:val="0"/>
                <w:color w:val="000000"/>
                <w:kern w:val="2"/>
                <w:sz w:val="20"/>
                <w:szCs w:val="20"/>
                <w:u w:val="none"/>
                <w:lang w:val="en-US" w:eastAsia="zh-CN" w:bidi="ar-SA"/>
              </w:rPr>
            </w:pPr>
          </w:p>
        </w:tc>
      </w:tr>
    </w:tbl>
    <w:p w14:paraId="41B9EB48">
      <w:pPr>
        <w:rPr>
          <w:rFonts w:hint="eastAsia" w:eastAsiaTheme="minorEastAsia"/>
          <w:sz w:val="24"/>
          <w:szCs w:val="32"/>
          <w:lang w:eastAsia="zh-CN"/>
        </w:rPr>
      </w:pPr>
    </w:p>
    <w:sectPr>
      <w:pgSz w:w="16838" w:h="11906" w:orient="landscape"/>
      <w:pgMar w:top="567" w:right="567" w:bottom="567" w:left="56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817781"/>
    <w:rsid w:val="0C524BEE"/>
    <w:rsid w:val="0EBE46BE"/>
    <w:rsid w:val="1E944CBA"/>
    <w:rsid w:val="273245C8"/>
    <w:rsid w:val="2D817781"/>
    <w:rsid w:val="3F502CCD"/>
    <w:rsid w:val="4D716000"/>
    <w:rsid w:val="7635037C"/>
    <w:rsid w:val="7F7C1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13866</Words>
  <Characters>16292</Characters>
  <Lines>0</Lines>
  <Paragraphs>0</Paragraphs>
  <TotalTime>4</TotalTime>
  <ScaleCrop>false</ScaleCrop>
  <LinksUpToDate>false</LinksUpToDate>
  <CharactersWithSpaces>16536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2026-03-24T00:56:00Z</dcterms:created>
  <dc:creator>Administrator</dc:creator>
  <cp:lastModifiedBy>Administrator</cp:lastModifiedBy>
  <dcterms:modified xsi:type="dcterms:W3CDTF">2026-04-20T13:15:32Z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63B50F49263B439DBAC97C96E382A7A2_13</vt:lpwstr>
  </property>
  <property fmtid="{D5CDD505-2E9C-101B-9397-08002B2CF9AE}" pid="4" name="KSOTemplateDocerSaveRecord">
    <vt:lpwstr>eyJoZGlkIjoiNTYzY2FkODdlNjEwYTUyZWZiNzFkYTQ2ZmY0ODQ5YjQiLCJ1c2VySWQiOiIzNTU5NjQ0NDAifQ==</vt:lpwstr>
  </property>
</Properties>
</file>