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D57813">
      <w:pPr>
        <w:spacing w:line="480" w:lineRule="auto"/>
        <w:jc w:val="center"/>
        <w:rPr>
          <w:rFonts w:ascii="黑体" w:hAnsi="黑体" w:eastAsia="黑体" w:cs="黑体"/>
          <w:color w:val="000000" w:themeColor="text1"/>
          <w:sz w:val="40"/>
          <w:szCs w:val="48"/>
          <w14:textFill>
            <w14:solidFill>
              <w14:schemeClr w14:val="tx1"/>
            </w14:solidFill>
          </w14:textFill>
        </w:rPr>
      </w:pPr>
      <w:bookmarkStart w:id="0" w:name="_GoBack"/>
      <w:r>
        <w:rPr>
          <w:b/>
          <w:bCs/>
          <w:color w:val="000000" w:themeColor="text1"/>
          <w:sz w:val="32"/>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-120015</wp:posOffset>
                </wp:positionH>
                <wp:positionV relativeFrom="paragraph">
                  <wp:posOffset>350520</wp:posOffset>
                </wp:positionV>
                <wp:extent cx="5462270" cy="31750"/>
                <wp:effectExtent l="0" t="20320" r="5080" b="24130"/>
                <wp:wrapNone/>
                <wp:docPr id="2" name="直接连接符 2"/>
                <wp:cNvGraphicFramePr/>
                <a:graphic xmlns:a="http://schemas.openxmlformats.org/drawingml/2006/main">
                  <a:graphicData uri="http://schemas.microsoft.com/office/word/2010/wordprocessingShape">
                    <wps:wsp>
                      <wps:cNvCnPr/>
                      <wps:spPr>
                        <a:xfrm flipV="1">
                          <a:off x="1165860" y="1287145"/>
                          <a:ext cx="5462270" cy="31750"/>
                        </a:xfrm>
                        <a:prstGeom prst="line">
                          <a:avLst/>
                        </a:prstGeom>
                        <a:noFill/>
                        <a:ln w="41275" cap="flat" cmpd="thickThin" algn="ctr">
                          <a:solidFill>
                            <a:sysClr val="windowText" lastClr="000000">
                              <a:alpha val="74000"/>
                            </a:sysClr>
                          </a:solidFill>
                          <a:prstDash val="solid"/>
                          <a:miter lim="800000"/>
                        </a:ln>
                        <a:effectLst/>
                      </wps:spPr>
                      <wps:bodyPr/>
                    </wps:wsp>
                  </a:graphicData>
                </a:graphic>
              </wp:anchor>
            </w:drawing>
          </mc:Choice>
          <mc:Fallback>
            <w:pict>
              <v:line id="_x0000_s1026" o:spid="_x0000_s1026" o:spt="20" style="position:absolute;left:0pt;flip:y;margin-left:-9.45pt;margin-top:27.6pt;height:2.5pt;width:430.1pt;z-index:251659264;mso-width-relative:page;mso-height-relative:page;" filled="f" stroked="t" coordsize="21600,21600" o:gfxdata="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QLwk&#10;FtoAAAAJAQAADwAAAAAAAAABACAAAAAiAAAAZHJzL2Rvd25yZXYueG1sUEsBAhQAFAAAAAgAh07i&#10;QJdgnKcgAgAAFAQAAA4AAAAAAAAAAQAgAAAAKQEAAGRycy9lMm9Eb2MueG1sUEsFBgAAAAAGAAYA&#10;WQEAALsFAAAAAA==&#10;">
                <v:fill on="f" focussize="0,0"/>
                <v:stroke weight="3.25pt" color="#000000" opacity="48496f" linestyle="thickThin" miterlimit="8" joinstyle="miter"/>
                <v:imagedata o:title=""/>
                <o:lock v:ext="edit" aspectratio="f"/>
              </v:line>
            </w:pict>
          </mc:Fallback>
        </mc:AlternateContent>
      </w:r>
      <w:r>
        <w:rPr>
          <w:rFonts w:hint="eastAsia" w:ascii="黑体" w:hAnsi="黑体" w:eastAsia="黑体" w:cs="黑体"/>
          <w:b/>
          <w:bCs/>
          <w:color w:val="000000" w:themeColor="text1"/>
          <w:sz w:val="40"/>
          <w:szCs w:val="48"/>
          <w14:textFill>
            <w14:solidFill>
              <w14:schemeClr w14:val="tx1"/>
            </w14:solidFill>
          </w14:textFill>
        </w:rPr>
        <w:t xml:space="preserve">会  议  记  录  </w:t>
      </w:r>
      <w:r>
        <w:rPr>
          <w:rFonts w:hint="eastAsia" w:ascii="黑体" w:hAnsi="黑体" w:eastAsia="黑体" w:cs="黑体"/>
          <w:color w:val="000000" w:themeColor="text1"/>
          <w:sz w:val="40"/>
          <w:szCs w:val="48"/>
          <w14:textFill>
            <w14:solidFill>
              <w14:schemeClr w14:val="tx1"/>
            </w14:solidFill>
          </w14:textFill>
        </w:rPr>
        <w:t xml:space="preserve">                 </w:t>
      </w:r>
    </w:p>
    <w:p w14:paraId="271C2B1B">
      <w:pPr>
        <w:spacing w:line="600" w:lineRule="exact"/>
        <w:rPr>
          <w:rFonts w:hint="eastAsia" w:ascii="仿宋_GB2312" w:hAnsi="仿宋_GB2312" w:eastAsia="仿宋_GB2312" w:cs="仿宋_GB2312"/>
          <w:b/>
          <w:bCs/>
          <w:color w:val="000000" w:themeColor="text1"/>
          <w:sz w:val="32"/>
          <w:szCs w:val="32"/>
          <w14:textFill>
            <w14:solidFill>
              <w14:schemeClr w14:val="tx1"/>
            </w14:solidFill>
          </w14:textFill>
        </w:rPr>
      </w:pPr>
    </w:p>
    <w:p w14:paraId="4216BF1A">
      <w:pPr>
        <w:spacing w:line="600" w:lineRule="exact"/>
        <w:rPr>
          <w:rFonts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eastAsia="仿宋_GB2312"/>
          <w:b/>
          <w:bCs/>
          <w:color w:val="000000" w:themeColor="text1"/>
          <w:sz w:val="32"/>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-153670</wp:posOffset>
                </wp:positionH>
                <wp:positionV relativeFrom="paragraph">
                  <wp:posOffset>8437245</wp:posOffset>
                </wp:positionV>
                <wp:extent cx="5591175" cy="0"/>
                <wp:effectExtent l="0" t="20320" r="9525" b="36830"/>
                <wp:wrapNone/>
                <wp:docPr id="3" name="直接连接符 3"/>
                <wp:cNvGraphicFramePr/>
                <a:graphic xmlns:a="http://schemas.openxmlformats.org/drawingml/2006/main">
                  <a:graphicData uri="http://schemas.microsoft.com/office/word/2010/wordprocessingShape">
                    <wps:wsp>
                      <wps:cNvCnPr/>
                      <wps:spPr>
                        <a:xfrm>
                          <a:off x="0" y="0"/>
                          <a:ext cx="5591175" cy="0"/>
                        </a:xfrm>
                        <a:prstGeom prst="line">
                          <a:avLst/>
                        </a:prstGeom>
                        <a:noFill/>
                        <a:ln w="41275" cap="flat" cmpd="thinThick" algn="ctr">
                          <a:solidFill>
                            <a:sysClr val="windowText" lastClr="000000"/>
                          </a:solidFill>
                          <a:prstDash val="solid"/>
                          <a:miter lim="800000"/>
                        </a:ln>
                        <a:effectLst/>
                      </wps:spPr>
                      <wps:bodyPr/>
                    </wps:wsp>
                  </a:graphicData>
                </a:graphic>
              </wp:anchor>
            </w:drawing>
          </mc:Choice>
          <mc:Fallback>
            <w:pict>
              <v:line id="_x0000_s1026" o:spid="_x0000_s1026" o:spt="20" style="position:absolute;left:0pt;margin-left:-12.1pt;margin-top:664.35pt;height:0pt;width:440.25pt;z-index:251660288;mso-width-relative:page;mso-height-relative:page;" filled="f" stroked="t" coordsize="21600,21600" o:gfxdata="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Sph5D1QAAAA0BAAAPAAAAAAAAAAEAIAAAACIAAABkcnMvZG93bnJldi54bWxQ&#10;SwECFAAUAAAACACHTuJAtA9GD/oBAADaAwAADgAAAAAAAAABACAAAAAkAQAAZHJzL2Uyb0RvYy54&#10;bWxQSwUGAAAAAAYABgBZAQAAkAUAAAAA&#10;">
                <v:fill on="f" focussize="0,0"/>
                <v:stroke weight="3.25pt" color="#000000" linestyle="thinThick" miterlimit="8" joinstyle="miter"/>
                <v:imagedata o:title=""/>
                <o:lock v:ext="edit" aspectratio="f"/>
              </v:line>
            </w:pict>
          </mc:Fallback>
        </mc:AlternateContent>
      </w:r>
      <w:r>
        <w:rPr>
          <w:rFonts w:hint="eastAsia" w:ascii="仿宋_GB2312" w:hAnsi="仿宋_GB2312" w:eastAsia="仿宋_GB2312" w:cs="仿宋_GB2312"/>
          <w:b/>
          <w:bCs/>
          <w:color w:val="000000" w:themeColor="text1"/>
          <w:sz w:val="32"/>
          <w:szCs w:val="32"/>
          <w14:textFill>
            <w14:solidFill>
              <w14:schemeClr w14:val="tx1"/>
            </w14:solidFill>
          </w14:textFill>
        </w:rPr>
        <w:t>会议时间：202</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b/>
          <w:bCs/>
          <w:color w:val="000000" w:themeColor="text1"/>
          <w:sz w:val="32"/>
          <w:szCs w:val="32"/>
          <w14:textFill>
            <w14:solidFill>
              <w14:schemeClr w14:val="tx1"/>
            </w14:solidFill>
          </w14:textFill>
        </w:rPr>
        <w:t>年</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b/>
          <w:bCs/>
          <w:color w:val="000000" w:themeColor="text1"/>
          <w:sz w:val="32"/>
          <w:szCs w:val="32"/>
          <w14:textFill>
            <w14:solidFill>
              <w14:schemeClr w14:val="tx1"/>
            </w14:solidFill>
          </w14:textFill>
        </w:rPr>
        <w:t>月</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20</w:t>
      </w:r>
      <w:r>
        <w:rPr>
          <w:rFonts w:hint="eastAsia" w:ascii="仿宋_GB2312" w:hAnsi="仿宋_GB2312" w:eastAsia="仿宋_GB2312" w:cs="仿宋_GB2312"/>
          <w:b/>
          <w:bCs/>
          <w:color w:val="000000" w:themeColor="text1"/>
          <w:sz w:val="32"/>
          <w:szCs w:val="32"/>
          <w14:textFill>
            <w14:solidFill>
              <w14:schemeClr w14:val="tx1"/>
            </w14:solidFill>
          </w14:textFill>
        </w:rPr>
        <w:t>日</w:t>
      </w:r>
    </w:p>
    <w:p w14:paraId="25ACE97A">
      <w:pPr>
        <w:spacing w:line="600" w:lineRule="exact"/>
        <w:rPr>
          <w:rFonts w:hint="default" w:ascii="仿宋_GB2312" w:hAnsi="仿宋_GB2312" w:eastAsia="仿宋_GB2312" w:cs="仿宋_GB2312"/>
          <w:b/>
          <w:bCs/>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会议地点：</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线上</w:t>
      </w:r>
    </w:p>
    <w:p w14:paraId="6FE65C93">
      <w:pPr>
        <w:spacing w:line="600" w:lineRule="exact"/>
        <w:rPr>
          <w:rFonts w:hint="eastAsia" w:ascii="仿宋_GB2312" w:eastAsia="仿宋_GB2312"/>
          <w:color w:val="000000" w:themeColor="text1"/>
          <w:sz w:val="32"/>
          <w:szCs w:val="32"/>
          <w:lang w:eastAsia="zh-CN"/>
          <w14:textFill>
            <w14:solidFill>
              <w14:schemeClr w14:val="tx1"/>
            </w14:solidFill>
          </w14:textFill>
        </w:rPr>
      </w:pPr>
      <w:r>
        <w:rPr>
          <w:rFonts w:hint="eastAsia" w:ascii="仿宋_GB2312" w:eastAsia="仿宋_GB2312"/>
          <w:b/>
          <w:color w:val="000000" w:themeColor="text1"/>
          <w:sz w:val="32"/>
          <w:szCs w:val="32"/>
          <w14:textFill>
            <w14:solidFill>
              <w14:schemeClr w14:val="tx1"/>
            </w14:solidFill>
          </w14:textFill>
        </w:rPr>
        <w:t>主 持 人：</w:t>
      </w:r>
      <w:r>
        <w:rPr>
          <w:rFonts w:hint="eastAsia" w:ascii="仿宋_GB2312" w:eastAsia="仿宋_GB2312"/>
          <w:color w:val="000000" w:themeColor="text1"/>
          <w:sz w:val="32"/>
          <w:szCs w:val="32"/>
          <w:lang w:val="en-US" w:eastAsia="zh-CN"/>
          <w14:textFill>
            <w14:solidFill>
              <w14:schemeClr w14:val="tx1"/>
            </w14:solidFill>
          </w14:textFill>
        </w:rPr>
        <w:t>韩福乾</w:t>
      </w:r>
    </w:p>
    <w:p w14:paraId="0E76A1E6">
      <w:pPr>
        <w:spacing w:line="600" w:lineRule="atLeast"/>
        <w:rPr>
          <w:rFonts w:hint="default" w:ascii="仿宋_GB2312" w:eastAsia="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参加人员：</w:t>
      </w:r>
      <w:r>
        <w:rPr>
          <w:rFonts w:hint="eastAsia" w:ascii="仿宋_GB2312" w:eastAsia="仿宋_GB2312"/>
          <w:color w:val="000000" w:themeColor="text1"/>
          <w:sz w:val="32"/>
          <w:szCs w:val="32"/>
          <w:lang w:val="en-US" w:eastAsia="zh-CN"/>
          <w14:textFill>
            <w14:solidFill>
              <w14:schemeClr w14:val="tx1"/>
            </w14:solidFill>
          </w14:textFill>
        </w:rPr>
        <w:t>许  静、谢荣春、张喜臣、戴  歌、杨  帅</w:t>
      </w:r>
    </w:p>
    <w:p w14:paraId="49F9727B">
      <w:pPr>
        <w:spacing w:line="600" w:lineRule="atLeast"/>
        <w:ind w:left="1606" w:hanging="1606" w:hangingChars="500"/>
        <w:rPr>
          <w:rFonts w:hint="eastAsia" w:asciiTheme="minorEastAsia" w:hAnsiTheme="minorEastAsia" w:eastAsiaTheme="minorEastAsia" w:cstheme="minorEastAsia"/>
          <w:color w:val="000000" w:themeColor="text1"/>
          <w:sz w:val="32"/>
          <w:szCs w:val="32"/>
          <w:lang w:val="en-US" w:eastAsia="zh-CN"/>
          <w14:textFill>
            <w14:solidFill>
              <w14:schemeClr w14:val="tx1"/>
            </w14:solidFill>
          </w14:textFill>
        </w:rPr>
      </w:pPr>
      <w:r>
        <w:rPr>
          <w:rFonts w:hint="eastAsia" w:ascii="仿宋_GB2312" w:eastAsia="仿宋_GB2312"/>
          <w:b/>
          <w:color w:val="000000" w:themeColor="text1"/>
          <w:sz w:val="32"/>
          <w:szCs w:val="32"/>
          <w14:textFill>
            <w14:solidFill>
              <w14:schemeClr w14:val="tx1"/>
            </w14:solidFill>
          </w14:textFill>
        </w:rPr>
        <w:t>会议内容：</w:t>
      </w:r>
    </w:p>
    <w:p w14:paraId="07CF1222">
      <w:pPr>
        <w:numPr>
          <w:ilvl w:val="0"/>
          <w:numId w:val="0"/>
        </w:numPr>
        <w:spacing w:line="600" w:lineRule="atLeast"/>
        <w:ind w:firstLine="560" w:firstLineChars="200"/>
        <w:rPr>
          <w:rFonts w:hint="eastAsia" w:ascii="黑体" w:hAnsi="黑体" w:eastAsia="黑体"/>
          <w:color w:val="000000" w:themeColor="text1"/>
          <w:sz w:val="28"/>
          <w:szCs w:val="28"/>
          <w:lang w:val="en-US" w:eastAsia="zh-CN"/>
          <w14:textFill>
            <w14:solidFill>
              <w14:schemeClr w14:val="tx1"/>
            </w14:solidFill>
          </w14:textFill>
        </w:rPr>
      </w:pPr>
    </w:p>
    <w:p w14:paraId="18C94A48">
      <w:pPr>
        <w:spacing w:line="360" w:lineRule="auto"/>
        <w:jc w:val="center"/>
        <w:rPr>
          <w:rFonts w:hint="eastAsia" w:ascii="黑体" w:hAnsi="黑体" w:eastAsia="黑体"/>
          <w:color w:val="000000" w:themeColor="text1"/>
          <w:sz w:val="28"/>
          <w:szCs w:val="28"/>
          <w:lang w:val="en-US" w:eastAsia="zh-CN"/>
          <w14:textFill>
            <w14:solidFill>
              <w14:schemeClr w14:val="tx1"/>
            </w14:solidFill>
          </w14:textFill>
        </w:rPr>
      </w:pPr>
      <w:r>
        <w:rPr>
          <w:rFonts w:hint="eastAsia" w:ascii="黑体" w:hAnsi="黑体" w:eastAsia="黑体"/>
          <w:color w:val="000000" w:themeColor="text1"/>
          <w:sz w:val="28"/>
          <w:szCs w:val="28"/>
          <w:lang w:val="en-US" w:eastAsia="zh-CN"/>
          <w14:textFill>
            <w14:solidFill>
              <w14:schemeClr w14:val="tx1"/>
            </w14:solidFill>
          </w14:textFill>
        </w:rPr>
        <w:t>关于阿尔山市温泉街森林康养步道建设项目需研判顺延中标公司事宜</w:t>
      </w:r>
    </w:p>
    <w:p w14:paraId="771DA797">
      <w:pPr>
        <w:numPr>
          <w:ilvl w:val="0"/>
          <w:numId w:val="0"/>
        </w:numPr>
        <w:rPr>
          <w:rFonts w:hint="eastAsia" w:ascii="黑体" w:hAnsi="黑体" w:eastAsia="黑体"/>
          <w:color w:val="000000" w:themeColor="text1"/>
          <w:sz w:val="28"/>
          <w:szCs w:val="28"/>
          <w:lang w:val="en-US" w:eastAsia="zh-CN"/>
          <w14:textFill>
            <w14:solidFill>
              <w14:schemeClr w14:val="tx1"/>
            </w14:solidFill>
          </w14:textFill>
        </w:rPr>
      </w:pPr>
      <w:r>
        <w:rPr>
          <w:rFonts w:hint="eastAsia" w:ascii="黑体" w:hAnsi="黑体" w:eastAsia="黑体"/>
          <w:color w:val="000000" w:themeColor="text1"/>
          <w:sz w:val="28"/>
          <w:szCs w:val="28"/>
          <w:lang w:val="en-US" w:eastAsia="zh-CN"/>
          <w14:textFill>
            <w14:solidFill>
              <w14:schemeClr w14:val="tx1"/>
            </w14:solidFill>
          </w14:textFill>
        </w:rPr>
        <w:t>（张喜臣）</w:t>
      </w:r>
    </w:p>
    <w:p w14:paraId="01EDB46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黑体" w:eastAsia="仿宋_GB2312"/>
          <w:color w:val="000000" w:themeColor="text1"/>
          <w:sz w:val="28"/>
          <w:szCs w:val="28"/>
          <w:lang w:val="en-US" w:eastAsia="zh-CN"/>
          <w14:textFill>
            <w14:solidFill>
              <w14:schemeClr w14:val="tx1"/>
            </w14:solidFill>
          </w14:textFill>
        </w:rPr>
      </w:pPr>
      <w:r>
        <w:rPr>
          <w:rFonts w:hint="eastAsia" w:ascii="仿宋_GB2312" w:hAnsi="黑体" w:eastAsia="仿宋_GB2312"/>
          <w:color w:val="000000" w:themeColor="text1"/>
          <w:sz w:val="28"/>
          <w:szCs w:val="28"/>
          <w:lang w:val="en-US" w:eastAsia="zh-CN"/>
          <w14:textFill>
            <w14:solidFill>
              <w14:schemeClr w14:val="tx1"/>
            </w14:solidFill>
          </w14:textFill>
        </w:rPr>
        <w:t>张喜臣：我局负责实施的阿尔山市温泉街森林康养步道建设项目（二次），因中标供应商誉尚国际贸易（沈阳）有限公司提供的步道立杆检测报告出具单位不符合招标文件实质性要求，被庆云县昊晟体育器材有限公司投诉至市财政局；市财政局经核查于2026年5月18日作出阿财购决〔2026〕1号投诉处理决定，认定投诉成立、原中标结果无效，</w:t>
      </w:r>
    </w:p>
    <w:tbl>
      <w:tblPr>
        <w:tblStyle w:val="3"/>
        <w:tblW w:w="8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27"/>
        <w:gridCol w:w="4232"/>
      </w:tblGrid>
      <w:tr w14:paraId="59E58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4227" w:type="dxa"/>
          </w:tcPr>
          <w:p w14:paraId="252D588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黑体" w:eastAsia="仿宋_GB2312"/>
                <w:color w:val="000000" w:themeColor="text1"/>
                <w:sz w:val="28"/>
                <w:szCs w:val="28"/>
                <w:lang w:val="en-US" w:eastAsia="zh-CN"/>
                <w14:textFill>
                  <w14:solidFill>
                    <w14:schemeClr w14:val="tx1"/>
                  </w14:solidFill>
                </w14:textFill>
              </w:rPr>
            </w:pPr>
            <w:r>
              <w:rPr>
                <w:rFonts w:hint="eastAsia" w:ascii="仿宋_GB2312" w:hAnsi="黑体" w:eastAsia="仿宋_GB2312"/>
                <w:color w:val="000000" w:themeColor="text1"/>
                <w:sz w:val="28"/>
                <w:szCs w:val="28"/>
                <w:lang w:val="en-US" w:eastAsia="zh-CN"/>
                <w14:textFill>
                  <w14:solidFill>
                    <w14:schemeClr w14:val="tx1"/>
                  </w14:solidFill>
                </w14:textFill>
              </w:rPr>
              <w:t>投标公司</w:t>
            </w:r>
          </w:p>
        </w:tc>
        <w:tc>
          <w:tcPr>
            <w:tcW w:w="4232" w:type="dxa"/>
          </w:tcPr>
          <w:p w14:paraId="5449683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仿宋_GB2312" w:hAnsi="黑体" w:eastAsia="仿宋_GB2312"/>
                <w:color w:val="000000" w:themeColor="text1"/>
                <w:sz w:val="28"/>
                <w:szCs w:val="28"/>
                <w:lang w:val="en-US" w:eastAsia="zh-CN"/>
                <w14:textFill>
                  <w14:solidFill>
                    <w14:schemeClr w14:val="tx1"/>
                  </w14:solidFill>
                </w14:textFill>
              </w:rPr>
            </w:pPr>
            <w:r>
              <w:rPr>
                <w:rFonts w:hint="eastAsia" w:ascii="仿宋_GB2312" w:hAnsi="黑体" w:eastAsia="仿宋_GB2312"/>
                <w:color w:val="000000" w:themeColor="text1"/>
                <w:sz w:val="28"/>
                <w:szCs w:val="28"/>
                <w:lang w:val="en-US" w:eastAsia="zh-CN"/>
                <w14:textFill>
                  <w14:solidFill>
                    <w14:schemeClr w14:val="tx1"/>
                  </w14:solidFill>
                </w14:textFill>
              </w:rPr>
              <w:t>报价金额</w:t>
            </w:r>
          </w:p>
        </w:tc>
      </w:tr>
      <w:tr w14:paraId="24819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4227" w:type="dxa"/>
          </w:tcPr>
          <w:p w14:paraId="7ECB3D8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黑体" w:eastAsia="仿宋_GB2312"/>
                <w:color w:val="000000" w:themeColor="text1"/>
                <w:sz w:val="28"/>
                <w:szCs w:val="28"/>
                <w:lang w:val="en-US" w:eastAsia="zh-CN"/>
                <w14:textFill>
                  <w14:solidFill>
                    <w14:schemeClr w14:val="tx1"/>
                  </w14:solidFill>
                </w14:textFill>
              </w:rPr>
            </w:pPr>
            <w:r>
              <w:rPr>
                <w:rFonts w:hint="eastAsia" w:ascii="仿宋_GB2312" w:hAnsi="黑体" w:eastAsia="仿宋_GB2312"/>
                <w:color w:val="000000" w:themeColor="text1"/>
                <w:sz w:val="28"/>
                <w:szCs w:val="28"/>
                <w:lang w:val="en-US" w:eastAsia="zh-CN"/>
                <w14:textFill>
                  <w14:solidFill>
                    <w14:schemeClr w14:val="tx1"/>
                  </w14:solidFill>
                </w14:textFill>
              </w:rPr>
              <w:t>誉尚国际贸易（沈阳）有限公司</w:t>
            </w:r>
          </w:p>
        </w:tc>
        <w:tc>
          <w:tcPr>
            <w:tcW w:w="4232" w:type="dxa"/>
          </w:tcPr>
          <w:p w14:paraId="5885038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仿宋_GB2312" w:hAnsi="黑体" w:eastAsia="仿宋_GB2312"/>
                <w:color w:val="000000" w:themeColor="text1"/>
                <w:sz w:val="28"/>
                <w:szCs w:val="28"/>
                <w:lang w:val="en-US" w:eastAsia="zh-CN"/>
                <w14:textFill>
                  <w14:solidFill>
                    <w14:schemeClr w14:val="tx1"/>
                  </w14:solidFill>
                </w14:textFill>
              </w:rPr>
            </w:pPr>
            <w:r>
              <w:rPr>
                <w:rFonts w:hint="eastAsia" w:ascii="仿宋_GB2312" w:hAnsi="黑体" w:eastAsia="仿宋_GB2312"/>
                <w:color w:val="000000" w:themeColor="text1"/>
                <w:sz w:val="28"/>
                <w:szCs w:val="28"/>
                <w:lang w:val="en-US" w:eastAsia="zh-CN"/>
                <w14:textFill>
                  <w14:solidFill>
                    <w14:schemeClr w14:val="tx1"/>
                  </w14:solidFill>
                </w14:textFill>
              </w:rPr>
              <w:t>1380400.00元</w:t>
            </w:r>
          </w:p>
        </w:tc>
      </w:tr>
      <w:tr w14:paraId="12D54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4227" w:type="dxa"/>
          </w:tcPr>
          <w:p w14:paraId="446B9AE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黑体" w:eastAsia="仿宋_GB2312"/>
                <w:color w:val="000000" w:themeColor="text1"/>
                <w:sz w:val="28"/>
                <w:szCs w:val="28"/>
                <w:lang w:val="en-US" w:eastAsia="zh-CN"/>
                <w14:textFill>
                  <w14:solidFill>
                    <w14:schemeClr w14:val="tx1"/>
                  </w14:solidFill>
                </w14:textFill>
              </w:rPr>
            </w:pPr>
            <w:r>
              <w:rPr>
                <w:rFonts w:hint="eastAsia" w:ascii="仿宋_GB2312" w:hAnsi="黑体" w:eastAsia="仿宋_GB2312"/>
                <w:color w:val="000000" w:themeColor="text1"/>
                <w:sz w:val="28"/>
                <w:szCs w:val="28"/>
                <w:lang w:val="en-US" w:eastAsia="zh-CN"/>
                <w14:textFill>
                  <w14:solidFill>
                    <w14:schemeClr w14:val="tx1"/>
                  </w14:solidFill>
                </w14:textFill>
              </w:rPr>
              <w:t>庆云县昊晟体育器材有限公司</w:t>
            </w:r>
          </w:p>
        </w:tc>
        <w:tc>
          <w:tcPr>
            <w:tcW w:w="4232" w:type="dxa"/>
          </w:tcPr>
          <w:p w14:paraId="07A307E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仿宋_GB2312" w:hAnsi="黑体" w:eastAsia="仿宋_GB2312"/>
                <w:color w:val="000000" w:themeColor="text1"/>
                <w:sz w:val="28"/>
                <w:szCs w:val="28"/>
                <w:lang w:val="en-US" w:eastAsia="zh-CN"/>
                <w14:textFill>
                  <w14:solidFill>
                    <w14:schemeClr w14:val="tx1"/>
                  </w14:solidFill>
                </w14:textFill>
              </w:rPr>
            </w:pPr>
            <w:r>
              <w:rPr>
                <w:rFonts w:hint="eastAsia" w:ascii="仿宋_GB2312" w:hAnsi="黑体" w:eastAsia="仿宋_GB2312"/>
                <w:color w:val="000000" w:themeColor="text1"/>
                <w:sz w:val="28"/>
                <w:szCs w:val="28"/>
                <w:lang w:val="en-US" w:eastAsia="zh-CN"/>
                <w14:textFill>
                  <w14:solidFill>
                    <w14:schemeClr w14:val="tx1"/>
                  </w14:solidFill>
                </w14:textFill>
              </w:rPr>
              <w:t>1698668.00元</w:t>
            </w:r>
          </w:p>
        </w:tc>
      </w:tr>
      <w:tr w14:paraId="380F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227" w:type="dxa"/>
          </w:tcPr>
          <w:p w14:paraId="0E83A17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黑体" w:eastAsia="仿宋_GB2312"/>
                <w:color w:val="000000" w:themeColor="text1"/>
                <w:sz w:val="28"/>
                <w:szCs w:val="28"/>
                <w:lang w:val="en-US" w:eastAsia="zh-CN"/>
                <w14:textFill>
                  <w14:solidFill>
                    <w14:schemeClr w14:val="tx1"/>
                  </w14:solidFill>
                </w14:textFill>
              </w:rPr>
            </w:pPr>
            <w:r>
              <w:rPr>
                <w:rFonts w:hint="eastAsia" w:ascii="仿宋_GB2312" w:hAnsi="黑体" w:eastAsia="仿宋_GB2312"/>
                <w:color w:val="000000" w:themeColor="text1"/>
                <w:sz w:val="28"/>
                <w:szCs w:val="28"/>
                <w:lang w:val="en-US" w:eastAsia="zh-CN"/>
                <w14:textFill>
                  <w14:solidFill>
                    <w14:schemeClr w14:val="tx1"/>
                  </w14:solidFill>
                </w14:textFill>
              </w:rPr>
              <w:t>河北威尔特体育用品有限公司</w:t>
            </w:r>
          </w:p>
        </w:tc>
        <w:tc>
          <w:tcPr>
            <w:tcW w:w="4232" w:type="dxa"/>
            <w:shd w:val="clear" w:color="auto" w:fill="auto"/>
            <w:vAlign w:val="top"/>
          </w:tcPr>
          <w:p w14:paraId="55CA10D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黑体" w:eastAsia="仿宋_GB2312"/>
                <w:color w:val="000000" w:themeColor="text1"/>
                <w:sz w:val="28"/>
                <w:szCs w:val="28"/>
                <w:lang w:val="en-US" w:eastAsia="zh-CN"/>
                <w14:textFill>
                  <w14:solidFill>
                    <w14:schemeClr w14:val="tx1"/>
                  </w14:solidFill>
                </w14:textFill>
              </w:rPr>
            </w:pPr>
            <w:r>
              <w:rPr>
                <w:rFonts w:hint="eastAsia" w:ascii="仿宋_GB2312" w:hAnsi="黑体" w:eastAsia="仿宋_GB2312"/>
                <w:color w:val="000000" w:themeColor="text1"/>
                <w:sz w:val="28"/>
                <w:szCs w:val="28"/>
                <w:lang w:val="en-US" w:eastAsia="zh-CN"/>
                <w14:textFill>
                  <w14:solidFill>
                    <w14:schemeClr w14:val="tx1"/>
                  </w14:solidFill>
                </w14:textFill>
              </w:rPr>
              <w:t>1926800.00元</w:t>
            </w:r>
          </w:p>
        </w:tc>
      </w:tr>
    </w:tbl>
    <w:p w14:paraId="740D5A0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黑体" w:eastAsia="仿宋_GB2312"/>
          <w:color w:val="000000" w:themeColor="text1"/>
          <w:sz w:val="28"/>
          <w:szCs w:val="28"/>
          <w:lang w:val="en-US" w:eastAsia="zh-CN"/>
          <w14:textFill>
            <w14:solidFill>
              <w14:schemeClr w14:val="tx1"/>
            </w14:solidFill>
          </w14:textFill>
        </w:rPr>
      </w:pPr>
      <w:r>
        <w:rPr>
          <w:rFonts w:hint="eastAsia" w:ascii="仿宋_GB2312" w:hAnsi="黑体" w:eastAsia="仿宋_GB2312"/>
          <w:color w:val="000000" w:themeColor="text1"/>
          <w:sz w:val="28"/>
          <w:szCs w:val="28"/>
          <w:lang w:val="en-US" w:eastAsia="zh-CN"/>
          <w14:textFill>
            <w14:solidFill>
              <w14:schemeClr w14:val="tx1"/>
            </w14:solidFill>
          </w14:textFill>
        </w:rPr>
        <w:t>本项目采用竞争性谈判采购方式，评审规则明确为最低价中标，评标环节已依规完成所有投标单位资格审查、资质核验及报价排序工作，前期已完整完成投标文件评审、资质符合性比对、商务技术条款核实等全流程认定工作。经市财政局研判，在原中标单位中标资格失效后，按照采购流程及竞争性谈判择优低价选取原则，依次顺延候选中标单位，经综合核对资质条件、投标文件内容、项目履约能力及最终报价等各项要素，确认庆云县昊晟体育器材有限公司各项资质齐全、投标资料合规，完全契合项目采购全部要求，同时该单位报价合理且位列顺位第二，符合项目中标顺位顺延相关规定，具备顺延成为本项目中标单位全部条件。现特将此事提请三重一大会议。</w:t>
      </w:r>
    </w:p>
    <w:p w14:paraId="1C2137E0">
      <w:pPr>
        <w:spacing w:line="560" w:lineRule="exact"/>
        <w:ind w:firstLine="560" w:firstLineChars="200"/>
        <w:rPr>
          <w:rFonts w:hint="default" w:ascii="仿宋_GB2312" w:hAnsi="黑体" w:eastAsia="仿宋_GB2312"/>
          <w:color w:val="000000" w:themeColor="text1"/>
          <w:sz w:val="28"/>
          <w:szCs w:val="28"/>
          <w:lang w:val="en-US" w:eastAsia="zh-CN"/>
          <w14:textFill>
            <w14:solidFill>
              <w14:schemeClr w14:val="tx1"/>
            </w14:solidFill>
          </w14:textFill>
        </w:rPr>
      </w:pPr>
      <w:r>
        <w:rPr>
          <w:rFonts w:hint="eastAsia" w:ascii="仿宋_GB2312" w:hAnsi="黑体" w:eastAsia="仿宋_GB2312"/>
          <w:color w:val="000000" w:themeColor="text1"/>
          <w:sz w:val="28"/>
          <w:szCs w:val="28"/>
          <w:lang w:val="en-US" w:eastAsia="zh-CN"/>
          <w14:textFill>
            <w14:solidFill>
              <w14:schemeClr w14:val="tx1"/>
            </w14:solidFill>
          </w14:textFill>
        </w:rPr>
        <w:t>杨  帅：同意</w:t>
      </w:r>
    </w:p>
    <w:p w14:paraId="7574CA15">
      <w:pPr>
        <w:spacing w:line="560" w:lineRule="exact"/>
        <w:ind w:firstLine="560" w:firstLineChars="200"/>
        <w:rPr>
          <w:rFonts w:hint="default" w:ascii="仿宋_GB2312" w:hAnsi="黑体" w:eastAsia="仿宋_GB2312"/>
          <w:color w:val="000000" w:themeColor="text1"/>
          <w:sz w:val="28"/>
          <w:szCs w:val="28"/>
          <w:lang w:val="en-US" w:eastAsia="zh-CN"/>
          <w14:textFill>
            <w14:solidFill>
              <w14:schemeClr w14:val="tx1"/>
            </w14:solidFill>
          </w14:textFill>
        </w:rPr>
      </w:pPr>
      <w:r>
        <w:rPr>
          <w:rFonts w:hint="eastAsia" w:ascii="仿宋_GB2312" w:hAnsi="黑体" w:eastAsia="仿宋_GB2312"/>
          <w:color w:val="000000" w:themeColor="text1"/>
          <w:sz w:val="28"/>
          <w:szCs w:val="28"/>
          <w:lang w:val="en-US" w:eastAsia="zh-CN"/>
          <w14:textFill>
            <w14:solidFill>
              <w14:schemeClr w14:val="tx1"/>
            </w14:solidFill>
          </w14:textFill>
        </w:rPr>
        <w:t>戴  歌：同意</w:t>
      </w:r>
    </w:p>
    <w:p w14:paraId="3CA81719">
      <w:pPr>
        <w:spacing w:line="560" w:lineRule="exact"/>
        <w:ind w:firstLine="560" w:firstLineChars="200"/>
        <w:rPr>
          <w:rFonts w:hint="default" w:ascii="仿宋_GB2312" w:hAnsi="黑体" w:eastAsia="仿宋_GB2312"/>
          <w:color w:val="000000" w:themeColor="text1"/>
          <w:sz w:val="28"/>
          <w:szCs w:val="28"/>
          <w:lang w:val="en-US" w:eastAsia="zh-CN"/>
          <w14:textFill>
            <w14:solidFill>
              <w14:schemeClr w14:val="tx1"/>
            </w14:solidFill>
          </w14:textFill>
        </w:rPr>
      </w:pPr>
      <w:r>
        <w:rPr>
          <w:rFonts w:hint="eastAsia" w:ascii="仿宋_GB2312" w:hAnsi="黑体" w:eastAsia="仿宋_GB2312"/>
          <w:color w:val="000000" w:themeColor="text1"/>
          <w:sz w:val="28"/>
          <w:szCs w:val="28"/>
          <w:lang w:val="en-US" w:eastAsia="zh-CN"/>
          <w14:textFill>
            <w14:solidFill>
              <w14:schemeClr w14:val="tx1"/>
            </w14:solidFill>
          </w14:textFill>
        </w:rPr>
        <w:t>谢荣春：同意</w:t>
      </w:r>
    </w:p>
    <w:p w14:paraId="12C53D89">
      <w:pPr>
        <w:spacing w:line="560" w:lineRule="exact"/>
        <w:ind w:firstLine="560" w:firstLineChars="200"/>
        <w:rPr>
          <w:rFonts w:hint="default" w:ascii="仿宋_GB2312" w:hAnsi="黑体" w:eastAsia="仿宋_GB2312"/>
          <w:color w:val="000000" w:themeColor="text1"/>
          <w:sz w:val="28"/>
          <w:szCs w:val="28"/>
          <w:lang w:val="en-US" w:eastAsia="zh-CN"/>
          <w14:textFill>
            <w14:solidFill>
              <w14:schemeClr w14:val="tx1"/>
            </w14:solidFill>
          </w14:textFill>
        </w:rPr>
      </w:pPr>
      <w:r>
        <w:rPr>
          <w:rFonts w:hint="eastAsia" w:ascii="仿宋_GB2312" w:hAnsi="黑体" w:eastAsia="仿宋_GB2312"/>
          <w:color w:val="000000" w:themeColor="text1"/>
          <w:sz w:val="28"/>
          <w:szCs w:val="28"/>
          <w:lang w:val="en-US" w:eastAsia="zh-CN"/>
          <w14:textFill>
            <w14:solidFill>
              <w14:schemeClr w14:val="tx1"/>
            </w14:solidFill>
          </w14:textFill>
        </w:rPr>
        <w:t>韩福乾：同意</w:t>
      </w:r>
    </w:p>
    <w:p w14:paraId="50ED4F5A">
      <w:pPr>
        <w:numPr>
          <w:ilvl w:val="0"/>
          <w:numId w:val="0"/>
        </w:numPr>
        <w:jc w:val="left"/>
        <w:rPr>
          <w:rFonts w:hint="default" w:ascii="仿宋_GB2312" w:hAnsi="黑体" w:eastAsia="仿宋_GB2312"/>
          <w:color w:val="000000" w:themeColor="text1"/>
          <w:sz w:val="28"/>
          <w:szCs w:val="28"/>
          <w:lang w:val="en-US" w:eastAsia="zh-CN"/>
          <w14:textFill>
            <w14:solidFill>
              <w14:schemeClr w14:val="tx1"/>
            </w14:solidFill>
          </w14:textFill>
        </w:rPr>
      </w:pPr>
    </w:p>
    <w:bookmarkEnd w:id="0"/>
    <w:sectPr>
      <w:pgSz w:w="11906" w:h="16838"/>
      <w:pgMar w:top="1440" w:right="1576"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EzOTI2YzdlZDUzMDM1NjdmM2EyNjE3YzNlYmMxNzgifQ=="/>
  </w:docVars>
  <w:rsids>
    <w:rsidRoot w:val="003878B4"/>
    <w:rsid w:val="00257E56"/>
    <w:rsid w:val="003878B4"/>
    <w:rsid w:val="003B01A4"/>
    <w:rsid w:val="004F4A79"/>
    <w:rsid w:val="005B76F0"/>
    <w:rsid w:val="00983511"/>
    <w:rsid w:val="00AE0BD7"/>
    <w:rsid w:val="00C055AC"/>
    <w:rsid w:val="00D34071"/>
    <w:rsid w:val="0119175D"/>
    <w:rsid w:val="017E6F26"/>
    <w:rsid w:val="01DA2ABB"/>
    <w:rsid w:val="01EC4E88"/>
    <w:rsid w:val="01FC2264"/>
    <w:rsid w:val="02202F9E"/>
    <w:rsid w:val="02AE02BC"/>
    <w:rsid w:val="0308713A"/>
    <w:rsid w:val="045D1075"/>
    <w:rsid w:val="04644A12"/>
    <w:rsid w:val="04B30C95"/>
    <w:rsid w:val="050311BC"/>
    <w:rsid w:val="05885F28"/>
    <w:rsid w:val="05A26700"/>
    <w:rsid w:val="063B7735"/>
    <w:rsid w:val="065B533F"/>
    <w:rsid w:val="079A516F"/>
    <w:rsid w:val="08205941"/>
    <w:rsid w:val="0875437C"/>
    <w:rsid w:val="08951C10"/>
    <w:rsid w:val="094654D0"/>
    <w:rsid w:val="095D5DB0"/>
    <w:rsid w:val="0993239A"/>
    <w:rsid w:val="09EF03E6"/>
    <w:rsid w:val="0A5A718F"/>
    <w:rsid w:val="0A6313D5"/>
    <w:rsid w:val="0A7809B7"/>
    <w:rsid w:val="0B201B87"/>
    <w:rsid w:val="0B486FCE"/>
    <w:rsid w:val="0B8E7D66"/>
    <w:rsid w:val="0BA15CEB"/>
    <w:rsid w:val="0BC102B9"/>
    <w:rsid w:val="0BD92337"/>
    <w:rsid w:val="0C3C1112"/>
    <w:rsid w:val="0CD07240"/>
    <w:rsid w:val="0D021CD9"/>
    <w:rsid w:val="0D2846C0"/>
    <w:rsid w:val="0E0A401C"/>
    <w:rsid w:val="0EFA57E8"/>
    <w:rsid w:val="0F430DA0"/>
    <w:rsid w:val="0F847DFE"/>
    <w:rsid w:val="0F90537C"/>
    <w:rsid w:val="0FD456BE"/>
    <w:rsid w:val="1182572D"/>
    <w:rsid w:val="11F124A2"/>
    <w:rsid w:val="122F22A3"/>
    <w:rsid w:val="12454861"/>
    <w:rsid w:val="12962FE4"/>
    <w:rsid w:val="15286552"/>
    <w:rsid w:val="15952396"/>
    <w:rsid w:val="15DD5D95"/>
    <w:rsid w:val="15EF354C"/>
    <w:rsid w:val="169D4D79"/>
    <w:rsid w:val="16C64B81"/>
    <w:rsid w:val="17195A09"/>
    <w:rsid w:val="17373FE9"/>
    <w:rsid w:val="17C54582"/>
    <w:rsid w:val="18006D2D"/>
    <w:rsid w:val="18135F98"/>
    <w:rsid w:val="185A794E"/>
    <w:rsid w:val="187E6F31"/>
    <w:rsid w:val="19547A2B"/>
    <w:rsid w:val="19A337A7"/>
    <w:rsid w:val="19AC26CA"/>
    <w:rsid w:val="1A34246A"/>
    <w:rsid w:val="1A811C62"/>
    <w:rsid w:val="1A904C9D"/>
    <w:rsid w:val="1AD14F0C"/>
    <w:rsid w:val="1B765D0D"/>
    <w:rsid w:val="1B910A48"/>
    <w:rsid w:val="1BB73068"/>
    <w:rsid w:val="1BC1164B"/>
    <w:rsid w:val="1C0320AA"/>
    <w:rsid w:val="1C886977"/>
    <w:rsid w:val="1C9B38FC"/>
    <w:rsid w:val="1CDE6D2B"/>
    <w:rsid w:val="1DC822F7"/>
    <w:rsid w:val="1E362784"/>
    <w:rsid w:val="1E544E3F"/>
    <w:rsid w:val="1E736DD8"/>
    <w:rsid w:val="1EA628CB"/>
    <w:rsid w:val="1EBA1C78"/>
    <w:rsid w:val="1ED33571"/>
    <w:rsid w:val="1FD8224D"/>
    <w:rsid w:val="20121D9A"/>
    <w:rsid w:val="208027EC"/>
    <w:rsid w:val="21257307"/>
    <w:rsid w:val="212A0C1E"/>
    <w:rsid w:val="21F53157"/>
    <w:rsid w:val="226A14AD"/>
    <w:rsid w:val="229868C0"/>
    <w:rsid w:val="22C04A5F"/>
    <w:rsid w:val="22C358CA"/>
    <w:rsid w:val="23123443"/>
    <w:rsid w:val="234610BC"/>
    <w:rsid w:val="234A3673"/>
    <w:rsid w:val="238B4E5F"/>
    <w:rsid w:val="23933F1C"/>
    <w:rsid w:val="239776D6"/>
    <w:rsid w:val="23C63542"/>
    <w:rsid w:val="243944E0"/>
    <w:rsid w:val="246D04B7"/>
    <w:rsid w:val="248331BF"/>
    <w:rsid w:val="24B676B8"/>
    <w:rsid w:val="258333C4"/>
    <w:rsid w:val="25962743"/>
    <w:rsid w:val="26750686"/>
    <w:rsid w:val="27281094"/>
    <w:rsid w:val="279975EF"/>
    <w:rsid w:val="28285372"/>
    <w:rsid w:val="29480E2C"/>
    <w:rsid w:val="2973555A"/>
    <w:rsid w:val="299114E2"/>
    <w:rsid w:val="29BD76DB"/>
    <w:rsid w:val="29C93D50"/>
    <w:rsid w:val="29CE4A1B"/>
    <w:rsid w:val="2A5C497A"/>
    <w:rsid w:val="2AF01996"/>
    <w:rsid w:val="2B65660A"/>
    <w:rsid w:val="2B98280F"/>
    <w:rsid w:val="2BB17F76"/>
    <w:rsid w:val="2BE61D35"/>
    <w:rsid w:val="2BF02C06"/>
    <w:rsid w:val="2C2E42B3"/>
    <w:rsid w:val="2D4415E2"/>
    <w:rsid w:val="2D456A16"/>
    <w:rsid w:val="2DCC5820"/>
    <w:rsid w:val="2E4D1EF4"/>
    <w:rsid w:val="2E6E0107"/>
    <w:rsid w:val="2F04035B"/>
    <w:rsid w:val="301D5419"/>
    <w:rsid w:val="30303A1F"/>
    <w:rsid w:val="309D171B"/>
    <w:rsid w:val="30FF7ED0"/>
    <w:rsid w:val="318F6462"/>
    <w:rsid w:val="31A33D22"/>
    <w:rsid w:val="320539CB"/>
    <w:rsid w:val="320D7387"/>
    <w:rsid w:val="32291BA4"/>
    <w:rsid w:val="32382BF4"/>
    <w:rsid w:val="323C5A1D"/>
    <w:rsid w:val="32781ABD"/>
    <w:rsid w:val="32FF3D1D"/>
    <w:rsid w:val="33DB440D"/>
    <w:rsid w:val="340C2AEA"/>
    <w:rsid w:val="341113B0"/>
    <w:rsid w:val="34165538"/>
    <w:rsid w:val="353F0A0B"/>
    <w:rsid w:val="356E692B"/>
    <w:rsid w:val="357A0DCF"/>
    <w:rsid w:val="35B54174"/>
    <w:rsid w:val="3679288A"/>
    <w:rsid w:val="367D5F1F"/>
    <w:rsid w:val="36EE31D2"/>
    <w:rsid w:val="37070849"/>
    <w:rsid w:val="375F0685"/>
    <w:rsid w:val="384C458D"/>
    <w:rsid w:val="38781387"/>
    <w:rsid w:val="38942A93"/>
    <w:rsid w:val="38CA2F4E"/>
    <w:rsid w:val="38E9521B"/>
    <w:rsid w:val="392D58FF"/>
    <w:rsid w:val="39D671BD"/>
    <w:rsid w:val="39D94EFA"/>
    <w:rsid w:val="3A0B0787"/>
    <w:rsid w:val="3B60170E"/>
    <w:rsid w:val="3BBD597A"/>
    <w:rsid w:val="3BE80DC3"/>
    <w:rsid w:val="3C245DD5"/>
    <w:rsid w:val="3C3245BA"/>
    <w:rsid w:val="3C746489"/>
    <w:rsid w:val="3CC05075"/>
    <w:rsid w:val="3CD605BE"/>
    <w:rsid w:val="3D7F55DD"/>
    <w:rsid w:val="3E4717E2"/>
    <w:rsid w:val="3F38202F"/>
    <w:rsid w:val="3F5D7BA0"/>
    <w:rsid w:val="3F636838"/>
    <w:rsid w:val="400D18DE"/>
    <w:rsid w:val="40253DCF"/>
    <w:rsid w:val="4081341A"/>
    <w:rsid w:val="40BA6B83"/>
    <w:rsid w:val="41545539"/>
    <w:rsid w:val="417324DA"/>
    <w:rsid w:val="419C4171"/>
    <w:rsid w:val="41B54635"/>
    <w:rsid w:val="420C2E70"/>
    <w:rsid w:val="422F73C0"/>
    <w:rsid w:val="423C0BD3"/>
    <w:rsid w:val="42561CB4"/>
    <w:rsid w:val="42AB0AAA"/>
    <w:rsid w:val="43234360"/>
    <w:rsid w:val="432922CB"/>
    <w:rsid w:val="43AD4B7B"/>
    <w:rsid w:val="449D459A"/>
    <w:rsid w:val="44D97CC8"/>
    <w:rsid w:val="4546234C"/>
    <w:rsid w:val="456C6A9D"/>
    <w:rsid w:val="458A550A"/>
    <w:rsid w:val="458D35C1"/>
    <w:rsid w:val="45A67E78"/>
    <w:rsid w:val="46E75FA1"/>
    <w:rsid w:val="48254419"/>
    <w:rsid w:val="489B4134"/>
    <w:rsid w:val="4943482F"/>
    <w:rsid w:val="49466876"/>
    <w:rsid w:val="494F2857"/>
    <w:rsid w:val="496A578B"/>
    <w:rsid w:val="49AD08B5"/>
    <w:rsid w:val="4A573306"/>
    <w:rsid w:val="4AF96236"/>
    <w:rsid w:val="4BA449D9"/>
    <w:rsid w:val="4BA541D7"/>
    <w:rsid w:val="4C3440CD"/>
    <w:rsid w:val="4C7B2BE6"/>
    <w:rsid w:val="4C9B6882"/>
    <w:rsid w:val="4CBF0D80"/>
    <w:rsid w:val="4D427016"/>
    <w:rsid w:val="4D711E7E"/>
    <w:rsid w:val="4D797A58"/>
    <w:rsid w:val="4DD85F43"/>
    <w:rsid w:val="4E173215"/>
    <w:rsid w:val="4E173610"/>
    <w:rsid w:val="4E930B0D"/>
    <w:rsid w:val="4EA66308"/>
    <w:rsid w:val="4F5608C4"/>
    <w:rsid w:val="4F766114"/>
    <w:rsid w:val="4F8610E9"/>
    <w:rsid w:val="507E5562"/>
    <w:rsid w:val="50D45F2F"/>
    <w:rsid w:val="51F577C4"/>
    <w:rsid w:val="52D74D2C"/>
    <w:rsid w:val="52DA51AE"/>
    <w:rsid w:val="53FF492A"/>
    <w:rsid w:val="54D1276A"/>
    <w:rsid w:val="554E537A"/>
    <w:rsid w:val="55616804"/>
    <w:rsid w:val="55874A03"/>
    <w:rsid w:val="55CE5810"/>
    <w:rsid w:val="55FA2423"/>
    <w:rsid w:val="569D66E6"/>
    <w:rsid w:val="56F2786D"/>
    <w:rsid w:val="5719360E"/>
    <w:rsid w:val="571F2D49"/>
    <w:rsid w:val="574754FF"/>
    <w:rsid w:val="57757CA7"/>
    <w:rsid w:val="58607961"/>
    <w:rsid w:val="58F01438"/>
    <w:rsid w:val="59375A1D"/>
    <w:rsid w:val="594D7417"/>
    <w:rsid w:val="59686DCF"/>
    <w:rsid w:val="59CF49B7"/>
    <w:rsid w:val="59DF76D7"/>
    <w:rsid w:val="5A225816"/>
    <w:rsid w:val="5A9C5F59"/>
    <w:rsid w:val="5ACF38E1"/>
    <w:rsid w:val="5B482A62"/>
    <w:rsid w:val="5C076A5E"/>
    <w:rsid w:val="5C771BE0"/>
    <w:rsid w:val="5CAD3584"/>
    <w:rsid w:val="5CB07C59"/>
    <w:rsid w:val="5CFB1F4F"/>
    <w:rsid w:val="5F030365"/>
    <w:rsid w:val="5F677827"/>
    <w:rsid w:val="5F864151"/>
    <w:rsid w:val="5F8F71D1"/>
    <w:rsid w:val="5FB567E4"/>
    <w:rsid w:val="5FF05A6E"/>
    <w:rsid w:val="5FFB0250"/>
    <w:rsid w:val="60605730"/>
    <w:rsid w:val="60F207F0"/>
    <w:rsid w:val="610241B9"/>
    <w:rsid w:val="61E25179"/>
    <w:rsid w:val="62A10CA3"/>
    <w:rsid w:val="62BD13DE"/>
    <w:rsid w:val="638766EA"/>
    <w:rsid w:val="63BE23B3"/>
    <w:rsid w:val="64C83E3F"/>
    <w:rsid w:val="65163BD5"/>
    <w:rsid w:val="66083AC5"/>
    <w:rsid w:val="661D79D4"/>
    <w:rsid w:val="662E1D26"/>
    <w:rsid w:val="666B455D"/>
    <w:rsid w:val="66B15A9A"/>
    <w:rsid w:val="66C06E47"/>
    <w:rsid w:val="67166A64"/>
    <w:rsid w:val="672178DE"/>
    <w:rsid w:val="674D5FC2"/>
    <w:rsid w:val="67C42C17"/>
    <w:rsid w:val="68023DFC"/>
    <w:rsid w:val="680974B1"/>
    <w:rsid w:val="68420A03"/>
    <w:rsid w:val="687D16CC"/>
    <w:rsid w:val="68D971FF"/>
    <w:rsid w:val="693634DB"/>
    <w:rsid w:val="693B6100"/>
    <w:rsid w:val="69DA1950"/>
    <w:rsid w:val="6A5C1F46"/>
    <w:rsid w:val="6B2E6569"/>
    <w:rsid w:val="6B3B6193"/>
    <w:rsid w:val="6B790CBA"/>
    <w:rsid w:val="6BBD0EFB"/>
    <w:rsid w:val="6C667801"/>
    <w:rsid w:val="6E062843"/>
    <w:rsid w:val="6E8E40FA"/>
    <w:rsid w:val="6E9A66EC"/>
    <w:rsid w:val="6ECE0DCB"/>
    <w:rsid w:val="6EE56993"/>
    <w:rsid w:val="6F5D2182"/>
    <w:rsid w:val="6F886F60"/>
    <w:rsid w:val="6FA32AFD"/>
    <w:rsid w:val="705B3FE0"/>
    <w:rsid w:val="716561F8"/>
    <w:rsid w:val="71B95602"/>
    <w:rsid w:val="71BC7FEE"/>
    <w:rsid w:val="7214276C"/>
    <w:rsid w:val="722A507F"/>
    <w:rsid w:val="73F00872"/>
    <w:rsid w:val="74850A24"/>
    <w:rsid w:val="758147E1"/>
    <w:rsid w:val="758B02BC"/>
    <w:rsid w:val="75EC5E18"/>
    <w:rsid w:val="762F0F3C"/>
    <w:rsid w:val="76361B34"/>
    <w:rsid w:val="763E7D97"/>
    <w:rsid w:val="76A63DF1"/>
    <w:rsid w:val="76BC0985"/>
    <w:rsid w:val="77E42AB3"/>
    <w:rsid w:val="78BE0922"/>
    <w:rsid w:val="79587CEF"/>
    <w:rsid w:val="79F16F50"/>
    <w:rsid w:val="7A344504"/>
    <w:rsid w:val="7AA94D80"/>
    <w:rsid w:val="7AD11DA7"/>
    <w:rsid w:val="7AD456BE"/>
    <w:rsid w:val="7AD82769"/>
    <w:rsid w:val="7B0B7019"/>
    <w:rsid w:val="7C7716D0"/>
    <w:rsid w:val="7D632E3F"/>
    <w:rsid w:val="7E3E6DFB"/>
    <w:rsid w:val="7E84059B"/>
    <w:rsid w:val="7E9571EA"/>
    <w:rsid w:val="7F5A2D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2">
    <w:name w:val="Normal Table"/>
    <w:autoRedefine/>
    <w:semiHidden/>
    <w:unhideWhenUsed/>
    <w:qFormat/>
    <w:uiPriority w:val="99"/>
    <w:tblPr>
      <w:tblCellMar>
        <w:top w:w="0" w:type="dxa"/>
        <w:left w:w="108" w:type="dxa"/>
        <w:bottom w:w="0" w:type="dxa"/>
        <w:right w:w="108" w:type="dxa"/>
      </w:tblCellMar>
    </w:tblPr>
  </w:style>
  <w:style w:type="table" w:styleId="3">
    <w:name w:val="Table Grid"/>
    <w:basedOn w:val="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firstLine="420" w:firstLineChars="200"/>
    </w:pPr>
  </w:style>
  <w:style w:type="character" w:customStyle="1" w:styleId="6">
    <w:name w:val="NormalCharacter"/>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Pages>
  <Words>187</Words>
  <Characters>195</Characters>
  <Lines>2</Lines>
  <Paragraphs>1</Paragraphs>
  <TotalTime>0</TotalTime>
  <ScaleCrop>false</ScaleCrop>
  <LinksUpToDate>false</LinksUpToDate>
  <CharactersWithSpaces>224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2024-04-19T07:11:00Z</dcterms:created>
  <dc:creator>User</dc:creator>
  <cp:lastModifiedBy>卓拉</cp:lastModifiedBy>
  <dcterms:modified xsi:type="dcterms:W3CDTF">2026-05-28T08:08:16Z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19EB2274C0784930AB4E6A82266D86F2_12</vt:lpwstr>
  </property>
  <property fmtid="{D5CDD505-2E9C-101B-9397-08002B2CF9AE}" pid="4" name="KSOTemplateDocerSaveRecord">
    <vt:lpwstr>eyJoZGlkIjoiNjEzOTI2YzdlZDUzMDM1NjdmM2EyNjE3YzNlYmMxNzgiLCJ1c2VySWQiOiIzNTQ2NzM0MTEifQ==</vt:lpwstr>
  </property>
</Properties>
</file>