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A30F5"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分项报价明细表</w:t>
      </w:r>
    </w:p>
    <w:p w14:paraId="77D78DB4">
      <w:pPr>
        <w:bidi w:val="0"/>
        <w:rPr>
          <w:rFonts w:hint="eastAsia"/>
          <w:lang w:val="en-US" w:eastAsia="zh-CN"/>
        </w:rPr>
      </w:pPr>
    </w:p>
    <w:p w14:paraId="42DB9B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项目编号： </w:t>
      </w:r>
    </w:p>
    <w:p w14:paraId="11B332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项目名称：</w:t>
      </w:r>
    </w:p>
    <w:p w14:paraId="21B5AE3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名称：                                             </w:t>
      </w:r>
    </w:p>
    <w:tbl>
      <w:tblPr>
        <w:tblStyle w:val="8"/>
        <w:tblW w:w="14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356"/>
        <w:gridCol w:w="1329"/>
        <w:gridCol w:w="4587"/>
        <w:gridCol w:w="1436"/>
        <w:gridCol w:w="1564"/>
        <w:gridCol w:w="1190"/>
        <w:gridCol w:w="857"/>
        <w:gridCol w:w="1252"/>
      </w:tblGrid>
      <w:tr w14:paraId="486EE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406EFBC2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56" w:type="dxa"/>
            <w:noWrap w:val="0"/>
            <w:vAlign w:val="center"/>
          </w:tcPr>
          <w:p w14:paraId="63CFC8C1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服务名称</w:t>
            </w:r>
          </w:p>
        </w:tc>
        <w:tc>
          <w:tcPr>
            <w:tcW w:w="1329" w:type="dxa"/>
            <w:noWrap w:val="0"/>
            <w:vAlign w:val="center"/>
          </w:tcPr>
          <w:p w14:paraId="6A7B6B72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服务范围</w:t>
            </w:r>
          </w:p>
        </w:tc>
        <w:tc>
          <w:tcPr>
            <w:tcW w:w="4587" w:type="dxa"/>
            <w:noWrap w:val="0"/>
            <w:vAlign w:val="center"/>
          </w:tcPr>
          <w:p w14:paraId="3620EE91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服务要求</w:t>
            </w:r>
          </w:p>
        </w:tc>
        <w:tc>
          <w:tcPr>
            <w:tcW w:w="1436" w:type="dxa"/>
            <w:noWrap w:val="0"/>
            <w:vAlign w:val="center"/>
          </w:tcPr>
          <w:p w14:paraId="1D2AE379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服务期限</w:t>
            </w:r>
          </w:p>
        </w:tc>
        <w:tc>
          <w:tcPr>
            <w:tcW w:w="1564" w:type="dxa"/>
            <w:noWrap w:val="0"/>
            <w:vAlign w:val="center"/>
          </w:tcPr>
          <w:p w14:paraId="1A66AA5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服务标准</w:t>
            </w:r>
          </w:p>
        </w:tc>
        <w:tc>
          <w:tcPr>
            <w:tcW w:w="1190" w:type="dxa"/>
            <w:noWrap w:val="0"/>
            <w:vAlign w:val="center"/>
          </w:tcPr>
          <w:p w14:paraId="4872EDD3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单价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857" w:type="dxa"/>
            <w:noWrap w:val="0"/>
            <w:vAlign w:val="center"/>
          </w:tcPr>
          <w:p w14:paraId="754660F3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252" w:type="dxa"/>
            <w:noWrap w:val="0"/>
            <w:vAlign w:val="center"/>
          </w:tcPr>
          <w:p w14:paraId="0D3683D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总价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（元）</w:t>
            </w:r>
          </w:p>
        </w:tc>
      </w:tr>
      <w:tr w14:paraId="0E5F5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14" w:type="dxa"/>
            <w:noWrap w:val="0"/>
            <w:vAlign w:val="center"/>
          </w:tcPr>
          <w:p w14:paraId="311E3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56" w:type="dxa"/>
            <w:noWrap w:val="0"/>
            <w:vAlign w:val="center"/>
          </w:tcPr>
          <w:p w14:paraId="181F8F9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足球项目赛事服务</w:t>
            </w:r>
          </w:p>
        </w:tc>
        <w:tc>
          <w:tcPr>
            <w:tcW w:w="1329" w:type="dxa"/>
            <w:noWrap w:val="0"/>
            <w:vAlign w:val="center"/>
          </w:tcPr>
          <w:p w14:paraId="5ED95F42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负责足球项目竞赛组织、场地布置、氛围营造、裁判员劳务差旅、计时计分设备等竞赛器材租赁工作。</w:t>
            </w:r>
          </w:p>
          <w:p w14:paraId="654DCFE2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6742246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587" w:type="dxa"/>
            <w:vMerge w:val="restart"/>
            <w:noWrap w:val="0"/>
            <w:vAlign w:val="center"/>
          </w:tcPr>
          <w:p w14:paraId="6192C282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竞赛组织服务</w:t>
            </w:r>
          </w:p>
          <w:p w14:paraId="43584976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（1）提供完整赛事策划方案，涵盖赛事流程设计、组织协调、进度管控等，保障赛事从筹备到结束全流程顺畅运行，服务周期含赛前筹备、比赛期间及赛后收尾。</w:t>
            </w:r>
          </w:p>
          <w:p w14:paraId="5D2C5831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（2）配合竞委会制订赛事组织实施方案、赛事风险评估方案、赛事风险应急预案、医疗救治应急预案，做好赛事组织，确保赛事活动顺利举行。</w:t>
            </w:r>
          </w:p>
          <w:p w14:paraId="14F1EFF8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负责整理一套完整的赛事总结报告资料，包括但不限于：秩序册、成绩册，实施过程照片、视频、签领表等内容。</w:t>
            </w:r>
          </w:p>
          <w:p w14:paraId="3EE3C8BB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竞赛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器材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保障</w:t>
            </w:r>
          </w:p>
          <w:p w14:paraId="25E21692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（1）制定计时设备和竞赛辅助器材清单。</w:t>
            </w:r>
          </w:p>
          <w:p w14:paraId="425307A0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计时记分设备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等竞赛器材，满足比赛要求、保障赛事正常运行。</w:t>
            </w:r>
          </w:p>
          <w:p w14:paraId="694216AB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）提供裁判员比赛用品、耗材，提供电脑打印机等通用器材，满足赛事需求。</w:t>
            </w:r>
          </w:p>
          <w:p w14:paraId="6E9A737A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（4）负责赛事期间所需器材、设备的出入库管理、转运。</w:t>
            </w:r>
          </w:p>
          <w:p w14:paraId="0168D365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竞赛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场地保障</w:t>
            </w:r>
          </w:p>
          <w:p w14:paraId="49A2822F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（1）制定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地布置实施方案，按照方案布置赛场，保障赛事顺利进行。</w:t>
            </w:r>
          </w:p>
          <w:p w14:paraId="4869820D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（2）制定场地氛围营造实施方案，按照方案进行氛围营造，物料设计、制作和安装工作。</w:t>
            </w:r>
          </w:p>
          <w:p w14:paraId="5EAA636B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裁判员劳务、差旅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保障</w:t>
            </w:r>
          </w:p>
          <w:p w14:paraId="3C7DFBB6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（1）制定裁判员劳务保障方案，按照自治区十六运标准承担裁判员劳务费。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其中足球项目裁判员约120人，篮球项目裁判员约72人，三人篮球项目裁判员约45人，排球项目裁判员约70人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2CB7A690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（2）制定裁判员差旅保障方案，按照自治区十六运标准承担裁判员差旅费。</w:t>
            </w:r>
          </w:p>
          <w:p w14:paraId="48E57AB0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后勤服务保障</w:t>
            </w:r>
          </w:p>
          <w:p w14:paraId="79066D3C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制定后勤服务保障方案，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负责相关工作人员的分工、调配和组织安排工作。 </w:t>
            </w:r>
          </w:p>
          <w:p w14:paraId="1AB0574C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为裁判员、工作人员购买赛事保险。</w:t>
            </w:r>
          </w:p>
          <w:p w14:paraId="3595C8F1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（3）负责配合公安、卫健等相关单位做好赛事保障。 </w:t>
            </w:r>
          </w:p>
          <w:p w14:paraId="5ED0AB8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服务质量要求</w:t>
            </w:r>
          </w:p>
          <w:p w14:paraId="57921E97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（1）所有搭建物料需符合安全标准，确保赛事期间无安全隐患；设备设施需提前调试，保障正常运行。</w:t>
            </w:r>
          </w:p>
          <w:p w14:paraId="117BA481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（2）后勤保障服务需及时响应，满足赛事各类需求。        </w:t>
            </w:r>
          </w:p>
          <w:p w14:paraId="22624DB2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、服务周期要求：整体服务周期为自合同签订之日起至服务工作全部结束止，服务商需严格按照赛事日程完成各项服务。</w:t>
            </w:r>
          </w:p>
        </w:tc>
        <w:tc>
          <w:tcPr>
            <w:tcW w:w="1436" w:type="dxa"/>
            <w:vMerge w:val="restart"/>
            <w:noWrap w:val="0"/>
            <w:vAlign w:val="center"/>
          </w:tcPr>
          <w:p w14:paraId="3FB29D99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合同签订后至赛事服务全部工作</w:t>
            </w:r>
          </w:p>
          <w:p w14:paraId="0D76CC12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结束</w:t>
            </w:r>
          </w:p>
        </w:tc>
        <w:tc>
          <w:tcPr>
            <w:tcW w:w="1564" w:type="dxa"/>
            <w:vMerge w:val="restart"/>
            <w:noWrap w:val="0"/>
            <w:vAlign w:val="center"/>
          </w:tcPr>
          <w:p w14:paraId="4E80F761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符合国家现行行业服务标准的规定，满足采购人采购需求。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交付验收标准依次序对照适用标准为：①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符合中华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人民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共和国国家安全质量标 </w:t>
            </w:r>
          </w:p>
          <w:p w14:paraId="72A34AF0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准或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行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业标准；②符合采购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件和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响应文件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承诺中响应的合理最佳配置及各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项要求。</w:t>
            </w:r>
          </w:p>
        </w:tc>
        <w:tc>
          <w:tcPr>
            <w:tcW w:w="1190" w:type="dxa"/>
            <w:noWrap w:val="0"/>
            <w:vAlign w:val="center"/>
          </w:tcPr>
          <w:p w14:paraId="0194CD3A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6D1ACF9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7534A4B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49A31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6BFF8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56" w:type="dxa"/>
            <w:noWrap w:val="0"/>
            <w:vAlign w:val="center"/>
          </w:tcPr>
          <w:p w14:paraId="6897124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篮球项目赛事服务</w:t>
            </w:r>
          </w:p>
        </w:tc>
        <w:tc>
          <w:tcPr>
            <w:tcW w:w="1329" w:type="dxa"/>
            <w:noWrap w:val="0"/>
            <w:vAlign w:val="center"/>
          </w:tcPr>
          <w:p w14:paraId="33037656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负责篮球项目竞赛组织、场地布置、氛围营造、裁判员劳务差旅、计时计分设备等竞赛器材租赁工作。</w:t>
            </w:r>
          </w:p>
          <w:p w14:paraId="33BAE470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587" w:type="dxa"/>
            <w:vMerge w:val="continue"/>
            <w:noWrap w:val="0"/>
            <w:vAlign w:val="center"/>
          </w:tcPr>
          <w:p w14:paraId="064C51A9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36" w:type="dxa"/>
            <w:vMerge w:val="continue"/>
            <w:noWrap w:val="0"/>
            <w:vAlign w:val="center"/>
          </w:tcPr>
          <w:p w14:paraId="35D7E85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564" w:type="dxa"/>
            <w:vMerge w:val="continue"/>
            <w:noWrap w:val="0"/>
            <w:vAlign w:val="center"/>
          </w:tcPr>
          <w:p w14:paraId="74613F3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34CA606E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4F6EA8F5">
            <w:pPr>
              <w:widowControl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64190C05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5D7D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72AE19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56" w:type="dxa"/>
            <w:noWrap w:val="0"/>
            <w:vAlign w:val="center"/>
          </w:tcPr>
          <w:p w14:paraId="6C0CC9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三人篮球项目赛事服务</w:t>
            </w:r>
          </w:p>
        </w:tc>
        <w:tc>
          <w:tcPr>
            <w:tcW w:w="1329" w:type="dxa"/>
            <w:noWrap w:val="0"/>
            <w:vAlign w:val="center"/>
          </w:tcPr>
          <w:p w14:paraId="7F34B215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负责三人篮球项目竞赛组织、场地布置、氛围营造、裁判员劳务差旅、计时计分设备等竞赛器材租赁工作。</w:t>
            </w:r>
          </w:p>
          <w:p w14:paraId="4E882C4F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587" w:type="dxa"/>
            <w:vMerge w:val="continue"/>
            <w:noWrap w:val="0"/>
            <w:vAlign w:val="center"/>
          </w:tcPr>
          <w:p w14:paraId="1C3C0AA9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36" w:type="dxa"/>
            <w:vMerge w:val="continue"/>
            <w:noWrap w:val="0"/>
            <w:vAlign w:val="center"/>
          </w:tcPr>
          <w:p w14:paraId="165B2DAC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564" w:type="dxa"/>
            <w:vMerge w:val="continue"/>
            <w:noWrap w:val="0"/>
            <w:vAlign w:val="center"/>
          </w:tcPr>
          <w:p w14:paraId="256792B1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211A27BC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407E341A">
            <w:pPr>
              <w:widowControl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018EE8EF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52CB3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3" w:hRule="atLeast"/>
        </w:trPr>
        <w:tc>
          <w:tcPr>
            <w:tcW w:w="714" w:type="dxa"/>
            <w:noWrap w:val="0"/>
            <w:vAlign w:val="center"/>
          </w:tcPr>
          <w:p w14:paraId="5EC70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56" w:type="dxa"/>
            <w:noWrap w:val="0"/>
            <w:vAlign w:val="center"/>
          </w:tcPr>
          <w:p w14:paraId="04E05F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排球项目赛事服务</w:t>
            </w:r>
          </w:p>
        </w:tc>
        <w:tc>
          <w:tcPr>
            <w:tcW w:w="1329" w:type="dxa"/>
            <w:noWrap w:val="0"/>
            <w:vAlign w:val="center"/>
          </w:tcPr>
          <w:p w14:paraId="7932A6C3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负责排球项目竞赛组织、场地布置、氛围营造、裁判员劳务差旅、计时计分设备等竞赛器材租赁工作。</w:t>
            </w:r>
          </w:p>
          <w:p w14:paraId="2E17301A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587" w:type="dxa"/>
            <w:vMerge w:val="continue"/>
            <w:noWrap w:val="0"/>
            <w:vAlign w:val="center"/>
          </w:tcPr>
          <w:p w14:paraId="33269956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36" w:type="dxa"/>
            <w:vMerge w:val="continue"/>
            <w:noWrap w:val="0"/>
            <w:vAlign w:val="center"/>
          </w:tcPr>
          <w:p w14:paraId="327DB18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564" w:type="dxa"/>
            <w:vMerge w:val="continue"/>
            <w:noWrap w:val="0"/>
            <w:vAlign w:val="center"/>
          </w:tcPr>
          <w:p w14:paraId="343F7CEC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78F1709B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4469B00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64187F4D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</w:tbl>
    <w:p w14:paraId="3B2CD00E">
      <w:pPr>
        <w:bidi w:val="0"/>
        <w:rPr>
          <w:rFonts w:hint="eastAsia"/>
          <w:lang w:val="en-US" w:eastAsia="zh-CN"/>
        </w:rPr>
      </w:pPr>
    </w:p>
    <w:p w14:paraId="44BE10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20" w:firstLineChars="2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 xml:space="preserve">（盖章）： 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 xml:space="preserve">                   年   月  日</w:t>
      </w:r>
    </w:p>
    <w:p w14:paraId="0ADBE7F3">
      <w:pPr>
        <w:tabs>
          <w:tab w:val="left" w:pos="3344"/>
        </w:tabs>
        <w:bidi w:val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说明：本分项报价明细表必须附在投标文件中一起上传，如不上传视为无效投标。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D3274"/>
    <w:rsid w:val="157B0FA9"/>
    <w:rsid w:val="336A5172"/>
    <w:rsid w:val="349A6E48"/>
    <w:rsid w:val="55D874CD"/>
    <w:rsid w:val="614D3274"/>
    <w:rsid w:val="696B1208"/>
    <w:rsid w:val="7599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qFormat/>
    <w:uiPriority w:val="0"/>
    <w:pPr>
      <w:ind w:firstLine="420" w:firstLineChars="200"/>
    </w:pPr>
  </w:style>
  <w:style w:type="paragraph" w:customStyle="1" w:styleId="3">
    <w:name w:val="正文文本缩进1"/>
    <w:basedOn w:val="1"/>
    <w:qFormat/>
    <w:uiPriority w:val="0"/>
    <w:pPr>
      <w:ind w:left="420" w:leftChars="200"/>
    </w:pPr>
    <w:rPr>
      <w:rFonts w:ascii="Calibri" w:hAnsi="Calibri" w:cs="Calibri"/>
    </w:r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First Indent"/>
    <w:basedOn w:val="5"/>
    <w:qFormat/>
    <w:uiPriority w:val="99"/>
    <w:pPr>
      <w:ind w:firstLine="420" w:firstLineChars="1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1176</Words>
  <Characters>1180</Characters>
  <Lines>0</Lines>
  <Paragraphs>0</Paragraphs>
  <TotalTime>3</TotalTime>
  <ScaleCrop>false</ScaleCrop>
  <LinksUpToDate>false</LinksUpToDate>
  <CharactersWithSpaces>1245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2026-05-15T10:58:00Z</dcterms:created>
  <dc:creator>传奇</dc:creator>
  <cp:lastModifiedBy>传奇</cp:lastModifiedBy>
  <dcterms:modified xsi:type="dcterms:W3CDTF">2026-06-06T03:20:08Z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EE6F883FE54C4615823670485F28DBED_11</vt:lpwstr>
  </property>
  <property fmtid="{D5CDD505-2E9C-101B-9397-08002B2CF9AE}" pid="4" name="KSOTemplateDocerSaveRecord">
    <vt:lpwstr>eyJoZGlkIjoiN2ViNjBlNDg1MTJhNWJhOWM5YmJiNmZmOWM0Nzc4ZTgiLCJ1c2VySWQiOiI0MjEzNDk2ODkifQ==</vt:lpwstr>
  </property>
</Properties>
</file>