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B1C8F">
      <w:pPr>
        <w:pStyle w:val="2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绿化养护公共服务项目绩效考核表</w:t>
      </w:r>
    </w:p>
    <w:p w14:paraId="3A1AA4DF">
      <w:pPr>
        <w:pStyle w:val="18"/>
        <w:spacing w:line="56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考核月份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月</w:t>
      </w:r>
    </w:p>
    <w:p w14:paraId="72770B71">
      <w:pPr>
        <w:pStyle w:val="18"/>
        <w:spacing w:line="560" w:lineRule="exact"/>
        <w:rPr>
          <w:rFonts w:hint="eastAsia" w:ascii="宋体" w:hAnsi="宋体" w:eastAsia="宋体" w:cs="宋体"/>
          <w:b/>
          <w:bCs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服务单位：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</w:p>
    <w:p w14:paraId="7BDE1B41">
      <w:pPr>
        <w:pStyle w:val="18"/>
        <w:spacing w:line="560" w:lineRule="exac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考核单位：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</w:p>
    <w:p w14:paraId="028B8C8F">
      <w:pPr>
        <w:pStyle w:val="18"/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考核日期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721160A1">
      <w:pPr>
        <w:pStyle w:val="18"/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总分</w:t>
      </w:r>
      <w:r>
        <w:rPr>
          <w:rFonts w:hint="eastAsia" w:ascii="宋体" w:hAnsi="宋体" w:eastAsia="宋体" w:cs="宋体"/>
          <w:sz w:val="28"/>
          <w:szCs w:val="28"/>
        </w:rPr>
        <w:t>：100分，月得分在</w:t>
      </w:r>
      <w:r>
        <w:rPr>
          <w:rFonts w:ascii="宋体" w:hAnsi="宋体" w:eastAsia="宋体" w:cs="宋体"/>
          <w:sz w:val="28"/>
          <w:szCs w:val="28"/>
        </w:rPr>
        <w:t>90分（含90分）以上为合格分值，89分-80分（含80分）为警戒分值，</w:t>
      </w:r>
      <w:r>
        <w:rPr>
          <w:rFonts w:hint="eastAsia" w:ascii="宋体" w:hAnsi="宋体" w:eastAsia="宋体" w:cs="宋体"/>
          <w:sz w:val="28"/>
          <w:szCs w:val="28"/>
        </w:rPr>
        <w:t>80分以下为不合格分值。</w:t>
      </w:r>
    </w:p>
    <w:p w14:paraId="6C92EA7F">
      <w:pPr>
        <w:pStyle w:val="18"/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一、考核说明</w:t>
      </w:r>
    </w:p>
    <w:p w14:paraId="5774137D">
      <w:pPr>
        <w:pStyle w:val="18"/>
        <w:numPr>
          <w:ilvl w:val="0"/>
          <w:numId w:val="1"/>
        </w:numPr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本表格适用于市政道路、公园、广场配套等公共区域绿化养护服务季度绩效考核，涵盖日常养护、环境卫生、安全管理、服务成效等核心工作。</w:t>
      </w:r>
    </w:p>
    <w:p w14:paraId="52B0B250">
      <w:pPr>
        <w:pStyle w:val="18"/>
        <w:numPr>
          <w:ilvl w:val="0"/>
          <w:numId w:val="1"/>
        </w:numPr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考核采取现场核查+日常巡查记录综合评分方式，扣分以实际问题为准，单项分值扣完为止，不重复扣分。</w:t>
      </w:r>
    </w:p>
    <w:p w14:paraId="53D6F94C">
      <w:pPr>
        <w:pStyle w:val="18"/>
        <w:numPr>
          <w:ilvl w:val="0"/>
          <w:numId w:val="1"/>
        </w:numPr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季度考核最终得分将作为服务费结算、年度评优、合同续约的核心依据。</w:t>
      </w:r>
    </w:p>
    <w:p w14:paraId="71C40DA7"/>
    <w:p w14:paraId="69CD3F00">
      <w:pPr>
        <w:sectPr>
          <w:pgSz w:w="11906" w:h="16838"/>
          <w:pgMar w:top="1440" w:right="1440" w:bottom="1440" w:left="1440" w:header="708" w:footer="708" w:gutter="0"/>
          <w:cols w:space="720" w:num="1"/>
          <w:docGrid w:linePitch="360" w:charSpace="0"/>
        </w:sectPr>
      </w:pPr>
    </w:p>
    <w:tbl>
      <w:tblPr>
        <w:tblStyle w:val="12"/>
        <w:tblpPr w:leftFromText="180" w:rightFromText="180" w:vertAnchor="text" w:horzAnchor="page" w:tblpX="817" w:tblpY="661"/>
        <w:tblOverlap w:val="never"/>
        <w:tblW w:w="552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65"/>
        <w:gridCol w:w="1545"/>
        <w:gridCol w:w="1619"/>
        <w:gridCol w:w="9178"/>
        <w:gridCol w:w="1045"/>
        <w:gridCol w:w="962"/>
      </w:tblGrid>
      <w:tr w14:paraId="4297E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26B02D">
            <w:pPr>
              <w:pStyle w:val="18"/>
              <w:numPr>
                <w:ilvl w:val="0"/>
                <w:numId w:val="2"/>
              </w:numPr>
              <w:spacing w:line="240" w:lineRule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具体考核内容及评分标准</w:t>
            </w:r>
          </w:p>
        </w:tc>
      </w:tr>
      <w:tr w14:paraId="2E613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46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66C815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50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770366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考核项目</w:t>
            </w:r>
          </w:p>
        </w:tc>
        <w:tc>
          <w:tcPr>
            <w:tcW w:w="52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B42D91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权重分值</w:t>
            </w:r>
          </w:p>
        </w:tc>
        <w:tc>
          <w:tcPr>
            <w:tcW w:w="297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7C05FE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考核细则及评分标准</w:t>
            </w:r>
          </w:p>
        </w:tc>
        <w:tc>
          <w:tcPr>
            <w:tcW w:w="33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02D3E2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实际得分</w:t>
            </w:r>
          </w:p>
        </w:tc>
        <w:tc>
          <w:tcPr>
            <w:tcW w:w="30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49E3A0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扣分说明</w:t>
            </w:r>
          </w:p>
        </w:tc>
      </w:tr>
      <w:tr w14:paraId="03D44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46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DD2A29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50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105374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苗木日常</w:t>
            </w:r>
          </w:p>
          <w:p w14:paraId="37AFA3B6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养护管理</w:t>
            </w:r>
          </w:p>
        </w:tc>
        <w:tc>
          <w:tcPr>
            <w:tcW w:w="52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C0493E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50分</w:t>
            </w:r>
          </w:p>
        </w:tc>
        <w:tc>
          <w:tcPr>
            <w:tcW w:w="297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AB624A">
            <w:pPr>
              <w:pStyle w:val="18"/>
              <w:numPr>
                <w:ilvl w:val="0"/>
                <w:numId w:val="3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修剪整形（10分）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，乔木、灌木、草坪定期修剪，造型整齐美观，无徒长枝、病虫枝、枯枝、过密枝；行道树无遮挡标识、路灯、监控枝条；草坪长势均匀，疏密一致，无斑秃，无枯萎，无杂草丛生。发现1处修剪不规范、杂乱扣1分，多处问题累计扣分，严重失形扣5-10分。</w:t>
            </w:r>
          </w:p>
          <w:p w14:paraId="77D2C965">
            <w:pPr>
              <w:pStyle w:val="18"/>
              <w:numPr>
                <w:ilvl w:val="0"/>
                <w:numId w:val="3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浇灌排水（10分），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根据季节、天气科学浇水，苗木无大面积干旱萎蔫、积水烂根现象；雨季及时疏通绿地排水渠道。局部苗木干旱、积水每处扣1分，大面积养护不到位扣4-8分。</w:t>
            </w:r>
          </w:p>
          <w:p w14:paraId="559729F9">
            <w:pPr>
              <w:pStyle w:val="18"/>
              <w:numPr>
                <w:ilvl w:val="0"/>
                <w:numId w:val="3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施肥松土（10分），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季度内完成针对性施肥、松土作业，土壤疏松无板结，苗木长势旺盛、叶色正常。未按频次作业、土壤大面积板结扣3分；苗木长势衰弱、发黄扣4-8分。</w:t>
            </w:r>
          </w:p>
          <w:p w14:paraId="21570B02">
            <w:pPr>
              <w:pStyle w:val="18"/>
              <w:numPr>
                <w:ilvl w:val="0"/>
                <w:numId w:val="3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病虫害防治（10分），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坚持“预防为主、综合治理”，无大面积病虫害爆发，苗木无虫网、虫洞、霉变、枯枝。发现零星病虫害未处理每处扣1分，出现小面积爆发扣3-6分，大面积枯死、染病扣10分。</w:t>
            </w:r>
          </w:p>
          <w:p w14:paraId="64AAD808">
            <w:pPr>
              <w:pStyle w:val="18"/>
              <w:numPr>
                <w:ilvl w:val="0"/>
                <w:numId w:val="3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补植更新（10分），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及时对枯死、倒伏、缺失苗木清理补植，补植苗木成活率95%以上，长势良好、规格符合标准。苗木枯死、空缺未及时补植每处扣1分，补植成活率不达标扣3-8分。</w:t>
            </w:r>
          </w:p>
        </w:tc>
        <w:tc>
          <w:tcPr>
            <w:tcW w:w="33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83F2FB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F388BA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431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46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D69B67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50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199F2A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绿地环境</w:t>
            </w:r>
          </w:p>
          <w:p w14:paraId="53280A21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卫生管理</w:t>
            </w:r>
          </w:p>
        </w:tc>
        <w:tc>
          <w:tcPr>
            <w:tcW w:w="52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51B4EC9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10分</w:t>
            </w:r>
          </w:p>
        </w:tc>
        <w:tc>
          <w:tcPr>
            <w:tcW w:w="297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3ABC4F">
            <w:pPr>
              <w:pStyle w:val="18"/>
              <w:numPr>
                <w:ilvl w:val="0"/>
                <w:numId w:val="4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杂草管控（10分），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绿地杂草定期清除，无大面积杂草丛生，无杂草侵占苗木现象，草坪纯度达标。局部杂草过多扣1分，成片杂草覆盖绿地扣2-10分。</w:t>
            </w:r>
          </w:p>
        </w:tc>
        <w:tc>
          <w:tcPr>
            <w:tcW w:w="33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90D49E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7F5623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73C6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46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97EFBD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50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E29BF6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绿化设施</w:t>
            </w:r>
          </w:p>
          <w:p w14:paraId="645AA1C2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管护</w:t>
            </w:r>
          </w:p>
        </w:tc>
        <w:tc>
          <w:tcPr>
            <w:tcW w:w="52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DAA6FA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10分</w:t>
            </w:r>
          </w:p>
        </w:tc>
        <w:tc>
          <w:tcPr>
            <w:tcW w:w="297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39B24DC">
            <w:pPr>
              <w:pStyle w:val="18"/>
              <w:numPr>
                <w:ilvl w:val="0"/>
                <w:numId w:val="5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配套设施养护（6分），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灌溉喷头、警示标识等设施完好整洁，无破损、丢失、歪斜。设施破损、歪斜、积尘每处扣1分，缺失未及时报备补装每处扣2-6分。</w:t>
            </w:r>
          </w:p>
          <w:p w14:paraId="486C39CD">
            <w:pPr>
              <w:pStyle w:val="18"/>
              <w:numPr>
                <w:ilvl w:val="0"/>
                <w:numId w:val="5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绿地规整维护（4分），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绿地边界清晰、平整，无土壤裸露、塌陷、坑洼，无随意踩踏、碾压破损区域。土壤裸露、坑洼、边界杂乱每处扣1分。</w:t>
            </w:r>
          </w:p>
        </w:tc>
        <w:tc>
          <w:tcPr>
            <w:tcW w:w="33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F5A353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EEDDD6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75DB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46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E94F96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50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E4B9D8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安全与规范管理</w:t>
            </w:r>
          </w:p>
        </w:tc>
        <w:tc>
          <w:tcPr>
            <w:tcW w:w="52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F67B40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20分</w:t>
            </w:r>
          </w:p>
        </w:tc>
        <w:tc>
          <w:tcPr>
            <w:tcW w:w="297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07BD10">
            <w:pPr>
              <w:pStyle w:val="18"/>
              <w:numPr>
                <w:ilvl w:val="0"/>
                <w:numId w:val="6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作业安全（5分），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养护作业规范，高空修剪、农药喷洒、机械作业做好安全围挡、警示标识，操作人员穿戴防护用具，无违规作业行为。单次违规作业扣2分，发生轻微安全隐患扣3分，出现安全事故本项0分。</w:t>
            </w:r>
          </w:p>
          <w:p w14:paraId="67ABED59">
            <w:pPr>
              <w:pStyle w:val="18"/>
              <w:numPr>
                <w:ilvl w:val="0"/>
                <w:numId w:val="6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农药物资管理（5分），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农药、肥料、养护工具规范存放，台账清晰，无随意丢弃农药瓶、废料现象，杜绝高毒违禁。物资乱放、台账不全扣2分，违规用药、随意丢弃废弃物本扣2分。</w:t>
            </w:r>
          </w:p>
          <w:p w14:paraId="033A4861">
            <w:pPr>
              <w:pStyle w:val="18"/>
              <w:numPr>
                <w:ilvl w:val="0"/>
                <w:numId w:val="6"/>
              </w:numPr>
              <w:spacing w:line="240" w:lineRule="auto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应急处置（5分），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大风、暴雨、暴雪等极端天气后，24小时内完成倒伏苗木扶正、断枝清理、绿地排涝等应急处置。未及时处置、遗留安全隐患每处扣2-5分。</w:t>
            </w:r>
          </w:p>
          <w:p w14:paraId="25ACD821">
            <w:pPr>
              <w:pStyle w:val="18"/>
              <w:numPr>
                <w:ilvl w:val="0"/>
                <w:numId w:val="6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台账管理（5分），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养护日志，作业内容记录完整、规范、真实、台账整理有序，记录缺失、虚假不完整扣1-3分，无完整台账0分。</w:t>
            </w:r>
          </w:p>
        </w:tc>
        <w:tc>
          <w:tcPr>
            <w:tcW w:w="33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9F87B2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8676BAC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0701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46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C140CB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50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02CAC8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服务满意度与整改成效</w:t>
            </w:r>
          </w:p>
        </w:tc>
        <w:tc>
          <w:tcPr>
            <w:tcW w:w="52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1FDCAC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10分</w:t>
            </w:r>
          </w:p>
        </w:tc>
        <w:tc>
          <w:tcPr>
            <w:tcW w:w="297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85F4CD8">
            <w:pPr>
              <w:pStyle w:val="18"/>
              <w:numPr>
                <w:ilvl w:val="0"/>
                <w:numId w:val="7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无群众有效投诉、媒体曝光、上级通报问题（5分），出现1起有效投诉扣2-5分。</w:t>
            </w:r>
          </w:p>
          <w:p w14:paraId="504810BA">
            <w:pPr>
              <w:pStyle w:val="18"/>
              <w:numPr>
                <w:ilvl w:val="0"/>
                <w:numId w:val="7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针对日常巡查、考核发现的问题，按期、保质完成整改，无反复整改不到位问题（5分），整改滞后、反弹每次扣1分。</w:t>
            </w:r>
          </w:p>
        </w:tc>
        <w:tc>
          <w:tcPr>
            <w:tcW w:w="33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5F2D1C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74F447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DCF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46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E946CD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合计</w:t>
            </w:r>
          </w:p>
        </w:tc>
        <w:tc>
          <w:tcPr>
            <w:tcW w:w="50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FA52FF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总分</w:t>
            </w:r>
          </w:p>
        </w:tc>
        <w:tc>
          <w:tcPr>
            <w:tcW w:w="52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BC7FC1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100分</w:t>
            </w:r>
          </w:p>
        </w:tc>
        <w:tc>
          <w:tcPr>
            <w:tcW w:w="297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482F77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</w:p>
        </w:tc>
        <w:tc>
          <w:tcPr>
            <w:tcW w:w="33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73E95B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A4486A">
            <w:pPr>
              <w:pStyle w:val="18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1305A7C8">
      <w:pPr>
        <w:sectPr>
          <w:pgSz w:w="16838" w:h="11906" w:orient="landscape"/>
          <w:pgMar w:top="1440" w:right="1440" w:bottom="1440" w:left="1440" w:header="708" w:footer="708" w:gutter="0"/>
          <w:cols w:space="720" w:num="1"/>
          <w:docGrid w:linePitch="360" w:charSpace="0"/>
        </w:sectPr>
      </w:pPr>
    </w:p>
    <w:p w14:paraId="785BE899">
      <w:pPr>
        <w:pStyle w:val="3"/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四、考核结论</w:t>
      </w:r>
    </w:p>
    <w:p w14:paraId="4682124E">
      <w:pPr>
        <w:pStyle w:val="18"/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□ 合格（90分及以上） □ 警戒（80-89分） □ 不合格（80分以下） </w:t>
      </w:r>
    </w:p>
    <w:p w14:paraId="465B8170">
      <w:pPr>
        <w:pStyle w:val="3"/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五、签字确认</w:t>
      </w:r>
    </w:p>
    <w:p w14:paraId="6857F93A">
      <w:pPr>
        <w:pStyle w:val="18"/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考核人签字</w:t>
      </w:r>
      <w:r>
        <w:rPr>
          <w:rFonts w:hint="eastAsia" w:ascii="宋体" w:hAnsi="宋体" w:eastAsia="宋体" w:cs="宋体"/>
          <w:sz w:val="28"/>
          <w:szCs w:val="28"/>
        </w:rPr>
        <w:t>：______________</w:t>
      </w:r>
    </w:p>
    <w:p w14:paraId="43E4A3E9">
      <w:pPr>
        <w:pStyle w:val="18"/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服务单位负责人签字</w:t>
      </w:r>
      <w:r>
        <w:rPr>
          <w:rFonts w:hint="eastAsia" w:ascii="宋体" w:hAnsi="宋体" w:eastAsia="宋体" w:cs="宋体"/>
          <w:sz w:val="28"/>
          <w:szCs w:val="28"/>
        </w:rPr>
        <w:t>：______________</w:t>
      </w:r>
    </w:p>
    <w:p w14:paraId="76311F49">
      <w:pPr>
        <w:pStyle w:val="18"/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考核单位盖章</w:t>
      </w:r>
      <w:r>
        <w:rPr>
          <w:rFonts w:hint="eastAsia" w:ascii="宋体" w:hAnsi="宋体" w:eastAsia="宋体" w:cs="宋体"/>
          <w:sz w:val="28"/>
          <w:szCs w:val="28"/>
        </w:rPr>
        <w:t>：______________</w:t>
      </w:r>
    </w:p>
    <w:p w14:paraId="13E842AB">
      <w:pPr>
        <w:pStyle w:val="18"/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备注</w:t>
      </w:r>
      <w:r>
        <w:rPr>
          <w:rFonts w:hint="eastAsia" w:ascii="宋体" w:hAnsi="宋体" w:eastAsia="宋体" w:cs="宋体"/>
          <w:sz w:val="28"/>
          <w:szCs w:val="28"/>
        </w:rPr>
        <w:t>：________________________________________________________________</w:t>
      </w:r>
    </w:p>
    <w:p w14:paraId="5C53CE4B">
      <w:pPr>
        <w:pStyle w:val="18"/>
        <w:spacing w:line="560" w:lineRule="exact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A05520"/>
    <w:multiLevelType w:val="singleLevel"/>
    <w:tmpl w:val="9AA05520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>
    <w:nsid w:val="A8411276"/>
    <w:multiLevelType w:val="singleLevel"/>
    <w:tmpl w:val="A841127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955CA5B"/>
    <w:multiLevelType w:val="singleLevel"/>
    <w:tmpl w:val="F955CA5B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>
    <w:nsid w:val="F9AF1A3B"/>
    <w:multiLevelType w:val="singleLevel"/>
    <w:tmpl w:val="F9AF1A3B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4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  <w:color w:val="auto"/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58886B03"/>
    <w:multiLevelType w:val="singleLevel"/>
    <w:tmpl w:val="58886B03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6">
    <w:nsid w:val="6DC708D1"/>
    <w:multiLevelType w:val="singleLevel"/>
    <w:tmpl w:val="6DC708D1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num w:numId="1">
    <w:abstractNumId w:val="4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D2D"/>
    <w:rsid w:val="00023E0C"/>
    <w:rsid w:val="00156D81"/>
    <w:rsid w:val="00236FD8"/>
    <w:rsid w:val="00254E2C"/>
    <w:rsid w:val="003E0D2D"/>
    <w:rsid w:val="003F1988"/>
    <w:rsid w:val="005E294F"/>
    <w:rsid w:val="005F0FB3"/>
    <w:rsid w:val="00895C34"/>
    <w:rsid w:val="008B4A85"/>
    <w:rsid w:val="00AB0CAB"/>
    <w:rsid w:val="00C204E4"/>
    <w:rsid w:val="00CC322B"/>
    <w:rsid w:val="00DB3874"/>
    <w:rsid w:val="194E667E"/>
    <w:rsid w:val="52FC5208"/>
    <w:rsid w:val="59021905"/>
    <w:rsid w:val="67081391"/>
    <w:rsid w:val="73B452D9"/>
    <w:rsid w:val="7F3A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380" w:after="140" w:line="288" w:lineRule="auto"/>
      <w:outlineLvl w:val="0"/>
    </w:pPr>
    <w:rPr>
      <w:rFonts w:ascii="Arial" w:hAnsi="Arial" w:eastAsia="等线" w:cs="Arial"/>
      <w:b/>
      <w:bCs/>
      <w:sz w:val="36"/>
      <w:szCs w:val="36"/>
      <w:lang w:val="en-US" w:eastAsia="zh-CN" w:bidi="ar-SA"/>
    </w:rPr>
  </w:style>
  <w:style w:type="paragraph" w:styleId="3">
    <w:name w:val="heading 2"/>
    <w:next w:val="1"/>
    <w:qFormat/>
    <w:uiPriority w:val="0"/>
    <w:pPr>
      <w:spacing w:before="320" w:after="120" w:line="288" w:lineRule="auto"/>
      <w:outlineLvl w:val="1"/>
    </w:pPr>
    <w:rPr>
      <w:rFonts w:ascii="Arial" w:hAnsi="Arial" w:eastAsia="等线" w:cs="Arial"/>
      <w:b/>
      <w:bCs/>
      <w:sz w:val="32"/>
      <w:szCs w:val="32"/>
      <w:lang w:val="en-US" w:eastAsia="zh-CN" w:bidi="ar-SA"/>
    </w:rPr>
  </w:style>
  <w:style w:type="paragraph" w:styleId="4">
    <w:name w:val="heading 3"/>
    <w:next w:val="1"/>
    <w:qFormat/>
    <w:uiPriority w:val="0"/>
    <w:pPr>
      <w:spacing w:before="300" w:after="120" w:line="288" w:lineRule="auto"/>
      <w:outlineLvl w:val="2"/>
    </w:pPr>
    <w:rPr>
      <w:rFonts w:ascii="Arial" w:hAnsi="Arial" w:eastAsia="等线" w:cs="Arial"/>
      <w:b/>
      <w:bCs/>
      <w:sz w:val="30"/>
      <w:szCs w:val="30"/>
      <w:lang w:val="en-US" w:eastAsia="zh-CN" w:bidi="ar-SA"/>
    </w:rPr>
  </w:style>
  <w:style w:type="paragraph" w:styleId="5">
    <w:name w:val="heading 4"/>
    <w:next w:val="1"/>
    <w:qFormat/>
    <w:uiPriority w:val="0"/>
    <w:pPr>
      <w:spacing w:before="260" w:after="120" w:line="288" w:lineRule="auto"/>
      <w:outlineLvl w:val="3"/>
    </w:pPr>
    <w:rPr>
      <w:rFonts w:ascii="Arial" w:hAnsi="Arial" w:eastAsia="等线" w:cs="Arial"/>
      <w:b/>
      <w:bCs/>
      <w:sz w:val="28"/>
      <w:szCs w:val="28"/>
      <w:lang w:val="en-US" w:eastAsia="zh-CN" w:bidi="ar-SA"/>
    </w:rPr>
  </w:style>
  <w:style w:type="paragraph" w:styleId="6">
    <w:name w:val="heading 5"/>
    <w:next w:val="1"/>
    <w:qFormat/>
    <w:uiPriority w:val="0"/>
    <w:pPr>
      <w:spacing w:before="240" w:after="120" w:line="288" w:lineRule="auto"/>
      <w:outlineLvl w:val="4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qFormat/>
    <w:uiPriority w:val="0"/>
    <w:pPr>
      <w:spacing w:before="240" w:after="120" w:line="288" w:lineRule="auto"/>
      <w:outlineLvl w:val="5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link w:val="17"/>
    <w:semiHidden/>
    <w:unhideWhenUsed/>
    <w:qFormat/>
    <w:uiPriority w:val="99"/>
    <w:rPr>
      <w:rFonts w:asciiTheme="minorHAnsi" w:hAnsiTheme="minorHAnsi" w:eastAsiaTheme="minorEastAsia" w:cstheme="minorBidi"/>
      <w:lang w:val="en-US" w:eastAsia="zh-CN" w:bidi="ar-SA"/>
    </w:rPr>
  </w:style>
  <w:style w:type="paragraph" w:styleId="11">
    <w:name w:val="Title"/>
    <w:qFormat/>
    <w:uiPriority w:val="0"/>
    <w:pPr>
      <w:spacing w:before="480" w:after="480" w:line="288" w:lineRule="auto"/>
    </w:pPr>
    <w:rPr>
      <w:rFonts w:ascii="Arial" w:hAnsi="Arial" w:eastAsia="等线" w:cs="Arial"/>
      <w:b/>
      <w:bCs/>
      <w:sz w:val="52"/>
      <w:szCs w:val="52"/>
      <w:lang w:val="en-US" w:eastAsia="zh-CN" w:bidi="ar-SA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qFormat/>
    <w:uiPriority w:val="0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customStyle="1" w:styleId="17">
    <w:name w:val="脚注文本 字符"/>
    <w:link w:val="10"/>
    <w:semiHidden/>
    <w:unhideWhenUsed/>
    <w:qFormat/>
    <w:uiPriority w:val="99"/>
    <w:rPr>
      <w:sz w:val="20"/>
      <w:szCs w:val="20"/>
    </w:rPr>
  </w:style>
  <w:style w:type="paragraph" w:customStyle="1" w:styleId="18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  <w:style w:type="paragraph" w:customStyle="1" w:styleId="19">
    <w:name w:val="_Style 14"/>
    <w:qFormat/>
    <w:uiPriority w:val="0"/>
    <w:pPr>
      <w:spacing w:before="120" w:after="120" w:line="288" w:lineRule="auto"/>
    </w:pPr>
    <w:rPr>
      <w:rFonts w:ascii="Arial" w:hAnsi="Arial" w:eastAsia="等线" w:cs="Arial"/>
      <w:color w:val="8F959E"/>
      <w:sz w:val="22"/>
      <w:szCs w:val="22"/>
      <w:lang w:val="en-US" w:eastAsia="zh-CN" w:bidi="ar-SA"/>
    </w:rPr>
  </w:style>
  <w:style w:type="character" w:customStyle="1" w:styleId="20">
    <w:name w:val="页眉 字符"/>
    <w:basedOn w:val="13"/>
    <w:link w:val="9"/>
    <w:qFormat/>
    <w:uiPriority w:val="0"/>
    <w:rPr>
      <w:sz w:val="18"/>
      <w:szCs w:val="18"/>
    </w:rPr>
  </w:style>
  <w:style w:type="character" w:customStyle="1" w:styleId="21">
    <w:name w:val="页脚 字符"/>
    <w:basedOn w:val="13"/>
    <w:link w:val="8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250</Words>
  <Characters>259</Characters>
  <Lines>72</Lines>
  <Paragraphs>65</Paragraphs>
  <TotalTime>18</TotalTime>
  <ScaleCrop>false</ScaleCrop>
  <LinksUpToDate>false</LinksUpToDate>
  <CharactersWithSpaces>342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2026-05-29T08:00:00Z</dcterms:created>
  <dc:creator>Un-named</dc:creator>
  <cp:lastModifiedBy>Administrator</cp:lastModifiedBy>
  <dcterms:modified xsi:type="dcterms:W3CDTF">2026-09-16T07:23:06Z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eyJoZGlkIjoiZmYyOTRlNmNlNzU2YWQ2NjMxNmM3NjU5MGIwZGFmNWQiLCJ1c2VySWQiOiIxNDg1Nzc1NDM5In0=</vt:lpwstr>
  </property>
  <property fmtid="{D5CDD505-2E9C-101B-9397-08002B2CF9AE}" pid="3" name="KSOProductBuildVer">
    <vt:lpwstr>2052-12.1.0.28505</vt:lpwstr>
  </property>
  <property fmtid="{D5CDD505-2E9C-101B-9397-08002B2CF9AE}" pid="4" name="ICV">
    <vt:lpwstr>0C5E76D2B051425EAD0AB5F2ED250FAD_13</vt:lpwstr>
  </property>
</Properties>
</file>