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BB457">
      <w:pPr>
        <w:pStyle w:val="3"/>
        <w:numPr>
          <w:numId w:val="0"/>
        </w:numPr>
        <w:rPr>
          <w:rFonts w:hint="eastAsia" w:ascii="宋体" w:hAnsi="宋体" w:eastAsia="宋体" w:cs="宋体"/>
          <w:color w:val="auto"/>
        </w:rPr>
      </w:pPr>
      <w:r>
        <w:rPr>
          <w:rFonts w:hint="eastAsia" w:ascii="宋体" w:hAnsi="宋体" w:eastAsia="宋体" w:cs="宋体"/>
          <w:color w:val="auto"/>
        </w:rPr>
        <w:t>附件一：项目技术要求</w:t>
      </w:r>
    </w:p>
    <w:p w14:paraId="29222401">
      <w:pPr>
        <w:pStyle w:val="4"/>
        <w:spacing w:line="360" w:lineRule="auto"/>
        <w:ind w:firstLine="0" w:firstLineChars="0"/>
        <w:rPr>
          <w:rFonts w:hint="eastAsia" w:ascii="宋体" w:hAnsi="宋体" w:eastAsia="宋体" w:cs="宋体"/>
          <w:color w:val="auto"/>
        </w:rPr>
      </w:pPr>
      <w:r>
        <w:rPr>
          <w:rFonts w:hint="eastAsia" w:ascii="宋体" w:hAnsi="宋体" w:eastAsia="宋体" w:cs="宋体"/>
          <w:color w:val="auto"/>
        </w:rPr>
        <w:t>（一）软件开发及配套部分</w:t>
      </w:r>
    </w:p>
    <w:p w14:paraId="1DCC0F42">
      <w:pPr>
        <w:pStyle w:val="5"/>
        <w:ind w:firstLine="0" w:firstLineChars="0"/>
      </w:pPr>
      <w:r>
        <w:rPr>
          <w:rFonts w:hint="eastAsia"/>
        </w:rPr>
        <w:t>4.1.1软件开发</w:t>
      </w:r>
    </w:p>
    <w:p w14:paraId="38722919">
      <w:pPr>
        <w:pStyle w:val="6"/>
        <w:numPr>
          <w:ilvl w:val="3"/>
          <w:numId w:val="0"/>
        </w:numPr>
        <w:spacing w:line="360" w:lineRule="auto"/>
        <w:rPr>
          <w:lang w:val="en-US"/>
        </w:rPr>
      </w:pPr>
      <w:r>
        <w:rPr>
          <w:rFonts w:hint="eastAsia"/>
          <w:lang w:val="en-US"/>
        </w:rPr>
        <w:t>4.1.1.1设计原则</w:t>
      </w:r>
    </w:p>
    <w:p w14:paraId="0E9F80EC">
      <w:pPr>
        <w:spacing w:line="360" w:lineRule="auto"/>
        <w:ind w:firstLine="482"/>
        <w:jc w:val="left"/>
        <w:rPr>
          <w:rFonts w:hint="eastAsia" w:ascii="宋体" w:hAnsi="宋体" w:eastAsia="宋体" w:cs="宋体"/>
          <w:b/>
          <w:bCs/>
          <w:color w:val="auto"/>
        </w:rPr>
      </w:pPr>
      <w:r>
        <w:rPr>
          <w:rFonts w:hint="eastAsia" w:ascii="宋体" w:hAnsi="宋体" w:eastAsia="宋体" w:cs="宋体"/>
          <w:b/>
          <w:bCs/>
          <w:color w:val="auto"/>
        </w:rPr>
        <w:t>（1）开放性原则</w:t>
      </w:r>
    </w:p>
    <w:p w14:paraId="1821933C">
      <w:pPr>
        <w:spacing w:line="360" w:lineRule="auto"/>
        <w:ind w:firstLine="480"/>
        <w:jc w:val="left"/>
        <w:rPr>
          <w:rFonts w:hint="eastAsia" w:ascii="宋体" w:hAnsi="宋体" w:eastAsia="宋体" w:cs="宋体"/>
          <w:color w:val="auto"/>
        </w:rPr>
      </w:pPr>
      <w:r>
        <w:rPr>
          <w:rFonts w:hint="eastAsia" w:ascii="宋体" w:hAnsi="宋体" w:eastAsia="宋体" w:cs="宋体"/>
          <w:color w:val="auto"/>
        </w:rPr>
        <w:t>系统整体遵循标准化、通用化接口设计规范，对内实现内部各业务模块的数据互通流转，对外预留标准化对接端口。可顺畅对接上级监管平台、县级政务系统、第三方业务平台等外部主体，不受设备、平台类型限制，具备充足对外互通、跨系统联动的开放适配能力。</w:t>
      </w:r>
    </w:p>
    <w:p w14:paraId="5B1A32CC">
      <w:pPr>
        <w:spacing w:line="360" w:lineRule="auto"/>
        <w:ind w:firstLine="482"/>
        <w:jc w:val="left"/>
        <w:rPr>
          <w:rFonts w:hint="eastAsia" w:ascii="宋体" w:hAnsi="宋体" w:eastAsia="宋体" w:cs="宋体"/>
          <w:b/>
          <w:bCs/>
          <w:color w:val="auto"/>
        </w:rPr>
      </w:pPr>
      <w:r>
        <w:rPr>
          <w:rFonts w:hint="eastAsia" w:ascii="宋体" w:hAnsi="宋体" w:eastAsia="宋体" w:cs="宋体"/>
          <w:b/>
          <w:bCs/>
          <w:color w:val="auto"/>
        </w:rPr>
        <w:t>（2）先进性原则</w:t>
      </w:r>
    </w:p>
    <w:p w14:paraId="171B9953">
      <w:pPr>
        <w:spacing w:line="360" w:lineRule="auto"/>
        <w:ind w:firstLine="480"/>
        <w:jc w:val="left"/>
        <w:rPr>
          <w:rFonts w:hint="eastAsia" w:ascii="宋体" w:hAnsi="宋体" w:eastAsia="宋体" w:cs="宋体"/>
          <w:color w:val="auto"/>
        </w:rPr>
      </w:pPr>
      <w:r>
        <w:rPr>
          <w:rFonts w:hint="eastAsia" w:ascii="宋体" w:hAnsi="宋体" w:eastAsia="宋体" w:cs="宋体"/>
          <w:color w:val="auto"/>
        </w:rPr>
        <w:t>项目选型紧跟低空数字化行业主流技术路线，全部选用成熟稳定、经过大量同类项目落地验证的软硬件方案。整体架构兼顾当下业务落地与未来技术迭代趋势，在适配单位现有信息化资源的前提下，保障技术体系科学领先，支撑系统长期稳定高效运行。</w:t>
      </w:r>
    </w:p>
    <w:p w14:paraId="18D5B722">
      <w:pPr>
        <w:spacing w:line="360" w:lineRule="auto"/>
        <w:ind w:firstLine="482"/>
        <w:jc w:val="left"/>
        <w:rPr>
          <w:rFonts w:hint="eastAsia" w:ascii="宋体" w:hAnsi="宋体" w:eastAsia="宋体" w:cs="宋体"/>
          <w:b/>
          <w:bCs/>
          <w:color w:val="auto"/>
        </w:rPr>
      </w:pPr>
      <w:r>
        <w:rPr>
          <w:rFonts w:hint="eastAsia" w:ascii="宋体" w:hAnsi="宋体" w:eastAsia="宋体" w:cs="宋体"/>
          <w:b/>
          <w:bCs/>
          <w:color w:val="auto"/>
        </w:rPr>
        <w:t>（3）实用性原则</w:t>
      </w:r>
      <w:bookmarkStart w:id="24" w:name="_GoBack"/>
      <w:bookmarkEnd w:id="24"/>
    </w:p>
    <w:p w14:paraId="59DF4CBF">
      <w:pPr>
        <w:spacing w:line="360" w:lineRule="auto"/>
        <w:ind w:firstLine="480"/>
        <w:jc w:val="left"/>
        <w:rPr>
          <w:rFonts w:hint="eastAsia" w:ascii="宋体" w:hAnsi="宋体" w:eastAsia="宋体" w:cs="宋体"/>
          <w:color w:val="auto"/>
        </w:rPr>
      </w:pPr>
      <w:r>
        <w:rPr>
          <w:rFonts w:hint="eastAsia" w:ascii="宋体" w:hAnsi="宋体" w:eastAsia="宋体" w:cs="宋体"/>
          <w:color w:val="auto"/>
        </w:rPr>
        <w:t>所有设计均围绕磴口县真实应用需求展开，完全贴合各部门、各岗位日常办公操作习惯。不设置冗余花哨功能，以简化流程、降低操作门槛为核心，精准匹配县域综合治理现阶段全部刚需，落地可用、实操性强。</w:t>
      </w:r>
    </w:p>
    <w:p w14:paraId="66901A78">
      <w:pPr>
        <w:spacing w:line="360" w:lineRule="auto"/>
        <w:ind w:firstLine="482"/>
        <w:jc w:val="left"/>
        <w:rPr>
          <w:rFonts w:hint="eastAsia" w:ascii="宋体" w:hAnsi="宋体" w:eastAsia="宋体" w:cs="宋体"/>
          <w:b/>
          <w:bCs/>
          <w:color w:val="auto"/>
        </w:rPr>
      </w:pPr>
      <w:r>
        <w:rPr>
          <w:rFonts w:hint="eastAsia" w:ascii="宋体" w:hAnsi="宋体" w:eastAsia="宋体" w:cs="宋体"/>
          <w:b/>
          <w:bCs/>
          <w:color w:val="auto"/>
        </w:rPr>
        <w:t>（4）集成性原则</w:t>
      </w:r>
    </w:p>
    <w:p w14:paraId="41545AB1">
      <w:pPr>
        <w:spacing w:line="360" w:lineRule="auto"/>
        <w:ind w:firstLine="480"/>
        <w:jc w:val="left"/>
        <w:rPr>
          <w:rFonts w:hint="eastAsia" w:ascii="宋体" w:hAnsi="宋体" w:eastAsia="宋体" w:cs="宋体"/>
          <w:color w:val="auto"/>
        </w:rPr>
      </w:pPr>
      <w:r>
        <w:rPr>
          <w:rFonts w:hint="eastAsia" w:ascii="宋体" w:hAnsi="宋体" w:eastAsia="宋体" w:cs="宋体"/>
          <w:color w:val="auto"/>
        </w:rPr>
        <w:t>采用一体化统筹建设思路，优先实现与单位现有服务器、网络、业务系统无缝对接，打通多渠道数据孤岛。同时统一数据交互标准，支持后期新增无人机、感知设备、行业应用模块快速接入，实现软硬件资源高度整合、全域数据共享。</w:t>
      </w:r>
    </w:p>
    <w:p w14:paraId="5C27FDC2">
      <w:pPr>
        <w:spacing w:line="360" w:lineRule="auto"/>
        <w:ind w:firstLine="482"/>
        <w:jc w:val="left"/>
        <w:rPr>
          <w:rFonts w:hint="eastAsia" w:ascii="宋体" w:hAnsi="宋体" w:eastAsia="宋体" w:cs="宋体"/>
          <w:b/>
          <w:bCs/>
          <w:color w:val="auto"/>
        </w:rPr>
      </w:pPr>
      <w:r>
        <w:rPr>
          <w:rFonts w:hint="eastAsia" w:ascii="宋体" w:hAnsi="宋体" w:eastAsia="宋体" w:cs="宋体"/>
          <w:b/>
          <w:bCs/>
          <w:color w:val="auto"/>
        </w:rPr>
        <w:t>（5）安全性原则</w:t>
      </w:r>
    </w:p>
    <w:p w14:paraId="053EE3EE">
      <w:pPr>
        <w:spacing w:line="360" w:lineRule="auto"/>
        <w:ind w:firstLine="480"/>
        <w:jc w:val="left"/>
        <w:rPr>
          <w:rFonts w:hint="eastAsia" w:ascii="宋体" w:hAnsi="宋体" w:eastAsia="宋体" w:cs="宋体"/>
          <w:color w:val="auto"/>
        </w:rPr>
      </w:pPr>
      <w:r>
        <w:rPr>
          <w:rFonts w:hint="eastAsia" w:ascii="宋体" w:hAnsi="宋体" w:eastAsia="宋体" w:cs="宋体"/>
          <w:color w:val="auto"/>
        </w:rPr>
        <w:t>系统从网络、应用、数据三层搭建完整安全防护体系，配套访问权限管控、入侵拦截、自动备份等多重防护手段。建立故障预警与应急恢复机制，出现异常可快速处置回滚，全方位规避数据泄露、系统瘫痪等各类安全隐患。</w:t>
      </w:r>
    </w:p>
    <w:p w14:paraId="58BADCE1">
      <w:pPr>
        <w:spacing w:line="360" w:lineRule="auto"/>
        <w:ind w:firstLine="482"/>
        <w:jc w:val="left"/>
        <w:rPr>
          <w:rFonts w:hint="eastAsia" w:ascii="宋体" w:hAnsi="宋体" w:eastAsia="宋体" w:cs="宋体"/>
          <w:b/>
          <w:bCs/>
          <w:color w:val="auto"/>
        </w:rPr>
      </w:pPr>
      <w:r>
        <w:rPr>
          <w:rFonts w:hint="eastAsia" w:ascii="宋体" w:hAnsi="宋体" w:eastAsia="宋体" w:cs="宋体"/>
          <w:b/>
          <w:bCs/>
          <w:color w:val="auto"/>
        </w:rPr>
        <w:t>（6）可扩展性原则</w:t>
      </w:r>
    </w:p>
    <w:p w14:paraId="13B87F27">
      <w:pPr>
        <w:spacing w:line="360" w:lineRule="auto"/>
        <w:ind w:firstLine="480"/>
        <w:jc w:val="left"/>
        <w:rPr>
          <w:rFonts w:hint="eastAsia" w:ascii="宋体" w:hAnsi="宋体" w:eastAsia="宋体" w:cs="宋体"/>
          <w:color w:val="auto"/>
        </w:rPr>
      </w:pPr>
      <w:r>
        <w:rPr>
          <w:rFonts w:hint="eastAsia" w:ascii="宋体" w:hAnsi="宋体" w:eastAsia="宋体" w:cs="宋体"/>
          <w:color w:val="auto"/>
        </w:rPr>
        <w:t>整体采用模块化松耦合架构，硬件算力、软件功能、前端点位均支持弹性扩容。前期建设预留充足资源冗余，后续新增业务场景、拓展管控区域、升级算法功能无需重构底层架构，可持续适配县域低空经济长期发展需求。</w:t>
      </w:r>
    </w:p>
    <w:p w14:paraId="27F2C5B9">
      <w:pPr>
        <w:pStyle w:val="6"/>
        <w:numPr>
          <w:ilvl w:val="3"/>
          <w:numId w:val="0"/>
        </w:numPr>
        <w:spacing w:line="360" w:lineRule="auto"/>
        <w:rPr>
          <w:lang w:val="en-US"/>
        </w:rPr>
      </w:pPr>
      <w:r>
        <w:rPr>
          <w:rFonts w:hint="eastAsia"/>
          <w:lang w:val="en-US"/>
        </w:rPr>
        <w:t>4.1.1.2系统架构</w:t>
      </w:r>
    </w:p>
    <w:p w14:paraId="279819C8">
      <w:pPr>
        <w:spacing w:line="360" w:lineRule="auto"/>
        <w:ind w:firstLine="480"/>
        <w:rPr>
          <w:rFonts w:hint="eastAsia" w:ascii="宋体" w:hAnsi="宋体" w:eastAsia="宋体"/>
        </w:rPr>
      </w:pPr>
      <w:r>
        <w:rPr>
          <w:rFonts w:hint="eastAsia" w:ascii="宋体" w:hAnsi="宋体" w:eastAsia="宋体"/>
        </w:rPr>
        <w:t>系统采用分层架构、横向解耦、纵向贯通的总体设计思路，自下而上构建了基础设施层、支撑层、业务服务层、应用层的四层技术架构，并辅以标准规范、安全保障、运维管理三大体系作为贯穿全平台的保障支撑，实现了“云网端”一体化、业务与技术解耦、通用能力与业务应用分离，为低空经济多场景应用提供了统一、安全、可扩展的技术底座与业务支撑能力。</w:t>
      </w:r>
    </w:p>
    <w:p w14:paraId="1121E3C1">
      <w:pPr>
        <w:pStyle w:val="2"/>
        <w:ind w:left="427" w:leftChars="63" w:hanging="276"/>
        <w:jc w:val="center"/>
      </w:pPr>
      <w:r>
        <w:rPr>
          <w:rFonts w:hint="eastAsia" w:cs="Arial" w:asciiTheme="minorEastAsia" w:hAnsiTheme="minorEastAsia"/>
        </w:rPr>
        <w:drawing>
          <wp:inline distT="0" distB="0" distL="0" distR="0">
            <wp:extent cx="4784090" cy="2529205"/>
            <wp:effectExtent l="0" t="0" r="0" b="4445"/>
            <wp:docPr id="12076948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694819"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31988" cy="2554546"/>
                    </a:xfrm>
                    <a:prstGeom prst="rect">
                      <a:avLst/>
                    </a:prstGeom>
                    <a:noFill/>
                  </pic:spPr>
                </pic:pic>
              </a:graphicData>
            </a:graphic>
          </wp:inline>
        </w:drawing>
      </w:r>
    </w:p>
    <w:p w14:paraId="5C2B0B46">
      <w:pPr>
        <w:pStyle w:val="23"/>
        <w:numPr>
          <w:ilvl w:val="0"/>
          <w:numId w:val="2"/>
        </w:numPr>
        <w:spacing w:line="360" w:lineRule="auto"/>
        <w:ind w:left="0" w:firstLine="0" w:firstLineChars="0"/>
        <w:jc w:val="center"/>
        <w:rPr>
          <w:rFonts w:hint="eastAsia" w:ascii="宋体" w:hAnsi="宋体" w:eastAsia="宋体"/>
        </w:rPr>
      </w:pPr>
      <w:r>
        <w:rPr>
          <w:rFonts w:hint="eastAsia" w:ascii="宋体" w:hAnsi="宋体" w:eastAsia="宋体"/>
        </w:rPr>
        <w:t>总体框架图</w:t>
      </w:r>
    </w:p>
    <w:p w14:paraId="7A5C640D">
      <w:pPr>
        <w:spacing w:line="360" w:lineRule="auto"/>
        <w:ind w:firstLine="480"/>
        <w:rPr>
          <w:rFonts w:hint="eastAsia" w:ascii="宋体" w:hAnsi="宋体" w:eastAsia="宋体"/>
        </w:rPr>
      </w:pPr>
      <w:r>
        <w:rPr>
          <w:rFonts w:hint="eastAsia" w:ascii="宋体" w:hAnsi="宋体" w:eastAsia="宋体"/>
        </w:rPr>
        <w:t>基础设施层是整个平台的底层物理与资源底座，为上层所有服务提供基础运行保障。该层包含三类核心要素：一是云资源与算力资源，提供弹性计算、存储等基础算力支撑，保障平台海量数据处理与高并发业务运行；二是通信网络，依托4G/5G、专网等多类型通信链路，构建稳定可靠的传输通道，实现无人机、地面设备与平台之间的数据双向交互；三是终端与现场设备，涵盖无人机、遥控器、机场/机巢、监视设备、反制设备等硬件终端，负责数据采集、现场作业与状态感知，构成了平台“端侧感知-云端管控”的物理基础。</w:t>
      </w:r>
    </w:p>
    <w:p w14:paraId="45774EF1">
      <w:pPr>
        <w:spacing w:line="360" w:lineRule="auto"/>
        <w:ind w:firstLine="480"/>
        <w:rPr>
          <w:rFonts w:hint="eastAsia" w:ascii="宋体" w:hAnsi="宋体" w:eastAsia="宋体"/>
        </w:rPr>
      </w:pPr>
      <w:r>
        <w:rPr>
          <w:rFonts w:hint="eastAsia" w:ascii="宋体" w:hAnsi="宋体" w:eastAsia="宋体"/>
        </w:rPr>
        <w:t>支撑层是平台的通用技术能力中台，为业务服务层提供标准化、可复用的技术支撑能力，避免业务系统重复建设。该层包含七大核心能力模块：地图引擎提供空间地理信息服务，支撑低空空域可视化管理；AI能力中心集成智能分析、目标识别等算法能力，赋能飞行监视、任务调度等场景；数据中心实现全平台数据的统一存储、管理与治理；流媒体平台保障无人机视频、监视画面等多媒体数据的稳定传输与分发；建模平台支持三维空域、场景建模，构建“低空一张图”的空间基底；多源数据融合实现气象、空域、设备、业务等多源异构数据的整合与关联分析；统一身份认证为全平台用户、设备提供统一的身份核验与权限管控，保障系统访问安全。</w:t>
      </w:r>
    </w:p>
    <w:p w14:paraId="0D1C5616">
      <w:pPr>
        <w:spacing w:line="360" w:lineRule="auto"/>
        <w:ind w:firstLine="480"/>
        <w:rPr>
          <w:rFonts w:hint="eastAsia" w:ascii="宋体" w:hAnsi="宋体" w:eastAsia="宋体"/>
        </w:rPr>
      </w:pPr>
      <w:r>
        <w:rPr>
          <w:rFonts w:hint="eastAsia" w:ascii="宋体" w:hAnsi="宋体" w:eastAsia="宋体"/>
        </w:rPr>
        <w:t>业务服务层是平台的核心业务中台，以“低空一张图”为统一数据底座，构建了三大业务平台，实现低空飞行的全流程管理与运营管控。其中：</w:t>
      </w:r>
    </w:p>
    <w:p w14:paraId="131F3800">
      <w:pPr>
        <w:numPr>
          <w:ilvl w:val="0"/>
          <w:numId w:val="3"/>
        </w:numPr>
        <w:spacing w:before="120" w:after="120" w:line="360" w:lineRule="auto"/>
        <w:ind w:firstLineChars="0"/>
        <w:jc w:val="left"/>
        <w:rPr>
          <w:rFonts w:hint="eastAsia" w:ascii="宋体" w:hAnsi="宋体" w:eastAsia="宋体" w:cs="Arial"/>
          <w:color w:val="auto"/>
          <w:kern w:val="0"/>
        </w:rPr>
      </w:pPr>
      <w:r>
        <w:rPr>
          <w:rFonts w:hint="eastAsia" w:ascii="宋体" w:hAnsi="宋体" w:eastAsia="宋体" w:cs="Arial"/>
          <w:b/>
          <w:bCs/>
          <w:color w:val="auto"/>
          <w:kern w:val="0"/>
        </w:rPr>
        <w:t>低空</w:t>
      </w:r>
      <w:r>
        <w:rPr>
          <w:rFonts w:ascii="宋体" w:hAnsi="宋体" w:eastAsia="宋体" w:cs="Arial"/>
          <w:b/>
          <w:bCs/>
          <w:color w:val="auto"/>
          <w:kern w:val="0"/>
        </w:rPr>
        <w:t>一网统飞平台（运营中枢）：</w:t>
      </w:r>
      <w:r>
        <w:rPr>
          <w:rFonts w:ascii="宋体" w:hAnsi="宋体" w:eastAsia="宋体" w:cs="Arial"/>
          <w:color w:val="auto"/>
          <w:kern w:val="0"/>
        </w:rPr>
        <w:t>面向全县各县直业务部门、低空运营主体，作为无人机任务调度与综合服务核心。具备无人机统一调度、航线规划、自动机库管控、多源数据采集、AI智能分析、作业成果管理、跨部门服务对接等能力，聚焦农牧生产、生态治理、城市巡检等实战应用，实现低空资源集约化利用。</w:t>
      </w:r>
    </w:p>
    <w:p w14:paraId="2FB41FB5">
      <w:pPr>
        <w:numPr>
          <w:ilvl w:val="0"/>
          <w:numId w:val="3"/>
        </w:numPr>
        <w:spacing w:before="120" w:after="120" w:line="360" w:lineRule="auto"/>
        <w:ind w:firstLineChars="0"/>
        <w:jc w:val="left"/>
        <w:rPr>
          <w:rFonts w:hint="eastAsia" w:ascii="宋体" w:hAnsi="宋体" w:eastAsia="宋体" w:cs="Arial"/>
          <w:color w:val="auto"/>
          <w:kern w:val="0"/>
        </w:rPr>
      </w:pPr>
      <w:r>
        <w:rPr>
          <w:rFonts w:ascii="宋体" w:hAnsi="宋体" w:eastAsia="宋体" w:cs="Arial"/>
          <w:b/>
          <w:bCs/>
          <w:color w:val="auto"/>
          <w:kern w:val="0"/>
        </w:rPr>
        <w:t>低空飞行管理与服务平台（服务中枢）：</w:t>
      </w:r>
      <w:r>
        <w:rPr>
          <w:rFonts w:ascii="宋体" w:hAnsi="宋体" w:eastAsia="宋体" w:cs="Arial"/>
          <w:color w:val="auto"/>
          <w:kern w:val="0"/>
        </w:rPr>
        <w:t>面向全县飞行主体与行业管理部门，作为低空飞行公共服务核心载体。主要实现资质认证、飞行计划线上审批、航空情报发布、航空气象服务、空域信息查询、起降资源调度等服务职能，构建便捷化、规范化的低空飞行服务体系，降低合规飞行门槛，优化低空营商环境。</w:t>
      </w:r>
    </w:p>
    <w:p w14:paraId="2C313613">
      <w:pPr>
        <w:numPr>
          <w:ilvl w:val="0"/>
          <w:numId w:val="3"/>
        </w:numPr>
        <w:spacing w:before="120" w:after="120" w:line="360" w:lineRule="auto"/>
        <w:ind w:firstLineChars="0"/>
        <w:jc w:val="left"/>
        <w:rPr>
          <w:rFonts w:hint="eastAsia" w:ascii="宋体" w:hAnsi="宋体" w:eastAsia="宋体" w:cs="Arial"/>
          <w:b/>
          <w:bCs/>
          <w:color w:val="auto"/>
          <w:kern w:val="0"/>
        </w:rPr>
      </w:pPr>
      <w:bookmarkStart w:id="0" w:name="OLE_LINK9"/>
      <w:r>
        <w:rPr>
          <w:rFonts w:ascii="宋体" w:hAnsi="宋体" w:eastAsia="宋体" w:cs="Arial"/>
          <w:b/>
          <w:bCs/>
          <w:color w:val="auto"/>
          <w:kern w:val="0"/>
        </w:rPr>
        <w:t>低空飞行安全监管平台</w:t>
      </w:r>
      <w:bookmarkEnd w:id="0"/>
      <w:r>
        <w:rPr>
          <w:rFonts w:ascii="宋体" w:hAnsi="宋体" w:eastAsia="宋体" w:cs="Arial"/>
          <w:b/>
          <w:bCs/>
          <w:color w:val="auto"/>
          <w:kern w:val="0"/>
        </w:rPr>
        <w:t>（监管中枢）：</w:t>
      </w:r>
      <w:r>
        <w:rPr>
          <w:rFonts w:ascii="宋体" w:hAnsi="宋体" w:eastAsia="宋体" w:cs="Arial"/>
          <w:color w:val="auto"/>
          <w:kern w:val="0"/>
        </w:rPr>
        <w:t>面向县空域管理、公安、应急、林草等监管部门，作为全县低空飞行安全管控核心载体。主要实现全域飞行器实时监视、违规飞行智能告警、风险研判分析、应急协同处置等监管职能，严格落实空域管理法规与安全管控要求，筑牢低空运行安全底线。</w:t>
      </w:r>
    </w:p>
    <w:p w14:paraId="76F45024">
      <w:pPr>
        <w:spacing w:line="360" w:lineRule="auto"/>
        <w:ind w:firstLine="480"/>
        <w:rPr>
          <w:rFonts w:hint="eastAsia" w:ascii="宋体" w:hAnsi="宋体" w:eastAsia="宋体"/>
        </w:rPr>
      </w:pPr>
      <w:r>
        <w:rPr>
          <w:rFonts w:hint="eastAsia" w:ascii="宋体" w:hAnsi="宋体" w:eastAsia="宋体"/>
        </w:rPr>
        <w:t>应用层是平台面向行业用户的场景化应用入口，依托底层通用能力与业务中台，面向不同行业需求提供定制化解决方案。该层覆盖政务、交通、农牧、林草、水利、应急救援、施工管理、自然资源八大典型行业场景，可基于平台的统一技术底座与业务能力，快速构建适配各行业的低空应用，例如政务巡检、交通巡查、农牧植保、林草防火、水利监测、应急救援指挥、施工进度管理、自然资源调查等，实现低空经济技术能力与行业业务需求的深度融合，充分释放低空技术的应用价值。</w:t>
      </w:r>
    </w:p>
    <w:p w14:paraId="15B35BBC">
      <w:pPr>
        <w:spacing w:line="360" w:lineRule="auto"/>
        <w:ind w:firstLine="480"/>
        <w:rPr>
          <w:rFonts w:hint="eastAsia" w:ascii="宋体" w:hAnsi="宋体" w:eastAsia="宋体"/>
        </w:rPr>
      </w:pPr>
      <w:r>
        <w:rPr>
          <w:rFonts w:hint="eastAsia" w:ascii="宋体" w:hAnsi="宋体" w:eastAsia="宋体"/>
        </w:rPr>
        <w:t>平台还构建了三大贯穿全流程的安全保障体系：标准规范体系为平台的建设、运行、管理提供统一的技术标准与业务规范，保障各系统间的兼容性与协同性；安全保障体系覆盖数据安全、网络安全、设备安全、空域安全等多个维度，构建全链路的安全防护机制；运维管理体系为平台的设备、系统、数据提供全生命周期的运维监控与管理服务，保障平台长期稳定、高效运行</w:t>
      </w:r>
      <w:r>
        <w:rPr>
          <w:rFonts w:hint="eastAsia" w:ascii="宋体" w:hAnsi="宋体" w:eastAsia="宋体" w:cs="宋体"/>
          <w:color w:val="auto"/>
        </w:rPr>
        <w:t>。</w:t>
      </w:r>
    </w:p>
    <w:p w14:paraId="1CD2E915">
      <w:pPr>
        <w:pStyle w:val="6"/>
        <w:numPr>
          <w:ilvl w:val="3"/>
          <w:numId w:val="0"/>
        </w:numPr>
        <w:spacing w:line="360" w:lineRule="auto"/>
        <w:rPr>
          <w:lang w:val="en-US"/>
        </w:rPr>
      </w:pPr>
      <w:r>
        <w:rPr>
          <w:rFonts w:hint="eastAsia"/>
          <w:lang w:val="en-US"/>
        </w:rPr>
        <w:t>4.1.1.3功能清单</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425"/>
        <w:gridCol w:w="602"/>
        <w:gridCol w:w="1888"/>
        <w:gridCol w:w="4742"/>
      </w:tblGrid>
      <w:tr w14:paraId="29222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noWrap/>
            <w:vAlign w:val="center"/>
          </w:tcPr>
          <w:p w14:paraId="62447D6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序号</w:t>
            </w:r>
          </w:p>
        </w:tc>
        <w:tc>
          <w:tcPr>
            <w:tcW w:w="256" w:type="pct"/>
            <w:vAlign w:val="center"/>
          </w:tcPr>
          <w:p w14:paraId="788CC4A4">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系统或设备名称</w:t>
            </w:r>
          </w:p>
        </w:tc>
        <w:tc>
          <w:tcPr>
            <w:tcW w:w="363" w:type="pct"/>
            <w:vAlign w:val="center"/>
          </w:tcPr>
          <w:p w14:paraId="4B60C60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一级功能模块</w:t>
            </w:r>
          </w:p>
        </w:tc>
        <w:tc>
          <w:tcPr>
            <w:tcW w:w="1138" w:type="pct"/>
            <w:vAlign w:val="center"/>
          </w:tcPr>
          <w:p w14:paraId="5A9AF84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二级功能模块</w:t>
            </w:r>
          </w:p>
        </w:tc>
        <w:tc>
          <w:tcPr>
            <w:tcW w:w="2858" w:type="pct"/>
            <w:vAlign w:val="center"/>
          </w:tcPr>
          <w:p w14:paraId="06348D6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功能说明</w:t>
            </w:r>
          </w:p>
        </w:tc>
      </w:tr>
      <w:tr w14:paraId="2DD74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1F45877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1</w:t>
            </w:r>
          </w:p>
        </w:tc>
        <w:tc>
          <w:tcPr>
            <w:tcW w:w="256" w:type="pct"/>
            <w:vMerge w:val="restart"/>
            <w:vAlign w:val="center"/>
          </w:tcPr>
          <w:p w14:paraId="496BC65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低空一网统飞平台</w:t>
            </w:r>
          </w:p>
        </w:tc>
        <w:tc>
          <w:tcPr>
            <w:tcW w:w="363" w:type="pct"/>
            <w:vMerge w:val="restart"/>
            <w:vAlign w:val="center"/>
          </w:tcPr>
          <w:p w14:paraId="46A3C73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综合呈现模块</w:t>
            </w:r>
          </w:p>
        </w:tc>
        <w:tc>
          <w:tcPr>
            <w:tcW w:w="1138" w:type="pct"/>
            <w:vAlign w:val="center"/>
          </w:tcPr>
          <w:p w14:paraId="141EBF9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飞行数据统计</w:t>
            </w:r>
          </w:p>
        </w:tc>
        <w:tc>
          <w:tcPr>
            <w:tcW w:w="2858" w:type="pct"/>
            <w:vAlign w:val="center"/>
          </w:tcPr>
          <w:p w14:paraId="7AA883D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本周任务分类统计、累计飞行架次/时长/里程、当日飞行数据展示</w:t>
            </w:r>
          </w:p>
        </w:tc>
      </w:tr>
      <w:tr w14:paraId="1B2F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361B14C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7F9DCD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799A17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3BD4DE2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设备信息展示</w:t>
            </w:r>
          </w:p>
        </w:tc>
        <w:tc>
          <w:tcPr>
            <w:tcW w:w="2858" w:type="pct"/>
            <w:vAlign w:val="center"/>
          </w:tcPr>
          <w:p w14:paraId="705C2CC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全域无人机、机巢设备状态汇总</w:t>
            </w:r>
          </w:p>
        </w:tc>
      </w:tr>
      <w:tr w14:paraId="5B49E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0E2ADA1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CFD033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31720A1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EF8C58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告警统计</w:t>
            </w:r>
          </w:p>
        </w:tc>
        <w:tc>
          <w:tcPr>
            <w:tcW w:w="2858" w:type="pct"/>
            <w:vAlign w:val="center"/>
          </w:tcPr>
          <w:p w14:paraId="28BFA5D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无人机告警、机场告警、算法告警、平台告警统计</w:t>
            </w:r>
          </w:p>
        </w:tc>
      </w:tr>
      <w:tr w14:paraId="3E079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3D327FB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5559A78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6B7DCEE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54771F0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空域数据统计</w:t>
            </w:r>
          </w:p>
        </w:tc>
        <w:tc>
          <w:tcPr>
            <w:tcW w:w="2858" w:type="pct"/>
            <w:vAlign w:val="center"/>
          </w:tcPr>
          <w:p w14:paraId="78ED2DE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禁飞区、管制区、适飞区数量统计</w:t>
            </w:r>
          </w:p>
        </w:tc>
      </w:tr>
      <w:tr w14:paraId="368C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46A3BE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3A88F1C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32AFFF2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24DBC32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地图标注信息统计</w:t>
            </w:r>
          </w:p>
        </w:tc>
        <w:tc>
          <w:tcPr>
            <w:tcW w:w="2858" w:type="pct"/>
            <w:vAlign w:val="center"/>
          </w:tcPr>
          <w:p w14:paraId="1DD95B3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地理点位、区域标注数据汇总</w:t>
            </w:r>
          </w:p>
        </w:tc>
      </w:tr>
      <w:tr w14:paraId="0585F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442479D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2</w:t>
            </w:r>
          </w:p>
        </w:tc>
        <w:tc>
          <w:tcPr>
            <w:tcW w:w="256" w:type="pct"/>
            <w:vMerge w:val="continue"/>
            <w:vAlign w:val="center"/>
          </w:tcPr>
          <w:p w14:paraId="466387E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7361450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综合调度模块</w:t>
            </w:r>
          </w:p>
        </w:tc>
        <w:tc>
          <w:tcPr>
            <w:tcW w:w="1138" w:type="pct"/>
            <w:vAlign w:val="center"/>
          </w:tcPr>
          <w:p w14:paraId="75A188B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任务统计</w:t>
            </w:r>
          </w:p>
        </w:tc>
        <w:tc>
          <w:tcPr>
            <w:tcW w:w="2858" w:type="pct"/>
            <w:vAlign w:val="center"/>
          </w:tcPr>
          <w:p w14:paraId="51069B7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今日/本周/本月任务数量、分类统计</w:t>
            </w:r>
          </w:p>
        </w:tc>
      </w:tr>
      <w:tr w14:paraId="753A9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7EA698A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583C29F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723ECF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584569B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任务调度</w:t>
            </w:r>
          </w:p>
        </w:tc>
        <w:tc>
          <w:tcPr>
            <w:tcW w:w="2858" w:type="pct"/>
            <w:vAlign w:val="center"/>
          </w:tcPr>
          <w:p w14:paraId="79F6342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任务状态筛选（待执行/执行中/已完成）、任务详情查看、虚拟座舱、任务启停</w:t>
            </w:r>
          </w:p>
        </w:tc>
      </w:tr>
      <w:tr w14:paraId="45BAD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6513E56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753C36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737D433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2787FF7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图层管理</w:t>
            </w:r>
          </w:p>
        </w:tc>
        <w:tc>
          <w:tcPr>
            <w:tcW w:w="2858" w:type="pct"/>
            <w:vAlign w:val="center"/>
          </w:tcPr>
          <w:p w14:paraId="2760C03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空域图层、地图标注、GIS图层、路网开关；多屏监控</w:t>
            </w:r>
          </w:p>
        </w:tc>
      </w:tr>
      <w:tr w14:paraId="3D2D6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2ACE524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837700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1D13DD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233D582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快速飞行</w:t>
            </w:r>
          </w:p>
        </w:tc>
        <w:tc>
          <w:tcPr>
            <w:tcW w:w="2858" w:type="pct"/>
            <w:vAlign w:val="center"/>
          </w:tcPr>
          <w:p w14:paraId="036B0F0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指点飞行、划线飞行、划域飞行</w:t>
            </w:r>
          </w:p>
        </w:tc>
      </w:tr>
      <w:tr w14:paraId="539A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128F1C8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7473A5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2295214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4E29565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设备调度</w:t>
            </w:r>
          </w:p>
        </w:tc>
        <w:tc>
          <w:tcPr>
            <w:tcW w:w="2858" w:type="pct"/>
            <w:vAlign w:val="center"/>
          </w:tcPr>
          <w:p w14:paraId="22E2030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设备状态查询、区域定位、设备控制台</w:t>
            </w:r>
          </w:p>
        </w:tc>
      </w:tr>
      <w:tr w14:paraId="758B7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767409C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5CA7C08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2A90EB1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498474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设备控制台</w:t>
            </w:r>
          </w:p>
        </w:tc>
        <w:tc>
          <w:tcPr>
            <w:tcW w:w="2858" w:type="pct"/>
            <w:vAlign w:val="center"/>
          </w:tcPr>
          <w:p w14:paraId="30F30174">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机场/无人机信息查看、直播查看、远程调试、虚拟座舱起飞、服务范围查看</w:t>
            </w:r>
          </w:p>
        </w:tc>
      </w:tr>
      <w:tr w14:paraId="6D35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030939F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3</w:t>
            </w:r>
          </w:p>
        </w:tc>
        <w:tc>
          <w:tcPr>
            <w:tcW w:w="256" w:type="pct"/>
            <w:vMerge w:val="continue"/>
            <w:vAlign w:val="center"/>
          </w:tcPr>
          <w:p w14:paraId="1400963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758F7048">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需求中心模块</w:t>
            </w:r>
          </w:p>
        </w:tc>
        <w:tc>
          <w:tcPr>
            <w:tcW w:w="1138" w:type="pct"/>
            <w:vAlign w:val="center"/>
          </w:tcPr>
          <w:p w14:paraId="1AD362C2">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需求管理</w:t>
            </w:r>
          </w:p>
        </w:tc>
        <w:tc>
          <w:tcPr>
            <w:tcW w:w="2858" w:type="pct"/>
            <w:vAlign w:val="center"/>
          </w:tcPr>
          <w:p w14:paraId="3A8075D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新增需求（类型/任务/地点/时间/</w:t>
            </w:r>
            <w:r>
              <w:rPr>
                <w:rFonts w:hint="eastAsia" w:cs="宋体" w:asciiTheme="minorEastAsia" w:hAnsiTheme="minorEastAsia" w:eastAsiaTheme="minorEastAsia"/>
                <w:color w:val="000000"/>
                <w:kern w:val="0"/>
                <w:sz w:val="21"/>
                <w:szCs w:val="21"/>
              </w:rPr>
              <w:t>载荷</w:t>
            </w:r>
            <w:r>
              <w:rPr>
                <w:rFonts w:cs="宋体" w:asciiTheme="minorEastAsia" w:hAnsiTheme="minorEastAsia" w:eastAsiaTheme="minorEastAsia"/>
                <w:color w:val="000000"/>
                <w:kern w:val="0"/>
                <w:sz w:val="21"/>
                <w:szCs w:val="21"/>
              </w:rPr>
              <w:t>填报）、需求保存与提交</w:t>
            </w:r>
          </w:p>
        </w:tc>
      </w:tr>
      <w:tr w14:paraId="76994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2ED3CF8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0ECD36A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71B65884">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B6EB47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订单监控</w:t>
            </w:r>
          </w:p>
        </w:tc>
        <w:tc>
          <w:tcPr>
            <w:tcW w:w="2858" w:type="pct"/>
            <w:vAlign w:val="center"/>
          </w:tcPr>
          <w:p w14:paraId="610E247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需求审核、订单创建、航线规划、订单分配/审核、任务创建、成果查看</w:t>
            </w:r>
          </w:p>
        </w:tc>
      </w:tr>
      <w:tr w14:paraId="24D1C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7236A68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359EC40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26D35C0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57E01F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评价中心</w:t>
            </w:r>
          </w:p>
        </w:tc>
        <w:tc>
          <w:tcPr>
            <w:tcW w:w="2858" w:type="pct"/>
            <w:vAlign w:val="center"/>
          </w:tcPr>
          <w:p w14:paraId="1E1EF60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需求完成后用户评价</w:t>
            </w:r>
          </w:p>
        </w:tc>
      </w:tr>
      <w:tr w14:paraId="6CB21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1DEB3DF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64B44BC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73CBC31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6B094E1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需求概览</w:t>
            </w:r>
          </w:p>
        </w:tc>
        <w:tc>
          <w:tcPr>
            <w:tcW w:w="2858" w:type="pct"/>
            <w:vAlign w:val="center"/>
          </w:tcPr>
          <w:p w14:paraId="5F0562F4">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需求热力图、单位需求排行、任务类型统计</w:t>
            </w:r>
          </w:p>
        </w:tc>
      </w:tr>
      <w:tr w14:paraId="0E1C3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072B944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4</w:t>
            </w:r>
          </w:p>
        </w:tc>
        <w:tc>
          <w:tcPr>
            <w:tcW w:w="256" w:type="pct"/>
            <w:vMerge w:val="continue"/>
            <w:vAlign w:val="center"/>
          </w:tcPr>
          <w:p w14:paraId="2DE4757C">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307BDC08">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订单中心模块</w:t>
            </w:r>
          </w:p>
        </w:tc>
        <w:tc>
          <w:tcPr>
            <w:tcW w:w="1138" w:type="pct"/>
            <w:vAlign w:val="center"/>
          </w:tcPr>
          <w:p w14:paraId="1AB4EB6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订单管理</w:t>
            </w:r>
          </w:p>
        </w:tc>
        <w:tc>
          <w:tcPr>
            <w:tcW w:w="2858" w:type="pct"/>
            <w:vAlign w:val="center"/>
          </w:tcPr>
          <w:p w14:paraId="29B7E01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全状态订单（待分配/待审核/执行中/已完成等）查询、多需求合并建单、航线配置、订单结果查看与评价</w:t>
            </w:r>
          </w:p>
        </w:tc>
      </w:tr>
      <w:tr w14:paraId="1D4A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6C688B3C">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01B27BF4">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3749FC8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2C6AC74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订单分析</w:t>
            </w:r>
          </w:p>
        </w:tc>
        <w:tc>
          <w:tcPr>
            <w:tcW w:w="2858" w:type="pct"/>
            <w:vAlign w:val="center"/>
          </w:tcPr>
          <w:p w14:paraId="176BCAA8">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订单热力图、按月/区域/单位订单数据统计</w:t>
            </w:r>
          </w:p>
        </w:tc>
      </w:tr>
      <w:tr w14:paraId="3658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48DFD91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5</w:t>
            </w:r>
          </w:p>
        </w:tc>
        <w:tc>
          <w:tcPr>
            <w:tcW w:w="256" w:type="pct"/>
            <w:vMerge w:val="continue"/>
            <w:vAlign w:val="center"/>
          </w:tcPr>
          <w:p w14:paraId="4E992C3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6542FFE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任务管理模块</w:t>
            </w:r>
          </w:p>
        </w:tc>
        <w:tc>
          <w:tcPr>
            <w:tcW w:w="1138" w:type="pct"/>
            <w:vAlign w:val="center"/>
          </w:tcPr>
          <w:p w14:paraId="5660B974">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任务列表</w:t>
            </w:r>
          </w:p>
        </w:tc>
        <w:tc>
          <w:tcPr>
            <w:tcW w:w="2858" w:type="pct"/>
            <w:vAlign w:val="center"/>
          </w:tcPr>
          <w:p w14:paraId="57B7843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单机/协同/群体飞行任务新增、编辑、删除、复制、轨迹回放、日志查询</w:t>
            </w:r>
          </w:p>
        </w:tc>
      </w:tr>
      <w:tr w14:paraId="33168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0A3ADED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0F840C9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7E4BE7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D6B0C54">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航线规划</w:t>
            </w:r>
          </w:p>
        </w:tc>
        <w:tc>
          <w:tcPr>
            <w:tcW w:w="2858" w:type="pct"/>
            <w:vAlign w:val="center"/>
          </w:tcPr>
          <w:p w14:paraId="0EC4E87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航点航线、面状航线、多机面状航线新增/编辑/导入/删除；GSD、高度、重叠率等参数配置</w:t>
            </w:r>
          </w:p>
        </w:tc>
      </w:tr>
      <w:tr w14:paraId="5DDA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01480C1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403A13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A4BDDC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2B87B55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任务执行</w:t>
            </w:r>
          </w:p>
        </w:tc>
        <w:tc>
          <w:tcPr>
            <w:tcW w:w="2858" w:type="pct"/>
            <w:vAlign w:val="center"/>
          </w:tcPr>
          <w:p w14:paraId="1045B91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任务进度监控、虚拟座舱、任务暂停/紧急降落/急停、云台操控、视频录制拍摄</w:t>
            </w:r>
          </w:p>
        </w:tc>
      </w:tr>
      <w:tr w14:paraId="5F62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13AEF8B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3A882E7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56A741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2FF4D52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任务看板</w:t>
            </w:r>
          </w:p>
        </w:tc>
        <w:tc>
          <w:tcPr>
            <w:tcW w:w="2858" w:type="pct"/>
            <w:vAlign w:val="center"/>
          </w:tcPr>
          <w:p w14:paraId="5EA0F1A2">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按日/月、机场、任务类型检索任务</w:t>
            </w:r>
          </w:p>
        </w:tc>
      </w:tr>
      <w:tr w14:paraId="159E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695A7DB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F953B8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2B1A964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3603AD2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工单管理</w:t>
            </w:r>
          </w:p>
        </w:tc>
        <w:tc>
          <w:tcPr>
            <w:tcW w:w="2858" w:type="pct"/>
            <w:vAlign w:val="center"/>
          </w:tcPr>
          <w:p w14:paraId="4617AEE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工单生成、分配、移动端查看、告警处置与结果上报</w:t>
            </w:r>
          </w:p>
        </w:tc>
      </w:tr>
      <w:tr w14:paraId="76AFD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0241B17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6</w:t>
            </w:r>
          </w:p>
        </w:tc>
        <w:tc>
          <w:tcPr>
            <w:tcW w:w="256" w:type="pct"/>
            <w:vMerge w:val="continue"/>
            <w:vAlign w:val="center"/>
          </w:tcPr>
          <w:p w14:paraId="2D42189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5BB73EF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数据中心模块</w:t>
            </w:r>
          </w:p>
        </w:tc>
        <w:tc>
          <w:tcPr>
            <w:tcW w:w="1138" w:type="pct"/>
            <w:vAlign w:val="center"/>
          </w:tcPr>
          <w:p w14:paraId="1FF6705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数据总览</w:t>
            </w:r>
          </w:p>
        </w:tc>
        <w:tc>
          <w:tcPr>
            <w:tcW w:w="2858" w:type="pct"/>
          </w:tcPr>
          <w:p w14:paraId="4C410D8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飞行统计、数据和存储总量、基础信息、基础数据、报告统计</w:t>
            </w:r>
          </w:p>
        </w:tc>
      </w:tr>
      <w:tr w14:paraId="33BD7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53814B4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2231874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611FC09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A2CBFE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数据成果</w:t>
            </w:r>
          </w:p>
        </w:tc>
        <w:tc>
          <w:tcPr>
            <w:tcW w:w="2858" w:type="pct"/>
          </w:tcPr>
          <w:p w14:paraId="41CB6A6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任务资料归集、多维度筛选、数据导出、轨迹与图片查看</w:t>
            </w:r>
          </w:p>
        </w:tc>
      </w:tr>
      <w:tr w14:paraId="6077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07A0799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3265A61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00A1B37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566DF64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飞行数据</w:t>
            </w:r>
          </w:p>
        </w:tc>
        <w:tc>
          <w:tcPr>
            <w:tcW w:w="2858" w:type="pct"/>
          </w:tcPr>
          <w:p w14:paraId="538CED4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可见光/红外照片、录像、三维模型等文件管理、批量下载删除</w:t>
            </w:r>
          </w:p>
        </w:tc>
      </w:tr>
      <w:tr w14:paraId="1BFF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74009F14">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56E3CA0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7BCA9A3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268A9C0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告警事件</w:t>
            </w:r>
          </w:p>
        </w:tc>
        <w:tc>
          <w:tcPr>
            <w:tcW w:w="2858" w:type="pct"/>
          </w:tcPr>
          <w:p w14:paraId="2E916C9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告警查询、消除、删除、导出</w:t>
            </w:r>
          </w:p>
        </w:tc>
      </w:tr>
      <w:tr w14:paraId="6C8D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237C576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7432F5F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6213113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088815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空域管理</w:t>
            </w:r>
          </w:p>
        </w:tc>
        <w:tc>
          <w:tcPr>
            <w:tcW w:w="2858" w:type="pct"/>
          </w:tcPr>
          <w:p w14:paraId="5FD7957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三类空域（禁飞/管制/适飞）新增、编辑、可视化</w:t>
            </w:r>
          </w:p>
        </w:tc>
      </w:tr>
      <w:tr w14:paraId="0E068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188DC78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22CBE4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98D0FD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3A4DD8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地图标注</w:t>
            </w:r>
          </w:p>
        </w:tc>
        <w:tc>
          <w:tcPr>
            <w:tcW w:w="2858" w:type="pct"/>
          </w:tcPr>
          <w:p w14:paraId="36D46A8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点位/路线/区域标注创建与管理</w:t>
            </w:r>
          </w:p>
        </w:tc>
      </w:tr>
      <w:tr w14:paraId="5CC43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2BC7FF5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329BC7E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D51E40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69A6CAD2">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矢量地图</w:t>
            </w:r>
          </w:p>
        </w:tc>
        <w:tc>
          <w:tcPr>
            <w:tcW w:w="2858" w:type="pct"/>
          </w:tcPr>
          <w:p w14:paraId="3EBFBD0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地图标绘、要素统计、更新维护</w:t>
            </w:r>
          </w:p>
        </w:tc>
      </w:tr>
      <w:tr w14:paraId="6955D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6EAF90C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6051D05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3DB3C1A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3417ED4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模型库</w:t>
            </w:r>
          </w:p>
        </w:tc>
        <w:tc>
          <w:tcPr>
            <w:tcW w:w="2858" w:type="pct"/>
          </w:tcPr>
          <w:p w14:paraId="14F72BB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三维/二维模型预览、下载、重建、参数配置</w:t>
            </w:r>
          </w:p>
        </w:tc>
      </w:tr>
      <w:tr w14:paraId="6980B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1CDF8E7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7</w:t>
            </w:r>
          </w:p>
        </w:tc>
        <w:tc>
          <w:tcPr>
            <w:tcW w:w="256" w:type="pct"/>
            <w:vMerge w:val="continue"/>
            <w:vAlign w:val="center"/>
          </w:tcPr>
          <w:p w14:paraId="476A304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4FCA9F42">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算法管理模块</w:t>
            </w:r>
          </w:p>
        </w:tc>
        <w:tc>
          <w:tcPr>
            <w:tcW w:w="1138" w:type="pct"/>
            <w:vAlign w:val="center"/>
          </w:tcPr>
          <w:p w14:paraId="2B4C78C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算法首页</w:t>
            </w:r>
          </w:p>
        </w:tc>
        <w:tc>
          <w:tcPr>
            <w:tcW w:w="2858" w:type="pct"/>
          </w:tcPr>
          <w:p w14:paraId="2FC3117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算法总量、调用统计、调用排名、算法动态</w:t>
            </w:r>
          </w:p>
        </w:tc>
      </w:tr>
      <w:tr w14:paraId="1EB2D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0AAC81F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7038BD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7E18BB8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5DE1C22">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算法资源</w:t>
            </w:r>
          </w:p>
        </w:tc>
        <w:tc>
          <w:tcPr>
            <w:tcW w:w="2858" w:type="pct"/>
          </w:tcPr>
          <w:p w14:paraId="04E9F6E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全场景算法展示、信息同步、按名称/时间/状态检索</w:t>
            </w:r>
          </w:p>
        </w:tc>
      </w:tr>
      <w:tr w14:paraId="4DDF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D5EAFA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484F04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3B03D65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D42F16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算法调用</w:t>
            </w:r>
          </w:p>
        </w:tc>
        <w:tc>
          <w:tcPr>
            <w:tcW w:w="2858" w:type="pct"/>
          </w:tcPr>
          <w:p w14:paraId="2C337A1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航线任务、手动任务、机场/单兵设备算法调用</w:t>
            </w:r>
          </w:p>
        </w:tc>
      </w:tr>
      <w:tr w14:paraId="06FE4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1EA3BB2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0A50A17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25000B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6238512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配套算法场景</w:t>
            </w:r>
          </w:p>
        </w:tc>
        <w:tc>
          <w:tcPr>
            <w:tcW w:w="2858" w:type="pct"/>
            <w:vAlign w:val="center"/>
          </w:tcPr>
          <w:p w14:paraId="258F56B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智慧交通、园林巡检、公路设施、水利水务、工程管理、应急救援等多类AI检测算法</w:t>
            </w:r>
          </w:p>
        </w:tc>
      </w:tr>
      <w:tr w14:paraId="5BE45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6406189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8</w:t>
            </w:r>
          </w:p>
        </w:tc>
        <w:tc>
          <w:tcPr>
            <w:tcW w:w="256" w:type="pct"/>
            <w:vMerge w:val="continue"/>
            <w:vAlign w:val="center"/>
          </w:tcPr>
          <w:p w14:paraId="58EAB22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3EC12C5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运营中心模块</w:t>
            </w:r>
          </w:p>
        </w:tc>
        <w:tc>
          <w:tcPr>
            <w:tcW w:w="1138" w:type="pct"/>
            <w:vAlign w:val="center"/>
          </w:tcPr>
          <w:p w14:paraId="13CF5CA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设备列表</w:t>
            </w:r>
          </w:p>
        </w:tc>
        <w:tc>
          <w:tcPr>
            <w:tcW w:w="2858" w:type="pct"/>
            <w:vAlign w:val="center"/>
          </w:tcPr>
          <w:p w14:paraId="152231F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机场/飞行器接入、编辑、运维、认证、权限分配、固件升级</w:t>
            </w:r>
          </w:p>
        </w:tc>
      </w:tr>
      <w:tr w14:paraId="72AF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61DE2BA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233D625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04F3423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033FBC7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设备状态</w:t>
            </w:r>
          </w:p>
        </w:tc>
        <w:tc>
          <w:tcPr>
            <w:tcW w:w="2858" w:type="pct"/>
            <w:vAlign w:val="center"/>
          </w:tcPr>
          <w:p w14:paraId="3F2E6A4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设备在线状态、视频查看、远程控制、控制台管理</w:t>
            </w:r>
          </w:p>
        </w:tc>
      </w:tr>
      <w:tr w14:paraId="15B3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FE6E4C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67E2982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7AF3FA6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CDAA41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视频调度</w:t>
            </w:r>
          </w:p>
        </w:tc>
        <w:tc>
          <w:tcPr>
            <w:tcW w:w="2858" w:type="pct"/>
            <w:vAlign w:val="center"/>
          </w:tcPr>
          <w:p w14:paraId="6AD55892">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多宫格视频播放、单视频放大、多路监控切换</w:t>
            </w:r>
          </w:p>
        </w:tc>
      </w:tr>
      <w:tr w14:paraId="4751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2FBEAFF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171E75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49C475B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0E5563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飞手管理</w:t>
            </w:r>
          </w:p>
        </w:tc>
        <w:tc>
          <w:tcPr>
            <w:tcW w:w="2858" w:type="pct"/>
          </w:tcPr>
          <w:p w14:paraId="49290FD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飞手资质、执照、信息录入、导出</w:t>
            </w:r>
          </w:p>
        </w:tc>
      </w:tr>
      <w:tr w14:paraId="4B9F1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186CA2E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AB15B5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21091A8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54A85C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责任人管理</w:t>
            </w:r>
          </w:p>
        </w:tc>
        <w:tc>
          <w:tcPr>
            <w:tcW w:w="2858" w:type="pct"/>
          </w:tcPr>
          <w:p w14:paraId="46FBF97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sz w:val="21"/>
                <w:szCs w:val="21"/>
              </w:rPr>
              <w:t>责任人信息维护、数据导出</w:t>
            </w:r>
          </w:p>
        </w:tc>
      </w:tr>
      <w:tr w14:paraId="24F4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3289663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5C22521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2BB3687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CBA59B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系统管理</w:t>
            </w:r>
          </w:p>
        </w:tc>
        <w:tc>
          <w:tcPr>
            <w:tcW w:w="2858" w:type="pct"/>
            <w:vAlign w:val="center"/>
          </w:tcPr>
          <w:p w14:paraId="3411ABA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用户账号增删改、角色权限配置、组织架构搭建、操作/登录日志、站内信提醒</w:t>
            </w:r>
          </w:p>
        </w:tc>
      </w:tr>
      <w:tr w14:paraId="59CF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47899AD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9</w:t>
            </w:r>
          </w:p>
        </w:tc>
        <w:tc>
          <w:tcPr>
            <w:tcW w:w="256" w:type="pct"/>
            <w:vMerge w:val="restart"/>
            <w:vAlign w:val="center"/>
          </w:tcPr>
          <w:p w14:paraId="0505254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低空飞行管理与服务平台</w:t>
            </w:r>
          </w:p>
        </w:tc>
        <w:tc>
          <w:tcPr>
            <w:tcW w:w="363" w:type="pct"/>
            <w:vMerge w:val="restart"/>
            <w:vAlign w:val="center"/>
          </w:tcPr>
          <w:p w14:paraId="31732CF2">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认证管理模块</w:t>
            </w:r>
          </w:p>
        </w:tc>
        <w:tc>
          <w:tcPr>
            <w:tcW w:w="1138" w:type="pct"/>
            <w:vAlign w:val="center"/>
          </w:tcPr>
          <w:p w14:paraId="2A8FFCD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企业认证</w:t>
            </w:r>
          </w:p>
        </w:tc>
        <w:tc>
          <w:tcPr>
            <w:tcW w:w="2858" w:type="pct"/>
            <w:vAlign w:val="center"/>
          </w:tcPr>
          <w:p w14:paraId="70E344B4">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单位信息录入、资质审核、状态管理、数据导出</w:t>
            </w:r>
          </w:p>
        </w:tc>
      </w:tr>
      <w:tr w14:paraId="27D29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0C1E962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0C741FB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DF110A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0419F0A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个人认证</w:t>
            </w:r>
          </w:p>
        </w:tc>
        <w:tc>
          <w:tcPr>
            <w:tcW w:w="2858" w:type="pct"/>
            <w:vAlign w:val="center"/>
          </w:tcPr>
          <w:p w14:paraId="7232F44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个人飞手信息登记、核验、全生命周期管理</w:t>
            </w:r>
          </w:p>
        </w:tc>
      </w:tr>
      <w:tr w14:paraId="2915A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547AF0B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0B71464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3A26C5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5923D95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无人机飞手认证</w:t>
            </w:r>
          </w:p>
        </w:tc>
        <w:tc>
          <w:tcPr>
            <w:tcW w:w="2858" w:type="pct"/>
            <w:vAlign w:val="center"/>
          </w:tcPr>
          <w:p w14:paraId="4F55C93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执照管理、资质校验、到期提醒、续期</w:t>
            </w:r>
          </w:p>
        </w:tc>
      </w:tr>
      <w:tr w14:paraId="789AC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3DF92FE4">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BAF134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2682346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6C21F99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无人驾驶航空器管理</w:t>
            </w:r>
          </w:p>
        </w:tc>
        <w:tc>
          <w:tcPr>
            <w:tcW w:w="2858" w:type="pct"/>
            <w:vAlign w:val="center"/>
          </w:tcPr>
          <w:p w14:paraId="6E70CDF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无人机信息备案、编号、状态管控</w:t>
            </w:r>
          </w:p>
        </w:tc>
      </w:tr>
      <w:tr w14:paraId="76B9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6581E6C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37F48A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0513A2F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5D5E8A5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通航驾驶员认证</w:t>
            </w:r>
          </w:p>
        </w:tc>
        <w:tc>
          <w:tcPr>
            <w:tcW w:w="2858" w:type="pct"/>
            <w:vAlign w:val="center"/>
          </w:tcPr>
          <w:p w14:paraId="0EEEB59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通航人员资质审核、档案管理</w:t>
            </w:r>
          </w:p>
        </w:tc>
      </w:tr>
      <w:tr w14:paraId="5719D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B70725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33DEF38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0B317B4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0453289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通航航空器认证</w:t>
            </w:r>
          </w:p>
        </w:tc>
        <w:tc>
          <w:tcPr>
            <w:tcW w:w="2858" w:type="pct"/>
            <w:vAlign w:val="center"/>
          </w:tcPr>
          <w:p w14:paraId="0548DB8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通航飞机资料登记、核验、台账管理</w:t>
            </w:r>
          </w:p>
        </w:tc>
      </w:tr>
      <w:tr w14:paraId="52BC0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1618BFD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E837F0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25AD220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飞行申请模块</w:t>
            </w:r>
          </w:p>
        </w:tc>
        <w:tc>
          <w:tcPr>
            <w:tcW w:w="1138" w:type="pct"/>
            <w:vAlign w:val="center"/>
          </w:tcPr>
          <w:p w14:paraId="7DFF7BB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通航空域申请</w:t>
            </w:r>
          </w:p>
        </w:tc>
        <w:tc>
          <w:tcPr>
            <w:tcW w:w="2858" w:type="pct"/>
            <w:vAlign w:val="center"/>
          </w:tcPr>
          <w:p w14:paraId="4D3A5AD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信息填报、航线标注、多级审核、已备案补录</w:t>
            </w:r>
          </w:p>
        </w:tc>
      </w:tr>
      <w:tr w14:paraId="1F876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1359EDD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7C066CB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D86260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3E6E1AE2">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通航飞行计划申请</w:t>
            </w:r>
          </w:p>
        </w:tc>
        <w:tc>
          <w:tcPr>
            <w:tcW w:w="2858" w:type="pct"/>
            <w:vAlign w:val="center"/>
          </w:tcPr>
          <w:p w14:paraId="210A345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计划录入、空域校验、状态跟踪、起降报备</w:t>
            </w:r>
          </w:p>
        </w:tc>
      </w:tr>
      <w:tr w14:paraId="05B9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27D0E6E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436E17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87573B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6CE6191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无人机一般飞行活动</w:t>
            </w:r>
          </w:p>
        </w:tc>
        <w:tc>
          <w:tcPr>
            <w:tcW w:w="2858" w:type="pct"/>
            <w:vAlign w:val="center"/>
          </w:tcPr>
          <w:p w14:paraId="525E464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一般/紧急飞行申报、合规校验、流程闭环</w:t>
            </w:r>
          </w:p>
        </w:tc>
      </w:tr>
      <w:tr w14:paraId="5DC7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70C42E4">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3C6EED6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0697958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00509D4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无人机长期飞行活动</w:t>
            </w:r>
          </w:p>
        </w:tc>
        <w:tc>
          <w:tcPr>
            <w:tcW w:w="2858" w:type="pct"/>
            <w:vAlign w:val="center"/>
          </w:tcPr>
          <w:p w14:paraId="2FAEBE4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常态化飞行备案、全流程跟踪</w:t>
            </w:r>
          </w:p>
        </w:tc>
      </w:tr>
      <w:tr w14:paraId="08FE4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A7D3F3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1EF1A9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0CDBE52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6AF1E76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无人机场内飞行活动</w:t>
            </w:r>
          </w:p>
        </w:tc>
        <w:tc>
          <w:tcPr>
            <w:tcW w:w="2858" w:type="pct"/>
            <w:vAlign w:val="center"/>
          </w:tcPr>
          <w:p w14:paraId="5D4707A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场内飞行简化申报、记录留存</w:t>
            </w:r>
          </w:p>
        </w:tc>
      </w:tr>
      <w:tr w14:paraId="3778E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1DE731C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10</w:t>
            </w:r>
          </w:p>
        </w:tc>
        <w:tc>
          <w:tcPr>
            <w:tcW w:w="256" w:type="pct"/>
            <w:vMerge w:val="continue"/>
            <w:vAlign w:val="center"/>
          </w:tcPr>
          <w:p w14:paraId="496C683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5EE7F60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飞行监视模块</w:t>
            </w:r>
          </w:p>
        </w:tc>
        <w:tc>
          <w:tcPr>
            <w:tcW w:w="1138" w:type="pct"/>
            <w:vAlign w:val="center"/>
          </w:tcPr>
          <w:p w14:paraId="03D64CC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全域可视化监视</w:t>
            </w:r>
          </w:p>
        </w:tc>
        <w:tc>
          <w:tcPr>
            <w:tcW w:w="2858" w:type="pct"/>
            <w:vAlign w:val="center"/>
          </w:tcPr>
          <w:p w14:paraId="4F4C26C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二维+三维地图、航空器实时位置/轨迹/身份识别</w:t>
            </w:r>
          </w:p>
        </w:tc>
      </w:tr>
      <w:tr w14:paraId="6E34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34F2383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B63CA0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4E4A814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B4D671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多源数据融合</w:t>
            </w:r>
          </w:p>
        </w:tc>
        <w:tc>
          <w:tcPr>
            <w:tcW w:w="2858" w:type="pct"/>
            <w:vAlign w:val="center"/>
          </w:tcPr>
          <w:p w14:paraId="0379AED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使用人工智能算法进行多源融合处理和智能决策</w:t>
            </w:r>
          </w:p>
        </w:tc>
      </w:tr>
      <w:tr w14:paraId="5771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02375DC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21154DD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49592EC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D64F6D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飞行计划管控</w:t>
            </w:r>
          </w:p>
        </w:tc>
        <w:tc>
          <w:tcPr>
            <w:tcW w:w="2858" w:type="pct"/>
            <w:vAlign w:val="center"/>
          </w:tcPr>
          <w:p w14:paraId="255F635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计划列表、状态比对、航线叠加校验</w:t>
            </w:r>
          </w:p>
        </w:tc>
      </w:tr>
      <w:tr w14:paraId="1C31C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29078A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3B7077C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64B0DFF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08D0788">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态势告警</w:t>
            </w:r>
          </w:p>
        </w:tc>
        <w:tc>
          <w:tcPr>
            <w:tcW w:w="2858" w:type="pct"/>
            <w:vAlign w:val="center"/>
          </w:tcPr>
          <w:p w14:paraId="6D66CF7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黑飞、超高、危险接近等告警提示</w:t>
            </w:r>
          </w:p>
        </w:tc>
      </w:tr>
      <w:tr w14:paraId="1023B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3BBE57B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0378F6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3E8605D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3699E5C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地图工具</w:t>
            </w:r>
          </w:p>
        </w:tc>
        <w:tc>
          <w:tcPr>
            <w:tcW w:w="2858" w:type="pct"/>
            <w:vAlign w:val="center"/>
          </w:tcPr>
          <w:p w14:paraId="49104494">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距离/面积测量</w:t>
            </w:r>
          </w:p>
        </w:tc>
      </w:tr>
      <w:tr w14:paraId="16E4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5B01D2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05C406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3E20AA2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062D87F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图层管理</w:t>
            </w:r>
          </w:p>
        </w:tc>
        <w:tc>
          <w:tcPr>
            <w:tcW w:w="2858" w:type="pct"/>
            <w:vAlign w:val="center"/>
          </w:tcPr>
          <w:p w14:paraId="1BC60618">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空域、气象、通导监、起降场等图层切换</w:t>
            </w:r>
          </w:p>
        </w:tc>
      </w:tr>
      <w:tr w14:paraId="65117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5838EA6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A86465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2C45634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CFE754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气象融合</w:t>
            </w:r>
          </w:p>
        </w:tc>
        <w:tc>
          <w:tcPr>
            <w:tcW w:w="2858" w:type="pct"/>
            <w:vAlign w:val="center"/>
          </w:tcPr>
          <w:p w14:paraId="48E71B5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实时气象展示、气象预警推送</w:t>
            </w:r>
          </w:p>
        </w:tc>
      </w:tr>
      <w:tr w14:paraId="3D25A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697BC47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11</w:t>
            </w:r>
          </w:p>
        </w:tc>
        <w:tc>
          <w:tcPr>
            <w:tcW w:w="256" w:type="pct"/>
            <w:vMerge w:val="continue"/>
            <w:vAlign w:val="center"/>
          </w:tcPr>
          <w:p w14:paraId="4C2CB12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6995915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航空情报模块</w:t>
            </w:r>
          </w:p>
        </w:tc>
        <w:tc>
          <w:tcPr>
            <w:tcW w:w="1138" w:type="pct"/>
            <w:vAlign w:val="center"/>
          </w:tcPr>
          <w:p w14:paraId="29F5A4D4">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起降场管理</w:t>
            </w:r>
          </w:p>
        </w:tc>
        <w:tc>
          <w:tcPr>
            <w:tcW w:w="2858" w:type="pct"/>
            <w:vAlign w:val="center"/>
          </w:tcPr>
          <w:p w14:paraId="4FC113E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起降场新增、编辑</w:t>
            </w:r>
            <w:r>
              <w:rPr>
                <w:rFonts w:hint="eastAsia" w:cs="宋体" w:asciiTheme="minorEastAsia" w:hAnsiTheme="minorEastAsia" w:eastAsiaTheme="minorEastAsia"/>
                <w:color w:val="000000"/>
                <w:kern w:val="0"/>
                <w:sz w:val="21"/>
                <w:szCs w:val="21"/>
              </w:rPr>
              <w:t>、查询、删除</w:t>
            </w:r>
            <w:r>
              <w:rPr>
                <w:rFonts w:cs="宋体" w:asciiTheme="minorEastAsia" w:hAnsiTheme="minorEastAsia" w:eastAsiaTheme="minorEastAsia"/>
                <w:color w:val="000000"/>
                <w:kern w:val="0"/>
                <w:sz w:val="21"/>
                <w:szCs w:val="21"/>
              </w:rPr>
              <w:t>、状态管控</w:t>
            </w:r>
          </w:p>
        </w:tc>
      </w:tr>
      <w:tr w14:paraId="6BB0F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67DD54F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3111EE2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7E97D1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370ED6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基础设施管理</w:t>
            </w:r>
          </w:p>
        </w:tc>
        <w:tc>
          <w:tcPr>
            <w:tcW w:w="2858" w:type="pct"/>
            <w:vAlign w:val="center"/>
          </w:tcPr>
          <w:p w14:paraId="4E4FEFD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通信、导航、监视、反制设备全生命周期管理</w:t>
            </w:r>
          </w:p>
        </w:tc>
      </w:tr>
      <w:tr w14:paraId="1DED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7EB8CDA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2B6516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775E2FF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362019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公众情报服务</w:t>
            </w:r>
          </w:p>
        </w:tc>
        <w:tc>
          <w:tcPr>
            <w:tcW w:w="2858" w:type="pct"/>
            <w:vAlign w:val="center"/>
          </w:tcPr>
          <w:p w14:paraId="11E51F4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情报录入、审核、发布、定时推送、历史管理</w:t>
            </w:r>
          </w:p>
        </w:tc>
      </w:tr>
      <w:tr w14:paraId="5EFAC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4A509B7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12</w:t>
            </w:r>
          </w:p>
        </w:tc>
        <w:tc>
          <w:tcPr>
            <w:tcW w:w="256" w:type="pct"/>
            <w:vMerge w:val="continue"/>
            <w:vAlign w:val="center"/>
          </w:tcPr>
          <w:p w14:paraId="1169A27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1C8A6E7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航空气象模块</w:t>
            </w:r>
          </w:p>
        </w:tc>
        <w:tc>
          <w:tcPr>
            <w:tcW w:w="1138" w:type="pct"/>
            <w:vAlign w:val="center"/>
          </w:tcPr>
          <w:p w14:paraId="05BCD72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气象实况</w:t>
            </w:r>
          </w:p>
        </w:tc>
        <w:tc>
          <w:tcPr>
            <w:tcW w:w="2858" w:type="pct"/>
            <w:vAlign w:val="center"/>
          </w:tcPr>
          <w:p w14:paraId="38959ED2">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气温、风速、雨量等实时数据展示</w:t>
            </w:r>
          </w:p>
        </w:tc>
      </w:tr>
      <w:tr w14:paraId="589F6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54C9CC6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5CB34AE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654C942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45DD2E2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24小时气象</w:t>
            </w:r>
            <w:r>
              <w:rPr>
                <w:rFonts w:cs="宋体" w:asciiTheme="minorEastAsia" w:hAnsiTheme="minorEastAsia" w:eastAsiaTheme="minorEastAsia"/>
                <w:color w:val="000000"/>
                <w:kern w:val="0"/>
                <w:sz w:val="21"/>
                <w:szCs w:val="21"/>
              </w:rPr>
              <w:t>预报</w:t>
            </w:r>
          </w:p>
        </w:tc>
        <w:tc>
          <w:tcPr>
            <w:tcW w:w="2858" w:type="pct"/>
            <w:vAlign w:val="center"/>
          </w:tcPr>
          <w:p w14:paraId="51417E84">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24小时逐小时气象预报查询</w:t>
            </w:r>
          </w:p>
        </w:tc>
      </w:tr>
      <w:tr w14:paraId="037DD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760D2C0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725F555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4E5914F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4A860A0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气象预警</w:t>
            </w:r>
          </w:p>
        </w:tc>
        <w:tc>
          <w:tcPr>
            <w:tcW w:w="2858" w:type="pct"/>
            <w:vAlign w:val="center"/>
          </w:tcPr>
          <w:p w14:paraId="133C185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暴雨/雷电/大风等预警接收、区域标绘</w:t>
            </w:r>
          </w:p>
        </w:tc>
      </w:tr>
      <w:tr w14:paraId="708C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0CC193C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13</w:t>
            </w:r>
          </w:p>
        </w:tc>
        <w:tc>
          <w:tcPr>
            <w:tcW w:w="256" w:type="pct"/>
            <w:vMerge w:val="continue"/>
            <w:vAlign w:val="center"/>
          </w:tcPr>
          <w:p w14:paraId="794F4B0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71FE308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空域管理模块</w:t>
            </w:r>
          </w:p>
        </w:tc>
        <w:tc>
          <w:tcPr>
            <w:tcW w:w="1138" w:type="pct"/>
            <w:vAlign w:val="center"/>
          </w:tcPr>
          <w:p w14:paraId="3F993F0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空域管理</w:t>
            </w:r>
          </w:p>
        </w:tc>
        <w:tc>
          <w:tcPr>
            <w:tcW w:w="2858" w:type="pct"/>
            <w:vAlign w:val="center"/>
          </w:tcPr>
          <w:p w14:paraId="7512E29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空域信息新增、批量导入、编辑、查询、日志留存</w:t>
            </w:r>
          </w:p>
        </w:tc>
      </w:tr>
      <w:tr w14:paraId="5216A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8FF05B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7A8B89C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632B0D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1B76F5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航线管理</w:t>
            </w:r>
          </w:p>
        </w:tc>
        <w:tc>
          <w:tcPr>
            <w:tcW w:w="2858" w:type="pct"/>
            <w:vAlign w:val="center"/>
          </w:tcPr>
          <w:p w14:paraId="253735C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航线录入、坐标校验、冲突检测、编辑、删除、数据导出</w:t>
            </w:r>
          </w:p>
        </w:tc>
      </w:tr>
      <w:tr w14:paraId="3EE1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49FA7D1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14</w:t>
            </w:r>
          </w:p>
        </w:tc>
        <w:tc>
          <w:tcPr>
            <w:tcW w:w="256" w:type="pct"/>
            <w:vMerge w:val="continue"/>
            <w:vAlign w:val="center"/>
          </w:tcPr>
          <w:p w14:paraId="299E5DC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3B80ADD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系统管理模块</w:t>
            </w:r>
          </w:p>
        </w:tc>
        <w:tc>
          <w:tcPr>
            <w:tcW w:w="1138" w:type="pct"/>
            <w:vAlign w:val="center"/>
          </w:tcPr>
          <w:p w14:paraId="529A691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统计分析</w:t>
            </w:r>
          </w:p>
        </w:tc>
        <w:tc>
          <w:tcPr>
            <w:tcW w:w="2858" w:type="pct"/>
            <w:vAlign w:val="center"/>
          </w:tcPr>
          <w:p w14:paraId="08BFBDC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飞行、告警、救援数据看板、轨迹回放、报表导出</w:t>
            </w:r>
          </w:p>
        </w:tc>
      </w:tr>
      <w:tr w14:paraId="7E4D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623177C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ECD35A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41904D7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57F99DF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权限管理</w:t>
            </w:r>
          </w:p>
        </w:tc>
        <w:tc>
          <w:tcPr>
            <w:tcW w:w="2858" w:type="pct"/>
            <w:vAlign w:val="center"/>
          </w:tcPr>
          <w:p w14:paraId="1E2EA3C4">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角色划分、账号授权、数据隔离</w:t>
            </w:r>
          </w:p>
        </w:tc>
      </w:tr>
      <w:tr w14:paraId="1305B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7888CD6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333DDC9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6744486C">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419B409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门户管理</w:t>
            </w:r>
          </w:p>
        </w:tc>
        <w:tc>
          <w:tcPr>
            <w:tcW w:w="2858" w:type="pct"/>
            <w:vAlign w:val="center"/>
          </w:tcPr>
          <w:p w14:paraId="7C097CC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通知公告、政策法规、操作指南、培训机构查询后台管理</w:t>
            </w:r>
          </w:p>
        </w:tc>
      </w:tr>
      <w:tr w14:paraId="200B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5DE9E2F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70B4299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4AAC713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5480A32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基础数据</w:t>
            </w:r>
          </w:p>
        </w:tc>
        <w:tc>
          <w:tcPr>
            <w:tcW w:w="2858" w:type="pct"/>
            <w:vAlign w:val="center"/>
          </w:tcPr>
          <w:p w14:paraId="65FFC3E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厂商、机型数据维护、批量管理</w:t>
            </w:r>
          </w:p>
        </w:tc>
      </w:tr>
      <w:tr w14:paraId="112DA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0320399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064D444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D40E7A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E04DC2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告警规则</w:t>
            </w:r>
          </w:p>
        </w:tc>
        <w:tc>
          <w:tcPr>
            <w:tcW w:w="2858" w:type="pct"/>
            <w:vAlign w:val="center"/>
          </w:tcPr>
          <w:p w14:paraId="3B7EF94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告警类型、阈值、开关自定义配置</w:t>
            </w:r>
          </w:p>
        </w:tc>
      </w:tr>
      <w:tr w14:paraId="2FF0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1F67E54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6FD3789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EC6CBC5">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4B8408F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系统监控</w:t>
            </w:r>
          </w:p>
        </w:tc>
        <w:tc>
          <w:tcPr>
            <w:tcW w:w="2858" w:type="pct"/>
            <w:vAlign w:val="center"/>
          </w:tcPr>
          <w:p w14:paraId="2359327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服务器软硬件状态监视、系统参数配置、登录日志与操作日志全量记录</w:t>
            </w:r>
          </w:p>
        </w:tc>
      </w:tr>
      <w:tr w14:paraId="582B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7F979A4">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8BC5E1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7D71BC0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0F47D43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信息发布</w:t>
            </w:r>
          </w:p>
        </w:tc>
        <w:tc>
          <w:tcPr>
            <w:tcW w:w="2858" w:type="pct"/>
            <w:vAlign w:val="center"/>
          </w:tcPr>
          <w:p w14:paraId="51A5940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站内信、</w:t>
            </w:r>
            <w:r>
              <w:rPr>
                <w:rFonts w:hint="eastAsia" w:cs="宋体" w:asciiTheme="minorEastAsia" w:hAnsiTheme="minorEastAsia" w:eastAsiaTheme="minorEastAsia"/>
                <w:color w:val="000000"/>
                <w:kern w:val="0"/>
                <w:sz w:val="21"/>
                <w:szCs w:val="21"/>
              </w:rPr>
              <w:t>意见反馈受理、查询、详情查看与附件导出</w:t>
            </w:r>
          </w:p>
        </w:tc>
      </w:tr>
      <w:tr w14:paraId="5948B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noWrap/>
            <w:vAlign w:val="center"/>
          </w:tcPr>
          <w:p w14:paraId="22DEE762">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15</w:t>
            </w:r>
          </w:p>
        </w:tc>
        <w:tc>
          <w:tcPr>
            <w:tcW w:w="256" w:type="pct"/>
            <w:vMerge w:val="continue"/>
            <w:vAlign w:val="center"/>
          </w:tcPr>
          <w:p w14:paraId="5C5F5BF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5156EF0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公共支撑模块</w:t>
            </w:r>
          </w:p>
        </w:tc>
        <w:tc>
          <w:tcPr>
            <w:tcW w:w="1138" w:type="pct"/>
            <w:vAlign w:val="center"/>
          </w:tcPr>
          <w:p w14:paraId="0F1C245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登录注册</w:t>
            </w:r>
          </w:p>
        </w:tc>
        <w:tc>
          <w:tcPr>
            <w:tcW w:w="2858" w:type="pct"/>
            <w:vAlign w:val="center"/>
          </w:tcPr>
          <w:p w14:paraId="45AB578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企业/个人账号注册、实名登录、密码找回</w:t>
            </w:r>
          </w:p>
        </w:tc>
      </w:tr>
      <w:tr w14:paraId="32D2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566C4736">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2F4C4C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32DB7D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BF1CF9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门户首页</w:t>
            </w:r>
          </w:p>
        </w:tc>
        <w:tc>
          <w:tcPr>
            <w:tcW w:w="2858" w:type="pct"/>
            <w:vAlign w:val="center"/>
          </w:tcPr>
          <w:p w14:paraId="26B6186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待办工作台、飞行日历、公众情报、</w:t>
            </w:r>
            <w:r>
              <w:rPr>
                <w:rFonts w:hint="eastAsia" w:cs="宋体" w:asciiTheme="minorEastAsia" w:hAnsiTheme="minorEastAsia" w:eastAsiaTheme="minorEastAsia"/>
                <w:color w:val="000000"/>
                <w:kern w:val="0"/>
                <w:sz w:val="21"/>
                <w:szCs w:val="21"/>
              </w:rPr>
              <w:t>申请</w:t>
            </w:r>
            <w:r>
              <w:rPr>
                <w:rFonts w:cs="宋体" w:asciiTheme="minorEastAsia" w:hAnsiTheme="minorEastAsia" w:eastAsiaTheme="minorEastAsia"/>
                <w:color w:val="000000"/>
                <w:kern w:val="0"/>
                <w:sz w:val="21"/>
                <w:szCs w:val="21"/>
              </w:rPr>
              <w:t>指南展示</w:t>
            </w:r>
          </w:p>
        </w:tc>
      </w:tr>
      <w:tr w14:paraId="79A8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Align w:val="center"/>
          </w:tcPr>
          <w:p w14:paraId="55315BE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16</w:t>
            </w:r>
          </w:p>
        </w:tc>
        <w:tc>
          <w:tcPr>
            <w:tcW w:w="256" w:type="pct"/>
            <w:vMerge w:val="restart"/>
            <w:vAlign w:val="center"/>
          </w:tcPr>
          <w:p w14:paraId="61A0D0D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低空飞行安全监管平台</w:t>
            </w:r>
          </w:p>
        </w:tc>
        <w:tc>
          <w:tcPr>
            <w:tcW w:w="363" w:type="pct"/>
            <w:vAlign w:val="center"/>
          </w:tcPr>
          <w:p w14:paraId="7177B87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登录</w:t>
            </w:r>
          </w:p>
        </w:tc>
        <w:tc>
          <w:tcPr>
            <w:tcW w:w="1138" w:type="pct"/>
            <w:vAlign w:val="center"/>
          </w:tcPr>
          <w:p w14:paraId="18ECA59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登录验证及权限验证</w:t>
            </w:r>
          </w:p>
        </w:tc>
        <w:tc>
          <w:tcPr>
            <w:tcW w:w="2858" w:type="pct"/>
            <w:noWrap/>
            <w:vAlign w:val="center"/>
          </w:tcPr>
          <w:p w14:paraId="49987ABA">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账号身份校验、权限匹配、安全登录管控</w:t>
            </w:r>
          </w:p>
        </w:tc>
      </w:tr>
      <w:tr w14:paraId="28766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vAlign w:val="center"/>
          </w:tcPr>
          <w:p w14:paraId="63084542">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17</w:t>
            </w:r>
          </w:p>
        </w:tc>
        <w:tc>
          <w:tcPr>
            <w:tcW w:w="256" w:type="pct"/>
            <w:vMerge w:val="continue"/>
            <w:vAlign w:val="center"/>
          </w:tcPr>
          <w:p w14:paraId="4F55DA0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2B9B263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实时监控</w:t>
            </w:r>
          </w:p>
        </w:tc>
        <w:tc>
          <w:tcPr>
            <w:tcW w:w="1138" w:type="pct"/>
            <w:vAlign w:val="center"/>
          </w:tcPr>
          <w:p w14:paraId="7A15479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飞行统计信息</w:t>
            </w:r>
          </w:p>
        </w:tc>
        <w:tc>
          <w:tcPr>
            <w:tcW w:w="2858" w:type="pct"/>
            <w:noWrap/>
            <w:vAlign w:val="center"/>
          </w:tcPr>
          <w:p w14:paraId="1D678C1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全域飞行架次、时长、区域数据实时统计展示</w:t>
            </w:r>
          </w:p>
        </w:tc>
      </w:tr>
      <w:tr w14:paraId="7B7D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62ACDC3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C88759C">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3A14966C">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42DB824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设备列表</w:t>
            </w:r>
          </w:p>
        </w:tc>
        <w:tc>
          <w:tcPr>
            <w:tcW w:w="2858" w:type="pct"/>
            <w:noWrap/>
            <w:vAlign w:val="center"/>
          </w:tcPr>
          <w:p w14:paraId="7A21BDD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监管接入设备状态、点位、运行情况汇总</w:t>
            </w:r>
          </w:p>
        </w:tc>
      </w:tr>
      <w:tr w14:paraId="2E7E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0B92AA1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493428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706C855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0E44595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无人机列表</w:t>
            </w:r>
          </w:p>
        </w:tc>
        <w:tc>
          <w:tcPr>
            <w:tcW w:w="2858" w:type="pct"/>
            <w:noWrap/>
            <w:vAlign w:val="center"/>
          </w:tcPr>
          <w:p w14:paraId="6F230B88">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无人机位置、状态、信息统一展示</w:t>
            </w:r>
          </w:p>
        </w:tc>
      </w:tr>
      <w:tr w14:paraId="197E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3D61DFA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6ECCF74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48367BA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6D32F6C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单位切换查询</w:t>
            </w:r>
          </w:p>
        </w:tc>
        <w:tc>
          <w:tcPr>
            <w:tcW w:w="2858" w:type="pct"/>
            <w:noWrap/>
            <w:vAlign w:val="center"/>
          </w:tcPr>
          <w:p w14:paraId="57314DB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按管辖单位切换查看对应区域飞行动态</w:t>
            </w:r>
          </w:p>
        </w:tc>
      </w:tr>
      <w:tr w14:paraId="0A2B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1935508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2D60104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95E6D6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169900C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图层控制</w:t>
            </w:r>
          </w:p>
        </w:tc>
        <w:tc>
          <w:tcPr>
            <w:tcW w:w="2858" w:type="pct"/>
            <w:noWrap/>
            <w:vAlign w:val="center"/>
          </w:tcPr>
          <w:p w14:paraId="06BFE11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地图基本操作及图层控制</w:t>
            </w:r>
          </w:p>
        </w:tc>
      </w:tr>
      <w:tr w14:paraId="5D12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vAlign w:val="center"/>
          </w:tcPr>
          <w:p w14:paraId="483C3E4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18</w:t>
            </w:r>
          </w:p>
        </w:tc>
        <w:tc>
          <w:tcPr>
            <w:tcW w:w="256" w:type="pct"/>
            <w:vMerge w:val="continue"/>
            <w:vAlign w:val="center"/>
          </w:tcPr>
          <w:p w14:paraId="4A2DA79F">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54844E5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统计查询</w:t>
            </w:r>
          </w:p>
        </w:tc>
        <w:tc>
          <w:tcPr>
            <w:tcW w:w="1138" w:type="pct"/>
            <w:vAlign w:val="center"/>
          </w:tcPr>
          <w:p w14:paraId="72BE0F5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统计图表</w:t>
            </w:r>
          </w:p>
        </w:tc>
        <w:tc>
          <w:tcPr>
            <w:tcW w:w="2858" w:type="pct"/>
            <w:noWrap/>
            <w:vAlign w:val="center"/>
          </w:tcPr>
          <w:p w14:paraId="005F24C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飞行、告警、处置数据多维度图表化展示</w:t>
            </w:r>
          </w:p>
        </w:tc>
      </w:tr>
      <w:tr w14:paraId="5B78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243358E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60E553C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8CBE14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208ED89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时空聚类</w:t>
            </w:r>
          </w:p>
        </w:tc>
        <w:tc>
          <w:tcPr>
            <w:tcW w:w="2858" w:type="pct"/>
            <w:noWrap/>
            <w:vAlign w:val="center"/>
          </w:tcPr>
          <w:p w14:paraId="231799E8">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按时间、区域聚合分析飞行与告警数据</w:t>
            </w:r>
          </w:p>
        </w:tc>
      </w:tr>
      <w:tr w14:paraId="063C9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2AAD5C3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57B6C8CC">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A4223C3">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662A7A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干扰</w:t>
            </w:r>
            <w:r>
              <w:rPr>
                <w:rFonts w:cs="宋体" w:asciiTheme="minorEastAsia" w:hAnsiTheme="minorEastAsia" w:eastAsiaTheme="minorEastAsia"/>
                <w:color w:val="000000"/>
                <w:kern w:val="0"/>
                <w:sz w:val="21"/>
                <w:szCs w:val="21"/>
              </w:rPr>
              <w:t>统计</w:t>
            </w:r>
          </w:p>
        </w:tc>
        <w:tc>
          <w:tcPr>
            <w:tcW w:w="2858" w:type="pct"/>
            <w:noWrap/>
            <w:vAlign w:val="center"/>
          </w:tcPr>
          <w:p w14:paraId="41C6E49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干扰设备开启时刻、时长、开启频率等信息统计</w:t>
            </w:r>
          </w:p>
        </w:tc>
      </w:tr>
      <w:tr w14:paraId="3714E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5CBEDFF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21A2063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5FD5CB9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27EF541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飞行统计</w:t>
            </w:r>
          </w:p>
        </w:tc>
        <w:tc>
          <w:tcPr>
            <w:tcW w:w="2858" w:type="pct"/>
            <w:noWrap/>
            <w:vAlign w:val="center"/>
          </w:tcPr>
          <w:p w14:paraId="237ABF98">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无人机SN号、型号、飞行高度、报警时间等飞行数据统计</w:t>
            </w:r>
          </w:p>
        </w:tc>
      </w:tr>
      <w:tr w14:paraId="41D0D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vAlign w:val="center"/>
          </w:tcPr>
          <w:p w14:paraId="37477EC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19</w:t>
            </w:r>
          </w:p>
        </w:tc>
        <w:tc>
          <w:tcPr>
            <w:tcW w:w="256" w:type="pct"/>
            <w:vMerge w:val="continue"/>
            <w:vAlign w:val="center"/>
          </w:tcPr>
          <w:p w14:paraId="4CD8546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222B4D76">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专项任务</w:t>
            </w:r>
          </w:p>
        </w:tc>
        <w:tc>
          <w:tcPr>
            <w:tcW w:w="1138" w:type="pct"/>
            <w:vAlign w:val="center"/>
          </w:tcPr>
          <w:p w14:paraId="7247715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任务列表</w:t>
            </w:r>
          </w:p>
        </w:tc>
        <w:tc>
          <w:tcPr>
            <w:tcW w:w="2858" w:type="pct"/>
            <w:noWrap/>
            <w:vAlign w:val="center"/>
          </w:tcPr>
          <w:p w14:paraId="39D52A9F">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专项监管任务清单、状态统一展示</w:t>
            </w:r>
          </w:p>
        </w:tc>
      </w:tr>
      <w:tr w14:paraId="6645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041ADFF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160DA007">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23C0FBF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3D8F214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任务设置</w:t>
            </w:r>
          </w:p>
        </w:tc>
        <w:tc>
          <w:tcPr>
            <w:tcW w:w="2858" w:type="pct"/>
            <w:noWrap/>
            <w:vAlign w:val="center"/>
          </w:tcPr>
          <w:p w14:paraId="36FB6B0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专项任务区域、时段、告警规则配置</w:t>
            </w:r>
          </w:p>
        </w:tc>
      </w:tr>
      <w:tr w14:paraId="28869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0E67026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20D481B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381F25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7B3B0D2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任务查看</w:t>
            </w:r>
          </w:p>
        </w:tc>
        <w:tc>
          <w:tcPr>
            <w:tcW w:w="2858" w:type="pct"/>
            <w:noWrap/>
            <w:vAlign w:val="center"/>
          </w:tcPr>
          <w:p w14:paraId="2373B229">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查看当前</w:t>
            </w:r>
            <w:r>
              <w:rPr>
                <w:rFonts w:cs="宋体" w:asciiTheme="minorEastAsia" w:hAnsiTheme="minorEastAsia" w:eastAsiaTheme="minorEastAsia"/>
                <w:color w:val="000000"/>
                <w:kern w:val="0"/>
                <w:sz w:val="21"/>
                <w:szCs w:val="21"/>
              </w:rPr>
              <w:t>专项任务</w:t>
            </w:r>
            <w:r>
              <w:rPr>
                <w:rFonts w:hint="eastAsia" w:cs="宋体" w:asciiTheme="minorEastAsia" w:hAnsiTheme="minorEastAsia" w:eastAsiaTheme="minorEastAsia"/>
                <w:color w:val="000000"/>
                <w:kern w:val="0"/>
                <w:sz w:val="21"/>
                <w:szCs w:val="21"/>
              </w:rPr>
              <w:t>配置</w:t>
            </w:r>
          </w:p>
        </w:tc>
      </w:tr>
      <w:tr w14:paraId="2A732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restart"/>
            <w:vAlign w:val="center"/>
          </w:tcPr>
          <w:p w14:paraId="4F2C9B2D">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20</w:t>
            </w:r>
          </w:p>
        </w:tc>
        <w:tc>
          <w:tcPr>
            <w:tcW w:w="256" w:type="pct"/>
            <w:vMerge w:val="continue"/>
            <w:vAlign w:val="center"/>
          </w:tcPr>
          <w:p w14:paraId="7D49FE6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restart"/>
            <w:vAlign w:val="center"/>
          </w:tcPr>
          <w:p w14:paraId="1AB2060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系统管理</w:t>
            </w:r>
          </w:p>
        </w:tc>
        <w:tc>
          <w:tcPr>
            <w:tcW w:w="1138" w:type="pct"/>
            <w:vAlign w:val="center"/>
          </w:tcPr>
          <w:p w14:paraId="3A9DBBAB">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系统配置</w:t>
            </w:r>
          </w:p>
        </w:tc>
        <w:tc>
          <w:tcPr>
            <w:tcW w:w="2858" w:type="pct"/>
            <w:noWrap/>
            <w:vAlign w:val="center"/>
          </w:tcPr>
          <w:p w14:paraId="50355E65">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平台基础参数、告警规则、通用配置管理</w:t>
            </w:r>
          </w:p>
        </w:tc>
      </w:tr>
      <w:tr w14:paraId="7313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1F034171">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5AF24BD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1C535A82">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44C3EEF0">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账户管理</w:t>
            </w:r>
          </w:p>
        </w:tc>
        <w:tc>
          <w:tcPr>
            <w:tcW w:w="2858" w:type="pct"/>
            <w:noWrap/>
            <w:vAlign w:val="center"/>
          </w:tcPr>
          <w:p w14:paraId="2BB2527E">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用户账号新增、编辑、停用全周期管理</w:t>
            </w:r>
          </w:p>
        </w:tc>
      </w:tr>
      <w:tr w14:paraId="7F9B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C8CC5A4">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F8705E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09FA939D">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6CFDAAF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权限管理</w:t>
            </w:r>
          </w:p>
        </w:tc>
        <w:tc>
          <w:tcPr>
            <w:tcW w:w="2858" w:type="pct"/>
            <w:noWrap/>
            <w:vAlign w:val="center"/>
          </w:tcPr>
          <w:p w14:paraId="5A941FF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按角色分配功能与数据访问权限</w:t>
            </w:r>
          </w:p>
        </w:tc>
      </w:tr>
      <w:tr w14:paraId="0BA5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7FD834B4">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246AE04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332B5D50">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21A78528">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飞行白名单管理</w:t>
            </w:r>
          </w:p>
        </w:tc>
        <w:tc>
          <w:tcPr>
            <w:tcW w:w="2858" w:type="pct"/>
            <w:noWrap/>
            <w:vAlign w:val="center"/>
          </w:tcPr>
          <w:p w14:paraId="32AC00C3">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合规飞行主体、飞行器白名单维护</w:t>
            </w:r>
          </w:p>
        </w:tc>
      </w:tr>
      <w:tr w14:paraId="24C2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7958FAB9">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6597748E">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7E5F5468">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2A361E68">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反制设备管理</w:t>
            </w:r>
          </w:p>
        </w:tc>
        <w:tc>
          <w:tcPr>
            <w:tcW w:w="2858" w:type="pct"/>
            <w:noWrap/>
            <w:vAlign w:val="center"/>
          </w:tcPr>
          <w:p w14:paraId="793942BC">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反制设备台账、参数、运行状态管理</w:t>
            </w:r>
          </w:p>
        </w:tc>
      </w:tr>
      <w:tr w14:paraId="70EE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5" w:type="pct"/>
            <w:vMerge w:val="continue"/>
            <w:vAlign w:val="center"/>
          </w:tcPr>
          <w:p w14:paraId="475FED6B">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256" w:type="pct"/>
            <w:vMerge w:val="continue"/>
            <w:vAlign w:val="center"/>
          </w:tcPr>
          <w:p w14:paraId="4623EC5A">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363" w:type="pct"/>
            <w:vMerge w:val="continue"/>
            <w:vAlign w:val="center"/>
          </w:tcPr>
          <w:p w14:paraId="6B2F014C">
            <w:pPr>
              <w:widowControl/>
              <w:spacing w:line="240" w:lineRule="auto"/>
              <w:ind w:firstLine="0" w:firstLineChars="0"/>
              <w:jc w:val="left"/>
              <w:rPr>
                <w:rFonts w:hint="eastAsia" w:cs="宋体" w:asciiTheme="minorEastAsia" w:hAnsiTheme="minorEastAsia" w:eastAsiaTheme="minorEastAsia"/>
                <w:color w:val="000000"/>
                <w:kern w:val="0"/>
                <w:sz w:val="21"/>
                <w:szCs w:val="21"/>
              </w:rPr>
            </w:pPr>
          </w:p>
        </w:tc>
        <w:tc>
          <w:tcPr>
            <w:tcW w:w="1138" w:type="pct"/>
            <w:vAlign w:val="center"/>
          </w:tcPr>
          <w:p w14:paraId="0551C131">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频谱设备管理</w:t>
            </w:r>
          </w:p>
        </w:tc>
        <w:tc>
          <w:tcPr>
            <w:tcW w:w="2858" w:type="pct"/>
            <w:noWrap/>
            <w:vAlign w:val="center"/>
          </w:tcPr>
          <w:p w14:paraId="2C6D1C97">
            <w:pPr>
              <w:widowControl/>
              <w:spacing w:line="240" w:lineRule="auto"/>
              <w:ind w:firstLine="0" w:firstLineChars="0"/>
              <w:jc w:val="center"/>
              <w:rPr>
                <w:rFonts w:hint="eastAsia" w:cs="宋体" w:asciiTheme="minorEastAsia" w:hAnsiTheme="minorEastAsia" w:eastAsiaTheme="minorEastAsia"/>
                <w:color w:val="000000"/>
                <w:kern w:val="0"/>
                <w:sz w:val="21"/>
                <w:szCs w:val="21"/>
              </w:rPr>
            </w:pPr>
            <w:r>
              <w:rPr>
                <w:rFonts w:cs="宋体" w:asciiTheme="minorEastAsia" w:hAnsiTheme="minorEastAsia" w:eastAsiaTheme="minorEastAsia"/>
                <w:color w:val="000000"/>
                <w:kern w:val="0"/>
                <w:sz w:val="21"/>
                <w:szCs w:val="21"/>
              </w:rPr>
              <w:t>频谱设备台账、参数、运行状态管理</w:t>
            </w:r>
          </w:p>
        </w:tc>
      </w:tr>
    </w:tbl>
    <w:p w14:paraId="0B5610AE">
      <w:pPr>
        <w:pStyle w:val="21"/>
        <w:ind w:firstLine="0" w:firstLineChars="0"/>
        <w:rPr>
          <w:rFonts w:hint="eastAsia" w:asciiTheme="minorEastAsia" w:hAnsiTheme="minorEastAsia" w:eastAsiaTheme="minorEastAsia"/>
        </w:rPr>
      </w:pPr>
    </w:p>
    <w:p w14:paraId="7FCA9D6D">
      <w:pPr>
        <w:pStyle w:val="6"/>
        <w:numPr>
          <w:ilvl w:val="3"/>
          <w:numId w:val="0"/>
        </w:numPr>
        <w:spacing w:line="360" w:lineRule="auto"/>
        <w:rPr>
          <w:lang w:val="en-US"/>
        </w:rPr>
      </w:pPr>
      <w:bookmarkStart w:id="1" w:name="OLE_LINK6"/>
      <w:r>
        <w:rPr>
          <w:rFonts w:hint="eastAsia"/>
          <w:lang w:val="en-US"/>
        </w:rPr>
        <w:t>4.1.1.</w:t>
      </w:r>
      <w:bookmarkEnd w:id="1"/>
      <w:r>
        <w:rPr>
          <w:rFonts w:hint="eastAsia"/>
          <w:lang w:val="en-US"/>
        </w:rPr>
        <w:t>4系统设计</w:t>
      </w:r>
    </w:p>
    <w:p w14:paraId="1B0663F9">
      <w:pPr>
        <w:pStyle w:val="7"/>
        <w:spacing w:line="360" w:lineRule="auto"/>
      </w:pPr>
      <w:r>
        <w:rPr>
          <w:rFonts w:hint="eastAsia"/>
        </w:rPr>
        <w:t>4</w:t>
      </w:r>
      <w:r>
        <w:t>.1.1.4.</w:t>
      </w:r>
      <w:r>
        <w:rPr>
          <w:rFonts w:hint="eastAsia"/>
        </w:rPr>
        <w:t>1低空一网统飞平台</w:t>
      </w:r>
    </w:p>
    <w:p w14:paraId="5F360738">
      <w:pPr>
        <w:pStyle w:val="21"/>
        <w:numPr>
          <w:ilvl w:val="0"/>
          <w:numId w:val="4"/>
        </w:numPr>
        <w:spacing w:line="360" w:lineRule="auto"/>
        <w:ind w:firstLineChars="0"/>
        <w:rPr>
          <w:rFonts w:hint="eastAsia" w:ascii="宋体" w:hAnsi="宋体" w:eastAsia="宋体"/>
          <w:b/>
          <w:bCs/>
        </w:rPr>
      </w:pPr>
      <w:r>
        <w:rPr>
          <w:rFonts w:hint="eastAsia" w:ascii="宋体" w:hAnsi="宋体" w:eastAsia="宋体"/>
          <w:b/>
          <w:bCs/>
        </w:rPr>
        <w:t>综合呈现功能模块</w:t>
      </w:r>
    </w:p>
    <w:p w14:paraId="36BFDF4A">
      <w:pPr>
        <w:spacing w:line="360" w:lineRule="auto"/>
        <w:ind w:firstLine="480"/>
        <w:rPr>
          <w:rFonts w:hint="eastAsia" w:ascii="宋体" w:hAnsi="宋体" w:eastAsia="宋体"/>
        </w:rPr>
      </w:pPr>
      <w:r>
        <w:rPr>
          <w:rFonts w:hint="eastAsia" w:ascii="宋体" w:hAnsi="宋体" w:eastAsia="宋体"/>
        </w:rPr>
        <w:t>该模块主要的飞行数据进行统计分析，主要有飞行实况，统计本周任务总数有数据采集、智能巡检、物流配送、紧急任务；飞行活动，统计累计飞行架次、累计飞行时长、累计飞行旅程；设备信息，展示设备信息情况；中间展示今日飞行架次、今日飞行时长，以及地图信息；告警统计，统计无人机告警、机场告警、算法告警等；空域数据，统计禁飞区、管制区、适飞区数据；标注信息统计等。</w:t>
      </w:r>
    </w:p>
    <w:p w14:paraId="6549B44B">
      <w:pPr>
        <w:pStyle w:val="2"/>
        <w:ind w:left="439" w:hanging="276"/>
      </w:pPr>
    </w:p>
    <w:p w14:paraId="79E5DB97">
      <w:pPr>
        <w:pStyle w:val="21"/>
        <w:numPr>
          <w:ilvl w:val="0"/>
          <w:numId w:val="4"/>
        </w:numPr>
        <w:spacing w:line="360" w:lineRule="auto"/>
        <w:ind w:firstLineChars="0"/>
        <w:rPr>
          <w:rFonts w:hint="eastAsia" w:ascii="宋体" w:hAnsi="宋体" w:eastAsia="宋体"/>
          <w:b/>
          <w:bCs/>
        </w:rPr>
      </w:pPr>
      <w:r>
        <w:rPr>
          <w:rFonts w:hint="eastAsia" w:ascii="宋体" w:hAnsi="宋体" w:eastAsia="宋体"/>
          <w:b/>
          <w:bCs/>
        </w:rPr>
        <w:t>综合调度功能模块</w:t>
      </w:r>
    </w:p>
    <w:p w14:paraId="02263B87">
      <w:pPr>
        <w:spacing w:line="360" w:lineRule="auto"/>
        <w:ind w:firstLine="480"/>
        <w:rPr>
          <w:rFonts w:hint="eastAsia" w:ascii="宋体" w:hAnsi="宋体" w:eastAsia="宋体"/>
        </w:rPr>
      </w:pPr>
      <w:r>
        <w:rPr>
          <w:rFonts w:hint="eastAsia" w:ascii="宋体" w:hAnsi="宋体" w:eastAsia="宋体"/>
        </w:rPr>
        <w:t>聚焦核心任务和无人机调度，实现快速应急响应。地图上支持查看所有机场位置和服务范围，与飞行态势，实现无人机在线情况一目了然、任务航线监控、空域管控直观洞察，并集成指点飞行、划线和划域飞行以实现快速任务响应。</w:t>
      </w:r>
    </w:p>
    <w:p w14:paraId="0FC64D56">
      <w:pPr>
        <w:numPr>
          <w:ilvl w:val="0"/>
          <w:numId w:val="5"/>
        </w:numPr>
        <w:spacing w:line="360" w:lineRule="auto"/>
        <w:ind w:firstLine="482" w:firstLineChars="0"/>
        <w:rPr>
          <w:rFonts w:hint="eastAsia" w:ascii="宋体" w:hAnsi="宋体" w:eastAsia="宋体" w:cs="宋体"/>
          <w:b/>
          <w:bCs/>
        </w:rPr>
      </w:pPr>
      <w:r>
        <w:rPr>
          <w:rFonts w:hint="eastAsia" w:ascii="宋体" w:hAnsi="宋体" w:eastAsia="宋体" w:cs="宋体"/>
          <w:b/>
          <w:bCs/>
        </w:rPr>
        <w:t>任务统计</w:t>
      </w:r>
    </w:p>
    <w:p w14:paraId="4591A4ED">
      <w:pPr>
        <w:adjustRightInd w:val="0"/>
        <w:snapToGrid w:val="0"/>
        <w:spacing w:line="360" w:lineRule="auto"/>
        <w:ind w:firstLine="480"/>
        <w:rPr>
          <w:rFonts w:hint="eastAsia" w:ascii="宋体" w:hAnsi="宋体" w:eastAsia="宋体" w:cs="宋体"/>
          <w:b/>
          <w:bCs/>
        </w:rPr>
      </w:pPr>
      <w:r>
        <w:rPr>
          <w:rFonts w:hint="eastAsia" w:ascii="宋体" w:hAnsi="宋体" w:eastAsia="宋体" w:cs="宋体"/>
        </w:rPr>
        <w:t>按任务类型统计任务数量。可点击今日、本周、本月查看对应统计任务数量。</w:t>
      </w:r>
    </w:p>
    <w:p w14:paraId="7F70E9EA">
      <w:pPr>
        <w:numPr>
          <w:ilvl w:val="0"/>
          <w:numId w:val="5"/>
        </w:numPr>
        <w:spacing w:line="360" w:lineRule="auto"/>
        <w:ind w:firstLine="482" w:firstLineChars="0"/>
        <w:rPr>
          <w:rFonts w:hint="eastAsia" w:ascii="宋体" w:hAnsi="宋体" w:eastAsia="宋体" w:cs="宋体"/>
          <w:b/>
          <w:bCs/>
        </w:rPr>
      </w:pPr>
      <w:r>
        <w:rPr>
          <w:rFonts w:hint="eastAsia" w:ascii="宋体" w:hAnsi="宋体" w:eastAsia="宋体" w:cs="宋体"/>
          <w:b/>
          <w:bCs/>
        </w:rPr>
        <w:t>任务调度</w:t>
      </w:r>
    </w:p>
    <w:p w14:paraId="29CAC3B3">
      <w:pPr>
        <w:adjustRightInd w:val="0"/>
        <w:snapToGrid w:val="0"/>
        <w:spacing w:line="360" w:lineRule="auto"/>
        <w:ind w:firstLine="480"/>
        <w:rPr>
          <w:rFonts w:hint="eastAsia" w:ascii="宋体" w:hAnsi="宋体" w:eastAsia="宋体" w:cs="宋体"/>
        </w:rPr>
      </w:pPr>
      <w:r>
        <w:rPr>
          <w:rFonts w:hint="eastAsia" w:ascii="宋体" w:hAnsi="宋体" w:eastAsia="宋体" w:cs="宋体"/>
        </w:rPr>
        <w:t>按任务状态统计任务，列表呈现待执行、执行中任务。可按组织单位下拉筛选任务、按任务名称模糊筛选任务。点击某行数据，可查看任务详情，任务详情支持进入虚拟座舱、任务监视、和停止任务。点击“详情”，可跳转到任务管理，查看任务详情,点击“执行”按钮，立即执行任务。</w:t>
      </w:r>
    </w:p>
    <w:p w14:paraId="62C27015">
      <w:pPr>
        <w:numPr>
          <w:ilvl w:val="0"/>
          <w:numId w:val="5"/>
        </w:numPr>
        <w:spacing w:line="360" w:lineRule="auto"/>
        <w:ind w:firstLine="482" w:firstLineChars="0"/>
        <w:rPr>
          <w:rFonts w:hint="eastAsia" w:ascii="宋体" w:hAnsi="宋体" w:eastAsia="宋体" w:cs="宋体"/>
          <w:b/>
          <w:bCs/>
        </w:rPr>
      </w:pPr>
      <w:r>
        <w:rPr>
          <w:rFonts w:hint="eastAsia" w:ascii="宋体" w:hAnsi="宋体" w:eastAsia="宋体" w:cs="宋体"/>
          <w:b/>
          <w:bCs/>
        </w:rPr>
        <w:t>图层开关</w:t>
      </w:r>
    </w:p>
    <w:p w14:paraId="5852CF76">
      <w:pPr>
        <w:adjustRightInd w:val="0"/>
        <w:snapToGrid w:val="0"/>
        <w:spacing w:line="360" w:lineRule="auto"/>
        <w:ind w:firstLine="480"/>
        <w:rPr>
          <w:rFonts w:hint="eastAsia" w:ascii="宋体" w:hAnsi="宋体" w:eastAsia="宋体" w:cs="宋体"/>
        </w:rPr>
      </w:pPr>
      <w:r>
        <w:rPr>
          <w:rFonts w:hint="eastAsia" w:ascii="宋体" w:hAnsi="宋体" w:eastAsia="宋体" w:cs="宋体"/>
        </w:rPr>
        <w:t>制地图上展示的内容，打开图层，地图上进行展示，关闭开关，该要素图层关闭，还有指点飞行、</w:t>
      </w:r>
      <w:r>
        <w:rPr>
          <w:rFonts w:hint="eastAsia" w:ascii="宋体" w:hAnsi="宋体" w:eastAsia="宋体"/>
        </w:rPr>
        <w:t>划线</w:t>
      </w:r>
      <w:r>
        <w:rPr>
          <w:rFonts w:hint="eastAsia" w:ascii="宋体" w:hAnsi="宋体" w:eastAsia="宋体" w:cs="宋体"/>
        </w:rPr>
        <w:t>飞行、划域飞行等快速飞行功能。多屏监控，支持查看多个机场视频、无人机视频，同步实时播放多路视频流。空域图层,控制禁飞区、管制区、适飞区是否在地图显示；地图标注：控制地图是否显示地图标注；GIS图层：控制模型是否显示，所有无人机的服务范围是否显示，是否调用高德底图，是否打开路网。</w:t>
      </w:r>
    </w:p>
    <w:p w14:paraId="7BEDC90A">
      <w:pPr>
        <w:numPr>
          <w:ilvl w:val="0"/>
          <w:numId w:val="5"/>
        </w:numPr>
        <w:spacing w:line="360" w:lineRule="auto"/>
        <w:ind w:firstLine="482" w:firstLineChars="0"/>
        <w:rPr>
          <w:rFonts w:hint="eastAsia" w:ascii="宋体" w:hAnsi="宋体" w:eastAsia="宋体" w:cs="宋体"/>
          <w:b/>
          <w:bCs/>
        </w:rPr>
      </w:pPr>
      <w:r>
        <w:rPr>
          <w:rFonts w:hint="eastAsia" w:ascii="宋体" w:hAnsi="宋体" w:eastAsia="宋体" w:cs="宋体"/>
          <w:b/>
          <w:bCs/>
        </w:rPr>
        <w:t>设备调度</w:t>
      </w:r>
    </w:p>
    <w:p w14:paraId="6C468967">
      <w:pPr>
        <w:adjustRightInd w:val="0"/>
        <w:snapToGrid w:val="0"/>
        <w:spacing w:line="360" w:lineRule="auto"/>
        <w:ind w:firstLine="480"/>
        <w:rPr>
          <w:rFonts w:hint="eastAsia" w:ascii="宋体" w:hAnsi="宋体" w:eastAsia="宋体" w:cs="宋体"/>
        </w:rPr>
      </w:pPr>
      <w:r>
        <w:rPr>
          <w:rFonts w:hint="eastAsia" w:ascii="宋体" w:hAnsi="宋体" w:eastAsia="宋体" w:cs="宋体"/>
        </w:rPr>
        <w:t>页面展示所有设备信息，包括机场、单机无人机，支撑查看设备状态和所在地区，支持快速进入虚拟座舱一键飞行。支持点击某台“在线设备”，定位到机场位置；点击机场，弹出设备控制台，该页面可查看设备信息相关信息，查看机场直播、无人机直播、进入虚拟座舱一键起飞。</w:t>
      </w:r>
    </w:p>
    <w:p w14:paraId="69122F86">
      <w:pPr>
        <w:numPr>
          <w:ilvl w:val="0"/>
          <w:numId w:val="5"/>
        </w:numPr>
        <w:spacing w:line="360" w:lineRule="auto"/>
        <w:ind w:firstLine="482" w:firstLineChars="0"/>
        <w:rPr>
          <w:rFonts w:hint="eastAsia" w:ascii="宋体" w:hAnsi="宋体" w:eastAsia="宋体" w:cs="宋体"/>
          <w:b/>
          <w:bCs/>
        </w:rPr>
      </w:pPr>
      <w:r>
        <w:rPr>
          <w:rFonts w:hint="eastAsia" w:ascii="宋体" w:hAnsi="宋体" w:eastAsia="宋体" w:cs="宋体"/>
          <w:b/>
          <w:bCs/>
        </w:rPr>
        <w:t>设备控制台</w:t>
      </w:r>
    </w:p>
    <w:p w14:paraId="79B6124D">
      <w:pPr>
        <w:adjustRightInd w:val="0"/>
        <w:snapToGrid w:val="0"/>
        <w:spacing w:line="360" w:lineRule="auto"/>
        <w:ind w:firstLine="480"/>
        <w:rPr>
          <w:rFonts w:hint="eastAsia" w:ascii="宋体" w:hAnsi="宋体" w:eastAsia="宋体" w:cs="宋体"/>
        </w:rPr>
      </w:pPr>
      <w:r>
        <w:rPr>
          <w:rFonts w:hint="eastAsia" w:ascii="宋体" w:hAnsi="宋体" w:eastAsia="宋体" w:cs="宋体"/>
        </w:rPr>
        <w:t>页面展示机场信息、无人机信息，支持查看机场直播、无人机直播、远程调试机场、进入虚拟座舱等功能。开启机场“工作范围”，可查看该机场的飞行范围。</w:t>
      </w:r>
    </w:p>
    <w:p w14:paraId="58E90005">
      <w:pPr>
        <w:pStyle w:val="21"/>
        <w:numPr>
          <w:ilvl w:val="0"/>
          <w:numId w:val="4"/>
        </w:numPr>
        <w:spacing w:line="360" w:lineRule="auto"/>
        <w:ind w:firstLineChars="0"/>
        <w:rPr>
          <w:rFonts w:hint="eastAsia" w:ascii="宋体" w:hAnsi="宋体" w:eastAsia="宋体"/>
          <w:b/>
          <w:bCs/>
        </w:rPr>
      </w:pPr>
      <w:r>
        <w:rPr>
          <w:rFonts w:hint="eastAsia" w:ascii="宋体" w:hAnsi="宋体" w:eastAsia="宋体"/>
          <w:b/>
          <w:bCs/>
        </w:rPr>
        <w:t>需求中心模块</w:t>
      </w:r>
    </w:p>
    <w:p w14:paraId="7DB296F4">
      <w:pPr>
        <w:adjustRightInd w:val="0"/>
        <w:snapToGrid w:val="0"/>
        <w:spacing w:line="360" w:lineRule="auto"/>
        <w:ind w:firstLine="480"/>
        <w:rPr>
          <w:rFonts w:hint="eastAsia" w:ascii="宋体" w:hAnsi="宋体" w:eastAsia="宋体" w:cs="宋体"/>
        </w:rPr>
      </w:pPr>
      <w:r>
        <w:rPr>
          <w:rFonts w:hint="eastAsia" w:ascii="宋体" w:hAnsi="宋体" w:eastAsia="宋体" w:cs="宋体"/>
        </w:rPr>
        <w:t>页面展示各个门户需求，主要用来收集用户需求，收集内容包括需求类型：是紧急需求还是常态化需求、任务类型：是智能巡检还是数据采集，根据机场位置分布选择任务地点，支持不指定具体任务时间、可选择负载类型和数据需求等信息。</w:t>
      </w:r>
    </w:p>
    <w:p w14:paraId="4756185C">
      <w:pPr>
        <w:numPr>
          <w:ilvl w:val="0"/>
          <w:numId w:val="6"/>
        </w:numPr>
        <w:spacing w:line="360" w:lineRule="auto"/>
        <w:ind w:firstLine="482" w:firstLineChars="0"/>
        <w:rPr>
          <w:rFonts w:hint="eastAsia" w:ascii="宋体" w:hAnsi="宋体" w:eastAsia="宋体" w:cs="宋体"/>
          <w:b/>
          <w:bCs/>
        </w:rPr>
      </w:pPr>
      <w:r>
        <w:rPr>
          <w:rFonts w:hint="eastAsia" w:ascii="宋体" w:hAnsi="宋体" w:eastAsia="宋体" w:cs="宋体"/>
          <w:b/>
          <w:bCs/>
        </w:rPr>
        <w:t>新增需求</w:t>
      </w:r>
    </w:p>
    <w:p w14:paraId="4CF155DE">
      <w:pPr>
        <w:adjustRightInd w:val="0"/>
        <w:snapToGrid w:val="0"/>
        <w:spacing w:line="360" w:lineRule="auto"/>
        <w:ind w:firstLine="480"/>
        <w:rPr>
          <w:rFonts w:hint="eastAsia" w:ascii="宋体" w:hAnsi="宋体" w:eastAsia="宋体" w:cs="宋体"/>
        </w:rPr>
      </w:pPr>
      <w:r>
        <w:rPr>
          <w:rFonts w:hint="eastAsia" w:ascii="宋体" w:hAnsi="宋体" w:eastAsia="宋体" w:cs="宋体"/>
        </w:rPr>
        <w:t>填写需求基本信息，执行时间支持不指定时间；支持在地图上选择任务地点、或选择任务区域；点击“保存”，先保存需求信息，“提交”则提交低空一网统飞平台审核，审核后创建订单任务；</w:t>
      </w:r>
    </w:p>
    <w:p w14:paraId="6177F452">
      <w:pPr>
        <w:numPr>
          <w:ilvl w:val="0"/>
          <w:numId w:val="6"/>
        </w:numPr>
        <w:spacing w:line="360" w:lineRule="auto"/>
        <w:ind w:firstLine="482" w:firstLineChars="0"/>
        <w:rPr>
          <w:rFonts w:hint="eastAsia" w:ascii="宋体" w:hAnsi="宋体" w:eastAsia="宋体" w:cs="宋体"/>
          <w:b/>
          <w:bCs/>
        </w:rPr>
      </w:pPr>
      <w:r>
        <w:rPr>
          <w:rFonts w:hint="eastAsia" w:ascii="宋体" w:hAnsi="宋体" w:eastAsia="宋体" w:cs="宋体"/>
          <w:b/>
          <w:bCs/>
        </w:rPr>
        <w:t>订单监控</w:t>
      </w:r>
    </w:p>
    <w:p w14:paraId="51E4E35A">
      <w:pPr>
        <w:adjustRightInd w:val="0"/>
        <w:snapToGrid w:val="0"/>
        <w:spacing w:line="360" w:lineRule="auto"/>
        <w:ind w:firstLine="480"/>
        <w:rPr>
          <w:rFonts w:hint="eastAsia" w:ascii="宋体" w:hAnsi="宋体" w:eastAsia="宋体" w:cs="宋体"/>
        </w:rPr>
      </w:pPr>
      <w:r>
        <w:rPr>
          <w:rFonts w:hint="eastAsia" w:ascii="宋体" w:hAnsi="宋体" w:eastAsia="宋体" w:cs="宋体"/>
        </w:rPr>
        <w:t>页面展示审核通过的需求，由一网统飞工作人员创建订单任务。新增订单</w:t>
      </w:r>
      <w:r>
        <w:rPr>
          <w:rFonts w:hint="eastAsia" w:ascii="宋体" w:hAnsi="宋体" w:eastAsia="宋体" w:cs="宋体"/>
          <w:b/>
          <w:bCs/>
        </w:rPr>
        <w:t>，</w:t>
      </w:r>
      <w:r>
        <w:rPr>
          <w:rFonts w:hint="eastAsia" w:ascii="宋体" w:hAnsi="宋体" w:eastAsia="宋体" w:cs="宋体"/>
        </w:rPr>
        <w:t>根据需求填写订单信息，巡检订单可选择算法，采集订单可不选算法；“新增航线”，选择航线类型、飞行器型号、航线名称信息；“规划航线”，地图会显示任务地点，根据任务地点规划航线、及选择航线动作功能，创建订单后，点击“分配”订单，分配一网统飞管理员审核；分配订单后，点击“审核”订单，一网统飞管理员审核订单；订单审核通过后，点击“创建任务”开始执行飞行任务；可查看拍摄图片、视频、报告；如果订单已满足需求，则点击“需求完成”，下一步等待“提需求用户”对该需求进行评价，在“评价中心”评价需求；</w:t>
      </w:r>
    </w:p>
    <w:p w14:paraId="54F2CD4F">
      <w:pPr>
        <w:numPr>
          <w:ilvl w:val="0"/>
          <w:numId w:val="6"/>
        </w:numPr>
        <w:spacing w:line="360" w:lineRule="auto"/>
        <w:ind w:firstLine="482" w:firstLineChars="0"/>
        <w:rPr>
          <w:rFonts w:hint="eastAsia" w:ascii="宋体" w:hAnsi="宋体" w:eastAsia="宋体" w:cs="宋体"/>
          <w:b/>
          <w:bCs/>
        </w:rPr>
      </w:pPr>
      <w:r>
        <w:rPr>
          <w:rFonts w:hint="eastAsia" w:ascii="宋体" w:hAnsi="宋体" w:eastAsia="宋体" w:cs="宋体"/>
          <w:b/>
          <w:bCs/>
        </w:rPr>
        <w:t>评价中心</w:t>
      </w:r>
    </w:p>
    <w:p w14:paraId="01BB32D5">
      <w:pPr>
        <w:adjustRightInd w:val="0"/>
        <w:snapToGrid w:val="0"/>
        <w:spacing w:line="360" w:lineRule="auto"/>
        <w:ind w:firstLine="480"/>
        <w:rPr>
          <w:rFonts w:hint="eastAsia" w:ascii="宋体" w:hAnsi="宋体" w:eastAsia="宋体" w:cs="宋体"/>
        </w:rPr>
      </w:pPr>
      <w:r>
        <w:rPr>
          <w:rFonts w:hint="eastAsia" w:ascii="宋体" w:hAnsi="宋体" w:eastAsia="宋体" w:cs="宋体"/>
        </w:rPr>
        <w:t>当需求的“全部订单”执行飞行任务完成后，可对该需求进行评价。</w:t>
      </w:r>
    </w:p>
    <w:p w14:paraId="0599D4C6">
      <w:pPr>
        <w:numPr>
          <w:ilvl w:val="0"/>
          <w:numId w:val="6"/>
        </w:numPr>
        <w:spacing w:line="360" w:lineRule="auto"/>
        <w:ind w:firstLine="482" w:firstLineChars="0"/>
        <w:rPr>
          <w:rFonts w:hint="eastAsia" w:ascii="宋体" w:hAnsi="宋体" w:eastAsia="宋体" w:cs="宋体"/>
          <w:b/>
          <w:bCs/>
        </w:rPr>
      </w:pPr>
      <w:r>
        <w:rPr>
          <w:rFonts w:hint="eastAsia" w:ascii="宋体" w:hAnsi="宋体" w:eastAsia="宋体" w:cs="宋体"/>
          <w:b/>
          <w:bCs/>
        </w:rPr>
        <w:t>需求概览</w:t>
      </w:r>
    </w:p>
    <w:p w14:paraId="798456AB">
      <w:pPr>
        <w:adjustRightInd w:val="0"/>
        <w:snapToGrid w:val="0"/>
        <w:spacing w:line="360" w:lineRule="auto"/>
        <w:ind w:firstLine="480"/>
        <w:rPr>
          <w:rFonts w:hint="eastAsia" w:ascii="宋体" w:hAnsi="宋体" w:eastAsia="宋体" w:cs="宋体"/>
        </w:rPr>
      </w:pPr>
      <w:r>
        <w:rPr>
          <w:rFonts w:hint="eastAsia" w:ascii="宋体" w:hAnsi="宋体" w:eastAsia="宋体" w:cs="宋体"/>
        </w:rPr>
        <w:t>页面展示需求热力图：呈现需求任务的所在区域分布热度，按需求单位排行，及按任务类型统计需求数量。</w:t>
      </w:r>
    </w:p>
    <w:p w14:paraId="45725057">
      <w:pPr>
        <w:pStyle w:val="2"/>
        <w:ind w:left="439" w:hanging="276"/>
      </w:pPr>
    </w:p>
    <w:p w14:paraId="64FDCB6E">
      <w:pPr>
        <w:pStyle w:val="21"/>
        <w:numPr>
          <w:ilvl w:val="0"/>
          <w:numId w:val="4"/>
        </w:numPr>
        <w:spacing w:line="360" w:lineRule="auto"/>
        <w:ind w:firstLineChars="0"/>
        <w:rPr>
          <w:rFonts w:hint="eastAsia" w:ascii="宋体" w:hAnsi="宋体" w:eastAsia="宋体"/>
          <w:b/>
          <w:bCs/>
        </w:rPr>
      </w:pPr>
      <w:r>
        <w:rPr>
          <w:rFonts w:hint="eastAsia" w:ascii="宋体" w:hAnsi="宋体" w:eastAsia="宋体"/>
          <w:b/>
          <w:bCs/>
        </w:rPr>
        <w:t>订单中心功能模块</w:t>
      </w:r>
    </w:p>
    <w:p w14:paraId="77722C79">
      <w:pPr>
        <w:adjustRightInd w:val="0"/>
        <w:snapToGrid w:val="0"/>
        <w:spacing w:line="360" w:lineRule="auto"/>
        <w:ind w:firstLine="480"/>
        <w:rPr>
          <w:rFonts w:hint="eastAsia" w:ascii="宋体" w:hAnsi="宋体" w:eastAsia="宋体" w:cs="宋体"/>
        </w:rPr>
      </w:pPr>
      <w:r>
        <w:rPr>
          <w:rFonts w:hint="eastAsia" w:ascii="宋体" w:hAnsi="宋体" w:eastAsia="宋体" w:cs="宋体"/>
        </w:rPr>
        <w:t>该模块展示所有需求订单，支持选择一个需求或多个需求创建订单。</w:t>
      </w:r>
    </w:p>
    <w:p w14:paraId="72212546">
      <w:pPr>
        <w:numPr>
          <w:ilvl w:val="0"/>
          <w:numId w:val="7"/>
        </w:numPr>
        <w:adjustRightInd w:val="0"/>
        <w:snapToGrid w:val="0"/>
        <w:spacing w:line="360" w:lineRule="auto"/>
        <w:ind w:firstLine="480" w:firstLineChars="0"/>
        <w:rPr>
          <w:rFonts w:hint="eastAsia" w:ascii="宋体" w:hAnsi="宋体" w:eastAsia="宋体" w:cs="宋体"/>
        </w:rPr>
      </w:pPr>
      <w:r>
        <w:rPr>
          <w:rFonts w:hint="eastAsia" w:ascii="宋体" w:hAnsi="宋体" w:eastAsia="宋体" w:cs="宋体"/>
        </w:rPr>
        <w:t>新增订单，根据需求填写订单信息，巡检订单可选择算法；“新增航线”，选择航线类型、飞行器型号、航线名称信息；“规划航线”，地图会显示任务地点，根据任务地点规划航线、及选择航线动作功能；</w:t>
      </w:r>
    </w:p>
    <w:p w14:paraId="7C9FF06D">
      <w:pPr>
        <w:numPr>
          <w:ilvl w:val="0"/>
          <w:numId w:val="7"/>
        </w:numPr>
        <w:adjustRightInd w:val="0"/>
        <w:snapToGrid w:val="0"/>
        <w:spacing w:line="360" w:lineRule="auto"/>
        <w:ind w:firstLine="480" w:firstLineChars="0"/>
        <w:rPr>
          <w:rFonts w:hint="eastAsia" w:ascii="宋体" w:hAnsi="宋体" w:eastAsia="宋体" w:cs="宋体"/>
        </w:rPr>
      </w:pPr>
      <w:r>
        <w:rPr>
          <w:rFonts w:hint="eastAsia" w:ascii="宋体" w:hAnsi="宋体" w:eastAsia="宋体" w:cs="宋体"/>
        </w:rPr>
        <w:t>查看订单结果选择某个需求，点击“查看”详情，可查看拍摄图片、视频、报告；订单评价，支持对该订单进行评价；</w:t>
      </w:r>
    </w:p>
    <w:p w14:paraId="1ED78B7F">
      <w:pPr>
        <w:pStyle w:val="21"/>
        <w:numPr>
          <w:ilvl w:val="0"/>
          <w:numId w:val="4"/>
        </w:numPr>
        <w:spacing w:line="360" w:lineRule="auto"/>
        <w:ind w:firstLineChars="0"/>
        <w:rPr>
          <w:rFonts w:hint="eastAsia" w:ascii="宋体" w:hAnsi="宋体" w:eastAsia="宋体"/>
          <w:b/>
          <w:bCs/>
        </w:rPr>
      </w:pPr>
      <w:r>
        <w:rPr>
          <w:rFonts w:hint="eastAsia" w:ascii="宋体" w:hAnsi="宋体" w:eastAsia="宋体"/>
          <w:b/>
          <w:bCs/>
        </w:rPr>
        <w:t>任务管理功能模块</w:t>
      </w:r>
    </w:p>
    <w:p w14:paraId="4E0F5164">
      <w:pPr>
        <w:numPr>
          <w:ilvl w:val="0"/>
          <w:numId w:val="8"/>
        </w:numPr>
        <w:spacing w:line="360" w:lineRule="auto"/>
        <w:ind w:firstLine="482" w:firstLineChars="0"/>
        <w:rPr>
          <w:rFonts w:hint="eastAsia" w:ascii="宋体" w:hAnsi="宋体" w:eastAsia="宋体" w:cs="宋体"/>
          <w:b/>
          <w:bCs/>
        </w:rPr>
      </w:pPr>
      <w:r>
        <w:rPr>
          <w:rFonts w:hint="eastAsia" w:ascii="宋体" w:hAnsi="宋体" w:eastAsia="宋体" w:cs="宋体"/>
          <w:b/>
          <w:bCs/>
        </w:rPr>
        <w:t>任务列表</w:t>
      </w:r>
    </w:p>
    <w:p w14:paraId="3CB24364">
      <w:pPr>
        <w:adjustRightInd w:val="0"/>
        <w:snapToGrid w:val="0"/>
        <w:spacing w:line="360" w:lineRule="auto"/>
        <w:ind w:firstLine="480"/>
        <w:rPr>
          <w:rFonts w:hint="eastAsia" w:ascii="宋体" w:hAnsi="宋体" w:eastAsia="宋体" w:cs="宋体"/>
        </w:rPr>
      </w:pPr>
      <w:r>
        <w:rPr>
          <w:rFonts w:hint="eastAsia" w:ascii="宋体" w:hAnsi="宋体" w:eastAsia="宋体" w:cs="宋体"/>
        </w:rPr>
        <w:t>该模块可以查询所有飞行任务，包括航线任务、手动飞行任务，支持选择算法执行巡检任务、数据采集任务；操作功能有新增任务、编辑任务、查看详情任务、删除任务、复制任务、任务操作日志、任务飞行轨迹回放功能；</w:t>
      </w:r>
    </w:p>
    <w:p w14:paraId="1DD039E8">
      <w:pPr>
        <w:numPr>
          <w:ilvl w:val="0"/>
          <w:numId w:val="9"/>
        </w:numPr>
        <w:spacing w:line="360" w:lineRule="auto"/>
        <w:ind w:firstLine="480" w:firstLineChars="0"/>
        <w:rPr>
          <w:rFonts w:hint="eastAsia" w:ascii="宋体" w:hAnsi="宋体" w:eastAsia="宋体" w:cs="宋体"/>
        </w:rPr>
      </w:pPr>
      <w:r>
        <w:rPr>
          <w:rFonts w:hint="eastAsia" w:ascii="宋体" w:hAnsi="宋体" w:eastAsia="宋体" w:cs="宋体"/>
        </w:rPr>
        <w:t>新增单机任务选择单机飞行。进入任务新增页面。填写任务名称、任务性质、应用场景、检测算法、任务飞手、选择设备、选择航线、任务时间、告警动作、是否保存分析视频、填写紧急联系人，如需断点续飞，打开开关即可，如需接入飞服，打开开关即可，打开之后该任务会在飞服平台申请飞行计划，飞服平台工作人员审核通过后可正常执行飞行任务；</w:t>
      </w:r>
    </w:p>
    <w:p w14:paraId="584A464E">
      <w:pPr>
        <w:numPr>
          <w:ilvl w:val="0"/>
          <w:numId w:val="8"/>
        </w:numPr>
        <w:spacing w:line="360" w:lineRule="auto"/>
        <w:ind w:firstLine="482" w:firstLineChars="0"/>
        <w:rPr>
          <w:rFonts w:hint="eastAsia" w:ascii="宋体" w:hAnsi="宋体" w:eastAsia="宋体" w:cs="宋体"/>
          <w:b/>
          <w:bCs/>
        </w:rPr>
      </w:pPr>
      <w:r>
        <w:rPr>
          <w:rFonts w:hint="eastAsia" w:ascii="宋体" w:hAnsi="宋体" w:eastAsia="宋体" w:cs="宋体"/>
          <w:b/>
          <w:bCs/>
        </w:rPr>
        <w:t>航线规划</w:t>
      </w:r>
    </w:p>
    <w:p w14:paraId="3478140D">
      <w:pPr>
        <w:adjustRightInd w:val="0"/>
        <w:snapToGrid w:val="0"/>
        <w:spacing w:line="360" w:lineRule="auto"/>
        <w:ind w:firstLine="480"/>
        <w:rPr>
          <w:rFonts w:hint="eastAsia" w:ascii="宋体" w:hAnsi="宋体" w:eastAsia="宋体" w:cs="宋体"/>
        </w:rPr>
      </w:pPr>
      <w:r>
        <w:rPr>
          <w:rFonts w:hint="eastAsia" w:ascii="宋体" w:hAnsi="宋体" w:eastAsia="宋体" w:cs="宋体"/>
        </w:rPr>
        <w:t>主要管理平台上的所有航线，包括航点航线、面状航线；支持用户在此进行导入航线、新增、编辑、复制、删除等功能。</w:t>
      </w:r>
    </w:p>
    <w:p w14:paraId="7DA5F7E8">
      <w:pPr>
        <w:numPr>
          <w:ilvl w:val="0"/>
          <w:numId w:val="9"/>
        </w:numPr>
        <w:spacing w:line="360" w:lineRule="auto"/>
        <w:ind w:firstLine="480" w:firstLineChars="0"/>
        <w:rPr>
          <w:rFonts w:hint="eastAsia" w:ascii="宋体" w:hAnsi="宋体" w:eastAsia="宋体" w:cs="宋体"/>
        </w:rPr>
      </w:pPr>
      <w:r>
        <w:rPr>
          <w:rFonts w:hint="eastAsia" w:ascii="宋体" w:hAnsi="宋体" w:eastAsia="宋体" w:cs="宋体"/>
        </w:rPr>
        <w:t>新增航点航线，点击左侧导航栏某条航线，可在地图上查看航线轨迹。选择航线类型、选择飞行器、选择型号、填写航线名称；在地图上右键新增航点，然后可在选择航点动作添加：有拍照、定向拍照、全景拍照、录像、悬停、云台俯仰角、飞行器偏航角、间隔拍照等动作。</w:t>
      </w:r>
    </w:p>
    <w:p w14:paraId="63248088">
      <w:pPr>
        <w:numPr>
          <w:ilvl w:val="0"/>
          <w:numId w:val="9"/>
        </w:numPr>
        <w:spacing w:line="360" w:lineRule="auto"/>
        <w:ind w:firstLine="480" w:firstLineChars="0"/>
        <w:rPr>
          <w:rFonts w:hint="eastAsia" w:ascii="宋体" w:hAnsi="宋体" w:eastAsia="宋体" w:cs="宋体"/>
        </w:rPr>
      </w:pPr>
      <w:r>
        <w:rPr>
          <w:rFonts w:hint="eastAsia" w:ascii="宋体" w:hAnsi="宋体" w:eastAsia="宋体" w:cs="宋体"/>
        </w:rPr>
        <w:t>新增面状航线，在地图上设置起飞点后，用鼠标左键画出一块区域，然后双击左键即可规划出该区域航线，根据所画区域，左侧栏可看到航线面积、航线长度、预计时长、预计照片数。点击“航线设置”，可选择镜头有：可见光、红外；设置GSD（可见光）：GSD（GroundSampleDistance）指的是地面采样距离。在无人机测绘中，GSD是指像素大小，即每个像素代表的实际距离。GSD越小，图像分辨率越高，但数据量也会增加。调整GSD将影响航线高度等参数；航线高度模式设置：有海拔高度（ASL）、相对起飞点高度（ALT）、相对地形高度（AGL）；设置安全起飞高度、全局航线速度、主航线角度、高程优化、完成动作设置；高级设置有：起飞速度、旁向重叠率、航向重叠率边距、拍照模式。</w:t>
      </w:r>
    </w:p>
    <w:p w14:paraId="0A63C7FD">
      <w:pPr>
        <w:numPr>
          <w:ilvl w:val="0"/>
          <w:numId w:val="8"/>
        </w:numPr>
        <w:spacing w:line="360" w:lineRule="auto"/>
        <w:ind w:firstLine="482" w:firstLineChars="0"/>
        <w:rPr>
          <w:rFonts w:hint="eastAsia" w:ascii="宋体" w:hAnsi="宋体" w:eastAsia="宋体" w:cs="宋体"/>
          <w:b/>
          <w:bCs/>
        </w:rPr>
      </w:pPr>
      <w:r>
        <w:rPr>
          <w:rFonts w:hint="eastAsia" w:ascii="宋体" w:hAnsi="宋体" w:eastAsia="宋体" w:cs="宋体"/>
          <w:b/>
          <w:bCs/>
        </w:rPr>
        <w:t>任务执行</w:t>
      </w:r>
    </w:p>
    <w:p w14:paraId="30FBDB93">
      <w:pPr>
        <w:adjustRightInd w:val="0"/>
        <w:snapToGrid w:val="0"/>
        <w:spacing w:line="360" w:lineRule="auto"/>
        <w:ind w:firstLine="480"/>
        <w:rPr>
          <w:rFonts w:hint="eastAsia" w:ascii="宋体" w:hAnsi="宋体" w:eastAsia="宋体" w:cs="宋体"/>
        </w:rPr>
      </w:pPr>
      <w:r>
        <w:rPr>
          <w:rFonts w:hint="eastAsia" w:ascii="宋体" w:hAnsi="宋体" w:eastAsia="宋体" w:cs="宋体"/>
        </w:rPr>
        <w:t>该模块可查看当前执行的任务，左侧列表有任务进度监控功能，进入虚拟座舱功能、任务暂停功能、任务监视功能；右侧地图上有航线无人机飞行轨迹，无人机数据信息功能。</w:t>
      </w:r>
    </w:p>
    <w:p w14:paraId="492365C0">
      <w:pPr>
        <w:numPr>
          <w:ilvl w:val="0"/>
          <w:numId w:val="9"/>
        </w:numPr>
        <w:spacing w:line="360" w:lineRule="auto"/>
        <w:ind w:firstLine="480" w:firstLineChars="0"/>
        <w:rPr>
          <w:rFonts w:hint="eastAsia" w:ascii="宋体" w:hAnsi="宋体" w:eastAsia="宋体" w:cs="宋体"/>
        </w:rPr>
      </w:pPr>
      <w:r>
        <w:rPr>
          <w:rFonts w:hint="eastAsia" w:ascii="宋体" w:hAnsi="宋体" w:eastAsia="宋体" w:cs="宋体"/>
        </w:rPr>
        <w:t>进入虚拟座舱，可查看航线轨迹及无人机飞行轨迹，具备飞向此处、看向此处功能；调整云台俯仰角度；变焦、红外、广角切换功能，调整焦距；控制无人机飞行、暂停任务、紧急降落、急停功能；具备录像、拍照、定时拍、智能低光、全景拍摄功能。具备地图显示所有在飞无人机航线及轨迹；支持探照灯、喊话器控制、视频分辨率调整、画面缩放、激光打点分享功能、激光打点测距功能、快速调整云台角度、云台跟随视角功能；</w:t>
      </w:r>
    </w:p>
    <w:p w14:paraId="6E035E4C">
      <w:pPr>
        <w:numPr>
          <w:ilvl w:val="0"/>
          <w:numId w:val="9"/>
        </w:numPr>
        <w:spacing w:line="360" w:lineRule="auto"/>
        <w:ind w:firstLine="480" w:firstLineChars="0"/>
        <w:rPr>
          <w:rFonts w:hint="eastAsia" w:ascii="宋体" w:hAnsi="宋体" w:eastAsia="宋体" w:cs="宋体"/>
        </w:rPr>
      </w:pPr>
      <w:r>
        <w:rPr>
          <w:rFonts w:hint="eastAsia" w:ascii="宋体" w:hAnsi="宋体" w:eastAsia="宋体" w:cs="宋体"/>
        </w:rPr>
        <w:t>结束任务，点击结束按钮，则结束当前任务；</w:t>
      </w:r>
    </w:p>
    <w:p w14:paraId="12458ADD">
      <w:pPr>
        <w:numPr>
          <w:ilvl w:val="0"/>
          <w:numId w:val="8"/>
        </w:numPr>
        <w:spacing w:line="360" w:lineRule="auto"/>
        <w:ind w:firstLine="482" w:firstLineChars="0"/>
        <w:rPr>
          <w:rFonts w:hint="eastAsia" w:ascii="宋体" w:hAnsi="宋体" w:eastAsia="宋体" w:cs="宋体"/>
          <w:b/>
          <w:bCs/>
        </w:rPr>
      </w:pPr>
      <w:r>
        <w:rPr>
          <w:rFonts w:hint="eastAsia" w:ascii="宋体" w:hAnsi="宋体" w:eastAsia="宋体" w:cs="宋体"/>
          <w:b/>
          <w:bCs/>
        </w:rPr>
        <w:t>任务看板</w:t>
      </w:r>
    </w:p>
    <w:p w14:paraId="10ED0080">
      <w:pPr>
        <w:adjustRightInd w:val="0"/>
        <w:snapToGrid w:val="0"/>
        <w:spacing w:line="360" w:lineRule="auto"/>
        <w:ind w:firstLine="480"/>
        <w:rPr>
          <w:rFonts w:hint="eastAsia" w:ascii="宋体" w:hAnsi="宋体" w:eastAsia="宋体" w:cs="宋体"/>
        </w:rPr>
      </w:pPr>
      <w:r>
        <w:rPr>
          <w:rFonts w:hint="eastAsia" w:ascii="宋体" w:hAnsi="宋体" w:eastAsia="宋体" w:cs="宋体"/>
        </w:rPr>
        <w:t>支持按月粒度、日粒度查看所有任务，支持按日期、任务类型、机场名称筛选任务；</w:t>
      </w:r>
    </w:p>
    <w:p w14:paraId="6F38FB86">
      <w:pPr>
        <w:numPr>
          <w:ilvl w:val="0"/>
          <w:numId w:val="8"/>
        </w:numPr>
        <w:spacing w:line="360" w:lineRule="auto"/>
        <w:ind w:firstLine="482" w:firstLineChars="0"/>
        <w:rPr>
          <w:rFonts w:hint="eastAsia" w:ascii="宋体" w:hAnsi="宋体" w:eastAsia="宋体" w:cs="宋体"/>
          <w:b/>
          <w:bCs/>
        </w:rPr>
      </w:pPr>
      <w:r>
        <w:rPr>
          <w:rFonts w:hint="eastAsia" w:ascii="宋体" w:hAnsi="宋体" w:eastAsia="宋体" w:cs="宋体"/>
          <w:b/>
          <w:bCs/>
        </w:rPr>
        <w:t>工单管理</w:t>
      </w:r>
    </w:p>
    <w:p w14:paraId="78163964">
      <w:pPr>
        <w:adjustRightInd w:val="0"/>
        <w:snapToGrid w:val="0"/>
        <w:spacing w:line="360" w:lineRule="auto"/>
        <w:ind w:firstLine="480"/>
        <w:rPr>
          <w:rFonts w:hint="eastAsia" w:ascii="宋体" w:hAnsi="宋体" w:eastAsia="宋体" w:cs="宋体"/>
        </w:rPr>
      </w:pPr>
      <w:r>
        <w:rPr>
          <w:rFonts w:hint="eastAsia" w:ascii="宋体" w:hAnsi="宋体" w:eastAsia="宋体" w:cs="宋体"/>
        </w:rPr>
        <w:t>在任务管理-</w:t>
      </w:r>
      <w:r>
        <w:rPr>
          <w:rFonts w:hint="eastAsia" w:ascii="宋体" w:hAnsi="宋体" w:eastAsia="宋体" w:cs="宋体"/>
          <w:b/>
          <w:bCs/>
        </w:rPr>
        <w:t>-</w:t>
      </w:r>
      <w:r>
        <w:rPr>
          <w:rFonts w:hint="eastAsia" w:ascii="宋体" w:hAnsi="宋体" w:eastAsia="宋体" w:cs="宋体"/>
        </w:rPr>
        <w:t>创建飞行任务时，开启生成工单后：会在工单管理、APP端生成工单，方便现场处置人员用手机端查看工单和告警信息，手机端支持查看告警并定位到告警位置，处置告警后并上报处置结果到Web端；系统默认向紧急联系人派发工单和告警信息，支持手动分配工单。</w:t>
      </w:r>
    </w:p>
    <w:p w14:paraId="07A498F5">
      <w:pPr>
        <w:pStyle w:val="21"/>
        <w:numPr>
          <w:ilvl w:val="0"/>
          <w:numId w:val="4"/>
        </w:numPr>
        <w:spacing w:line="360" w:lineRule="auto"/>
        <w:ind w:firstLineChars="0"/>
        <w:rPr>
          <w:rFonts w:hint="eastAsia" w:ascii="宋体" w:hAnsi="宋体" w:eastAsia="宋体"/>
          <w:b/>
          <w:bCs/>
        </w:rPr>
      </w:pPr>
      <w:r>
        <w:rPr>
          <w:rFonts w:hint="eastAsia" w:ascii="宋体" w:hAnsi="宋体" w:eastAsia="宋体"/>
          <w:b/>
          <w:bCs/>
        </w:rPr>
        <w:t>数据中心功能模块</w:t>
      </w:r>
    </w:p>
    <w:p w14:paraId="508CAA92">
      <w:pPr>
        <w:numPr>
          <w:ilvl w:val="0"/>
          <w:numId w:val="10"/>
        </w:numPr>
        <w:spacing w:line="360" w:lineRule="auto"/>
        <w:ind w:firstLine="482" w:firstLineChars="0"/>
        <w:rPr>
          <w:rFonts w:hint="eastAsia" w:ascii="宋体" w:hAnsi="宋体" w:eastAsia="宋体" w:cs="宋体"/>
        </w:rPr>
      </w:pPr>
      <w:r>
        <w:rPr>
          <w:rFonts w:hint="eastAsia" w:ascii="宋体" w:hAnsi="宋体" w:eastAsia="宋体" w:cs="宋体"/>
        </w:rPr>
        <w:t>数据总览</w:t>
      </w:r>
    </w:p>
    <w:p w14:paraId="3F788C63">
      <w:pPr>
        <w:spacing w:line="360" w:lineRule="auto"/>
        <w:ind w:firstLine="480"/>
        <w:rPr>
          <w:rFonts w:hint="eastAsia" w:ascii="宋体" w:hAnsi="宋体" w:eastAsia="宋体" w:cs="宋体"/>
        </w:rPr>
      </w:pPr>
      <w:r>
        <w:rPr>
          <w:rFonts w:hint="eastAsia" w:ascii="宋体" w:hAnsi="宋体" w:eastAsia="宋体" w:cs="宋体"/>
        </w:rPr>
        <w:t>数据总览模块展示设备总量、在线状态、任务流量、飞行趋势、区域分布、告警统计等多维度关键数据，通过数据中心，管理人员可掌握平台全局数据情况。</w:t>
      </w:r>
    </w:p>
    <w:p w14:paraId="0EAE9AA5">
      <w:pPr>
        <w:numPr>
          <w:ilvl w:val="0"/>
          <w:numId w:val="10"/>
        </w:numPr>
        <w:spacing w:line="360" w:lineRule="auto"/>
        <w:ind w:firstLine="480" w:firstLineChars="0"/>
        <w:rPr>
          <w:rFonts w:hint="eastAsia" w:ascii="宋体" w:hAnsi="宋体" w:eastAsia="宋体" w:cs="宋体"/>
        </w:rPr>
      </w:pPr>
      <w:r>
        <w:rPr>
          <w:rFonts w:hint="eastAsia" w:ascii="宋体" w:hAnsi="宋体" w:eastAsia="宋体" w:cs="宋体"/>
        </w:rPr>
        <w:t>数据成果</w:t>
      </w:r>
    </w:p>
    <w:p w14:paraId="5B6F55E6">
      <w:pPr>
        <w:adjustRightInd w:val="0"/>
        <w:snapToGrid w:val="0"/>
        <w:spacing w:line="360" w:lineRule="auto"/>
        <w:ind w:firstLine="480"/>
        <w:rPr>
          <w:rFonts w:hint="eastAsia" w:ascii="宋体" w:hAnsi="宋体" w:eastAsia="宋体" w:cs="宋体"/>
        </w:rPr>
      </w:pPr>
      <w:r>
        <w:rPr>
          <w:rFonts w:hint="eastAsia" w:ascii="宋体" w:hAnsi="宋体" w:eastAsia="宋体" w:cs="宋体"/>
        </w:rPr>
        <w:t>该模块自动归集每一次飞行任务产生的数据，包括任务基础信息、分析报告、视频、图片、告警记录等，支持按时间、任务名称、飞手、告警状态多维度筛选查询，可查看任务详情、导出/删除任务数据；“数据看板“页面即可查看飞行轨迹；点击红色图标可查看无人机在该点拍摄的照片及相关信息。</w:t>
      </w:r>
    </w:p>
    <w:p w14:paraId="593F4DF7">
      <w:pPr>
        <w:numPr>
          <w:ilvl w:val="0"/>
          <w:numId w:val="10"/>
        </w:numPr>
        <w:spacing w:line="360" w:lineRule="auto"/>
        <w:ind w:firstLine="480" w:firstLineChars="0"/>
        <w:rPr>
          <w:rFonts w:hint="eastAsia" w:ascii="宋体" w:hAnsi="宋体" w:eastAsia="宋体" w:cs="宋体"/>
        </w:rPr>
      </w:pPr>
      <w:r>
        <w:rPr>
          <w:rFonts w:hint="eastAsia" w:ascii="宋体" w:hAnsi="宋体" w:eastAsia="宋体" w:cs="宋体"/>
        </w:rPr>
        <w:t>飞行数据</w:t>
      </w:r>
    </w:p>
    <w:p w14:paraId="6C9EEEC5">
      <w:pPr>
        <w:adjustRightInd w:val="0"/>
        <w:snapToGrid w:val="0"/>
        <w:spacing w:line="360" w:lineRule="auto"/>
        <w:ind w:firstLine="480"/>
        <w:rPr>
          <w:rFonts w:hint="eastAsia" w:ascii="宋体" w:hAnsi="宋体" w:eastAsia="宋体" w:cs="宋体"/>
        </w:rPr>
      </w:pPr>
      <w:r>
        <w:rPr>
          <w:rFonts w:hint="eastAsia" w:ascii="宋体" w:hAnsi="宋体" w:eastAsia="宋体" w:cs="宋体"/>
        </w:rPr>
        <w:t>该模块主要用于低空一网统飞平台全类型、多维度业务数据的集中管理与可视化呈现，涵盖可见光照片、红外照片、AI快拍、全景照片、录像、DOM、DEM、三维模型、二维模型、点云等全业务链路数据，支持按时间、任务名称、文件关键字多维度筛选查询，提供批量下载、删除等操作。</w:t>
      </w:r>
    </w:p>
    <w:p w14:paraId="283AE6F1">
      <w:pPr>
        <w:numPr>
          <w:ilvl w:val="0"/>
          <w:numId w:val="10"/>
        </w:numPr>
        <w:spacing w:line="360" w:lineRule="auto"/>
        <w:ind w:firstLine="480" w:firstLineChars="0"/>
        <w:rPr>
          <w:rFonts w:hint="eastAsia" w:ascii="宋体" w:hAnsi="宋体" w:eastAsia="宋体" w:cs="宋体"/>
        </w:rPr>
      </w:pPr>
      <w:r>
        <w:rPr>
          <w:rFonts w:hint="eastAsia" w:ascii="宋体" w:hAnsi="宋体" w:eastAsia="宋体" w:cs="宋体"/>
        </w:rPr>
        <w:t>告警事件</w:t>
      </w:r>
    </w:p>
    <w:p w14:paraId="76BA6A43">
      <w:pPr>
        <w:adjustRightInd w:val="0"/>
        <w:snapToGrid w:val="0"/>
        <w:spacing w:line="360" w:lineRule="auto"/>
        <w:ind w:firstLine="480"/>
        <w:rPr>
          <w:rFonts w:hint="eastAsia" w:ascii="宋体" w:hAnsi="宋体" w:eastAsia="宋体" w:cs="宋体"/>
          <w:b/>
        </w:rPr>
      </w:pPr>
      <w:r>
        <w:rPr>
          <w:rFonts w:hint="eastAsia" w:ascii="宋体" w:hAnsi="宋体" w:eastAsia="宋体" w:cs="宋体"/>
        </w:rPr>
        <w:t>该模块主要用于低空一网统飞平台用于集中管理、监控和呈现无人机飞行过程中触发的各类异常事件，有消除告警、删除告警等功能。</w:t>
      </w:r>
    </w:p>
    <w:p w14:paraId="688B8DD0">
      <w:pPr>
        <w:numPr>
          <w:ilvl w:val="0"/>
          <w:numId w:val="10"/>
        </w:numPr>
        <w:spacing w:line="360" w:lineRule="auto"/>
        <w:ind w:firstLine="480" w:firstLineChars="0"/>
        <w:rPr>
          <w:rFonts w:hint="eastAsia" w:ascii="宋体" w:hAnsi="宋体" w:eastAsia="宋体" w:cs="宋体"/>
        </w:rPr>
      </w:pPr>
      <w:r>
        <w:rPr>
          <w:rFonts w:hint="eastAsia" w:ascii="宋体" w:hAnsi="宋体" w:eastAsia="宋体" w:cs="宋体"/>
        </w:rPr>
        <w:t>空域管理</w:t>
      </w:r>
    </w:p>
    <w:p w14:paraId="4CCC5FF8">
      <w:pPr>
        <w:adjustRightInd w:val="0"/>
        <w:snapToGrid w:val="0"/>
        <w:spacing w:line="360" w:lineRule="auto"/>
        <w:ind w:firstLine="480"/>
        <w:rPr>
          <w:rFonts w:hint="eastAsia" w:ascii="宋体" w:hAnsi="宋体" w:eastAsia="宋体" w:cs="宋体"/>
          <w:b/>
        </w:rPr>
      </w:pPr>
      <w:r>
        <w:rPr>
          <w:rFonts w:hint="eastAsia" w:ascii="宋体" w:hAnsi="宋体" w:eastAsia="宋体" w:cs="宋体"/>
        </w:rPr>
        <w:t>该模块主要用于统一管理平台内的全类型空域资源，按监管要求划分为禁飞区、管制区（电子围栏）、适飞区三大类，支持空域的新增、编辑、删除、可视化管理，可在地图上直观呈现空域范围、高度、生效时段等信息；</w:t>
      </w:r>
    </w:p>
    <w:p w14:paraId="578A8D27">
      <w:pPr>
        <w:numPr>
          <w:ilvl w:val="0"/>
          <w:numId w:val="10"/>
        </w:numPr>
        <w:spacing w:line="360" w:lineRule="auto"/>
        <w:ind w:firstLine="480" w:firstLineChars="0"/>
        <w:rPr>
          <w:rFonts w:hint="eastAsia" w:ascii="宋体" w:hAnsi="宋体" w:eastAsia="宋体" w:cs="宋体"/>
        </w:rPr>
      </w:pPr>
      <w:r>
        <w:rPr>
          <w:rFonts w:hint="eastAsia" w:ascii="宋体" w:hAnsi="宋体" w:eastAsia="宋体" w:cs="宋体"/>
        </w:rPr>
        <w:t>标注管理</w:t>
      </w:r>
    </w:p>
    <w:p w14:paraId="7955E5C2">
      <w:pPr>
        <w:adjustRightInd w:val="0"/>
        <w:snapToGrid w:val="0"/>
        <w:spacing w:line="360" w:lineRule="auto"/>
        <w:ind w:firstLine="480"/>
        <w:rPr>
          <w:rFonts w:hint="eastAsia" w:ascii="宋体" w:hAnsi="宋体" w:eastAsia="宋体" w:cs="宋体"/>
        </w:rPr>
      </w:pPr>
      <w:r>
        <w:rPr>
          <w:rFonts w:hint="eastAsia" w:ascii="宋体" w:hAnsi="宋体" w:eastAsia="宋体" w:cs="宋体"/>
        </w:rPr>
        <w:t>地图标注功能旨在为磴口区域内的飞手及业务用户提供便捷、高效的标注工具，通过在磴口地图上标记关键点位、区域或路线（如应急救援点位、城管重点巡查区域、文旅拍摄路线等），辅助业务任务的规划、执行与复盘，提升协同效率与操作精度，支撑各类场景下的业务开展。</w:t>
      </w:r>
    </w:p>
    <w:p w14:paraId="6F5C4673">
      <w:pPr>
        <w:numPr>
          <w:ilvl w:val="0"/>
          <w:numId w:val="10"/>
        </w:numPr>
        <w:spacing w:line="360" w:lineRule="auto"/>
        <w:ind w:firstLine="480" w:firstLineChars="0"/>
        <w:rPr>
          <w:rFonts w:hint="eastAsia" w:ascii="宋体" w:hAnsi="宋体" w:eastAsia="宋体" w:cs="宋体"/>
        </w:rPr>
      </w:pPr>
      <w:r>
        <w:rPr>
          <w:rFonts w:hint="eastAsia" w:ascii="宋体" w:hAnsi="宋体" w:eastAsia="宋体" w:cs="宋体"/>
        </w:rPr>
        <w:t>矢量地图</w:t>
      </w:r>
    </w:p>
    <w:p w14:paraId="42079719">
      <w:pPr>
        <w:spacing w:line="360" w:lineRule="auto"/>
        <w:ind w:firstLine="480"/>
        <w:rPr>
          <w:rFonts w:hint="eastAsia" w:ascii="宋体" w:hAnsi="宋体" w:eastAsia="宋体" w:cs="宋体"/>
        </w:rPr>
      </w:pPr>
      <w:r>
        <w:rPr>
          <w:rFonts w:hint="eastAsia" w:ascii="宋体" w:hAnsi="宋体" w:eastAsia="宋体" w:cs="宋体"/>
        </w:rPr>
        <w:t>支持矢量地图导入、下载、呈现、颜色</w:t>
      </w:r>
      <w:r>
        <w:fldChar w:fldCharType="begin"/>
      </w:r>
      <w:r>
        <w:instrText xml:space="preserve">HYPERLINK "https://wapbaike.baidu.com/item/%E7%9F%A2%E9%87%8F%E5%9C%B0%E5%9B%BE/5132557" \t "https://chat.deepseek.com/a/chat/s/_blank"</w:instrText>
      </w:r>
      <w:r>
        <w:fldChar w:fldCharType="separate"/>
      </w:r>
      <w:r>
        <w:fldChar w:fldCharType="end"/>
      </w:r>
      <w:r>
        <w:rPr>
          <w:rFonts w:ascii="宋体" w:hAnsi="宋体" w:eastAsia="宋体" w:cs="宋体"/>
        </w:rPr>
        <w:t>。</w:t>
      </w:r>
    </w:p>
    <w:p w14:paraId="383C7485">
      <w:pPr>
        <w:numPr>
          <w:ilvl w:val="0"/>
          <w:numId w:val="10"/>
        </w:numPr>
        <w:spacing w:line="360" w:lineRule="auto"/>
        <w:ind w:firstLine="480" w:firstLineChars="0"/>
        <w:rPr>
          <w:rFonts w:hint="eastAsia" w:ascii="宋体" w:hAnsi="宋体" w:eastAsia="宋体" w:cs="宋体"/>
        </w:rPr>
      </w:pPr>
      <w:r>
        <w:rPr>
          <w:rFonts w:hint="eastAsia" w:ascii="宋体" w:hAnsi="宋体" w:eastAsia="宋体" w:cs="宋体"/>
        </w:rPr>
        <w:t>模型库</w:t>
      </w:r>
    </w:p>
    <w:p w14:paraId="024EF560">
      <w:pPr>
        <w:adjustRightInd w:val="0"/>
        <w:snapToGrid w:val="0"/>
        <w:spacing w:line="360" w:lineRule="auto"/>
        <w:ind w:firstLine="480"/>
        <w:rPr>
          <w:rFonts w:hint="eastAsia" w:ascii="宋体" w:hAnsi="宋体" w:eastAsia="宋体" w:cs="宋体"/>
        </w:rPr>
      </w:pPr>
      <w:r>
        <w:rPr>
          <w:rFonts w:hint="eastAsia" w:ascii="宋体" w:hAnsi="宋体" w:eastAsia="宋体" w:cs="宋体"/>
        </w:rPr>
        <w:t>模型列表提供卡片视图和列表视图，根据建模时间、输出格式、是否在地图上加载或模型名称进行搜索。支持模型预览、下载和删除。支持二维、三维模型重建；支持模型预览、下载、导入、缓存设置等功能；</w:t>
      </w:r>
    </w:p>
    <w:p w14:paraId="2A281C4C">
      <w:pPr>
        <w:numPr>
          <w:ilvl w:val="0"/>
          <w:numId w:val="10"/>
        </w:numPr>
        <w:spacing w:line="360" w:lineRule="auto"/>
        <w:ind w:firstLine="480" w:firstLineChars="0"/>
        <w:rPr>
          <w:rFonts w:hint="eastAsia" w:ascii="宋体" w:hAnsi="宋体" w:eastAsia="宋体" w:cs="宋体"/>
        </w:rPr>
      </w:pPr>
      <w:r>
        <w:rPr>
          <w:rFonts w:hint="eastAsia" w:ascii="宋体" w:hAnsi="宋体" w:eastAsia="宋体" w:cs="宋体"/>
        </w:rPr>
        <w:t>数据成果存储管理</w:t>
      </w:r>
    </w:p>
    <w:p w14:paraId="5FD260D5">
      <w:pPr>
        <w:spacing w:line="360" w:lineRule="auto"/>
        <w:ind w:firstLine="480"/>
        <w:rPr>
          <w:rFonts w:hint="eastAsia" w:ascii="宋体" w:hAnsi="宋体" w:eastAsia="宋体"/>
        </w:rPr>
      </w:pPr>
      <w:r>
        <w:rPr>
          <w:rFonts w:hint="eastAsia" w:ascii="宋体" w:hAnsi="宋体" w:eastAsia="宋体"/>
        </w:rPr>
        <w:t>该模块支持展示服务器存储空间、现有数据大小、剩余空间大小，数据保存期限（默认保存半年，超过存储期限定时清理），支持配置管理数据保存期限。</w:t>
      </w:r>
    </w:p>
    <w:p w14:paraId="24D9B854">
      <w:pPr>
        <w:pStyle w:val="21"/>
        <w:numPr>
          <w:ilvl w:val="0"/>
          <w:numId w:val="4"/>
        </w:numPr>
        <w:spacing w:line="360" w:lineRule="auto"/>
        <w:ind w:firstLineChars="0"/>
        <w:rPr>
          <w:rFonts w:hint="eastAsia" w:ascii="宋体" w:hAnsi="宋体" w:eastAsia="宋体"/>
          <w:b/>
          <w:bCs/>
        </w:rPr>
      </w:pPr>
      <w:r>
        <w:rPr>
          <w:rFonts w:hint="eastAsia" w:ascii="宋体" w:hAnsi="宋体" w:eastAsia="宋体"/>
          <w:b/>
          <w:bCs/>
        </w:rPr>
        <w:t>算法管理功能模块</w:t>
      </w:r>
    </w:p>
    <w:p w14:paraId="4F812609">
      <w:pPr>
        <w:spacing w:line="360" w:lineRule="auto"/>
        <w:ind w:firstLine="480"/>
        <w:rPr>
          <w:rFonts w:hint="eastAsia" w:ascii="宋体" w:hAnsi="宋体" w:eastAsia="宋体"/>
        </w:rPr>
      </w:pPr>
      <w:r>
        <w:rPr>
          <w:rFonts w:hint="eastAsia" w:ascii="宋体" w:hAnsi="宋体" w:eastAsia="宋体"/>
        </w:rPr>
        <w:t>算法管理模块对低空一网统飞平台各类算法进行统一管控，包括算法首页、算法资源、算法分配，适配磴口对算法的调度需求，确保算法资源高效利用、合规管理。包含的算法场景</w:t>
      </w:r>
    </w:p>
    <w:p w14:paraId="289D17F7">
      <w:pPr>
        <w:spacing w:line="360" w:lineRule="auto"/>
        <w:ind w:firstLine="480"/>
        <w:rPr>
          <w:rFonts w:hint="eastAsia" w:ascii="宋体" w:hAnsi="宋体" w:eastAsia="宋体"/>
        </w:rPr>
      </w:pPr>
      <w:r>
        <w:rPr>
          <w:rFonts w:hint="eastAsia" w:ascii="宋体" w:hAnsi="宋体" w:eastAsia="宋体"/>
        </w:rPr>
        <w:t>园林巡检：森林防火、公园飙车监测、边界巡检、树木健康检测；</w:t>
      </w:r>
    </w:p>
    <w:p w14:paraId="2DAD1967">
      <w:pPr>
        <w:spacing w:line="360" w:lineRule="auto"/>
        <w:ind w:firstLine="480"/>
        <w:rPr>
          <w:rFonts w:hint="eastAsia" w:ascii="宋体" w:hAnsi="宋体" w:eastAsia="宋体"/>
        </w:rPr>
      </w:pPr>
      <w:r>
        <w:rPr>
          <w:rFonts w:hint="eastAsia" w:ascii="宋体" w:hAnsi="宋体" w:eastAsia="宋体"/>
        </w:rPr>
        <w:t>智能交通：交通拥堵、违章停车监测、应急车道占用监测、车辆逆行监测、车流量监测、车速检测、交通违法检测、车牌识别、道路抛洒物识别、高速出入口匝道、高速交通事故检测；</w:t>
      </w:r>
    </w:p>
    <w:p w14:paraId="64B44082">
      <w:pPr>
        <w:spacing w:line="360" w:lineRule="auto"/>
        <w:ind w:firstLine="480"/>
        <w:rPr>
          <w:rFonts w:hint="eastAsia" w:ascii="宋体" w:hAnsi="宋体" w:eastAsia="宋体"/>
        </w:rPr>
      </w:pPr>
      <w:r>
        <w:rPr>
          <w:rFonts w:hint="eastAsia" w:ascii="宋体" w:hAnsi="宋体" w:eastAsia="宋体"/>
        </w:rPr>
        <w:t>智慧路政：路面病害检测、道路积水检测；</w:t>
      </w:r>
    </w:p>
    <w:p w14:paraId="721BAEFD">
      <w:pPr>
        <w:spacing w:line="360" w:lineRule="auto"/>
        <w:ind w:firstLine="480"/>
        <w:rPr>
          <w:rFonts w:hint="eastAsia" w:ascii="宋体" w:hAnsi="宋体" w:eastAsia="宋体"/>
        </w:rPr>
      </w:pPr>
      <w:r>
        <w:rPr>
          <w:rFonts w:hint="eastAsia" w:ascii="宋体" w:hAnsi="宋体" w:eastAsia="宋体"/>
        </w:rPr>
        <w:t>应急：地质灾害巡检、防台检测、城市防火及救援、人员聚集检测；</w:t>
      </w:r>
    </w:p>
    <w:p w14:paraId="2B15121A">
      <w:pPr>
        <w:spacing w:line="360" w:lineRule="auto"/>
        <w:ind w:firstLine="480"/>
        <w:rPr>
          <w:rFonts w:hint="eastAsia" w:ascii="宋体" w:hAnsi="宋体" w:eastAsia="宋体"/>
        </w:rPr>
      </w:pPr>
      <w:r>
        <w:rPr>
          <w:rFonts w:hint="eastAsia" w:ascii="宋体" w:hAnsi="宋体" w:eastAsia="宋体"/>
        </w:rPr>
        <w:t>工程管理：安全帽与反光衣佩戴识别；</w:t>
      </w:r>
    </w:p>
    <w:p w14:paraId="62644264">
      <w:pPr>
        <w:spacing w:line="360" w:lineRule="auto"/>
        <w:ind w:firstLine="480"/>
        <w:rPr>
          <w:rFonts w:hint="eastAsia" w:ascii="宋体" w:hAnsi="宋体" w:eastAsia="宋体"/>
        </w:rPr>
      </w:pPr>
      <w:r>
        <w:rPr>
          <w:rFonts w:hint="eastAsia" w:ascii="宋体" w:hAnsi="宋体" w:eastAsia="宋体"/>
        </w:rPr>
        <w:t>水利水务：河道漂浮物检测、船只识别；</w:t>
      </w:r>
    </w:p>
    <w:p w14:paraId="3B53D317">
      <w:pPr>
        <w:spacing w:line="360" w:lineRule="auto"/>
        <w:ind w:firstLine="480"/>
        <w:rPr>
          <w:rFonts w:hint="eastAsia" w:ascii="宋体" w:hAnsi="宋体" w:eastAsia="宋体"/>
        </w:rPr>
      </w:pPr>
      <w:r>
        <w:rPr>
          <w:rFonts w:hint="eastAsia" w:ascii="宋体" w:hAnsi="宋体" w:eastAsia="宋体"/>
        </w:rPr>
        <w:t>智慧农业：羊群检测、牛群检测；</w:t>
      </w:r>
    </w:p>
    <w:p w14:paraId="19D5EE40">
      <w:pPr>
        <w:spacing w:line="360" w:lineRule="auto"/>
        <w:ind w:firstLine="480"/>
        <w:rPr>
          <w:rFonts w:hint="eastAsia" w:ascii="宋体" w:hAnsi="宋体" w:eastAsia="宋体"/>
        </w:rPr>
      </w:pPr>
      <w:r>
        <w:rPr>
          <w:rFonts w:hint="eastAsia" w:ascii="宋体" w:hAnsi="宋体" w:eastAsia="宋体"/>
        </w:rPr>
        <w:t>政务城管：横幅识别。</w:t>
      </w:r>
    </w:p>
    <w:p w14:paraId="3F21DF5F">
      <w:pPr>
        <w:numPr>
          <w:ilvl w:val="0"/>
          <w:numId w:val="11"/>
        </w:numPr>
        <w:spacing w:line="360" w:lineRule="auto"/>
        <w:ind w:firstLine="482" w:firstLineChars="0"/>
        <w:rPr>
          <w:rFonts w:hint="eastAsia" w:ascii="宋体" w:hAnsi="宋体" w:eastAsia="宋体" w:cs="宋体"/>
          <w:b/>
          <w:bCs/>
        </w:rPr>
      </w:pPr>
      <w:r>
        <w:rPr>
          <w:rFonts w:hint="eastAsia" w:ascii="宋体" w:hAnsi="宋体" w:eastAsia="宋体" w:cs="宋体"/>
          <w:b/>
          <w:bCs/>
        </w:rPr>
        <w:t>算法首页</w:t>
      </w:r>
    </w:p>
    <w:p w14:paraId="11831C5A">
      <w:pPr>
        <w:adjustRightInd w:val="0"/>
        <w:snapToGrid w:val="0"/>
        <w:spacing w:line="360" w:lineRule="auto"/>
        <w:ind w:firstLine="480"/>
        <w:rPr>
          <w:rFonts w:hint="eastAsia" w:ascii="宋体" w:hAnsi="宋体" w:eastAsia="宋体" w:cs="宋体"/>
        </w:rPr>
      </w:pPr>
      <w:r>
        <w:rPr>
          <w:rFonts w:hint="eastAsia" w:ascii="宋体" w:hAnsi="宋体" w:eastAsia="宋体" w:cs="宋体"/>
        </w:rPr>
        <w:t>显示算法数量（上线/总数）、算法调用总量、当天调用总量、场景数量；分别按场景和算法显示算法调用排名；显示每一次算法调用场景和算法调用时间。</w:t>
      </w:r>
    </w:p>
    <w:p w14:paraId="6DE35E31">
      <w:pPr>
        <w:numPr>
          <w:ilvl w:val="0"/>
          <w:numId w:val="11"/>
        </w:numPr>
        <w:spacing w:line="360" w:lineRule="auto"/>
        <w:ind w:firstLine="482" w:firstLineChars="0"/>
        <w:rPr>
          <w:rFonts w:hint="eastAsia" w:ascii="宋体" w:hAnsi="宋体" w:eastAsia="宋体" w:cs="宋体"/>
          <w:b/>
          <w:bCs/>
        </w:rPr>
      </w:pPr>
      <w:r>
        <w:rPr>
          <w:rFonts w:hint="eastAsia" w:ascii="宋体" w:hAnsi="宋体" w:eastAsia="宋体" w:cs="宋体"/>
          <w:b/>
          <w:bCs/>
        </w:rPr>
        <w:t>算法资源</w:t>
      </w:r>
    </w:p>
    <w:p w14:paraId="46A1722A">
      <w:pPr>
        <w:adjustRightInd w:val="0"/>
        <w:snapToGrid w:val="0"/>
        <w:spacing w:line="360" w:lineRule="auto"/>
        <w:ind w:firstLine="480"/>
        <w:rPr>
          <w:rFonts w:hint="eastAsia" w:ascii="宋体" w:hAnsi="宋体" w:eastAsia="宋体" w:cs="宋体"/>
        </w:rPr>
      </w:pPr>
      <w:r>
        <w:rPr>
          <w:rFonts w:hint="eastAsia" w:ascii="宋体" w:hAnsi="宋体" w:eastAsia="宋体" w:cs="宋体"/>
        </w:rPr>
        <w:t>可以全部显示或按场景显示算法，查看算法的预览、调用总量、当天调用次数。提供算法按时间、名称、服务状态查询。同步功能：点击“同步”按钮向算法服务器同步算法信息。</w:t>
      </w:r>
    </w:p>
    <w:p w14:paraId="3AA5928B">
      <w:pPr>
        <w:numPr>
          <w:ilvl w:val="0"/>
          <w:numId w:val="11"/>
        </w:numPr>
        <w:spacing w:line="360" w:lineRule="auto"/>
        <w:ind w:firstLine="482" w:firstLineChars="0"/>
        <w:rPr>
          <w:rFonts w:hint="eastAsia" w:ascii="宋体" w:hAnsi="宋体" w:eastAsia="宋体" w:cs="宋体"/>
          <w:b/>
          <w:bCs/>
        </w:rPr>
      </w:pPr>
      <w:r>
        <w:rPr>
          <w:rFonts w:hint="eastAsia" w:ascii="宋体" w:hAnsi="宋体" w:eastAsia="宋体" w:cs="宋体"/>
          <w:b/>
          <w:bCs/>
        </w:rPr>
        <w:t>算法调用</w:t>
      </w:r>
    </w:p>
    <w:p w14:paraId="7CF3BDCD">
      <w:pPr>
        <w:adjustRightInd w:val="0"/>
        <w:snapToGrid w:val="0"/>
        <w:spacing w:line="360" w:lineRule="auto"/>
        <w:ind w:firstLine="480"/>
        <w:rPr>
          <w:rFonts w:hint="eastAsia" w:ascii="宋体" w:hAnsi="宋体" w:eastAsia="宋体" w:cs="宋体"/>
        </w:rPr>
      </w:pPr>
      <w:r>
        <w:rPr>
          <w:rFonts w:hint="eastAsia" w:ascii="宋体" w:hAnsi="宋体" w:eastAsia="宋体" w:cs="宋体"/>
        </w:rPr>
        <w:t>支持航线任务、手动飞行任务调用算法；机场设备、单兵设备调用算法。</w:t>
      </w:r>
    </w:p>
    <w:p w14:paraId="2DC5637A">
      <w:pPr>
        <w:pStyle w:val="21"/>
        <w:numPr>
          <w:ilvl w:val="0"/>
          <w:numId w:val="4"/>
        </w:numPr>
        <w:spacing w:line="360" w:lineRule="auto"/>
        <w:ind w:firstLineChars="0"/>
        <w:rPr>
          <w:rFonts w:hint="eastAsia" w:ascii="宋体" w:hAnsi="宋体" w:eastAsia="宋体"/>
          <w:b/>
          <w:bCs/>
        </w:rPr>
      </w:pPr>
      <w:r>
        <w:rPr>
          <w:rFonts w:hint="eastAsia" w:ascii="宋体" w:hAnsi="宋体" w:eastAsia="宋体"/>
          <w:b/>
          <w:bCs/>
        </w:rPr>
        <w:t>运营中心功能模块</w:t>
      </w:r>
    </w:p>
    <w:p w14:paraId="0885F87F">
      <w:pPr>
        <w:numPr>
          <w:ilvl w:val="0"/>
          <w:numId w:val="12"/>
        </w:numPr>
        <w:spacing w:line="360" w:lineRule="auto"/>
        <w:ind w:firstLine="482" w:firstLineChars="0"/>
        <w:rPr>
          <w:rFonts w:hint="eastAsia" w:ascii="宋体" w:hAnsi="宋体" w:eastAsia="宋体" w:cs="宋体"/>
          <w:b/>
          <w:bCs/>
        </w:rPr>
      </w:pPr>
      <w:r>
        <w:rPr>
          <w:rFonts w:hint="eastAsia" w:ascii="宋体" w:hAnsi="宋体" w:eastAsia="宋体" w:cs="宋体"/>
          <w:b/>
          <w:bCs/>
        </w:rPr>
        <w:t>设备列表</w:t>
      </w:r>
    </w:p>
    <w:p w14:paraId="169AC3F5">
      <w:pPr>
        <w:adjustRightInd w:val="0"/>
        <w:snapToGrid w:val="0"/>
        <w:spacing w:line="360" w:lineRule="auto"/>
        <w:ind w:firstLine="480"/>
        <w:rPr>
          <w:rFonts w:hint="eastAsia" w:ascii="宋体" w:hAnsi="宋体" w:eastAsia="宋体" w:cs="宋体"/>
        </w:rPr>
      </w:pPr>
      <w:r>
        <w:rPr>
          <w:rFonts w:hint="eastAsia" w:ascii="宋体" w:hAnsi="宋体" w:eastAsia="宋体" w:cs="宋体"/>
        </w:rPr>
        <w:t>该模块可以查询所有注册到平台的机场和飞行器，可查看机场及配套飞行器信息。支持机场接入、单兵设备接入，支持机场上云和遥控器上云。操作功能有设备编辑、设备运维、飞行器认证、飞行器权限分配功能。</w:t>
      </w:r>
    </w:p>
    <w:p w14:paraId="4A5C3ABC">
      <w:pPr>
        <w:numPr>
          <w:ilvl w:val="0"/>
          <w:numId w:val="13"/>
        </w:numPr>
        <w:adjustRightInd w:val="0"/>
        <w:snapToGrid w:val="0"/>
        <w:spacing w:line="360" w:lineRule="auto"/>
        <w:ind w:firstLine="480" w:firstLineChars="0"/>
        <w:rPr>
          <w:rFonts w:hint="eastAsia" w:ascii="宋体" w:hAnsi="宋体" w:eastAsia="宋体" w:cs="宋体"/>
        </w:rPr>
      </w:pPr>
      <w:r>
        <w:rPr>
          <w:rFonts w:hint="eastAsia" w:ascii="宋体" w:hAnsi="宋体" w:eastAsia="宋体" w:cs="宋体"/>
        </w:rPr>
        <w:t>查看机场运维信息；打开“远程控制”按钮，可以远程控制机场和无人机。</w:t>
      </w:r>
    </w:p>
    <w:p w14:paraId="4F4628FF">
      <w:pPr>
        <w:numPr>
          <w:ilvl w:val="0"/>
          <w:numId w:val="13"/>
        </w:numPr>
        <w:adjustRightInd w:val="0"/>
        <w:snapToGrid w:val="0"/>
        <w:spacing w:line="360" w:lineRule="auto"/>
        <w:ind w:firstLine="480" w:firstLineChars="0"/>
        <w:rPr>
          <w:rFonts w:hint="eastAsia" w:ascii="宋体" w:hAnsi="宋体" w:eastAsia="宋体" w:cs="宋体"/>
        </w:rPr>
      </w:pPr>
      <w:r>
        <w:rPr>
          <w:rFonts w:hint="eastAsia" w:ascii="宋体" w:hAnsi="宋体" w:eastAsia="宋体" w:cs="宋体"/>
        </w:rPr>
        <w:t>“飞行器信息编辑”，点击后编辑飞行信息；点击“产品型号”，可带出航空器类型、航空器分类、起飞总量、空机重量等信息；</w:t>
      </w:r>
    </w:p>
    <w:p w14:paraId="519F8B4A">
      <w:pPr>
        <w:numPr>
          <w:ilvl w:val="0"/>
          <w:numId w:val="13"/>
        </w:numPr>
        <w:adjustRightInd w:val="0"/>
        <w:snapToGrid w:val="0"/>
        <w:spacing w:line="360" w:lineRule="auto"/>
        <w:ind w:firstLine="480" w:firstLineChars="0"/>
        <w:rPr>
          <w:rFonts w:hint="eastAsia" w:ascii="宋体" w:hAnsi="宋体" w:eastAsia="宋体" w:cs="宋体"/>
        </w:rPr>
      </w:pPr>
      <w:r>
        <w:rPr>
          <w:rFonts w:hint="eastAsia" w:ascii="宋体" w:hAnsi="宋体" w:eastAsia="宋体" w:cs="宋体"/>
        </w:rPr>
        <w:t>“飞行器权限分配”，点击后可分配无人机给组织单位或者个人飞控；无人机权限分配页面；</w:t>
      </w:r>
    </w:p>
    <w:p w14:paraId="70AF68C0">
      <w:pPr>
        <w:numPr>
          <w:ilvl w:val="0"/>
          <w:numId w:val="13"/>
        </w:numPr>
        <w:adjustRightInd w:val="0"/>
        <w:snapToGrid w:val="0"/>
        <w:spacing w:line="360" w:lineRule="auto"/>
        <w:ind w:firstLine="480" w:firstLineChars="0"/>
        <w:rPr>
          <w:rFonts w:hint="eastAsia" w:ascii="宋体" w:hAnsi="宋体" w:eastAsia="宋体" w:cs="宋体"/>
        </w:rPr>
      </w:pPr>
      <w:r>
        <w:rPr>
          <w:rFonts w:hint="eastAsia" w:ascii="宋体" w:hAnsi="宋体" w:eastAsia="宋体" w:cs="宋体"/>
        </w:rPr>
        <w:t>“飞行器认证”，点击后该飞行器会在飞服认证记录，前提是这台无人机需在UOM已注册；</w:t>
      </w:r>
    </w:p>
    <w:p w14:paraId="145289E9">
      <w:pPr>
        <w:numPr>
          <w:ilvl w:val="0"/>
          <w:numId w:val="13"/>
        </w:numPr>
        <w:adjustRightInd w:val="0"/>
        <w:snapToGrid w:val="0"/>
        <w:spacing w:line="360" w:lineRule="auto"/>
        <w:ind w:firstLine="480" w:firstLineChars="0"/>
        <w:rPr>
          <w:rFonts w:hint="eastAsia" w:ascii="宋体" w:hAnsi="宋体" w:eastAsia="宋体" w:cs="宋体"/>
        </w:rPr>
      </w:pPr>
      <w:r>
        <w:rPr>
          <w:rFonts w:hint="eastAsia" w:ascii="宋体" w:hAnsi="宋体" w:eastAsia="宋体" w:cs="宋体"/>
        </w:rPr>
        <w:t>“绑定视频监控”，如果机场旁边有装“视频监控”，可在这里绑定视频监控；</w:t>
      </w:r>
    </w:p>
    <w:p w14:paraId="3D81625F">
      <w:pPr>
        <w:numPr>
          <w:ilvl w:val="0"/>
          <w:numId w:val="12"/>
        </w:numPr>
        <w:spacing w:line="360" w:lineRule="auto"/>
        <w:ind w:firstLine="482" w:firstLineChars="0"/>
        <w:rPr>
          <w:rFonts w:hint="eastAsia" w:ascii="宋体" w:hAnsi="宋体" w:eastAsia="宋体" w:cs="宋体"/>
          <w:b/>
          <w:bCs/>
        </w:rPr>
      </w:pPr>
      <w:r>
        <w:rPr>
          <w:rFonts w:hint="eastAsia" w:ascii="宋体" w:hAnsi="宋体" w:eastAsia="宋体" w:cs="宋体"/>
          <w:b/>
          <w:bCs/>
        </w:rPr>
        <w:t>设备状态</w:t>
      </w:r>
    </w:p>
    <w:p w14:paraId="27A7AF3B">
      <w:pPr>
        <w:adjustRightInd w:val="0"/>
        <w:snapToGrid w:val="0"/>
        <w:spacing w:line="360" w:lineRule="auto"/>
        <w:ind w:firstLine="480"/>
        <w:rPr>
          <w:rFonts w:hint="eastAsia" w:ascii="宋体" w:hAnsi="宋体" w:eastAsia="宋体" w:cs="宋体"/>
        </w:rPr>
      </w:pPr>
      <w:r>
        <w:rPr>
          <w:rFonts w:hint="eastAsia" w:ascii="宋体" w:hAnsi="宋体" w:eastAsia="宋体" w:cs="宋体"/>
        </w:rPr>
        <w:t>该模块显示注册到服务器的机场信息与状态，右侧表格可查看在线无人机视频；操作功能有查看设备控制台，通过控制台进入虚拟座舱一键起飞。打开“机场控制台”，可远程控制机场和进入虚拟座舱手动飞行。</w:t>
      </w:r>
    </w:p>
    <w:p w14:paraId="66FA204E">
      <w:pPr>
        <w:numPr>
          <w:ilvl w:val="0"/>
          <w:numId w:val="12"/>
        </w:numPr>
        <w:spacing w:line="360" w:lineRule="auto"/>
        <w:ind w:firstLine="482" w:firstLineChars="0"/>
        <w:rPr>
          <w:rFonts w:hint="eastAsia" w:ascii="宋体" w:hAnsi="宋体" w:eastAsia="宋体" w:cs="宋体"/>
          <w:b/>
          <w:bCs/>
        </w:rPr>
      </w:pPr>
      <w:r>
        <w:rPr>
          <w:rFonts w:hint="eastAsia" w:ascii="宋体" w:hAnsi="宋体" w:eastAsia="宋体" w:cs="宋体"/>
          <w:b/>
          <w:bCs/>
        </w:rPr>
        <w:t>视频调度</w:t>
      </w:r>
    </w:p>
    <w:p w14:paraId="24B6412E">
      <w:pPr>
        <w:adjustRightInd w:val="0"/>
        <w:snapToGrid w:val="0"/>
        <w:spacing w:line="360" w:lineRule="auto"/>
        <w:ind w:firstLine="480"/>
        <w:rPr>
          <w:rFonts w:hint="eastAsia" w:ascii="宋体" w:hAnsi="宋体" w:eastAsia="宋体" w:cs="宋体"/>
        </w:rPr>
      </w:pPr>
      <w:r>
        <w:rPr>
          <w:rFonts w:hint="eastAsia" w:ascii="宋体" w:hAnsi="宋体" w:eastAsia="宋体" w:cs="宋体"/>
        </w:rPr>
        <w:t>支持在单一视频查看窗口中，同步实时播放多路无人机的视频流，适用于多任务并行执行、大型活动保障等场景，实现多视角实时监控，根据需要选择合适的布局；可以进行放大单个视频展示等操作，确保视频观看体验；放大视频时，可重点查看目标区域的实时画面（如活动现场、应急救援区域）。</w:t>
      </w:r>
    </w:p>
    <w:p w14:paraId="7EEF4A50">
      <w:pPr>
        <w:numPr>
          <w:ilvl w:val="0"/>
          <w:numId w:val="12"/>
        </w:numPr>
        <w:spacing w:line="360" w:lineRule="auto"/>
        <w:ind w:firstLine="482" w:firstLineChars="0"/>
        <w:rPr>
          <w:rFonts w:hint="eastAsia" w:ascii="宋体" w:hAnsi="宋体" w:eastAsia="宋体" w:cs="宋体"/>
          <w:b/>
          <w:bCs/>
        </w:rPr>
      </w:pPr>
      <w:r>
        <w:rPr>
          <w:rFonts w:hint="eastAsia" w:ascii="宋体" w:hAnsi="宋体" w:eastAsia="宋体" w:cs="宋体"/>
          <w:b/>
          <w:bCs/>
        </w:rPr>
        <w:t>飞手管理</w:t>
      </w:r>
    </w:p>
    <w:p w14:paraId="3D02DFA4">
      <w:pPr>
        <w:adjustRightInd w:val="0"/>
        <w:snapToGrid w:val="0"/>
        <w:spacing w:line="360" w:lineRule="auto"/>
        <w:ind w:firstLine="480"/>
        <w:rPr>
          <w:rFonts w:hint="eastAsia" w:ascii="宋体" w:hAnsi="宋体" w:eastAsia="宋体" w:cs="宋体"/>
        </w:rPr>
      </w:pPr>
      <w:r>
        <w:rPr>
          <w:rFonts w:hint="eastAsia" w:ascii="宋体" w:hAnsi="宋体" w:eastAsia="宋体" w:cs="宋体"/>
        </w:rPr>
        <w:t>功能概述:对无人机操作人员（飞手）的资质进行全生命周期管理，确保执飞人员合规、可追溯，满足低空飞行监管要求。</w:t>
      </w:r>
    </w:p>
    <w:p w14:paraId="324A64BB">
      <w:pPr>
        <w:numPr>
          <w:ilvl w:val="0"/>
          <w:numId w:val="12"/>
        </w:numPr>
        <w:spacing w:line="360" w:lineRule="auto"/>
        <w:ind w:firstLine="482" w:firstLineChars="0"/>
        <w:rPr>
          <w:rFonts w:hint="eastAsia" w:ascii="宋体" w:hAnsi="宋体" w:eastAsia="宋体" w:cs="宋体"/>
          <w:b/>
          <w:bCs/>
        </w:rPr>
      </w:pPr>
      <w:r>
        <w:rPr>
          <w:rFonts w:hint="eastAsia" w:ascii="宋体" w:hAnsi="宋体" w:eastAsia="宋体" w:cs="宋体"/>
          <w:b/>
          <w:bCs/>
        </w:rPr>
        <w:t>责任人管理</w:t>
      </w:r>
    </w:p>
    <w:p w14:paraId="6B071EB7">
      <w:pPr>
        <w:adjustRightInd w:val="0"/>
        <w:snapToGrid w:val="0"/>
        <w:spacing w:line="360" w:lineRule="auto"/>
        <w:ind w:firstLine="480"/>
        <w:rPr>
          <w:rFonts w:hint="eastAsia" w:ascii="宋体" w:hAnsi="宋体" w:eastAsia="宋体" w:cs="宋体"/>
        </w:rPr>
      </w:pPr>
      <w:r>
        <w:rPr>
          <w:rFonts w:hint="eastAsia" w:ascii="宋体" w:hAnsi="宋体" w:eastAsia="宋体" w:cs="宋体"/>
        </w:rPr>
        <w:t>对责任人进行信息维护与通知配置，保障业务流程中责任到人、通知及时。通过筛选项筛选出需要导出的责任人数据，勾选目标责任人（可全选批量勾选）；点击页面左上角“导出”按钮；系统自动生成Excel格式的责任人信息台账，下载后可用于业务存档。</w:t>
      </w:r>
    </w:p>
    <w:p w14:paraId="0B3248F2">
      <w:pPr>
        <w:numPr>
          <w:ilvl w:val="0"/>
          <w:numId w:val="12"/>
        </w:numPr>
        <w:spacing w:line="360" w:lineRule="auto"/>
        <w:ind w:firstLine="482" w:firstLineChars="0"/>
        <w:rPr>
          <w:rFonts w:hint="eastAsia" w:ascii="宋体" w:hAnsi="宋体" w:eastAsia="宋体" w:cs="宋体"/>
          <w:b/>
          <w:bCs/>
        </w:rPr>
      </w:pPr>
      <w:r>
        <w:rPr>
          <w:rFonts w:hint="eastAsia" w:ascii="宋体" w:hAnsi="宋体" w:eastAsia="宋体" w:cs="宋体"/>
          <w:b/>
          <w:bCs/>
        </w:rPr>
        <w:t>用户管理</w:t>
      </w:r>
    </w:p>
    <w:p w14:paraId="23252623">
      <w:pPr>
        <w:adjustRightInd w:val="0"/>
        <w:snapToGrid w:val="0"/>
        <w:spacing w:line="360" w:lineRule="auto"/>
        <w:ind w:firstLine="480"/>
        <w:rPr>
          <w:rFonts w:hint="eastAsia" w:ascii="宋体" w:hAnsi="宋体" w:eastAsia="宋体" w:cs="宋体"/>
        </w:rPr>
      </w:pPr>
      <w:r>
        <w:rPr>
          <w:rFonts w:hint="eastAsia" w:ascii="宋体" w:hAnsi="宋体" w:eastAsia="宋体" w:cs="宋体"/>
        </w:rPr>
        <w:t>主要用于对低空一网统飞平台所有用户账号进行集中管控，支持账号的新增、修改、删除、状态启用/禁用、权限分配等操作。</w:t>
      </w:r>
    </w:p>
    <w:p w14:paraId="6334C55C">
      <w:pPr>
        <w:numPr>
          <w:ilvl w:val="0"/>
          <w:numId w:val="12"/>
        </w:numPr>
        <w:spacing w:line="360" w:lineRule="auto"/>
        <w:ind w:firstLine="482" w:firstLineChars="0"/>
        <w:rPr>
          <w:rFonts w:hint="eastAsia" w:ascii="宋体" w:hAnsi="宋体" w:eastAsia="宋体" w:cs="宋体"/>
          <w:b/>
          <w:bCs/>
        </w:rPr>
      </w:pPr>
      <w:r>
        <w:rPr>
          <w:rFonts w:hint="eastAsia" w:ascii="宋体" w:hAnsi="宋体" w:eastAsia="宋体" w:cs="宋体"/>
          <w:b/>
          <w:bCs/>
        </w:rPr>
        <w:t>角色管理</w:t>
      </w:r>
    </w:p>
    <w:p w14:paraId="7A84408C">
      <w:pPr>
        <w:adjustRightInd w:val="0"/>
        <w:snapToGrid w:val="0"/>
        <w:spacing w:line="360" w:lineRule="auto"/>
        <w:ind w:firstLine="480"/>
        <w:rPr>
          <w:rFonts w:hint="eastAsia" w:ascii="宋体" w:hAnsi="宋体" w:eastAsia="宋体" w:cs="宋体"/>
        </w:rPr>
      </w:pPr>
      <w:r>
        <w:rPr>
          <w:rFonts w:hint="eastAsia" w:ascii="宋体" w:hAnsi="宋体" w:eastAsia="宋体" w:cs="宋体"/>
        </w:rPr>
        <w:t>主要负责创建、维护不同业务角色，支持为角色配置菜单权限、数据权限，实现对平台数据和权限的安全隔离。</w:t>
      </w:r>
    </w:p>
    <w:p w14:paraId="3EAD2ACD">
      <w:pPr>
        <w:numPr>
          <w:ilvl w:val="0"/>
          <w:numId w:val="12"/>
        </w:numPr>
        <w:spacing w:line="360" w:lineRule="auto"/>
        <w:ind w:firstLine="482" w:firstLineChars="0"/>
        <w:rPr>
          <w:rFonts w:hint="eastAsia" w:ascii="宋体" w:hAnsi="宋体" w:eastAsia="宋体" w:cs="宋体"/>
          <w:b/>
          <w:bCs/>
        </w:rPr>
      </w:pPr>
      <w:r>
        <w:rPr>
          <w:rFonts w:hint="eastAsia" w:ascii="宋体" w:hAnsi="宋体" w:eastAsia="宋体" w:cs="宋体"/>
          <w:b/>
          <w:bCs/>
        </w:rPr>
        <w:t>组织单位</w:t>
      </w:r>
    </w:p>
    <w:p w14:paraId="144FE2B3">
      <w:pPr>
        <w:adjustRightInd w:val="0"/>
        <w:snapToGrid w:val="0"/>
        <w:spacing w:line="360" w:lineRule="auto"/>
        <w:ind w:firstLine="480"/>
        <w:rPr>
          <w:rFonts w:hint="eastAsia" w:ascii="宋体" w:hAnsi="宋体" w:eastAsia="宋体" w:cs="宋体"/>
        </w:rPr>
      </w:pPr>
      <w:r>
        <w:rPr>
          <w:rFonts w:hint="eastAsia" w:ascii="宋体" w:hAnsi="宋体" w:eastAsia="宋体" w:cs="宋体"/>
        </w:rPr>
        <w:t>主要负责搭建并维护平台的多级组织架构体系，为用户、角色、数据权限分层管控提供支撑。</w:t>
      </w:r>
    </w:p>
    <w:p w14:paraId="57B8B9E7">
      <w:pPr>
        <w:numPr>
          <w:ilvl w:val="0"/>
          <w:numId w:val="12"/>
        </w:numPr>
        <w:spacing w:line="360" w:lineRule="auto"/>
        <w:ind w:firstLine="482" w:firstLineChars="0"/>
        <w:rPr>
          <w:rFonts w:hint="eastAsia" w:ascii="宋体" w:hAnsi="宋体" w:eastAsia="宋体" w:cs="宋体"/>
          <w:b/>
          <w:bCs/>
        </w:rPr>
      </w:pPr>
      <w:r>
        <w:rPr>
          <w:rFonts w:hint="eastAsia" w:ascii="宋体" w:hAnsi="宋体" w:eastAsia="宋体" w:cs="宋体"/>
          <w:b/>
          <w:bCs/>
        </w:rPr>
        <w:t>日志管理</w:t>
      </w:r>
    </w:p>
    <w:p w14:paraId="64C0BAB1">
      <w:pPr>
        <w:spacing w:line="360" w:lineRule="auto"/>
        <w:ind w:firstLine="480"/>
        <w:rPr>
          <w:rFonts w:hint="eastAsia" w:ascii="宋体" w:hAnsi="宋体" w:eastAsia="宋体" w:cs="宋体"/>
        </w:rPr>
      </w:pPr>
      <w:r>
        <w:rPr>
          <w:rFonts w:hint="eastAsia" w:ascii="宋体" w:hAnsi="宋体" w:eastAsia="宋体" w:cs="宋体"/>
        </w:rPr>
        <w:t>该模块自动记录平台所有用户的关键操作行为，涵盖操作日志、登录日志，是平台操作行为的留痕中心，为平台合规运行、故障排查提供完整数据支撑。</w:t>
      </w:r>
    </w:p>
    <w:p w14:paraId="50C70818">
      <w:pPr>
        <w:numPr>
          <w:ilvl w:val="0"/>
          <w:numId w:val="12"/>
        </w:numPr>
        <w:spacing w:line="360" w:lineRule="auto"/>
        <w:ind w:firstLine="482" w:firstLineChars="0"/>
        <w:rPr>
          <w:rFonts w:hint="eastAsia" w:ascii="宋体" w:hAnsi="宋体" w:eastAsia="宋体" w:cs="宋体"/>
          <w:b/>
          <w:bCs/>
        </w:rPr>
      </w:pPr>
      <w:r>
        <w:rPr>
          <w:rFonts w:hint="eastAsia" w:ascii="宋体" w:hAnsi="宋体" w:eastAsia="宋体" w:cs="宋体"/>
          <w:b/>
          <w:bCs/>
        </w:rPr>
        <w:t>站内信提醒</w:t>
      </w:r>
    </w:p>
    <w:p w14:paraId="7E8E5ADB">
      <w:pPr>
        <w:spacing w:line="360" w:lineRule="auto"/>
        <w:ind w:firstLine="480"/>
        <w:rPr>
          <w:rFonts w:hint="eastAsia" w:ascii="宋体" w:hAnsi="宋体" w:eastAsia="宋体" w:cs="宋体"/>
        </w:rPr>
      </w:pPr>
      <w:r>
        <w:rPr>
          <w:rFonts w:hint="eastAsia" w:ascii="宋体" w:hAnsi="宋体" w:eastAsia="宋体" w:cs="宋体"/>
        </w:rPr>
        <w:t>该模块自动发站内信到用户，涵盖需求信息、订单信息、任务执行信息、异常信息，自动发送给对应数据权限用户，提醒用户及时处理平台信息。</w:t>
      </w:r>
    </w:p>
    <w:p w14:paraId="3640711B">
      <w:pPr>
        <w:ind w:firstLine="0" w:firstLineChars="0"/>
      </w:pPr>
    </w:p>
    <w:p w14:paraId="613FE1DD">
      <w:pPr>
        <w:pStyle w:val="7"/>
        <w:spacing w:line="360" w:lineRule="auto"/>
      </w:pPr>
      <w:bookmarkStart w:id="2" w:name="OLE_LINK8"/>
      <w:r>
        <w:rPr>
          <w:rFonts w:hint="eastAsia"/>
        </w:rPr>
        <w:t>4</w:t>
      </w:r>
      <w:r>
        <w:t>.1.1.4.</w:t>
      </w:r>
      <w:r>
        <w:rPr>
          <w:rFonts w:hint="eastAsia"/>
        </w:rPr>
        <w:t>2</w:t>
      </w:r>
      <w:r>
        <w:t>低空飞行</w:t>
      </w:r>
      <w:r>
        <w:rPr>
          <w:rFonts w:hint="eastAsia"/>
        </w:rPr>
        <w:t>管理与</w:t>
      </w:r>
      <w:r>
        <w:t>服务平台</w:t>
      </w:r>
    </w:p>
    <w:bookmarkEnd w:id="2"/>
    <w:p w14:paraId="6AC8B8F1">
      <w:pPr>
        <w:numPr>
          <w:ilvl w:val="0"/>
          <w:numId w:val="14"/>
        </w:numPr>
        <w:spacing w:line="360" w:lineRule="auto"/>
        <w:ind w:firstLineChars="0"/>
        <w:rPr>
          <w:rFonts w:hint="eastAsia" w:ascii="宋体" w:hAnsi="宋体" w:eastAsia="宋体" w:cs="Times New Roman"/>
          <w:b/>
          <w:bCs/>
        </w:rPr>
      </w:pPr>
      <w:r>
        <w:rPr>
          <w:rFonts w:ascii="宋体" w:hAnsi="宋体" w:eastAsia="宋体" w:cs="Times New Roman"/>
          <w:b/>
          <w:bCs/>
        </w:rPr>
        <w:t>认证管理</w:t>
      </w:r>
    </w:p>
    <w:p w14:paraId="316BF7B4">
      <w:pPr>
        <w:spacing w:line="360" w:lineRule="auto"/>
        <w:ind w:firstLine="480"/>
        <w:rPr>
          <w:rFonts w:hint="eastAsia" w:ascii="宋体" w:hAnsi="宋体" w:eastAsia="宋体" w:cs="Times New Roman"/>
        </w:rPr>
      </w:pPr>
      <w:r>
        <w:rPr>
          <w:rFonts w:ascii="宋体" w:hAnsi="宋体" w:eastAsia="宋体" w:cs="Times New Roman"/>
        </w:rPr>
        <w:t>认证管理模块聚焦低空领域全主体资质管控，涵盖企业认证、个人认证、无人机飞手认证、无人驾驶航空器管理、通航驾驶员认证、通航航空器认证六大核心模块，构建全流程、规范化、可追溯的认证管理体系。</w:t>
      </w:r>
    </w:p>
    <w:p w14:paraId="160A7B80">
      <w:pPr>
        <w:spacing w:line="360" w:lineRule="auto"/>
        <w:ind w:firstLine="480"/>
        <w:rPr>
          <w:rFonts w:hint="eastAsia" w:ascii="宋体" w:hAnsi="宋体" w:eastAsia="宋体" w:cs="Times New Roman"/>
        </w:rPr>
      </w:pPr>
      <w:r>
        <w:rPr>
          <w:rFonts w:ascii="宋体" w:hAnsi="宋体" w:eastAsia="宋体" w:cs="Times New Roman"/>
        </w:rPr>
        <w:t>该模块围绕信息全生命周期设计功能，覆盖信息登记、修改、删除、查询、详情浏览、资质审核、状态变更、到期提醒、续期办理等基础能力，配套统计报表、数据导出、外部接口同步等拓展功能。同时建立多层校验机制，包含前端格式校验、官方接口在线核验、本地规则兜底验证，采用软删除、权限分级、操作日志全记录等安全管控手段，保障数据合规与可审计。</w:t>
      </w:r>
    </w:p>
    <w:p w14:paraId="2B309F70">
      <w:pPr>
        <w:spacing w:line="360" w:lineRule="auto"/>
        <w:ind w:firstLine="480"/>
        <w:rPr>
          <w:rFonts w:hint="eastAsia" w:ascii="宋体" w:hAnsi="宋体" w:eastAsia="宋体" w:cs="Times New Roman"/>
        </w:rPr>
      </w:pPr>
      <w:r>
        <w:rPr>
          <w:rFonts w:ascii="宋体" w:hAnsi="宋体" w:eastAsia="宋体" w:cs="Times New Roman"/>
        </w:rPr>
        <w:t>针对各类主体差异化管理需求，定制专属审批流程、资质材料上传、证照有效期监控，配套数据加密存储、定期备份、分库分表架构，提升系统稳定性与数据安全性。此外，该模块数据导出及内外系统接口互联互通，实现认证业务线上化、审核流程标准化、数据监管智能化，满足低空行业企业、个人、飞手、航空器及通航相关主体的资质备案、审核管控与动态监管需求。</w:t>
      </w:r>
    </w:p>
    <w:p w14:paraId="03615F89">
      <w:pPr>
        <w:numPr>
          <w:ilvl w:val="0"/>
          <w:numId w:val="14"/>
        </w:numPr>
        <w:spacing w:line="360" w:lineRule="auto"/>
        <w:ind w:firstLineChars="0"/>
        <w:rPr>
          <w:rFonts w:hint="eastAsia" w:ascii="宋体" w:hAnsi="宋体" w:eastAsia="宋体" w:cs="Times New Roman"/>
          <w:b/>
          <w:bCs/>
        </w:rPr>
      </w:pPr>
      <w:r>
        <w:rPr>
          <w:rFonts w:ascii="宋体" w:hAnsi="宋体" w:eastAsia="宋体" w:cs="Times New Roman"/>
          <w:b/>
          <w:bCs/>
        </w:rPr>
        <w:t>飞行申请</w:t>
      </w:r>
    </w:p>
    <w:p w14:paraId="499AC810">
      <w:pPr>
        <w:spacing w:line="360" w:lineRule="auto"/>
        <w:ind w:firstLine="480"/>
        <w:rPr>
          <w:rFonts w:hint="eastAsia" w:ascii="宋体" w:hAnsi="宋体" w:eastAsia="宋体" w:cs="Times New Roman"/>
        </w:rPr>
      </w:pPr>
      <w:r>
        <w:rPr>
          <w:rFonts w:ascii="宋体" w:hAnsi="宋体" w:eastAsia="宋体" w:cs="Times New Roman"/>
        </w:rPr>
        <w:t>飞行申请模块围绕低空飞行全场景业务需求，构建通航空域申请、通航飞行计划申请、无人机一般飞行活动、无人机长期飞行活动、无人机场内飞行活动五大业务板块，实现各类飞行申请全流程线上化、规范化、闭环化管理，适配通航与无人机多类型飞行作业申报及监管需求。</w:t>
      </w:r>
    </w:p>
    <w:p w14:paraId="51F9D79E">
      <w:pPr>
        <w:spacing w:line="360" w:lineRule="auto"/>
        <w:ind w:firstLine="480"/>
        <w:rPr>
          <w:rFonts w:hint="eastAsia" w:ascii="宋体" w:hAnsi="宋体" w:eastAsia="宋体" w:cs="Times New Roman"/>
        </w:rPr>
      </w:pPr>
      <w:r>
        <w:rPr>
          <w:rFonts w:ascii="宋体" w:hAnsi="宋体" w:eastAsia="宋体" w:cs="Times New Roman"/>
        </w:rPr>
        <w:t>该模块统一设计标准化业务流程，涵盖基础信息填报、空域航线可视化标注、资质材料自动合规校验、申请提交、状态查询、修改撤回、多级审核流转、批件上传与下载、飞行计划导出、历史飞行计划查询及消息通知等全链路核心功能。支持电子地图圈选飞行空域、航线自动规划、禁飞区智能避让、证照有效性自动核验，从源头提升申请信息合规性，降低审核驳回率。</w:t>
      </w:r>
    </w:p>
    <w:p w14:paraId="78D19F03">
      <w:pPr>
        <w:spacing w:line="360" w:lineRule="auto"/>
        <w:ind w:firstLine="480"/>
        <w:rPr>
          <w:rFonts w:hint="eastAsia" w:ascii="宋体" w:hAnsi="宋体" w:eastAsia="宋体" w:cs="Times New Roman"/>
        </w:rPr>
      </w:pPr>
      <w:r>
        <w:rPr>
          <w:rFonts w:ascii="宋体" w:hAnsi="宋体" w:eastAsia="宋体" w:cs="Times New Roman"/>
        </w:rPr>
        <w:t>针对不同飞行场景差异化设计业务规则，支持已备案补录、一般/紧急飞行、长期飞行、场内飞行等申报模式，配置分级审核流程，支持系统自动审批与人工审批协同。同时设置起飞确认、降落报备关键管控环节，形成飞行申请、审批、执行、报备的全生命周期监管闭环。</w:t>
      </w:r>
    </w:p>
    <w:p w14:paraId="1CCE3565">
      <w:pPr>
        <w:spacing w:line="360" w:lineRule="auto"/>
        <w:ind w:firstLine="480"/>
        <w:rPr>
          <w:rFonts w:hint="eastAsia" w:ascii="宋体" w:hAnsi="宋体" w:eastAsia="宋体" w:cs="Times New Roman"/>
        </w:rPr>
      </w:pPr>
      <w:r>
        <w:rPr>
          <w:rFonts w:ascii="宋体" w:hAnsi="宋体" w:eastAsia="宋体" w:cs="Times New Roman"/>
        </w:rPr>
        <w:t>该模块具备完善的用户服务与管理能力，通过短信、站内信多渠道实时推送申请状态、审核意见及补材提醒；支持电子批件在线预览、打印、Excel格式数据导出归档。整体架构兼顾申请便捷性、审核严谨性、飞行安全性与监管可追溯性，全面满足低空飞行活动规范化申报、流程审批、动态监管与数据运营管理需求。</w:t>
      </w:r>
    </w:p>
    <w:p w14:paraId="2DE32E8C">
      <w:pPr>
        <w:numPr>
          <w:ilvl w:val="0"/>
          <w:numId w:val="14"/>
        </w:numPr>
        <w:spacing w:line="360" w:lineRule="auto"/>
        <w:ind w:firstLineChars="0"/>
        <w:rPr>
          <w:rFonts w:hint="eastAsia" w:ascii="宋体" w:hAnsi="宋体" w:eastAsia="宋体" w:cs="Times New Roman"/>
          <w:b/>
          <w:bCs/>
        </w:rPr>
      </w:pPr>
      <w:r>
        <w:rPr>
          <w:rFonts w:ascii="宋体" w:hAnsi="宋体" w:eastAsia="宋体" w:cs="Times New Roman"/>
          <w:b/>
          <w:bCs/>
        </w:rPr>
        <w:t>飞行监视</w:t>
      </w:r>
    </w:p>
    <w:p w14:paraId="7F7D75F1">
      <w:pPr>
        <w:spacing w:line="360" w:lineRule="auto"/>
        <w:ind w:firstLine="480"/>
        <w:rPr>
          <w:rFonts w:hint="eastAsia" w:ascii="宋体" w:hAnsi="宋体" w:eastAsia="宋体" w:cs="Times New Roman"/>
        </w:rPr>
      </w:pPr>
      <w:r>
        <w:rPr>
          <w:rFonts w:ascii="宋体" w:hAnsi="宋体" w:eastAsia="宋体" w:cs="Times New Roman"/>
        </w:rPr>
        <w:t>飞行监视模块依托电子地图底座，整合地图交互、专业测量工具、飞行计划管控、航空器动态监视、状态标牌、告警预警、气象服务及多类业务图层等核心能力，构建二维+三维一体化低空飞行全域可视化监视体系，实现通航飞机、无人机等航空器全时段、全要素、全轨迹智能监控。</w:t>
      </w:r>
    </w:p>
    <w:p w14:paraId="0B228A87">
      <w:pPr>
        <w:spacing w:line="360" w:lineRule="auto"/>
        <w:ind w:firstLine="480"/>
        <w:rPr>
          <w:rFonts w:hint="eastAsia" w:ascii="宋体" w:hAnsi="宋体" w:eastAsia="宋体" w:cs="Times New Roman"/>
        </w:rPr>
      </w:pPr>
      <w:r>
        <w:rPr>
          <w:rFonts w:ascii="宋体" w:hAnsi="宋体" w:eastAsia="宋体" w:cs="Times New Roman"/>
        </w:rPr>
        <w:t>该模块搭建基础电子地图引擎，支持离线地图加载、坐标系适配、缩放平移、旋转倾斜、图层控制等基础交互能力。内置距离、面积专业测量工具，支持多点连续测距、不规则区域测面。</w:t>
      </w:r>
    </w:p>
    <w:p w14:paraId="472906C7">
      <w:pPr>
        <w:spacing w:line="360" w:lineRule="auto"/>
        <w:ind w:firstLine="480"/>
        <w:rPr>
          <w:rFonts w:hint="eastAsia" w:ascii="宋体" w:hAnsi="宋体" w:eastAsia="宋体" w:cs="Times New Roman"/>
        </w:rPr>
      </w:pPr>
      <w:r>
        <w:rPr>
          <w:rFonts w:ascii="宋体" w:hAnsi="宋体" w:eastAsia="宋体" w:cs="Times New Roman"/>
        </w:rPr>
        <w:t>该模块建立全时域动态监控与智能告警体系。基于通导监多源融合网络，构建米级精度的无人机动态监控系统。通过整合频谱、报文解析设备等数据，实现无人机实时位置追踪，在地图动态渲染图标并标注高度/速度矢量。系统建立立体空域网格模型，当无人机超速或超高度时，自动触发告警。创新采用最新技术实现轨迹精细化管理，为空域规则优化提供决策支撑，形成监控-预警-处置-评估的管理闭环。</w:t>
      </w:r>
    </w:p>
    <w:p w14:paraId="0BF5E0CE">
      <w:pPr>
        <w:spacing w:line="360" w:lineRule="auto"/>
        <w:ind w:firstLine="480"/>
        <w:rPr>
          <w:rFonts w:hint="eastAsia" w:ascii="宋体" w:hAnsi="宋体" w:eastAsia="宋体" w:cs="Times New Roman"/>
        </w:rPr>
      </w:pPr>
      <w:r>
        <w:rPr>
          <w:rFonts w:ascii="宋体" w:hAnsi="宋体" w:eastAsia="宋体" w:cs="Times New Roman"/>
        </w:rPr>
        <w:t>围绕当日飞行计划实现列表展示、详情预览、状态实时更新，结合可视化图表完成当日飞行计划动态跟踪。搭建航空器实时动态监视模块，实现目标位置秒级标绘、航向图标自适应旋转，通过轨迹平滑抽稀算法优化展示效果，支持实际航线与计划航线叠加比对、异常飞行行为智能预警，提供二维与三维多视角态势查看。</w:t>
      </w:r>
    </w:p>
    <w:p w14:paraId="72BDF083">
      <w:pPr>
        <w:spacing w:line="360" w:lineRule="auto"/>
        <w:ind w:firstLine="480"/>
        <w:rPr>
          <w:rFonts w:hint="eastAsia" w:ascii="宋体" w:hAnsi="宋体" w:eastAsia="宋体" w:cs="Times New Roman"/>
        </w:rPr>
      </w:pPr>
      <w:r>
        <w:rPr>
          <w:rFonts w:ascii="宋体" w:hAnsi="宋体" w:eastAsia="宋体" w:cs="Times New Roman"/>
        </w:rPr>
        <w:t>该模块集成航空器状态标牌管理，实现基础信息实时刷新、飞行轨迹呈现，支持按需控制标牌显隐，提升密集空情下的识别效率。构建完整告警预警闭环机制，集中展示告警列表、声光提示，支持全过程留痕及历史告警统计，实现风险早发现、早处置、可追溯。</w:t>
      </w:r>
    </w:p>
    <w:p w14:paraId="7BC0BBD6">
      <w:pPr>
        <w:spacing w:line="360" w:lineRule="auto"/>
        <w:ind w:firstLine="480"/>
        <w:rPr>
          <w:rFonts w:hint="eastAsia" w:ascii="宋体" w:hAnsi="宋体" w:eastAsia="宋体" w:cs="Times New Roman"/>
        </w:rPr>
      </w:pPr>
      <w:r>
        <w:rPr>
          <w:rFonts w:ascii="宋体" w:hAnsi="宋体" w:eastAsia="宋体" w:cs="Times New Roman"/>
        </w:rPr>
        <w:t>接入权威气象数据源，提供实时网格气象要素展示、气象预警定向推送。同时配置空域、航空器、通导监设施、起降场等多业务图层，可自由叠加切换、显隐控制，全方位融合地理、空域、设施、气象等多维数据，为低空飞行态势监控、安全预警、运行管理及应急指挥提供可视化、智能化技术支撑。</w:t>
      </w:r>
    </w:p>
    <w:p w14:paraId="2BF2F076">
      <w:pPr>
        <w:numPr>
          <w:ilvl w:val="0"/>
          <w:numId w:val="14"/>
        </w:numPr>
        <w:spacing w:line="360" w:lineRule="auto"/>
        <w:ind w:firstLineChars="0"/>
        <w:rPr>
          <w:rFonts w:hint="eastAsia" w:ascii="宋体" w:hAnsi="宋体" w:eastAsia="宋体" w:cs="Times New Roman"/>
          <w:b/>
          <w:bCs/>
        </w:rPr>
      </w:pPr>
      <w:r>
        <w:rPr>
          <w:rFonts w:ascii="宋体" w:hAnsi="宋体" w:eastAsia="宋体" w:cs="Times New Roman"/>
          <w:b/>
          <w:bCs/>
        </w:rPr>
        <w:t>航空情报</w:t>
      </w:r>
    </w:p>
    <w:p w14:paraId="21FFB21D">
      <w:pPr>
        <w:spacing w:line="360" w:lineRule="auto"/>
        <w:ind w:firstLine="480"/>
        <w:rPr>
          <w:rFonts w:hint="eastAsia" w:ascii="宋体" w:hAnsi="宋体" w:eastAsia="宋体" w:cs="Times New Roman"/>
        </w:rPr>
      </w:pPr>
      <w:r>
        <w:rPr>
          <w:rFonts w:ascii="宋体" w:hAnsi="宋体" w:eastAsia="宋体" w:cs="Times New Roman"/>
        </w:rPr>
        <w:t>航空情报模块围绕低空航空运行保障需求，构建起降场管理、公众情报服务、基础设备管理服务三大核心业务板块，实现低空基础资源、公共情报发布、起降场信息的全流程数字化、规范化与可追溯管理，为低空飞行活动提供权威、及时、完整的航空情报支撑。</w:t>
      </w:r>
    </w:p>
    <w:p w14:paraId="6960D4CE">
      <w:pPr>
        <w:spacing w:line="360" w:lineRule="auto"/>
        <w:ind w:firstLine="480"/>
        <w:rPr>
          <w:rFonts w:hint="eastAsia" w:ascii="宋体" w:hAnsi="宋体" w:eastAsia="宋体" w:cs="Times New Roman"/>
        </w:rPr>
      </w:pPr>
      <w:r>
        <w:rPr>
          <w:rFonts w:ascii="宋体" w:hAnsi="宋体" w:eastAsia="宋体" w:cs="Times New Roman"/>
        </w:rPr>
        <w:t>在起降场管理服务方面，系统支持单条新增、多条件筛选查询、信息编辑维护、状态管控及单条与批量删除全生命周期管理。具备数据格式校验、唯一生成标识ID、关联业务数据前置校验、逻辑/物理删除等能力，同时支持数据备份、跨系统共享需求，实现起降场资源标准化建档与动态维护。</w:t>
      </w:r>
    </w:p>
    <w:p w14:paraId="42D0CD9C">
      <w:pPr>
        <w:spacing w:line="360" w:lineRule="auto"/>
        <w:ind w:firstLine="480"/>
        <w:rPr>
          <w:rFonts w:hint="eastAsia" w:ascii="宋体" w:hAnsi="宋体" w:eastAsia="宋体" w:cs="Times New Roman"/>
        </w:rPr>
      </w:pPr>
      <w:r>
        <w:rPr>
          <w:rFonts w:ascii="宋体" w:hAnsi="宋体" w:eastAsia="宋体" w:cs="Times New Roman"/>
        </w:rPr>
        <w:t>公众情报服务搭建从情报录入、合规校验、审核发布、定时推送、日常管理、多维度查询到修改删除的完整业务流程。支持情报标题、内容、有效期、关联空域等要素标准化录入，实行发布前合规校验与人工审核机制，可即时或定时对外发布；按情报状态进行分类管控，精细化配置操作权限，全程留存操作日志，保障航空公众情报发布的严肃性、时效性和合规可追溯性。</w:t>
      </w:r>
    </w:p>
    <w:p w14:paraId="5F6CAD4A">
      <w:pPr>
        <w:spacing w:line="360" w:lineRule="auto"/>
        <w:ind w:firstLine="480"/>
        <w:rPr>
          <w:rFonts w:hint="eastAsia" w:ascii="宋体" w:hAnsi="宋体" w:eastAsia="宋体" w:cs="Times New Roman"/>
        </w:rPr>
      </w:pPr>
      <w:r>
        <w:rPr>
          <w:rFonts w:ascii="宋体" w:hAnsi="宋体" w:eastAsia="宋体" w:cs="Times New Roman"/>
        </w:rPr>
        <w:t>基础设备管理服务统筹监视、低空反制、无人机</w:t>
      </w:r>
      <w:r>
        <w:rPr>
          <w:rFonts w:hint="eastAsia" w:ascii="宋体" w:hAnsi="宋体" w:eastAsia="宋体" w:cs="Times New Roman"/>
        </w:rPr>
        <w:t>等</w:t>
      </w:r>
      <w:r>
        <w:rPr>
          <w:rFonts w:ascii="宋体" w:hAnsi="宋体" w:eastAsia="宋体" w:cs="Times New Roman"/>
        </w:rPr>
        <w:t>设备全生命周期管控，搭建标准化设备电子台账，支持多条件检索、导出；系统实时监测设备在线运行、离线、异常等状态，分级管控操作权限并留存全程操作日志，实现低空配套设施资源统一建档、动态监控可追溯，夯实低空飞行运行的设备保障底座。</w:t>
      </w:r>
    </w:p>
    <w:p w14:paraId="6740E4FE">
      <w:pPr>
        <w:spacing w:line="360" w:lineRule="auto"/>
        <w:ind w:firstLine="480"/>
        <w:rPr>
          <w:rFonts w:hint="eastAsia" w:ascii="宋体" w:hAnsi="宋体" w:eastAsia="宋体" w:cs="Times New Roman"/>
        </w:rPr>
      </w:pPr>
      <w:r>
        <w:rPr>
          <w:rFonts w:ascii="宋体" w:hAnsi="宋体" w:eastAsia="宋体" w:cs="Times New Roman"/>
        </w:rPr>
        <w:t>整体系统实现航空基础资源、公共情报、起降场信息一体化管理，流程规范、权限严密、数据可溯，有效支撑低空飞行规划、运行监控与安全保障的情报服务需求。</w:t>
      </w:r>
    </w:p>
    <w:p w14:paraId="3F9DE0CE">
      <w:pPr>
        <w:numPr>
          <w:ilvl w:val="0"/>
          <w:numId w:val="14"/>
        </w:numPr>
        <w:spacing w:line="360" w:lineRule="auto"/>
        <w:ind w:firstLineChars="0"/>
        <w:rPr>
          <w:rFonts w:hint="eastAsia" w:ascii="宋体" w:hAnsi="宋体" w:eastAsia="宋体" w:cs="Times New Roman"/>
          <w:b/>
          <w:bCs/>
        </w:rPr>
      </w:pPr>
      <w:r>
        <w:rPr>
          <w:rFonts w:ascii="宋体" w:hAnsi="宋体" w:eastAsia="宋体" w:cs="Times New Roman"/>
          <w:b/>
          <w:bCs/>
        </w:rPr>
        <w:t>航空气象</w:t>
      </w:r>
    </w:p>
    <w:p w14:paraId="26C61455">
      <w:pPr>
        <w:spacing w:line="360" w:lineRule="auto"/>
        <w:ind w:firstLine="480"/>
        <w:rPr>
          <w:rFonts w:hint="eastAsia" w:ascii="宋体" w:hAnsi="宋体" w:eastAsia="宋体" w:cs="Times New Roman"/>
        </w:rPr>
      </w:pPr>
      <w:r>
        <w:rPr>
          <w:rFonts w:ascii="宋体" w:hAnsi="宋体" w:eastAsia="宋体" w:cs="Times New Roman"/>
        </w:rPr>
        <w:t>航空气象模块主要构建天气实况、24小时天气预报、气象预警三大功能体系，全面支撑飞行气象保障与安全决策工作。</w:t>
      </w:r>
    </w:p>
    <w:p w14:paraId="1806BE06">
      <w:pPr>
        <w:spacing w:line="360" w:lineRule="auto"/>
        <w:ind w:firstLine="480"/>
        <w:rPr>
          <w:rFonts w:hint="eastAsia" w:ascii="宋体" w:hAnsi="宋体" w:eastAsia="宋体" w:cs="Times New Roman"/>
        </w:rPr>
      </w:pPr>
      <w:r>
        <w:rPr>
          <w:rFonts w:ascii="宋体" w:hAnsi="宋体" w:eastAsia="宋体" w:cs="Times New Roman"/>
        </w:rPr>
        <w:t>天气实况模块支持格点实时天气联动展示，在同一界面融合不同时间维度气象数据，直观展现当前天气演变趋势，为飞行决策提供连续数据支撑。</w:t>
      </w:r>
    </w:p>
    <w:p w14:paraId="55B4A80C">
      <w:pPr>
        <w:spacing w:line="360" w:lineRule="auto"/>
        <w:ind w:firstLine="480"/>
        <w:rPr>
          <w:rFonts w:hint="eastAsia" w:ascii="宋体" w:hAnsi="宋体" w:eastAsia="宋体" w:cs="Times New Roman"/>
        </w:rPr>
      </w:pPr>
      <w:r>
        <w:rPr>
          <w:rFonts w:ascii="宋体" w:hAnsi="宋体" w:eastAsia="宋体" w:cs="Times New Roman"/>
        </w:rPr>
        <w:t>24小时天气预报模块对接权威气象接口，实现未来24小时逐小时气象要素预报，涵盖温度、湿度、风向、风速、当前小时累计降水量等指标，依托时间轴实现分时浏览与单要素查看，支持数据自动刷新功能。</w:t>
      </w:r>
    </w:p>
    <w:p w14:paraId="0E9FB339">
      <w:pPr>
        <w:spacing w:line="360" w:lineRule="auto"/>
        <w:ind w:firstLine="480"/>
        <w:rPr>
          <w:rFonts w:hint="eastAsia" w:ascii="宋体" w:hAnsi="宋体" w:eastAsia="宋体" w:cs="Times New Roman"/>
        </w:rPr>
      </w:pPr>
      <w:r>
        <w:rPr>
          <w:rFonts w:ascii="宋体" w:hAnsi="宋体" w:eastAsia="宋体" w:cs="Times New Roman"/>
        </w:rPr>
        <w:t>气象预警模块通过气象预警接口，实时接收暴雨、雷电、大风、大雾等预警信息，按类型、等级、发布时间及影响范围结构化展示，预警状态变动时自动更新并弹窗提醒。可智能解析预警地理范围，在电子地图以色块标注受影响区域，并生成专业飞行建议。</w:t>
      </w:r>
    </w:p>
    <w:p w14:paraId="1FAB4389">
      <w:pPr>
        <w:numPr>
          <w:ilvl w:val="0"/>
          <w:numId w:val="14"/>
        </w:numPr>
        <w:spacing w:line="360" w:lineRule="auto"/>
        <w:ind w:firstLineChars="0"/>
        <w:rPr>
          <w:rFonts w:hint="eastAsia" w:ascii="宋体" w:hAnsi="宋体" w:eastAsia="宋体" w:cs="Times New Roman"/>
          <w:b/>
          <w:bCs/>
        </w:rPr>
      </w:pPr>
      <w:r>
        <w:rPr>
          <w:rFonts w:ascii="宋体" w:hAnsi="宋体" w:eastAsia="宋体" w:cs="Times New Roman"/>
          <w:b/>
          <w:bCs/>
        </w:rPr>
        <w:t>空域管理</w:t>
      </w:r>
    </w:p>
    <w:p w14:paraId="084AB098">
      <w:pPr>
        <w:spacing w:line="360" w:lineRule="auto"/>
        <w:ind w:firstLine="480"/>
        <w:rPr>
          <w:rFonts w:hint="eastAsia" w:ascii="宋体" w:hAnsi="宋体" w:eastAsia="宋体" w:cs="Times New Roman"/>
        </w:rPr>
      </w:pPr>
      <w:r>
        <w:rPr>
          <w:rFonts w:ascii="宋体" w:hAnsi="宋体" w:eastAsia="宋体" w:cs="Times New Roman"/>
        </w:rPr>
        <w:t>空域管理模块围绕低空飞行管控核心需求，构建空域信息管理、航线信息管理两大核心业务模块，实现空域与航线资源从新增录入、批量处理、查询检索、日常维护到安全删除的全生命周期数字化、规范化管控，为飞行申请、监视调度、运行监管提供基础空域航线数据支撑。</w:t>
      </w:r>
    </w:p>
    <w:p w14:paraId="3465782F">
      <w:pPr>
        <w:spacing w:line="360" w:lineRule="auto"/>
        <w:ind w:firstLine="480"/>
        <w:rPr>
          <w:rFonts w:hint="eastAsia" w:ascii="宋体" w:hAnsi="宋体" w:eastAsia="宋体" w:cs="Times New Roman"/>
        </w:rPr>
      </w:pPr>
      <w:r>
        <w:rPr>
          <w:rFonts w:ascii="宋体" w:hAnsi="宋体" w:eastAsia="宋体" w:cs="Times New Roman"/>
        </w:rPr>
        <w:t>空域管理模块支持单条手动新增与模板批量导入两种录入方式，可完整登记空域名称、范围坐标、使用时段、管制单位等关键信息，并内置格式、逻辑自动校验机制，保障入库数据合规准确。系统提供多维度组合查询能力，支持精确与模糊检索，查询结果分页展示并可联动地图可视化空域范围。同时具备空域信息编辑、状态管控、关联业务维护能力，区分核心字段与普通字段权限管控，全程留存变更日志。支持按条件筛选批量导出数据，提供Excel标准格式；采用逻辑删除为主、特殊权限物理删除为辅的模式，执行删除前进行业务关联校验并留存操作日志，兼顾数据安全与可追溯性。</w:t>
      </w:r>
    </w:p>
    <w:p w14:paraId="33C0690F">
      <w:pPr>
        <w:spacing w:line="360" w:lineRule="auto"/>
        <w:ind w:firstLine="480"/>
        <w:rPr>
          <w:rFonts w:hint="eastAsia" w:ascii="宋体" w:hAnsi="宋体" w:eastAsia="宋体" w:cs="Times New Roman"/>
        </w:rPr>
      </w:pPr>
      <w:r>
        <w:rPr>
          <w:rFonts w:ascii="宋体" w:hAnsi="宋体" w:eastAsia="宋体" w:cs="Times New Roman"/>
        </w:rPr>
        <w:t>航线管理模块具备与空域管理一致的标准化业务流程，支持单条新增和批量模板导入，可录入航线起止点、途经点、飞行高度、有效期等信息，入库前完成坐标合规、空域冲突等自动校验。提供多条件组合查询、分页排序及详情查看功能，完整展示航线路径、空域穿越及飞行限制等信息。同时支持批量数据导出，单条及批量删除前自动校验关联飞行计划等业务数据，避免误删影响正常业务运行。</w:t>
      </w:r>
    </w:p>
    <w:p w14:paraId="778B30F3">
      <w:pPr>
        <w:spacing w:line="360" w:lineRule="auto"/>
        <w:ind w:firstLine="480"/>
        <w:rPr>
          <w:rFonts w:hint="eastAsia" w:ascii="宋体" w:hAnsi="宋体" w:eastAsia="宋体" w:cs="Times New Roman"/>
        </w:rPr>
      </w:pPr>
      <w:r>
        <w:rPr>
          <w:rFonts w:ascii="宋体" w:hAnsi="宋体" w:eastAsia="宋体" w:cs="Times New Roman"/>
        </w:rPr>
        <w:t>整体系统采用标准化流程、权限分级管控、自动化校验、全程日志留痕的设计思路，实现空域和航线资源统一建档、动态维护、高效检索与安全管理，为低空飞行审批、态势监视、日常运行管理提供可靠基础数据保障。</w:t>
      </w:r>
    </w:p>
    <w:p w14:paraId="31E1C593">
      <w:pPr>
        <w:numPr>
          <w:ilvl w:val="0"/>
          <w:numId w:val="14"/>
        </w:numPr>
        <w:spacing w:line="360" w:lineRule="auto"/>
        <w:ind w:firstLineChars="0"/>
        <w:rPr>
          <w:rFonts w:hint="eastAsia" w:ascii="宋体" w:hAnsi="宋体" w:eastAsia="宋体" w:cs="Times New Roman"/>
          <w:b/>
          <w:bCs/>
        </w:rPr>
      </w:pPr>
      <w:r>
        <w:rPr>
          <w:rFonts w:ascii="宋体" w:hAnsi="宋体" w:eastAsia="宋体" w:cs="Times New Roman"/>
          <w:b/>
          <w:bCs/>
        </w:rPr>
        <w:t>系统管理</w:t>
      </w:r>
    </w:p>
    <w:p w14:paraId="3D657670">
      <w:pPr>
        <w:spacing w:line="360" w:lineRule="auto"/>
        <w:ind w:firstLine="480"/>
        <w:rPr>
          <w:rFonts w:hint="eastAsia" w:ascii="宋体" w:hAnsi="宋体" w:eastAsia="宋体" w:cs="Times New Roman"/>
        </w:rPr>
      </w:pPr>
      <w:r>
        <w:rPr>
          <w:rFonts w:ascii="宋体" w:hAnsi="宋体" w:eastAsia="宋体" w:cs="Times New Roman"/>
        </w:rPr>
        <w:t>系统管理模块作为低空飞行管理与服务平台统一运维管控核心模块，集成用户管理、角色管理、统计分析、意见反馈、告警规则设置、站内信模板、门户管理、系统监控八大功能体系，实现权限管理、数据统计、信息发布、平台运维、系统监控及告警配置全流程一体化管理，保障平台安全稳定、规范有序运行。</w:t>
      </w:r>
    </w:p>
    <w:p w14:paraId="787D7EF3">
      <w:pPr>
        <w:spacing w:line="360" w:lineRule="auto"/>
        <w:ind w:firstLine="480"/>
        <w:rPr>
          <w:rFonts w:hint="eastAsia" w:ascii="宋体" w:hAnsi="宋体" w:eastAsia="宋体" w:cs="Times New Roman"/>
        </w:rPr>
      </w:pPr>
      <w:r>
        <w:rPr>
          <w:rFonts w:ascii="宋体" w:hAnsi="宋体" w:eastAsia="宋体" w:cs="Times New Roman"/>
        </w:rPr>
        <w:t>权限管理实现用户、角色分级管控，划分系统管理员、席位管理员、普通用户三类角色，支持账号增删改查、批量导入导出、权限分配与数据隔离，配套站内信模板管理，实现分级授权、各司其职。</w:t>
      </w:r>
    </w:p>
    <w:p w14:paraId="017C2F6F">
      <w:pPr>
        <w:spacing w:line="360" w:lineRule="auto"/>
        <w:ind w:firstLine="480"/>
        <w:rPr>
          <w:rFonts w:hint="eastAsia" w:ascii="宋体" w:hAnsi="宋体" w:eastAsia="宋体" w:cs="Times New Roman"/>
        </w:rPr>
      </w:pPr>
      <w:r>
        <w:rPr>
          <w:rFonts w:ascii="宋体" w:hAnsi="宋体" w:eastAsia="宋体" w:cs="Times New Roman"/>
        </w:rPr>
        <w:t>统计分析围绕飞行、告警、救援、历史飞行等维度构建多维度数据看板，支持自定义时间筛选、多条件组合查询，提供指标汇总、列表统计、可视化图表及飞行轨迹回放能力，支持数据导出，为管理决策、安全研判提供数据支撑。</w:t>
      </w:r>
    </w:p>
    <w:p w14:paraId="1434723E">
      <w:pPr>
        <w:spacing w:line="360" w:lineRule="auto"/>
        <w:ind w:firstLine="480"/>
        <w:rPr>
          <w:rFonts w:hint="eastAsia" w:ascii="宋体" w:hAnsi="宋体" w:eastAsia="宋体" w:cs="Times New Roman"/>
        </w:rPr>
      </w:pPr>
      <w:r>
        <w:rPr>
          <w:rFonts w:ascii="宋体" w:hAnsi="宋体" w:eastAsia="宋体" w:cs="Times New Roman"/>
        </w:rPr>
        <w:t>信息发布模块支持意见反馈受理、查询、详情查看与附件导出；基础数据完成无人机生产厂商、产品型号全生命周期管理，具备新增编辑、批量导入导出与分类检索能力。系统监控涵盖服务器软硬件状态监视、系统参数配置、登录日志与操作日志全量记录，支持日志查询导出与安全审计，保障系统运行可监控、操作可追溯。</w:t>
      </w:r>
    </w:p>
    <w:p w14:paraId="3B0F81DA">
      <w:pPr>
        <w:spacing w:line="360" w:lineRule="auto"/>
        <w:ind w:firstLine="480"/>
        <w:rPr>
          <w:rFonts w:hint="eastAsia" w:ascii="宋体" w:hAnsi="宋体" w:eastAsia="宋体" w:cs="Times New Roman"/>
        </w:rPr>
      </w:pPr>
      <w:r>
        <w:rPr>
          <w:rFonts w:ascii="宋体" w:hAnsi="宋体" w:eastAsia="宋体" w:cs="Times New Roman"/>
        </w:rPr>
        <w:t>门户管理模块支持通知公告、政策法规、操作指南、培训机构查询的分类、编辑与归档；告警规则管理内置多种飞行告警类型，支持阈值自定义配置、告警开关启停，实现风险告警精细化管控。整体模块架构完善、功能全面，支撑平台运维管理、权限安全、设备管控、数据分析与业务协同全方位需求。</w:t>
      </w:r>
    </w:p>
    <w:p w14:paraId="5CF5588E">
      <w:pPr>
        <w:numPr>
          <w:ilvl w:val="0"/>
          <w:numId w:val="14"/>
        </w:numPr>
        <w:spacing w:line="360" w:lineRule="auto"/>
        <w:ind w:firstLineChars="0"/>
        <w:rPr>
          <w:rFonts w:hint="eastAsia" w:ascii="宋体" w:hAnsi="宋体" w:eastAsia="宋体" w:cs="Times New Roman"/>
          <w:b/>
          <w:bCs/>
        </w:rPr>
      </w:pPr>
      <w:r>
        <w:rPr>
          <w:rFonts w:ascii="宋体" w:hAnsi="宋体" w:eastAsia="宋体" w:cs="Times New Roman"/>
          <w:b/>
          <w:bCs/>
        </w:rPr>
        <w:t>公共支撑</w:t>
      </w:r>
    </w:p>
    <w:p w14:paraId="4B532557">
      <w:pPr>
        <w:spacing w:line="360" w:lineRule="auto"/>
        <w:ind w:firstLine="480"/>
        <w:rPr>
          <w:rFonts w:hint="eastAsia" w:ascii="宋体" w:hAnsi="宋体" w:eastAsia="宋体" w:cs="Times New Roman"/>
        </w:rPr>
      </w:pPr>
      <w:r>
        <w:rPr>
          <w:rFonts w:ascii="宋体" w:hAnsi="宋体" w:eastAsia="宋体" w:cs="Times New Roman"/>
        </w:rPr>
        <w:t>公共支撑作为整个低空飞行管理与服务平台的基础公共模块，主要包含登录注册、门户首页两大核心板块，为平台所有业务系统提供统一账号入口与个性化门户工作台服务，保障用户便捷接入与高效日常办公。</w:t>
      </w:r>
    </w:p>
    <w:p w14:paraId="4FCC47B5">
      <w:pPr>
        <w:spacing w:line="360" w:lineRule="auto"/>
        <w:ind w:firstLine="480"/>
        <w:rPr>
          <w:rFonts w:hint="eastAsia" w:ascii="宋体" w:hAnsi="宋体" w:eastAsia="宋体" w:cs="Times New Roman"/>
        </w:rPr>
      </w:pPr>
      <w:r>
        <w:rPr>
          <w:rFonts w:ascii="宋体" w:hAnsi="宋体" w:eastAsia="宋体" w:cs="Times New Roman"/>
        </w:rPr>
        <w:t>登录注册模块面向企业和个人用户提供标准化账号管理能力，包含注册、登录、找回密码三大基础功能。注册环节需阅读并同意平台注册须知，完善账号、密码、手机号及短信验证码完成实名登记，为后续认证、飞行申请等业务预留账号基础。</w:t>
      </w:r>
    </w:p>
    <w:p w14:paraId="6AE7C112">
      <w:pPr>
        <w:spacing w:line="360" w:lineRule="auto"/>
        <w:ind w:firstLine="480"/>
        <w:rPr>
          <w:rFonts w:hint="eastAsia" w:ascii="宋体" w:hAnsi="宋体" w:eastAsia="宋体" w:cs="Times New Roman"/>
        </w:rPr>
      </w:pPr>
      <w:r>
        <w:rPr>
          <w:rFonts w:ascii="宋体" w:hAnsi="宋体" w:eastAsia="宋体" w:cs="Times New Roman"/>
        </w:rPr>
        <w:t>门户首页整合工作台、公众情报、申请指南、飞行日历四大实用功能。工作台集中展示飞手认证、航空器认证、飞行任务及飞行计划等待办事项，方便用户快速处理待办业务。</w:t>
      </w:r>
    </w:p>
    <w:p w14:paraId="57E6B2F8">
      <w:pPr>
        <w:spacing w:line="360" w:lineRule="auto"/>
        <w:ind w:firstLine="480"/>
        <w:rPr>
          <w:rFonts w:hint="eastAsia" w:ascii="宋体" w:hAnsi="宋体" w:eastAsia="宋体"/>
        </w:rPr>
      </w:pPr>
      <w:r>
        <w:rPr>
          <w:rFonts w:ascii="宋体" w:hAnsi="宋体" w:eastAsia="宋体" w:cs="Times New Roman"/>
        </w:rPr>
        <w:t>该模块构建统一身份认证入口与个性化门户服务体系，界面简洁易用、流程规范完整，为平台各类业务应用提供基础登录能力、办公工作台与信息门户支撑，提升用户使用便捷性与业务办理效率</w:t>
      </w:r>
      <w:r>
        <w:rPr>
          <w:rFonts w:hint="eastAsia" w:ascii="宋体" w:hAnsi="宋体" w:eastAsia="宋体"/>
        </w:rPr>
        <w:t>。</w:t>
      </w:r>
    </w:p>
    <w:p w14:paraId="486CAF6E">
      <w:pPr>
        <w:pStyle w:val="7"/>
        <w:spacing w:line="360" w:lineRule="auto"/>
      </w:pPr>
      <w:r>
        <w:rPr>
          <w:rFonts w:hint="eastAsia"/>
        </w:rPr>
        <w:t>4</w:t>
      </w:r>
      <w:r>
        <w:t>.1.1.4.</w:t>
      </w:r>
      <w:r>
        <w:rPr>
          <w:rFonts w:hint="eastAsia"/>
        </w:rPr>
        <w:t>3</w:t>
      </w:r>
      <w:r>
        <w:t>低空</w:t>
      </w:r>
      <w:r>
        <w:rPr>
          <w:rFonts w:hint="eastAsia"/>
        </w:rPr>
        <w:t>飞行安全监管</w:t>
      </w:r>
      <w:r>
        <w:t>平台</w:t>
      </w:r>
    </w:p>
    <w:p w14:paraId="0C92F8EA">
      <w:pPr>
        <w:spacing w:line="360" w:lineRule="auto"/>
        <w:ind w:firstLine="482"/>
        <w:rPr>
          <w:rFonts w:hint="eastAsia" w:ascii="宋体" w:hAnsi="宋体" w:eastAsia="宋体"/>
          <w:b/>
          <w:bCs/>
        </w:rPr>
      </w:pPr>
      <w:r>
        <w:rPr>
          <w:rFonts w:ascii="宋体" w:hAnsi="宋体" w:eastAsia="宋体"/>
          <w:b/>
          <w:bCs/>
        </w:rPr>
        <w:t>1)登录模块</w:t>
      </w:r>
    </w:p>
    <w:p w14:paraId="7D63D656">
      <w:pPr>
        <w:spacing w:line="360" w:lineRule="auto"/>
        <w:ind w:firstLine="480"/>
        <w:rPr>
          <w:rFonts w:hint="eastAsia" w:ascii="宋体" w:hAnsi="宋体" w:eastAsia="宋体"/>
        </w:rPr>
      </w:pPr>
      <w:r>
        <w:rPr>
          <w:rFonts w:ascii="宋体" w:hAnsi="宋体" w:eastAsia="宋体"/>
        </w:rPr>
        <w:t>登录模块作为平台统一身份准入入口，聚焦账号安全与权限分级管控，构建登录验证、权限校验、会话管理一体化的准入管控体系，保障平台访问安全合规、权责边界清晰。</w:t>
      </w:r>
    </w:p>
    <w:p w14:paraId="7A229D52">
      <w:pPr>
        <w:spacing w:line="360" w:lineRule="auto"/>
        <w:ind w:firstLine="480"/>
        <w:rPr>
          <w:rFonts w:hint="eastAsia" w:ascii="宋体" w:hAnsi="宋体" w:eastAsia="宋体"/>
        </w:rPr>
      </w:pPr>
      <w:r>
        <w:rPr>
          <w:rFonts w:ascii="宋体" w:hAnsi="宋体" w:eastAsia="宋体"/>
        </w:rPr>
        <w:t>该模块围绕账号访问全生命周期安全设计，覆盖账号校验、密码核验、身份匹配、</w:t>
      </w:r>
      <w:r>
        <w:rPr>
          <w:rFonts w:hint="eastAsia" w:ascii="宋体" w:hAnsi="宋体" w:eastAsia="宋体"/>
        </w:rPr>
        <w:t>手机鉴权</w:t>
      </w:r>
      <w:r>
        <w:rPr>
          <w:rFonts w:ascii="宋体" w:hAnsi="宋体" w:eastAsia="宋体"/>
        </w:rPr>
        <w:t>等基础能力，配套异常登录拦截、登录行为审计等安全机制。采用多因子身份校验、操作日志全记录等防护手段，区分系统管理员、监管操作员、普通观察员等不同岗位权限，登录后自动匹配对应功能菜单与数据访问范围，实现分级授权、权责对应，确保平台访问安全可控、操作全程可追溯。</w:t>
      </w:r>
    </w:p>
    <w:p w14:paraId="1CFA4B34">
      <w:pPr>
        <w:spacing w:line="360" w:lineRule="auto"/>
        <w:ind w:firstLine="482"/>
        <w:rPr>
          <w:rFonts w:hint="eastAsia" w:ascii="宋体" w:hAnsi="宋体" w:eastAsia="宋体"/>
          <w:b/>
          <w:bCs/>
        </w:rPr>
      </w:pPr>
      <w:r>
        <w:rPr>
          <w:rFonts w:ascii="宋体" w:hAnsi="宋体" w:eastAsia="宋体"/>
          <w:b/>
          <w:bCs/>
        </w:rPr>
        <w:t>2)实时监控模块</w:t>
      </w:r>
    </w:p>
    <w:p w14:paraId="4923B978">
      <w:pPr>
        <w:spacing w:line="360" w:lineRule="auto"/>
        <w:ind w:firstLine="480"/>
        <w:rPr>
          <w:rFonts w:hint="eastAsia" w:ascii="宋体" w:hAnsi="宋体" w:eastAsia="宋体"/>
        </w:rPr>
      </w:pPr>
      <w:r>
        <w:rPr>
          <w:rFonts w:ascii="宋体" w:hAnsi="宋体" w:eastAsia="宋体"/>
        </w:rPr>
        <w:t>实时监控模块作为低空安全态势感知核心载体，依托电子地图底座，整合多源感知数据、目标动态跟踪、图层管控、属地化查询等核心能力，构建全域低空目标可视化监视体系，实现“低慢小”目标全时段、全区域、全轨迹动态管控。</w:t>
      </w:r>
    </w:p>
    <w:p w14:paraId="7A8F178B">
      <w:pPr>
        <w:spacing w:line="360" w:lineRule="auto"/>
        <w:ind w:firstLine="480"/>
        <w:rPr>
          <w:rFonts w:hint="eastAsia" w:ascii="宋体" w:hAnsi="宋体" w:eastAsia="宋体"/>
        </w:rPr>
      </w:pPr>
      <w:r>
        <w:rPr>
          <w:rFonts w:ascii="宋体" w:hAnsi="宋体" w:eastAsia="宋体"/>
        </w:rPr>
        <w:t>该模块搭建统一GIS地图引擎，支持多类底图切换与自定义图层叠加，具备缩放平移、点线面标绘、区域圈选等基础交互能力，满足多维度态势浏览与监管标绘需求。整合全域低空反制感知设备回传数据，通过多源融合算法统一目标航迹，实现低空目标秒级定位、实时位置标绘、飞行参数同步展示，直观呈现全域飞行动态。</w:t>
      </w:r>
    </w:p>
    <w:p w14:paraId="5E871F5D">
      <w:pPr>
        <w:spacing w:line="360" w:lineRule="auto"/>
        <w:ind w:firstLine="480"/>
        <w:rPr>
          <w:rFonts w:hint="eastAsia" w:ascii="宋体" w:hAnsi="宋体" w:eastAsia="宋体"/>
        </w:rPr>
      </w:pPr>
      <w:r>
        <w:rPr>
          <w:rFonts w:ascii="宋体" w:hAnsi="宋体" w:eastAsia="宋体"/>
        </w:rPr>
        <w:t>飞行统计信息板块实时展示当日累计飞行架次、在飞目标数量、待处置告警数等核心指标，支持按时段、区域多维度统计，为监管决策提供直观数据支撑；设备列表与无人机列表统一展示所有接入设备的运行状态、点位分布，以及在册与探测目标的基础信息、飞行状态、位置坐标，支持按类型、状态、区域筛选查询，可快速定位目标与对应设备；单位切换查询功能支持按管辖单位、责任片区切换监管视图，自动加载对应区域的感知设备、飞行目标与告警信息，适配分级监管、属地化管理的业务模式；图层控制功能配置空域图层、告警图层、设备点位图层、重点区域图层等多类业务图层，支持自由开关、透明度调节与属性查询，可按需叠加组合，满足不同监管场景的可视化需求。</w:t>
      </w:r>
    </w:p>
    <w:p w14:paraId="00CB13F9">
      <w:pPr>
        <w:spacing w:line="360" w:lineRule="auto"/>
        <w:ind w:firstLine="480"/>
        <w:rPr>
          <w:rFonts w:hint="eastAsia" w:ascii="宋体" w:hAnsi="宋体" w:eastAsia="宋体"/>
        </w:rPr>
      </w:pPr>
      <w:r>
        <w:rPr>
          <w:rFonts w:ascii="宋体" w:hAnsi="宋体" w:eastAsia="宋体"/>
        </w:rPr>
        <w:t>模块同步配套异常目标自动高亮、弹窗提醒机制，可联动周边感知设备持续跟踪，实现“发现-定位-跟踪”一体化监管闭环。</w:t>
      </w:r>
    </w:p>
    <w:p w14:paraId="09C9DB20">
      <w:pPr>
        <w:spacing w:line="360" w:lineRule="auto"/>
        <w:ind w:firstLine="482"/>
        <w:rPr>
          <w:rFonts w:hint="eastAsia" w:ascii="宋体" w:hAnsi="宋体" w:eastAsia="宋体"/>
          <w:b/>
          <w:bCs/>
        </w:rPr>
      </w:pPr>
      <w:r>
        <w:rPr>
          <w:rFonts w:ascii="宋体" w:hAnsi="宋体" w:eastAsia="宋体"/>
          <w:b/>
          <w:bCs/>
        </w:rPr>
        <w:t>3)统计查询模块</w:t>
      </w:r>
    </w:p>
    <w:p w14:paraId="1FE81FCA">
      <w:pPr>
        <w:spacing w:line="360" w:lineRule="auto"/>
        <w:ind w:firstLine="480"/>
        <w:rPr>
          <w:rFonts w:hint="eastAsia" w:ascii="宋体" w:hAnsi="宋体" w:eastAsia="宋体"/>
        </w:rPr>
      </w:pPr>
      <w:r>
        <w:rPr>
          <w:rFonts w:hint="eastAsia" w:ascii="宋体" w:hAnsi="宋体" w:eastAsia="宋体"/>
        </w:rPr>
        <w:t>统计查询模块聚焦低空飞行与告警处置数据的全维度分析，构建统计图表、时空聚类、报警干扰统计、处置飞行统计四大分析板块，实现监管数据结构化、可视化、可量化输出，为空域管理优化、监管资源调配提供决策支撑。</w:t>
      </w:r>
    </w:p>
    <w:p w14:paraId="27183A19">
      <w:pPr>
        <w:spacing w:line="360" w:lineRule="auto"/>
        <w:ind w:firstLine="480"/>
        <w:rPr>
          <w:rFonts w:hint="eastAsia" w:ascii="宋体" w:hAnsi="宋体" w:eastAsia="宋体"/>
        </w:rPr>
      </w:pPr>
      <w:r>
        <w:rPr>
          <w:rFonts w:hint="eastAsia" w:ascii="宋体" w:hAnsi="宋体" w:eastAsia="宋体"/>
        </w:rPr>
        <w:t>统计图表板块围绕飞行活动、告警事件、处置结果等核心维度，生成柱状图、折线图、饼图等多形式可视化图表，支持按日/周/月/自定义时段筛选查询，直观呈现监管数据变化趋势与分布特征。</w:t>
      </w:r>
    </w:p>
    <w:p w14:paraId="6779ABA1">
      <w:pPr>
        <w:spacing w:line="360" w:lineRule="auto"/>
        <w:ind w:firstLine="480"/>
        <w:rPr>
          <w:rFonts w:hint="eastAsia" w:ascii="宋体" w:hAnsi="宋体" w:eastAsia="宋体"/>
        </w:rPr>
      </w:pPr>
      <w:r>
        <w:rPr>
          <w:rFonts w:hint="eastAsia" w:ascii="宋体" w:hAnsi="宋体" w:eastAsia="宋体"/>
        </w:rPr>
        <w:t>时空聚类板块基于时间与空间双维度对飞行目标、告警事件进行聚合分析，识别高频飞行区域、高发告警时段、热点活动规律，生成热力图与聚类分析结果，为空域管控优化、设备点位调整提供数据依据。</w:t>
      </w:r>
    </w:p>
    <w:p w14:paraId="41BA402E">
      <w:pPr>
        <w:spacing w:line="360" w:lineRule="auto"/>
        <w:ind w:firstLine="480"/>
        <w:rPr>
          <w:rFonts w:hint="eastAsia" w:ascii="宋体" w:hAnsi="宋体" w:eastAsia="宋体"/>
        </w:rPr>
      </w:pPr>
      <w:r>
        <w:rPr>
          <w:rFonts w:hint="eastAsia" w:ascii="宋体" w:hAnsi="宋体" w:eastAsia="宋体"/>
        </w:rPr>
        <w:t>干扰报警统计板块可对基于时间段及设备名称，查询干扰设备的设备名称、开启时刻、时长、开启频率、操作用户等的信息，点击“导出报表”按钮，导出相应查询条件下的干扰数据。违规告警事件按类型、等级、区域、时段进行多维度分类统计，量化告警发生率、重复告警占比等核心指标，支持明细数据一键导出，可全面掌握低空安全风险分布规律。</w:t>
      </w:r>
    </w:p>
    <w:p w14:paraId="213CEA19">
      <w:pPr>
        <w:spacing w:line="360" w:lineRule="auto"/>
        <w:ind w:firstLine="480"/>
        <w:rPr>
          <w:rFonts w:hint="eastAsia" w:ascii="宋体" w:hAnsi="宋体" w:eastAsia="宋体"/>
        </w:rPr>
      </w:pPr>
      <w:r>
        <w:rPr>
          <w:rFonts w:hint="eastAsia" w:ascii="宋体" w:hAnsi="宋体" w:eastAsia="宋体"/>
        </w:rPr>
        <w:t>飞行处置统计板块可基于时间段、型号/编号、目标类型、设备名称、任务名称条件，查询无人机的型号、编号、频率、报警时间、所属任务等侦测数据。全量记录告警事件的处置流程、处置结果、处置时效，统计处置完成率、平均处置时长、事件闭环率等效能指标，可复盘监管处置效率，支撑监管流程优化与效能提升。</w:t>
      </w:r>
    </w:p>
    <w:p w14:paraId="38ED7C34">
      <w:pPr>
        <w:spacing w:line="360" w:lineRule="auto"/>
        <w:ind w:firstLine="480"/>
        <w:rPr>
          <w:rFonts w:hint="eastAsia" w:ascii="宋体" w:hAnsi="宋体" w:eastAsia="宋体"/>
        </w:rPr>
      </w:pPr>
      <w:r>
        <w:rPr>
          <w:rFonts w:hint="eastAsia" w:ascii="宋体" w:hAnsi="宋体" w:eastAsia="宋体"/>
        </w:rPr>
        <w:t>模块整体支持Excel、PDF等多格式数据导出、自定义报表生成，满足日常监管台账整理、工作汇报、数据分析等多场景业务需求</w:t>
      </w:r>
      <w:r>
        <w:rPr>
          <w:rFonts w:ascii="宋体" w:hAnsi="宋体" w:eastAsia="宋体"/>
        </w:rPr>
        <w:t>。</w:t>
      </w:r>
    </w:p>
    <w:p w14:paraId="09C2966F">
      <w:pPr>
        <w:spacing w:line="360" w:lineRule="auto"/>
        <w:ind w:firstLine="482"/>
        <w:rPr>
          <w:rFonts w:hint="eastAsia" w:ascii="宋体" w:hAnsi="宋体" w:eastAsia="宋体"/>
          <w:b/>
          <w:bCs/>
        </w:rPr>
      </w:pPr>
      <w:r>
        <w:rPr>
          <w:rFonts w:ascii="宋体" w:hAnsi="宋体" w:eastAsia="宋体"/>
          <w:b/>
          <w:bCs/>
        </w:rPr>
        <w:t>4)专项任务模块</w:t>
      </w:r>
    </w:p>
    <w:p w14:paraId="0911D501">
      <w:pPr>
        <w:spacing w:line="360" w:lineRule="auto"/>
        <w:ind w:firstLine="480"/>
        <w:rPr>
          <w:rFonts w:hint="eastAsia" w:ascii="宋体" w:hAnsi="宋体" w:eastAsia="宋体"/>
        </w:rPr>
      </w:pPr>
      <w:r>
        <w:rPr>
          <w:rFonts w:hint="eastAsia" w:ascii="宋体" w:hAnsi="宋体" w:eastAsia="宋体"/>
        </w:rPr>
        <w:t>专项任务模块面向重大活动保障、重点区域管控、专项整治行动等场景，构建任务全生命周期管理体系，实现专项监管任务的标准化创建、精细化配置、可视化跟踪，保障重点时段与重点区域低空安全管控要求落地。</w:t>
      </w:r>
    </w:p>
    <w:p w14:paraId="0C252F14">
      <w:pPr>
        <w:spacing w:line="360" w:lineRule="auto"/>
        <w:ind w:firstLine="480"/>
        <w:rPr>
          <w:rFonts w:hint="eastAsia" w:ascii="宋体" w:hAnsi="宋体" w:eastAsia="宋体"/>
        </w:rPr>
      </w:pPr>
      <w:r>
        <w:rPr>
          <w:rFonts w:hint="eastAsia" w:ascii="宋体" w:hAnsi="宋体" w:eastAsia="宋体"/>
        </w:rPr>
        <w:t>任务列表板块集中展示所有专项监管任务，包含任务名称、执行时段、管控范围、任务审批状态、责任单位等核心信息，支持按任务状态、时段筛选查询，可全局掌握专项任务整体开展情况。</w:t>
      </w:r>
    </w:p>
    <w:p w14:paraId="098BD016">
      <w:pPr>
        <w:spacing w:line="360" w:lineRule="auto"/>
        <w:ind w:firstLine="480"/>
        <w:rPr>
          <w:rFonts w:hint="eastAsia" w:ascii="宋体" w:hAnsi="宋体" w:eastAsia="宋体"/>
        </w:rPr>
      </w:pPr>
      <w:r>
        <w:rPr>
          <w:rFonts w:hint="eastAsia" w:ascii="宋体" w:hAnsi="宋体" w:eastAsia="宋体"/>
        </w:rPr>
        <w:t>任务设置板块支持自定义创建专项任务，可灵活配置管控区域、执行周期、告警规则、响应等级、责任单位等参数，支持重点目标白名单配置、专属告警阈值调整，适配不同专项保障场景的差异化管控需求。</w:t>
      </w:r>
    </w:p>
    <w:p w14:paraId="53BA89D9">
      <w:pPr>
        <w:spacing w:line="360" w:lineRule="auto"/>
        <w:ind w:firstLine="480"/>
        <w:rPr>
          <w:rFonts w:hint="eastAsia" w:ascii="宋体" w:hAnsi="宋体" w:eastAsia="宋体"/>
        </w:rPr>
      </w:pPr>
      <w:r>
        <w:rPr>
          <w:rFonts w:hint="eastAsia" w:ascii="宋体" w:hAnsi="宋体" w:eastAsia="宋体"/>
        </w:rPr>
        <w:t>任务查看板块查看当前任务所有配置项目，并可显示当前任务中处置无人机数量统计。点击无人机目标数量，进入报警统计界面查询具体无人机列表记录。支持调取专项任务的实时执行态势，同步展示任务区域内的飞行目标、告警事件、设备运行状态，联动实时监控功能呈现区域低空动态，全程跟踪任务执行进度；任务结束后自动生成专项任务总结报告，汇总任务期间的飞行数据、告警情况、处置结果，实现任务全过程可追溯、可复盘</w:t>
      </w:r>
      <w:r>
        <w:rPr>
          <w:rFonts w:ascii="宋体" w:hAnsi="宋体" w:eastAsia="宋体"/>
        </w:rPr>
        <w:t>。</w:t>
      </w:r>
    </w:p>
    <w:p w14:paraId="364729F7">
      <w:pPr>
        <w:spacing w:line="360" w:lineRule="auto"/>
        <w:ind w:firstLine="482"/>
        <w:rPr>
          <w:rFonts w:hint="eastAsia" w:ascii="宋体" w:hAnsi="宋体" w:eastAsia="宋体"/>
          <w:b/>
          <w:bCs/>
        </w:rPr>
      </w:pPr>
      <w:r>
        <w:rPr>
          <w:rFonts w:ascii="宋体" w:hAnsi="宋体" w:eastAsia="宋体"/>
          <w:b/>
          <w:bCs/>
        </w:rPr>
        <w:t>5)系统管理模块</w:t>
      </w:r>
    </w:p>
    <w:p w14:paraId="6321C44B">
      <w:pPr>
        <w:spacing w:line="360" w:lineRule="auto"/>
        <w:ind w:firstLine="480"/>
        <w:rPr>
          <w:rFonts w:hint="eastAsia" w:ascii="宋体" w:hAnsi="宋体" w:eastAsia="宋体"/>
        </w:rPr>
      </w:pPr>
      <w:r>
        <w:rPr>
          <w:rFonts w:hint="eastAsia" w:ascii="宋体" w:hAnsi="宋体" w:eastAsia="宋体"/>
        </w:rPr>
        <w:t>系统管理模块作为平台运维管控核心，涵盖系统配置、账户管理、权限管理、飞行白名单管理、侦测反制设备管理五大核心板块，实现平台参数、用户权限、设备资源、监管规则的全流程一体化运维，保障平台稳定、安全、高效运行。</w:t>
      </w:r>
    </w:p>
    <w:p w14:paraId="217449BD">
      <w:pPr>
        <w:spacing w:line="360" w:lineRule="auto"/>
        <w:ind w:firstLine="480"/>
        <w:rPr>
          <w:rFonts w:hint="eastAsia" w:ascii="宋体" w:hAnsi="宋体" w:eastAsia="宋体"/>
        </w:rPr>
      </w:pPr>
      <w:r>
        <w:rPr>
          <w:rFonts w:hint="eastAsia" w:ascii="宋体" w:hAnsi="宋体" w:eastAsia="宋体"/>
        </w:rPr>
        <w:t>系统配置板块提供平台基础参数、地图底图默认位置、告警阈值、通知处置规则等通用配置能力，支持系统基础信息、展示样式、消息推送方式的自定义调整，适配不同监管场景的个性化运维需求。</w:t>
      </w:r>
    </w:p>
    <w:p w14:paraId="053D9EFF">
      <w:pPr>
        <w:spacing w:line="360" w:lineRule="auto"/>
        <w:ind w:firstLine="480"/>
        <w:rPr>
          <w:rFonts w:hint="eastAsia" w:ascii="宋体" w:hAnsi="宋体" w:eastAsia="宋体"/>
        </w:rPr>
      </w:pPr>
      <w:r>
        <w:rPr>
          <w:rFonts w:hint="eastAsia" w:ascii="宋体" w:hAnsi="宋体" w:eastAsia="宋体"/>
        </w:rPr>
        <w:t>账户管理板块实现平台用户账号全生命周期管理，支持账号新增、编辑、停用、重置密码、角色设置批量导入导出等操作，完整记录账号登录与操作日志，保障账号管理规范可追溯。</w:t>
      </w:r>
    </w:p>
    <w:p w14:paraId="28094D1E">
      <w:pPr>
        <w:spacing w:line="360" w:lineRule="auto"/>
        <w:ind w:firstLine="480"/>
        <w:rPr>
          <w:rFonts w:hint="eastAsia" w:ascii="宋体" w:hAnsi="宋体" w:eastAsia="宋体"/>
        </w:rPr>
      </w:pPr>
      <w:r>
        <w:rPr>
          <w:rFonts w:hint="eastAsia" w:ascii="宋体" w:hAnsi="宋体" w:eastAsia="宋体"/>
        </w:rPr>
        <w:t>权限管理板块采用基于角色的权限管控体系，划分系统管理员、监管操作员、普通观察员等多类角色，支持功能权限与数据权限分级分配，实现不同岗位权责清晰、数据隔离，满足分级监管的安全要求。</w:t>
      </w:r>
    </w:p>
    <w:p w14:paraId="07E03F62">
      <w:pPr>
        <w:spacing w:line="360" w:lineRule="auto"/>
        <w:ind w:firstLine="480"/>
        <w:rPr>
          <w:rFonts w:hint="eastAsia" w:ascii="宋体" w:hAnsi="宋体" w:eastAsia="宋体"/>
        </w:rPr>
      </w:pPr>
      <w:r>
        <w:rPr>
          <w:rFonts w:hint="eastAsia" w:ascii="宋体" w:hAnsi="宋体" w:eastAsia="宋体"/>
        </w:rPr>
        <w:t>飞行白名单管理板块建立合规飞行主体与航空器白名单库，支持白名单批量导入、单个新增、到期自动失效、状态管控，白名单内目标飞行时自动豁免告警，减少误报干扰，提升监管精准度。</w:t>
      </w:r>
    </w:p>
    <w:p w14:paraId="40EC5104">
      <w:pPr>
        <w:spacing w:line="360" w:lineRule="auto"/>
        <w:ind w:firstLine="480"/>
        <w:rPr>
          <w:rFonts w:hint="eastAsia" w:ascii="宋体" w:hAnsi="宋体" w:eastAsia="宋体"/>
        </w:rPr>
      </w:pPr>
      <w:r>
        <w:rPr>
          <w:rFonts w:hint="eastAsia" w:ascii="宋体" w:hAnsi="宋体" w:eastAsia="宋体"/>
        </w:rPr>
        <w:t>反制设备管理板块统筹全域所有感知、反制类设备的全生命周期管理，建立标准化设备电子台账，支持设备信息录入、点位标注、参数配置、状态监控、远程管控，实时监测设备在线率、故障率，同步记录设备巡检、维保全流程数据，实现监管设备资源统一建档、动态运维，夯实低空安全监管的硬件支撑底座</w:t>
      </w:r>
      <w:r>
        <w:rPr>
          <w:rFonts w:ascii="宋体" w:hAnsi="宋体" w:eastAsia="宋体"/>
        </w:rPr>
        <w:t>。</w:t>
      </w:r>
    </w:p>
    <w:p w14:paraId="44ECEC0E">
      <w:pPr>
        <w:pStyle w:val="21"/>
        <w:ind w:firstLine="480"/>
      </w:pPr>
    </w:p>
    <w:p w14:paraId="5028BA9D">
      <w:pPr>
        <w:pStyle w:val="5"/>
        <w:ind w:firstLineChars="71"/>
      </w:pPr>
      <w:r>
        <w:rPr>
          <w:rFonts w:hint="eastAsia"/>
        </w:rPr>
        <w:t>4.1.2信息化基础设施</w:t>
      </w:r>
    </w:p>
    <w:p w14:paraId="458BF798">
      <w:pPr>
        <w:spacing w:line="360" w:lineRule="auto"/>
        <w:ind w:firstLine="480"/>
        <w:jc w:val="left"/>
        <w:rPr>
          <w:rFonts w:hint="eastAsia" w:ascii="宋体" w:hAnsi="宋体" w:eastAsia="宋体" w:cs="宋体"/>
          <w:color w:val="auto"/>
        </w:rPr>
      </w:pPr>
      <w:r>
        <w:rPr>
          <w:rFonts w:hint="eastAsia" w:ascii="宋体" w:hAnsi="宋体" w:eastAsia="宋体" w:cs="宋体"/>
          <w:color w:val="auto"/>
        </w:rPr>
        <w:t>信息化基础设施需求清单如下：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9"/>
        <w:gridCol w:w="1103"/>
        <w:gridCol w:w="5953"/>
        <w:gridCol w:w="425"/>
        <w:gridCol w:w="380"/>
      </w:tblGrid>
      <w:tr w14:paraId="1295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DDEBF7"/>
            <w:tcMar>
              <w:top w:w="12" w:type="dxa"/>
              <w:left w:w="12" w:type="dxa"/>
              <w:bottom w:w="0" w:type="dxa"/>
              <w:right w:w="12" w:type="dxa"/>
            </w:tcMar>
            <w:vAlign w:val="center"/>
          </w:tcPr>
          <w:p w14:paraId="25A664E7">
            <w:pPr>
              <w:pStyle w:val="2"/>
              <w:spacing w:line="240" w:lineRule="auto"/>
              <w:ind w:left="0" w:leftChars="0" w:firstLine="0" w:firstLineChars="0"/>
              <w:rPr>
                <w:rFonts w:hint="eastAsia" w:asciiTheme="minorEastAsia" w:hAnsiTheme="minorEastAsia" w:eastAsiaTheme="minorEastAsia"/>
                <w:b/>
                <w:sz w:val="21"/>
                <w:szCs w:val="21"/>
              </w:rPr>
            </w:pPr>
            <w:r>
              <w:rPr>
                <w:rFonts w:asciiTheme="minorEastAsia" w:hAnsiTheme="minorEastAsia" w:eastAsiaTheme="minorEastAsia"/>
                <w:b/>
                <w:sz w:val="21"/>
                <w:szCs w:val="21"/>
              </w:rPr>
              <w:t>序号</w:t>
            </w:r>
          </w:p>
        </w:tc>
        <w:tc>
          <w:tcPr>
            <w:tcW w:w="1103" w:type="dxa"/>
            <w:tcBorders>
              <w:top w:val="single" w:color="auto" w:sz="4" w:space="0"/>
              <w:left w:val="single" w:color="auto" w:sz="4" w:space="0"/>
              <w:bottom w:val="single" w:color="auto" w:sz="4" w:space="0"/>
              <w:right w:val="single" w:color="auto" w:sz="4" w:space="0"/>
            </w:tcBorders>
            <w:shd w:val="clear" w:color="auto" w:fill="DDEBF7"/>
            <w:tcMar>
              <w:top w:w="12" w:type="dxa"/>
              <w:left w:w="12" w:type="dxa"/>
              <w:bottom w:w="0" w:type="dxa"/>
              <w:right w:w="12" w:type="dxa"/>
            </w:tcMar>
            <w:vAlign w:val="center"/>
          </w:tcPr>
          <w:p w14:paraId="7B79ADDB">
            <w:pPr>
              <w:pStyle w:val="2"/>
              <w:spacing w:line="240" w:lineRule="auto"/>
              <w:ind w:left="0" w:leftChars="0" w:firstLine="0" w:firstLineChars="0"/>
              <w:rPr>
                <w:rFonts w:hint="eastAsia" w:asciiTheme="minorEastAsia" w:hAnsiTheme="minorEastAsia" w:eastAsiaTheme="minorEastAsia"/>
                <w:b/>
                <w:sz w:val="21"/>
                <w:szCs w:val="21"/>
              </w:rPr>
            </w:pPr>
            <w:r>
              <w:rPr>
                <w:rFonts w:asciiTheme="minorEastAsia" w:hAnsiTheme="minorEastAsia" w:eastAsiaTheme="minorEastAsia"/>
                <w:b/>
                <w:sz w:val="21"/>
                <w:szCs w:val="21"/>
              </w:rPr>
              <w:t>项目名称</w:t>
            </w:r>
          </w:p>
        </w:tc>
        <w:tc>
          <w:tcPr>
            <w:tcW w:w="5953" w:type="dxa"/>
            <w:tcBorders>
              <w:top w:val="single" w:color="auto" w:sz="4" w:space="0"/>
              <w:left w:val="single" w:color="auto" w:sz="4" w:space="0"/>
              <w:bottom w:val="single" w:color="auto" w:sz="4" w:space="0"/>
              <w:right w:val="single" w:color="auto" w:sz="4" w:space="0"/>
            </w:tcBorders>
            <w:shd w:val="clear" w:color="auto" w:fill="DDEBF7"/>
            <w:tcMar>
              <w:top w:w="12" w:type="dxa"/>
              <w:left w:w="12" w:type="dxa"/>
              <w:bottom w:w="0" w:type="dxa"/>
              <w:right w:w="12" w:type="dxa"/>
            </w:tcMar>
            <w:vAlign w:val="center"/>
          </w:tcPr>
          <w:p w14:paraId="060FB6C1">
            <w:pPr>
              <w:pStyle w:val="2"/>
              <w:spacing w:line="240" w:lineRule="auto"/>
              <w:ind w:left="0" w:leftChars="0" w:firstLine="0" w:firstLineChars="0"/>
              <w:rPr>
                <w:rFonts w:hint="eastAsia" w:asciiTheme="minorEastAsia" w:hAnsiTheme="minorEastAsia" w:eastAsiaTheme="minorEastAsia"/>
                <w:b/>
                <w:sz w:val="21"/>
                <w:szCs w:val="21"/>
              </w:rPr>
            </w:pPr>
            <w:r>
              <w:rPr>
                <w:rFonts w:asciiTheme="minorEastAsia" w:hAnsiTheme="minorEastAsia" w:eastAsiaTheme="minorEastAsia"/>
                <w:b/>
                <w:sz w:val="21"/>
                <w:szCs w:val="21"/>
              </w:rPr>
              <w:t>项目特征描述（参数）</w:t>
            </w:r>
          </w:p>
        </w:tc>
        <w:tc>
          <w:tcPr>
            <w:tcW w:w="425" w:type="dxa"/>
            <w:tcBorders>
              <w:top w:val="single" w:color="auto" w:sz="4" w:space="0"/>
              <w:left w:val="single" w:color="auto" w:sz="4" w:space="0"/>
              <w:bottom w:val="single" w:color="auto" w:sz="4" w:space="0"/>
              <w:right w:val="single" w:color="auto" w:sz="4" w:space="0"/>
            </w:tcBorders>
            <w:shd w:val="clear" w:color="auto" w:fill="DDEBF7"/>
            <w:tcMar>
              <w:top w:w="12" w:type="dxa"/>
              <w:left w:w="12" w:type="dxa"/>
              <w:bottom w:w="0" w:type="dxa"/>
              <w:right w:w="12" w:type="dxa"/>
            </w:tcMar>
            <w:vAlign w:val="center"/>
          </w:tcPr>
          <w:p w14:paraId="23E2B7E6">
            <w:pPr>
              <w:pStyle w:val="2"/>
              <w:spacing w:line="240" w:lineRule="auto"/>
              <w:ind w:left="0" w:leftChars="0" w:firstLine="0" w:firstLineChars="0"/>
              <w:rPr>
                <w:rFonts w:hint="eastAsia" w:asciiTheme="minorEastAsia" w:hAnsiTheme="minorEastAsia" w:eastAsiaTheme="minorEastAsia"/>
                <w:b/>
                <w:sz w:val="21"/>
                <w:szCs w:val="21"/>
              </w:rPr>
            </w:pPr>
            <w:r>
              <w:rPr>
                <w:rFonts w:asciiTheme="minorEastAsia" w:hAnsiTheme="minorEastAsia" w:eastAsiaTheme="minorEastAsia"/>
                <w:b/>
                <w:sz w:val="21"/>
                <w:szCs w:val="21"/>
              </w:rPr>
              <w:t>单位</w:t>
            </w:r>
          </w:p>
        </w:tc>
        <w:tc>
          <w:tcPr>
            <w:tcW w:w="380" w:type="dxa"/>
            <w:tcBorders>
              <w:top w:val="single" w:color="auto" w:sz="4" w:space="0"/>
              <w:left w:val="single" w:color="auto" w:sz="4" w:space="0"/>
              <w:bottom w:val="single" w:color="auto" w:sz="4" w:space="0"/>
              <w:right w:val="single" w:color="auto" w:sz="4" w:space="0"/>
            </w:tcBorders>
            <w:shd w:val="clear" w:color="auto" w:fill="DDEBF7"/>
            <w:tcMar>
              <w:top w:w="12" w:type="dxa"/>
              <w:left w:w="12" w:type="dxa"/>
              <w:bottom w:w="0" w:type="dxa"/>
              <w:right w:w="12" w:type="dxa"/>
            </w:tcMar>
            <w:vAlign w:val="center"/>
          </w:tcPr>
          <w:p w14:paraId="4BB5A55B">
            <w:pPr>
              <w:pStyle w:val="2"/>
              <w:spacing w:line="240" w:lineRule="auto"/>
              <w:ind w:left="0" w:leftChars="0" w:firstLine="0" w:firstLineChars="0"/>
              <w:rPr>
                <w:rFonts w:hint="eastAsia" w:asciiTheme="minorEastAsia" w:hAnsiTheme="minorEastAsia" w:eastAsiaTheme="minorEastAsia"/>
                <w:b/>
                <w:sz w:val="21"/>
                <w:szCs w:val="21"/>
              </w:rPr>
            </w:pPr>
            <w:r>
              <w:rPr>
                <w:rFonts w:asciiTheme="minorEastAsia" w:hAnsiTheme="minorEastAsia" w:eastAsiaTheme="minorEastAsia"/>
                <w:b/>
                <w:sz w:val="21"/>
                <w:szCs w:val="21"/>
              </w:rPr>
              <w:t>数量</w:t>
            </w:r>
          </w:p>
        </w:tc>
      </w:tr>
      <w:tr w14:paraId="46862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0A861825">
            <w:pPr>
              <w:pStyle w:val="2"/>
              <w:spacing w:line="240" w:lineRule="auto"/>
              <w:ind w:left="0" w:leftChars="0" w:firstLine="0" w:firstLineChars="0"/>
              <w:rPr>
                <w:rFonts w:hint="eastAsia" w:asciiTheme="minorEastAsia" w:hAnsiTheme="minorEastAsia" w:eastAsiaTheme="minorEastAsia"/>
                <w:b/>
                <w:sz w:val="21"/>
                <w:szCs w:val="21"/>
              </w:rPr>
            </w:pPr>
            <w:r>
              <w:rPr>
                <w:rFonts w:asciiTheme="minorEastAsia" w:hAnsiTheme="minorEastAsia" w:eastAsiaTheme="minorEastAsia"/>
                <w:b/>
                <w:sz w:val="21"/>
                <w:szCs w:val="21"/>
              </w:rPr>
              <w:t>1</w:t>
            </w:r>
          </w:p>
        </w:tc>
        <w:tc>
          <w:tcPr>
            <w:tcW w:w="1103"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5558E7EE">
            <w:pPr>
              <w:pStyle w:val="2"/>
              <w:spacing w:line="240" w:lineRule="auto"/>
              <w:ind w:left="0" w:leftChars="0" w:firstLine="0" w:firstLineChars="0"/>
              <w:rPr>
                <w:rFonts w:hint="eastAsia" w:asciiTheme="minorEastAsia" w:hAnsiTheme="minorEastAsia" w:eastAsiaTheme="minorEastAsia"/>
                <w:b/>
                <w:sz w:val="21"/>
                <w:szCs w:val="21"/>
              </w:rPr>
            </w:pPr>
            <w:r>
              <w:rPr>
                <w:rFonts w:asciiTheme="minorEastAsia" w:hAnsiTheme="minorEastAsia" w:eastAsiaTheme="minorEastAsia"/>
                <w:b/>
                <w:sz w:val="21"/>
                <w:szCs w:val="21"/>
              </w:rPr>
              <w:t>配套服务器</w:t>
            </w:r>
          </w:p>
        </w:tc>
        <w:tc>
          <w:tcPr>
            <w:tcW w:w="5953"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4EC680E8">
            <w:pPr>
              <w:pStyle w:val="2"/>
              <w:spacing w:line="240" w:lineRule="auto"/>
              <w:ind w:left="0" w:leftChars="0" w:firstLine="0" w:firstLineChars="0"/>
              <w:rPr>
                <w:rFonts w:hint="eastAsia" w:asciiTheme="minorEastAsia" w:hAnsiTheme="minorEastAsia" w:eastAsiaTheme="minorEastAsia"/>
                <w:b/>
                <w:sz w:val="21"/>
                <w:szCs w:val="21"/>
              </w:rPr>
            </w:pP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304C3041">
            <w:pPr>
              <w:pStyle w:val="2"/>
              <w:spacing w:line="240" w:lineRule="auto"/>
              <w:ind w:left="0" w:leftChars="0" w:firstLine="0" w:firstLineChars="0"/>
              <w:rPr>
                <w:rFonts w:hint="eastAsia" w:asciiTheme="minorEastAsia" w:hAnsiTheme="minorEastAsia" w:eastAsiaTheme="minorEastAsia"/>
                <w:b/>
                <w:sz w:val="21"/>
                <w:szCs w:val="21"/>
              </w:rPr>
            </w:pPr>
          </w:p>
        </w:tc>
        <w:tc>
          <w:tcPr>
            <w:tcW w:w="380"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75E3FDA2">
            <w:pPr>
              <w:pStyle w:val="2"/>
              <w:spacing w:line="240" w:lineRule="auto"/>
              <w:ind w:left="0" w:leftChars="0" w:firstLine="0" w:firstLineChars="0"/>
              <w:rPr>
                <w:rFonts w:hint="eastAsia" w:asciiTheme="minorEastAsia" w:hAnsiTheme="minorEastAsia" w:eastAsiaTheme="minorEastAsia"/>
                <w:b/>
                <w:sz w:val="21"/>
                <w:szCs w:val="21"/>
              </w:rPr>
            </w:pPr>
          </w:p>
        </w:tc>
      </w:tr>
      <w:tr w14:paraId="6A7F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24E2DB5A">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1.1</w:t>
            </w:r>
          </w:p>
        </w:tc>
        <w:tc>
          <w:tcPr>
            <w:tcW w:w="110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2E05D62D">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超融合节点</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7A4BD926">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1、提供3台满足国产化要求的超融合一体机，软硬件一体设备，完全自主研发不接受第三方整合；</w:t>
            </w:r>
          </w:p>
          <w:p w14:paraId="7BC57FB6">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0"/>
                <w:szCs w:val="20"/>
              </w:rPr>
              <w:t>★</w:t>
            </w:r>
            <w:r>
              <w:rPr>
                <w:rFonts w:hint="eastAsia" w:ascii="宋体" w:hAnsi="宋体" w:eastAsia="宋体" w:cs="宋体"/>
                <w:kern w:val="0"/>
                <w:sz w:val="21"/>
                <w:szCs w:val="21"/>
              </w:rPr>
              <w:t>单机配置：CPU（海光5480）≥2*2.5GHz/32核/64MB/260W CPU，要求CPU通过国家信息安全测评；（投标人提供承诺函）</w:t>
            </w:r>
          </w:p>
          <w:p w14:paraId="3E582B92">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内存≥6块64GB DDR5-5600内存模块;硬盘≥4块4TB SATA 7K2硬盘≥2块480GB SATA SSD硬盘;</w:t>
            </w:r>
          </w:p>
          <w:p w14:paraId="3B83DF64">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硬盘≥1块1.92TB NVMeSSD硬盘；RAID卡≥1张12G SAS RAID卡模块(支持8个SAS Port,带4GB缓存,含超级电容)，支持Raid0/1/5/6/10/50/60等;网卡≥2块2端口10Gb/s  SFP+光接口以太网卡，满配光模块，1块4端口1Gb/s以太网电接口；</w:t>
            </w:r>
          </w:p>
          <w:p w14:paraId="4F6C85B5">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电源≥2块1300W交流电源模块;冗余风扇模块，配套滚珠滑轨;提供基础安装服务和3年维保，3年7*24小时技术支持服务；</w:t>
            </w:r>
          </w:p>
          <w:p w14:paraId="11525BFB">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 xml:space="preserve">2、虚拟化平台内置虚拟化系统健康度评价模型，基于多维度的性能监控指标及告警等信息，支持对虚拟化系统及主机进行健康评测，并能够以直观的数字呈现系统及主机健康程度； </w:t>
            </w:r>
          </w:p>
          <w:p w14:paraId="785B3EDA">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3、支持闲置资源分析，支持根据虚拟机连续的电源关闭时间、CPU利用率、磁盘IO及网络吞吐率等关键指标，自动识别并生成僵尸虚拟机、闲置虚拟机、虚拟机快照、孤立磁盘等资源状态列表，同时生成虚拟机扩缩容建议列表，提供资源可回收和可优化建议；</w:t>
            </w:r>
          </w:p>
          <w:p w14:paraId="1F9F5CE4">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 xml:space="preserve">4、支持还原虚拟机到指定还原点状态，基于备份功能，虚机误删不影响还原功能，降低人为误操作带来的损失； </w:t>
            </w:r>
          </w:p>
          <w:p w14:paraId="3FBB4CDA">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 xml:space="preserve">5、一键安全下电功能用于对正在运行的集群进行关机下电操作。执行一键安全下电后，管理平台中的所有虚拟机将安全关闭，然后主机将关闭数据平衡、进入维护模式，最后关闭所有主机。大幅缩减维护步骤，减轻维护压力； </w:t>
            </w:r>
          </w:p>
          <w:p w14:paraId="0F801F9D">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6、▲支持资源容量预测服务，内置时间序列模型，管理平台自动化实现数据检索预测，提供用户易用的数据预测服务，服务支持呈现实时的CPU、内存和存储容量资源使用数据信息展示，并给出基于AI机器学习算法预测CPU、内存和存储未来的预警提示，帮助用户做好资源扩容、成本预算等，提升业务可靠性；</w:t>
            </w:r>
            <w:r>
              <w:rPr>
                <w:rFonts w:hint="eastAsia" w:ascii="宋体" w:hAnsi="宋体" w:eastAsia="宋体" w:cs="宋体"/>
                <w:color w:val="000000"/>
                <w:kern w:val="0"/>
                <w:sz w:val="21"/>
                <w:szCs w:val="21"/>
                <w:lang w:bidi="ar"/>
              </w:rPr>
              <w:t>（提供第三方检测机构出具的带CNAS或CMA标识的检测报告）</w:t>
            </w:r>
          </w:p>
          <w:p w14:paraId="41498A66">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7、▲支持纳管、配置和监控物理交换机设备。验证超融合管理平台界面设置物理交换机LLDP功能开关、端口聚合等；超融合管理界面查看物理交换机各个端口VLAN ID、连接状态、速率、光模块类型和匹配状态等信息；</w:t>
            </w:r>
            <w:r>
              <w:rPr>
                <w:rFonts w:hint="eastAsia" w:ascii="宋体" w:hAnsi="宋体" w:eastAsia="宋体" w:cs="宋体"/>
                <w:color w:val="000000"/>
                <w:kern w:val="0"/>
                <w:sz w:val="21"/>
                <w:szCs w:val="21"/>
                <w:lang w:bidi="ar"/>
              </w:rPr>
              <w:t>（提供第三方检测机构出具的带CNAS或CMA标识的检测报告）</w:t>
            </w:r>
          </w:p>
          <w:p w14:paraId="3D4F4605">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 xml:space="preserve">8、支持故障级联诊断功能，虚拟化平台通过智能分析技术，对虚拟化环境中的虚拟机、主机、集群等资源的异常事件进行关联分析，快速定位故障原因，提升故障定位效率及整体系统可靠性； </w:t>
            </w:r>
          </w:p>
          <w:p w14:paraId="253DF4ED">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9、支持集群动态资源调度功能，可基于主机的CPU利用率、内存利用率、磁盘I/O、存储利用率、磁盘请求、网络流量等资源对虚拟机进行动态资源调度，实现自动化的存储资源分配和负载均衡功能，主动确保云环境的服务水平，为业务系统提供健康可用的资源环境；</w:t>
            </w:r>
          </w:p>
          <w:p w14:paraId="54E9EA09">
            <w:pPr>
              <w:spacing w:after="156" w:afterLines="50" w:line="240" w:lineRule="auto"/>
              <w:ind w:firstLine="0" w:firstLineChars="0"/>
              <w:rPr>
                <w:rFonts w:hint="eastAsia" w:ascii="宋体" w:hAnsi="宋体" w:eastAsia="宋体" w:cs="宋体"/>
                <w:color w:val="FF0000"/>
                <w:kern w:val="0"/>
                <w:sz w:val="21"/>
                <w:szCs w:val="21"/>
              </w:rPr>
            </w:pPr>
            <w:r>
              <w:rPr>
                <w:rFonts w:hint="eastAsia" w:ascii="宋体" w:hAnsi="宋体" w:eastAsia="宋体" w:cs="宋体"/>
                <w:kern w:val="0"/>
                <w:sz w:val="21"/>
                <w:szCs w:val="21"/>
              </w:rPr>
              <w:t>10、产品架构支持宿主机自治功能，在管理平台故障时，可以通过主机自治平台对所在宿主机和虚拟机进行管理运维，提供虚拟机启动、配置、关闭、重启、休眠、删除等生命周期管理，提供虚拟机及主机性能监控、告警管理等，保障业务稳定运行</w:t>
            </w:r>
            <w:r>
              <w:rPr>
                <w:rFonts w:hint="eastAsia" w:ascii="宋体" w:hAnsi="宋体" w:eastAsia="宋体" w:cs="宋体"/>
                <w:color w:val="auto"/>
                <w:kern w:val="0"/>
                <w:sz w:val="21"/>
                <w:szCs w:val="21"/>
              </w:rPr>
              <w:t>；</w:t>
            </w:r>
            <w:r>
              <w:rPr>
                <w:rFonts w:hint="eastAsia" w:ascii="宋体" w:hAnsi="宋体" w:eastAsia="宋体" w:cs="宋体"/>
                <w:color w:val="FF0000"/>
                <w:kern w:val="0"/>
                <w:sz w:val="21"/>
                <w:szCs w:val="21"/>
              </w:rPr>
              <w:t xml:space="preserve"> </w:t>
            </w:r>
          </w:p>
          <w:p w14:paraId="2CC42F1E">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11、采用分布式的软件定义存储架构，在通用服务器部署，把所有服务器硬盘组织成一个虚拟存储资源池，提供分布式存储服务，无需独立的元数据及控制器节点，使用超融合管理平台统一管理，无需在计算虚拟化平台上部署存储控制器；</w:t>
            </w:r>
          </w:p>
          <w:p w14:paraId="7D504F30">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12、为满足数据的可靠性，分布式存储软件需支持多副本保护机制，多副本机制可选择2~6副本；支持纠删码特性，支持N+1到N+4的纠删码保护，最大支持任意4个节点故障而数据不丢失、系统不停机；</w:t>
            </w:r>
          </w:p>
          <w:p w14:paraId="0CFAD49C">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 xml:space="preserve">13、支持硬盘磨损健康检测，对系统中的盘磨损度进行检测，当盘达到设计的磨损度后增大到该盘的IO数量，使其提前磨损并重构，避免系统中多个盘寿命同时到达后同时故障； </w:t>
            </w:r>
          </w:p>
          <w:p w14:paraId="0DBB1501">
            <w:pPr>
              <w:pStyle w:val="2"/>
              <w:spacing w:after="156" w:afterLines="50" w:line="240" w:lineRule="auto"/>
              <w:ind w:left="0" w:leftChars="0" w:firstLine="0" w:firstLineChars="0"/>
              <w:rPr>
                <w:rFonts w:hint="eastAsia" w:ascii="宋体" w:hAnsi="宋体" w:eastAsia="宋体"/>
                <w:sz w:val="21"/>
                <w:szCs w:val="21"/>
              </w:rPr>
            </w:pPr>
            <w:r>
              <w:rPr>
                <w:rFonts w:hint="eastAsia" w:ascii="宋体" w:hAnsi="宋体" w:eastAsia="宋体" w:cs="宋体"/>
                <w:kern w:val="0"/>
                <w:sz w:val="21"/>
                <w:szCs w:val="21"/>
              </w:rPr>
              <w:t>1</w:t>
            </w:r>
            <w:r>
              <w:rPr>
                <w:rFonts w:ascii="宋体" w:hAnsi="宋体" w:eastAsia="宋体" w:cs="宋体"/>
                <w:kern w:val="0"/>
                <w:sz w:val="21"/>
                <w:szCs w:val="21"/>
              </w:rPr>
              <w:t>4</w:t>
            </w:r>
            <w:r>
              <w:rPr>
                <w:rFonts w:hint="eastAsia" w:ascii="宋体" w:hAnsi="宋体" w:eastAsia="宋体" w:cs="宋体"/>
                <w:kern w:val="0"/>
                <w:sz w:val="21"/>
                <w:szCs w:val="21"/>
              </w:rPr>
              <w:t>、软件要求自主可控，应为完全自主研发品牌，投标产品代码自主率（行数）大于95%。同时为保证检测产品的代码完整性，要求代码检测量在100万以上，非特殊裁剪版本；</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5D2180E8">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695B314D">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1</w:t>
            </w:r>
          </w:p>
        </w:tc>
      </w:tr>
      <w:tr w14:paraId="2380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2E26FA3A">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1.2</w:t>
            </w:r>
          </w:p>
        </w:tc>
        <w:tc>
          <w:tcPr>
            <w:tcW w:w="110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285A3E1E">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AI服务器</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290DBD79">
            <w:pPr>
              <w:spacing w:after="156" w:afterLines="50"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0"/>
                <w:szCs w:val="20"/>
              </w:rPr>
              <w:t>★</w:t>
            </w:r>
            <w:r>
              <w:rPr>
                <w:rFonts w:hint="eastAsia" w:ascii="宋体" w:hAnsi="宋体" w:eastAsia="宋体" w:cs="宋体"/>
                <w:kern w:val="0"/>
                <w:sz w:val="21"/>
                <w:szCs w:val="21"/>
              </w:rPr>
              <w:t>机型：2U2路机架式国产化服务器，≥2个CPU海光5480（32核CPU，主频≥2.5GHz）；处理器内置密码协处理器（Crypto</w:t>
            </w:r>
            <w:r>
              <w:rPr>
                <w:rFonts w:ascii="宋体" w:hAnsi="宋体" w:eastAsia="宋体" w:cs="宋体"/>
                <w:kern w:val="0"/>
                <w:sz w:val="21"/>
                <w:szCs w:val="21"/>
              </w:rPr>
              <w:t xml:space="preserve"> </w:t>
            </w:r>
            <w:r>
              <w:rPr>
                <w:rFonts w:hint="eastAsia" w:ascii="宋体" w:hAnsi="宋体" w:eastAsia="宋体" w:cs="宋体"/>
                <w:kern w:val="0"/>
                <w:sz w:val="21"/>
                <w:szCs w:val="21"/>
              </w:rPr>
              <w:t>Co</w:t>
            </w:r>
            <w:r>
              <w:rPr>
                <w:rFonts w:ascii="宋体" w:hAnsi="宋体" w:eastAsia="宋体" w:cs="宋体"/>
                <w:kern w:val="0"/>
                <w:sz w:val="21"/>
                <w:szCs w:val="21"/>
              </w:rPr>
              <w:t>-</w:t>
            </w:r>
            <w:r>
              <w:rPr>
                <w:rFonts w:hint="eastAsia" w:ascii="宋体" w:hAnsi="宋体" w:eastAsia="宋体" w:cs="宋体"/>
                <w:kern w:val="0"/>
                <w:sz w:val="21"/>
                <w:szCs w:val="21"/>
              </w:rPr>
              <w:t>Processor），可实现SM</w:t>
            </w:r>
            <w:r>
              <w:rPr>
                <w:rFonts w:ascii="宋体" w:hAnsi="宋体" w:eastAsia="宋体" w:cs="宋体"/>
                <w:kern w:val="0"/>
                <w:sz w:val="21"/>
                <w:szCs w:val="21"/>
              </w:rPr>
              <w:t>2</w:t>
            </w:r>
            <w:r>
              <w:rPr>
                <w:rFonts w:hint="eastAsia" w:ascii="宋体" w:hAnsi="宋体" w:eastAsia="宋体" w:cs="宋体"/>
                <w:kern w:val="0"/>
                <w:sz w:val="21"/>
                <w:szCs w:val="21"/>
              </w:rPr>
              <w:t>、SM</w:t>
            </w:r>
            <w:r>
              <w:rPr>
                <w:rFonts w:ascii="宋体" w:hAnsi="宋体" w:eastAsia="宋体" w:cs="宋体"/>
                <w:kern w:val="0"/>
                <w:sz w:val="21"/>
                <w:szCs w:val="21"/>
              </w:rPr>
              <w:t>3</w:t>
            </w:r>
            <w:r>
              <w:rPr>
                <w:rFonts w:hint="eastAsia" w:ascii="宋体" w:hAnsi="宋体" w:eastAsia="宋体" w:cs="宋体"/>
                <w:kern w:val="0"/>
                <w:sz w:val="21"/>
                <w:szCs w:val="21"/>
              </w:rPr>
              <w:t>、SM</w:t>
            </w:r>
            <w:r>
              <w:rPr>
                <w:rFonts w:ascii="宋体" w:hAnsi="宋体" w:eastAsia="宋体" w:cs="宋体"/>
                <w:kern w:val="0"/>
                <w:sz w:val="21"/>
                <w:szCs w:val="21"/>
              </w:rPr>
              <w:t>4</w:t>
            </w:r>
            <w:r>
              <w:rPr>
                <w:rFonts w:hint="eastAsia" w:ascii="宋体" w:hAnsi="宋体" w:eastAsia="宋体" w:cs="宋体"/>
                <w:kern w:val="0"/>
                <w:sz w:val="21"/>
                <w:szCs w:val="21"/>
              </w:rPr>
              <w:t>国密算法的硬件加速； （投标人提供承诺函）</w:t>
            </w:r>
          </w:p>
          <w:p w14:paraId="0F2A83C2">
            <w:pPr>
              <w:spacing w:after="156" w:afterLines="50" w:line="240" w:lineRule="auto"/>
              <w:ind w:firstLine="0" w:firstLineChars="0"/>
              <w:rPr>
                <w:rFonts w:hint="eastAsia" w:ascii="宋体" w:hAnsi="宋体" w:eastAsia="宋体" w:cs="宋体"/>
                <w:kern w:val="0"/>
                <w:sz w:val="21"/>
                <w:szCs w:val="21"/>
              </w:rPr>
            </w:pPr>
            <w:r>
              <w:rPr>
                <w:rFonts w:ascii="宋体" w:hAnsi="宋体" w:eastAsia="宋体" w:cs="宋体"/>
                <w:kern w:val="0"/>
                <w:sz w:val="21"/>
                <w:szCs w:val="21"/>
              </w:rPr>
              <w:t>2</w:t>
            </w:r>
            <w:r>
              <w:rPr>
                <w:rFonts w:hint="eastAsia" w:ascii="宋体" w:hAnsi="宋体" w:eastAsia="宋体" w:cs="宋体"/>
                <w:kern w:val="0"/>
                <w:sz w:val="21"/>
                <w:szCs w:val="21"/>
              </w:rPr>
              <w:t>、内存：≥128GB DDR5-5600 RDIMM；</w:t>
            </w:r>
          </w:p>
          <w:p w14:paraId="6D0D50D0">
            <w:pPr>
              <w:spacing w:after="156" w:afterLines="50" w:line="240" w:lineRule="auto"/>
              <w:ind w:firstLine="0" w:firstLineChars="0"/>
              <w:rPr>
                <w:rFonts w:hint="eastAsia" w:ascii="宋体" w:hAnsi="宋体" w:eastAsia="宋体" w:cs="宋体"/>
                <w:kern w:val="0"/>
                <w:sz w:val="21"/>
                <w:szCs w:val="21"/>
              </w:rPr>
            </w:pPr>
            <w:r>
              <w:rPr>
                <w:rFonts w:ascii="宋体" w:hAnsi="宋体" w:eastAsia="宋体" w:cs="宋体"/>
                <w:kern w:val="0"/>
                <w:sz w:val="21"/>
                <w:szCs w:val="21"/>
              </w:rPr>
              <w:t>3</w:t>
            </w:r>
            <w:r>
              <w:rPr>
                <w:rFonts w:hint="eastAsia" w:ascii="宋体" w:hAnsi="宋体" w:eastAsia="宋体" w:cs="宋体"/>
                <w:kern w:val="0"/>
                <w:sz w:val="21"/>
                <w:szCs w:val="21"/>
              </w:rPr>
              <w:t>、硬盘：系统盘配置≥2块480GB SSD盘，数据盘配置≥3块 2.4TB 12Gb/s SAS 10K硬盘；</w:t>
            </w:r>
          </w:p>
          <w:p w14:paraId="32E22344">
            <w:pPr>
              <w:spacing w:after="156" w:afterLines="50" w:line="240" w:lineRule="auto"/>
              <w:ind w:firstLine="0" w:firstLineChars="0"/>
              <w:rPr>
                <w:rFonts w:hint="eastAsia" w:ascii="宋体" w:hAnsi="宋体" w:eastAsia="宋体" w:cs="宋体"/>
                <w:kern w:val="0"/>
                <w:sz w:val="21"/>
                <w:szCs w:val="21"/>
              </w:rPr>
            </w:pPr>
            <w:r>
              <w:rPr>
                <w:rFonts w:ascii="宋体" w:hAnsi="宋体" w:eastAsia="宋体" w:cs="宋体"/>
                <w:kern w:val="0"/>
                <w:sz w:val="21"/>
                <w:szCs w:val="21"/>
              </w:rPr>
              <w:t>4</w:t>
            </w:r>
            <w:r>
              <w:rPr>
                <w:rFonts w:hint="eastAsia" w:ascii="宋体" w:hAnsi="宋体" w:eastAsia="宋体" w:cs="宋体"/>
                <w:kern w:val="0"/>
                <w:sz w:val="21"/>
                <w:szCs w:val="21"/>
              </w:rPr>
              <w:t>、网卡：≥1块2端口10Gb/s SFP+光接口，满配光模块；≥1块4端口1Gb/s电接口以太网卡；</w:t>
            </w:r>
          </w:p>
          <w:p w14:paraId="286FAA2B">
            <w:pPr>
              <w:spacing w:after="156" w:afterLines="50" w:line="240" w:lineRule="auto"/>
              <w:ind w:firstLine="0" w:firstLineChars="0"/>
              <w:rPr>
                <w:rFonts w:hint="eastAsia" w:ascii="宋体" w:hAnsi="宋体" w:eastAsia="宋体" w:cs="宋体"/>
                <w:kern w:val="0"/>
                <w:sz w:val="21"/>
                <w:szCs w:val="21"/>
              </w:rPr>
            </w:pPr>
            <w:r>
              <w:rPr>
                <w:rFonts w:ascii="宋体" w:hAnsi="宋体" w:eastAsia="宋体" w:cs="宋体"/>
                <w:kern w:val="0"/>
                <w:sz w:val="21"/>
                <w:szCs w:val="21"/>
              </w:rPr>
              <w:t>5</w:t>
            </w:r>
            <w:r>
              <w:rPr>
                <w:rFonts w:hint="eastAsia" w:ascii="宋体" w:hAnsi="宋体" w:eastAsia="宋体" w:cs="宋体"/>
                <w:kern w:val="0"/>
                <w:sz w:val="21"/>
                <w:szCs w:val="21"/>
              </w:rPr>
              <w:t>、阵列卡：≥1张12G SAS RAID卡(支持8+2个SAS Port,带4GB缓存）；</w:t>
            </w:r>
          </w:p>
          <w:p w14:paraId="5EDFEB84">
            <w:pPr>
              <w:spacing w:after="156" w:afterLines="50" w:line="240" w:lineRule="auto"/>
              <w:ind w:firstLine="0" w:firstLineChars="0"/>
              <w:rPr>
                <w:rFonts w:hint="eastAsia" w:ascii="宋体" w:hAnsi="宋体" w:eastAsia="宋体" w:cs="宋体"/>
                <w:kern w:val="0"/>
                <w:sz w:val="21"/>
                <w:szCs w:val="21"/>
              </w:rPr>
            </w:pPr>
            <w:r>
              <w:rPr>
                <w:rFonts w:ascii="宋体" w:hAnsi="宋体" w:eastAsia="宋体" w:cs="宋体"/>
                <w:kern w:val="0"/>
                <w:sz w:val="21"/>
                <w:szCs w:val="21"/>
              </w:rPr>
              <w:t>6</w:t>
            </w:r>
            <w:r>
              <w:rPr>
                <w:rFonts w:hint="eastAsia" w:ascii="宋体" w:hAnsi="宋体" w:eastAsia="宋体" w:cs="宋体"/>
                <w:kern w:val="0"/>
                <w:sz w:val="21"/>
                <w:szCs w:val="21"/>
              </w:rPr>
              <w:t>、电源风扇：冗余2000电源、冗余风扇；</w:t>
            </w:r>
          </w:p>
          <w:p w14:paraId="4F5B141F">
            <w:pPr>
              <w:spacing w:after="156" w:afterLines="50" w:line="240" w:lineRule="auto"/>
              <w:ind w:firstLine="0" w:firstLineChars="0"/>
              <w:rPr>
                <w:rFonts w:hint="eastAsia" w:ascii="宋体" w:hAnsi="宋体" w:eastAsia="宋体" w:cs="宋体"/>
                <w:kern w:val="0"/>
                <w:sz w:val="21"/>
                <w:szCs w:val="21"/>
              </w:rPr>
            </w:pPr>
            <w:r>
              <w:rPr>
                <w:rFonts w:ascii="宋体" w:hAnsi="宋体" w:eastAsia="宋体" w:cs="宋体"/>
                <w:kern w:val="0"/>
                <w:sz w:val="21"/>
                <w:szCs w:val="21"/>
              </w:rPr>
              <w:t>7</w:t>
            </w:r>
            <w:r>
              <w:rPr>
                <w:rFonts w:hint="eastAsia" w:ascii="宋体" w:hAnsi="宋体" w:eastAsia="宋体" w:cs="宋体"/>
                <w:kern w:val="0"/>
                <w:sz w:val="21"/>
                <w:szCs w:val="21"/>
              </w:rPr>
              <w:t>、算力卡：可支持≥3张双宽FHFL/8张单宽HHHL；本次实配GPU配置≥2块L20算力卡；</w:t>
            </w:r>
          </w:p>
          <w:p w14:paraId="741FDC0D">
            <w:pPr>
              <w:spacing w:after="156" w:afterLines="50" w:line="240" w:lineRule="auto"/>
              <w:ind w:firstLine="0" w:firstLineChars="0"/>
              <w:rPr>
                <w:rFonts w:hint="eastAsia" w:ascii="宋体" w:hAnsi="宋体" w:eastAsia="宋体" w:cs="宋体"/>
                <w:kern w:val="0"/>
                <w:sz w:val="21"/>
                <w:szCs w:val="21"/>
              </w:rPr>
            </w:pPr>
            <w:r>
              <w:rPr>
                <w:rFonts w:ascii="宋体" w:hAnsi="宋体" w:eastAsia="宋体" w:cs="宋体"/>
                <w:kern w:val="0"/>
                <w:sz w:val="21"/>
                <w:szCs w:val="21"/>
              </w:rPr>
              <w:t>8</w:t>
            </w:r>
            <w:r>
              <w:rPr>
                <w:rFonts w:hint="eastAsia" w:ascii="宋体" w:hAnsi="宋体" w:eastAsia="宋体" w:cs="宋体"/>
                <w:kern w:val="0"/>
                <w:sz w:val="21"/>
                <w:szCs w:val="21"/>
              </w:rPr>
              <w:t xml:space="preserve">、PCIe扩展：最多提供≥10个标准PCIe 5.0插槽, 支持全高全长插槽≥4； </w:t>
            </w:r>
          </w:p>
          <w:p w14:paraId="0549C30E">
            <w:pPr>
              <w:pStyle w:val="2"/>
              <w:spacing w:after="156" w:afterLines="50" w:line="240" w:lineRule="auto"/>
              <w:ind w:left="0" w:leftChars="0" w:firstLine="0" w:firstLineChars="0"/>
              <w:rPr>
                <w:rFonts w:hint="eastAsia" w:ascii="宋体" w:hAnsi="宋体" w:eastAsia="宋体"/>
                <w:sz w:val="21"/>
                <w:szCs w:val="21"/>
              </w:rPr>
            </w:pPr>
            <w:r>
              <w:rPr>
                <w:rFonts w:ascii="宋体" w:hAnsi="宋体" w:eastAsia="宋体" w:cs="宋体"/>
                <w:kern w:val="0"/>
                <w:sz w:val="21"/>
                <w:szCs w:val="21"/>
              </w:rPr>
              <w:t>9</w:t>
            </w:r>
            <w:r>
              <w:rPr>
                <w:rFonts w:hint="eastAsia" w:ascii="宋体" w:hAnsi="宋体" w:eastAsia="宋体" w:cs="宋体"/>
                <w:kern w:val="0"/>
                <w:sz w:val="21"/>
                <w:szCs w:val="21"/>
              </w:rPr>
              <w:t>、配置BMC管理芯片，BMC管理芯片符合安全可靠测评II级；</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79CCABF3">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3BED8E80">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1</w:t>
            </w:r>
          </w:p>
        </w:tc>
      </w:tr>
      <w:tr w14:paraId="5F76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180DC3DE">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1.3</w:t>
            </w:r>
          </w:p>
        </w:tc>
        <w:tc>
          <w:tcPr>
            <w:tcW w:w="110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631FD45E">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存储交换机</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5723073E">
            <w:pPr>
              <w:spacing w:after="156" w:afterLines="50" w:line="240" w:lineRule="auto"/>
              <w:ind w:firstLine="0" w:firstLineChars="0"/>
              <w:rPr>
                <w:rFonts w:hint="eastAsia" w:ascii="宋体" w:hAnsi="宋体" w:eastAsia="宋体" w:cs="宋体"/>
                <w:sz w:val="21"/>
                <w:szCs w:val="21"/>
              </w:rPr>
            </w:pPr>
            <w:r>
              <w:rPr>
                <w:rFonts w:hint="eastAsia" w:ascii="宋体" w:hAnsi="宋体" w:eastAsia="宋体" w:cs="宋体"/>
                <w:kern w:val="0"/>
                <w:sz w:val="21"/>
                <w:szCs w:val="21"/>
              </w:rPr>
              <w:t>1、高度1U，固定接口交换机，</w:t>
            </w:r>
            <w:r>
              <w:rPr>
                <w:rFonts w:hint="eastAsia" w:ascii="宋体" w:hAnsi="宋体" w:eastAsia="宋体" w:cs="宋体"/>
                <w:sz w:val="21"/>
                <w:szCs w:val="21"/>
              </w:rPr>
              <w:t>整机提供10 GE 光接口≥</w:t>
            </w:r>
            <w:r>
              <w:rPr>
                <w:rFonts w:ascii="宋体" w:hAnsi="宋体" w:eastAsia="宋体" w:cs="宋体"/>
                <w:sz w:val="21"/>
                <w:szCs w:val="21"/>
              </w:rPr>
              <w:t>32</w:t>
            </w:r>
            <w:r>
              <w:rPr>
                <w:rFonts w:hint="eastAsia" w:ascii="宋体" w:hAnsi="宋体" w:eastAsia="宋体" w:cs="宋体"/>
                <w:sz w:val="21"/>
                <w:szCs w:val="21"/>
              </w:rPr>
              <w:t>个，40</w:t>
            </w:r>
            <w:r>
              <w:rPr>
                <w:rFonts w:ascii="宋体" w:hAnsi="宋体" w:eastAsia="宋体" w:cs="宋体"/>
                <w:sz w:val="21"/>
                <w:szCs w:val="21"/>
              </w:rPr>
              <w:t>/100</w:t>
            </w:r>
            <w:r>
              <w:rPr>
                <w:rFonts w:hint="eastAsia" w:ascii="宋体" w:hAnsi="宋体" w:eastAsia="宋体" w:cs="宋体"/>
                <w:sz w:val="21"/>
                <w:szCs w:val="21"/>
              </w:rPr>
              <w:t>GE光接口≥4个，扩展插槽≥2个；支持冗余电源、风扇模块；本次配置12块万兆多模光块块，1根3米万兆堆叠线缆；</w:t>
            </w:r>
          </w:p>
          <w:p w14:paraId="75D9C158">
            <w:pPr>
              <w:spacing w:after="156" w:afterLines="5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2、交换容量≥</w:t>
            </w:r>
            <w:r>
              <w:rPr>
                <w:rFonts w:ascii="宋体" w:hAnsi="宋体" w:eastAsia="宋体" w:cs="宋体"/>
                <w:sz w:val="21"/>
                <w:szCs w:val="21"/>
              </w:rPr>
              <w:t>4.8</w:t>
            </w:r>
            <w:r>
              <w:rPr>
                <w:rFonts w:hint="eastAsia" w:ascii="宋体" w:hAnsi="宋体" w:eastAsia="宋体" w:cs="宋体"/>
                <w:sz w:val="21"/>
                <w:szCs w:val="21"/>
              </w:rPr>
              <w:t>Tbps；转发性能≥</w:t>
            </w:r>
            <w:r>
              <w:rPr>
                <w:rFonts w:ascii="宋体" w:hAnsi="宋体" w:eastAsia="宋体" w:cs="宋体"/>
                <w:sz w:val="21"/>
                <w:szCs w:val="21"/>
              </w:rPr>
              <w:t>160</w:t>
            </w:r>
            <w:r>
              <w:rPr>
                <w:rFonts w:hint="eastAsia" w:ascii="宋体" w:hAnsi="宋体" w:eastAsia="宋体" w:cs="宋体"/>
                <w:sz w:val="21"/>
                <w:szCs w:val="21"/>
              </w:rPr>
              <w:t>0Mpps；</w:t>
            </w:r>
          </w:p>
          <w:p w14:paraId="3DDB356B">
            <w:pPr>
              <w:spacing w:after="156" w:afterLines="50" w:line="240" w:lineRule="auto"/>
              <w:ind w:firstLine="0" w:firstLineChars="0"/>
              <w:rPr>
                <w:rFonts w:hint="eastAsia" w:ascii="宋体" w:hAnsi="宋体" w:eastAsia="宋体" w:cs="宋体"/>
                <w:b/>
                <w:bCs/>
                <w:color w:val="FFFFFF" w:themeColor="background1"/>
                <w:sz w:val="21"/>
                <w:szCs w:val="21"/>
                <w:highlight w:val="blue"/>
                <w14:textFill>
                  <w14:solidFill>
                    <w14:schemeClr w14:val="bg1"/>
                  </w14:solidFill>
                </w14:textFill>
              </w:rPr>
            </w:pPr>
            <w:r>
              <w:rPr>
                <w:rFonts w:hint="eastAsia" w:ascii="宋体" w:hAnsi="宋体" w:eastAsia="宋体" w:cs="宋体"/>
                <w:kern w:val="0"/>
                <w:sz w:val="21"/>
                <w:szCs w:val="21"/>
              </w:rPr>
              <w:t>3、</w:t>
            </w:r>
            <w:bookmarkStart w:id="3" w:name="OLE_LINK32"/>
            <w:r>
              <w:rPr>
                <w:rFonts w:hint="eastAsia" w:ascii="宋体" w:hAnsi="宋体" w:eastAsia="宋体" w:cs="宋体"/>
                <w:kern w:val="0"/>
                <w:sz w:val="21"/>
                <w:szCs w:val="21"/>
              </w:rPr>
              <w:t>▲</w:t>
            </w:r>
            <w:bookmarkEnd w:id="3"/>
            <w:r>
              <w:rPr>
                <w:rFonts w:hint="eastAsia" w:ascii="宋体" w:hAnsi="宋体" w:eastAsia="宋体" w:cs="宋体"/>
                <w:sz w:val="21"/>
                <w:szCs w:val="21"/>
              </w:rPr>
              <w:t>整机最大路由地址表≥</w:t>
            </w:r>
            <w:r>
              <w:rPr>
                <w:rFonts w:ascii="宋体" w:hAnsi="宋体" w:eastAsia="宋体" w:cs="宋体"/>
                <w:sz w:val="21"/>
                <w:szCs w:val="21"/>
              </w:rPr>
              <w:t>320</w:t>
            </w:r>
            <w:r>
              <w:rPr>
                <w:rFonts w:hint="eastAsia" w:ascii="宋体" w:hAnsi="宋体" w:eastAsia="宋体" w:cs="宋体"/>
                <w:sz w:val="21"/>
                <w:szCs w:val="21"/>
              </w:rPr>
              <w:t>K，最大ARP地址表≥</w:t>
            </w:r>
            <w:r>
              <w:rPr>
                <w:rFonts w:ascii="宋体" w:hAnsi="宋体" w:eastAsia="宋体" w:cs="宋体"/>
                <w:sz w:val="21"/>
                <w:szCs w:val="21"/>
              </w:rPr>
              <w:t>170</w:t>
            </w:r>
            <w:r>
              <w:rPr>
                <w:rFonts w:hint="eastAsia" w:ascii="宋体" w:hAnsi="宋体" w:eastAsia="宋体" w:cs="宋体"/>
                <w:sz w:val="21"/>
                <w:szCs w:val="21"/>
              </w:rPr>
              <w:t>K，最大MAC地址表≥</w:t>
            </w:r>
            <w:r>
              <w:rPr>
                <w:rFonts w:ascii="宋体" w:hAnsi="宋体" w:eastAsia="宋体" w:cs="宋体"/>
                <w:sz w:val="21"/>
                <w:szCs w:val="21"/>
              </w:rPr>
              <w:t>280</w:t>
            </w:r>
            <w:r>
              <w:rPr>
                <w:rFonts w:hint="eastAsia" w:ascii="宋体" w:hAnsi="宋体" w:eastAsia="宋体" w:cs="宋体"/>
                <w:sz w:val="21"/>
                <w:szCs w:val="21"/>
              </w:rPr>
              <w:t>K；</w:t>
            </w:r>
            <w:r>
              <w:rPr>
                <w:rFonts w:hint="eastAsia" w:ascii="宋体" w:hAnsi="宋体" w:eastAsia="宋体" w:cs="宋体"/>
                <w:color w:val="000000"/>
                <w:kern w:val="0"/>
                <w:sz w:val="21"/>
                <w:szCs w:val="21"/>
                <w:lang w:bidi="ar"/>
              </w:rPr>
              <w:t>（提供第三方检测机构出具的带CNAS或CMA标识的检测报告）</w:t>
            </w:r>
          </w:p>
          <w:p w14:paraId="1D9D2BCE">
            <w:pPr>
              <w:spacing w:after="156" w:afterLines="5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4、支持IPv4静态路由、RIP、OSPF、ISIS、BGP；支持IPv6静态路由、RIPng、OSPFv3、ISISv6、BGP4+；</w:t>
            </w:r>
          </w:p>
          <w:p w14:paraId="31A640D3">
            <w:pPr>
              <w:spacing w:after="156" w:afterLines="50" w:line="240" w:lineRule="auto"/>
              <w:ind w:firstLine="0" w:firstLineChars="0"/>
              <w:rPr>
                <w:rFonts w:hint="eastAsia" w:ascii="宋体" w:hAnsi="宋体" w:eastAsia="宋体" w:cs="宋体"/>
                <w:color w:val="auto"/>
                <w:sz w:val="21"/>
                <w:szCs w:val="21"/>
              </w:rPr>
            </w:pPr>
            <w:r>
              <w:rPr>
                <w:rFonts w:hint="eastAsia" w:ascii="宋体" w:hAnsi="宋体" w:eastAsia="宋体" w:cs="宋体"/>
                <w:kern w:val="0"/>
                <w:sz w:val="21"/>
                <w:szCs w:val="21"/>
              </w:rPr>
              <w:t>5、业务扩展槽支持扩展防火墙插卡，</w:t>
            </w:r>
            <w:r>
              <w:rPr>
                <w:rFonts w:hint="eastAsia" w:ascii="宋体" w:hAnsi="宋体" w:eastAsia="宋体" w:cs="宋体"/>
                <w:sz w:val="21"/>
                <w:szCs w:val="21"/>
              </w:rPr>
              <w:t>防火墙插卡集成多种安全模块，保障网络信息安全；</w:t>
            </w:r>
            <w:r>
              <w:rPr>
                <w:rFonts w:hint="eastAsia" w:ascii="宋体" w:hAnsi="宋体" w:eastAsia="宋体" w:cs="宋体"/>
                <w:color w:val="auto"/>
                <w:sz w:val="21"/>
                <w:szCs w:val="21"/>
              </w:rPr>
              <w:t xml:space="preserve"> </w:t>
            </w:r>
          </w:p>
          <w:p w14:paraId="5211A0F7">
            <w:pPr>
              <w:spacing w:after="156" w:afterLines="5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6、要求支持安全启动，在系统启动过程中支持安全检测，防止对系统镜像进行修改和伪造数据；</w:t>
            </w:r>
          </w:p>
          <w:p w14:paraId="0958F40F">
            <w:pPr>
              <w:spacing w:after="156" w:afterLines="50" w:line="240" w:lineRule="auto"/>
              <w:ind w:firstLine="0" w:firstLineChars="0"/>
              <w:rPr>
                <w:rFonts w:hint="eastAsia" w:ascii="宋体" w:hAnsi="宋体" w:eastAsia="宋体" w:cs="宋体"/>
                <w:b/>
                <w:bCs/>
                <w:color w:val="FFFFFF" w:themeColor="background1"/>
                <w:sz w:val="21"/>
                <w:szCs w:val="21"/>
                <w:highlight w:val="blue"/>
                <w14:textFill>
                  <w14:solidFill>
                    <w14:schemeClr w14:val="bg1"/>
                  </w14:solidFill>
                </w14:textFill>
              </w:rPr>
            </w:pPr>
            <w:r>
              <w:rPr>
                <w:rFonts w:hint="eastAsia" w:ascii="宋体" w:hAnsi="宋体" w:eastAsia="宋体" w:cs="宋体"/>
                <w:sz w:val="21"/>
                <w:szCs w:val="21"/>
              </w:rPr>
              <w:t>7、支持图形化界面智能管理，通过Web页面图形化设置管理设备，实现拓扑查看及所有成员设备信息查看；可以图形化创建配置组，对组内设备进行配置文件一键下发；也可实现对拓扑内设备批量进行版本升级；</w:t>
            </w:r>
          </w:p>
          <w:p w14:paraId="34978C23">
            <w:pPr>
              <w:spacing w:after="156" w:afterLines="50" w:line="240" w:lineRule="auto"/>
              <w:ind w:firstLine="0" w:firstLineChars="0"/>
              <w:rPr>
                <w:rFonts w:hint="eastAsia" w:ascii="宋体" w:hAnsi="宋体" w:eastAsia="宋体" w:cs="宋体"/>
                <w:sz w:val="21"/>
                <w:szCs w:val="21"/>
              </w:rPr>
            </w:pPr>
            <w:r>
              <w:rPr>
                <w:rFonts w:hint="eastAsia" w:ascii="宋体" w:hAnsi="宋体" w:eastAsia="宋体" w:cs="宋体"/>
                <w:kern w:val="0"/>
                <w:sz w:val="21"/>
                <w:szCs w:val="21"/>
              </w:rPr>
              <w:t>8、</w:t>
            </w:r>
            <w:r>
              <w:rPr>
                <w:rFonts w:hint="eastAsia" w:ascii="宋体" w:hAnsi="宋体" w:eastAsia="宋体" w:cs="宋体"/>
                <w:sz w:val="21"/>
                <w:szCs w:val="21"/>
              </w:rPr>
              <w:t xml:space="preserve">设备支持硬件健康状态、用户可视化，可以对电压、风扇状态、电源、温度进行监控； </w:t>
            </w:r>
          </w:p>
          <w:p w14:paraId="34E7E665">
            <w:pPr>
              <w:pStyle w:val="2"/>
              <w:spacing w:after="156" w:afterLines="50" w:line="240" w:lineRule="auto"/>
              <w:ind w:left="0" w:leftChars="0" w:firstLine="0" w:firstLineChars="0"/>
              <w:rPr>
                <w:rFonts w:hint="eastAsia" w:ascii="宋体" w:hAnsi="宋体" w:eastAsia="宋体"/>
                <w:sz w:val="21"/>
                <w:szCs w:val="21"/>
              </w:rPr>
            </w:pPr>
            <w:r>
              <w:rPr>
                <w:rFonts w:ascii="宋体" w:hAnsi="宋体" w:eastAsia="宋体" w:cs="宋体"/>
                <w:sz w:val="21"/>
                <w:szCs w:val="21"/>
              </w:rPr>
              <w:t>9</w:t>
            </w:r>
            <w:r>
              <w:rPr>
                <w:rFonts w:hint="eastAsia" w:ascii="宋体" w:hAnsi="宋体" w:eastAsia="宋体" w:cs="宋体"/>
                <w:sz w:val="21"/>
                <w:szCs w:val="21"/>
              </w:rPr>
              <w:t>、支持有线无线一体化能力，支持AC功能对无线AP进行管理；</w:t>
            </w:r>
          </w:p>
        </w:tc>
        <w:tc>
          <w:tcPr>
            <w:tcW w:w="425"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3F7E75B3">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台</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71763907">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2</w:t>
            </w:r>
          </w:p>
        </w:tc>
      </w:tr>
      <w:tr w14:paraId="3006B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691917F6">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1.4</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02B91F06">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业务管理交换机</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12E7D6D0">
            <w:pPr>
              <w:spacing w:after="156" w:afterLines="50" w:line="240" w:lineRule="auto"/>
              <w:ind w:firstLine="0" w:firstLineChars="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kern w:val="0"/>
                <w:sz w:val="20"/>
                <w:szCs w:val="20"/>
              </w:rPr>
              <w:t>★</w:t>
            </w:r>
            <w:r>
              <w:rPr>
                <w:rFonts w:hint="eastAsia" w:ascii="宋体" w:hAnsi="宋体" w:eastAsia="宋体" w:cs="宋体"/>
                <w:sz w:val="21"/>
                <w:szCs w:val="21"/>
              </w:rPr>
              <w:t>交换容量≥67</w:t>
            </w:r>
            <w:r>
              <w:rPr>
                <w:rFonts w:ascii="宋体" w:hAnsi="宋体" w:eastAsia="宋体" w:cs="宋体"/>
                <w:sz w:val="21"/>
                <w:szCs w:val="21"/>
              </w:rPr>
              <w:t>0</w:t>
            </w:r>
            <w:r>
              <w:rPr>
                <w:rFonts w:hint="eastAsia" w:ascii="宋体" w:hAnsi="宋体" w:eastAsia="宋体" w:cs="宋体"/>
                <w:sz w:val="21"/>
                <w:szCs w:val="21"/>
              </w:rPr>
              <w:t>Gbps，转发性能&gt;=17</w:t>
            </w:r>
            <w:r>
              <w:rPr>
                <w:rFonts w:ascii="宋体" w:hAnsi="宋体" w:eastAsia="宋体" w:cs="宋体"/>
                <w:sz w:val="21"/>
                <w:szCs w:val="21"/>
              </w:rPr>
              <w:t>0</w:t>
            </w:r>
            <w:r>
              <w:rPr>
                <w:rFonts w:hint="eastAsia" w:ascii="宋体" w:hAnsi="宋体" w:eastAsia="宋体" w:cs="宋体"/>
                <w:sz w:val="21"/>
                <w:szCs w:val="21"/>
              </w:rPr>
              <w:t>Mpps；24个GE端口，4个万兆SFP+口，1个USB接口；</w:t>
            </w:r>
            <w:r>
              <w:rPr>
                <w:rFonts w:hint="eastAsia" w:ascii="宋体" w:hAnsi="宋体" w:eastAsia="宋体" w:cs="宋体"/>
                <w:kern w:val="0"/>
                <w:sz w:val="21"/>
                <w:szCs w:val="21"/>
              </w:rPr>
              <w:t>（投标人提供承诺函）</w:t>
            </w:r>
          </w:p>
          <w:p w14:paraId="6328B4CB">
            <w:pPr>
              <w:spacing w:after="156" w:afterLines="50" w:line="240" w:lineRule="auto"/>
              <w:ind w:firstLine="0" w:firstLineChars="0"/>
              <w:jc w:val="left"/>
              <w:rPr>
                <w:rFonts w:hint="eastAsia" w:ascii="宋体" w:hAnsi="宋体" w:eastAsia="宋体" w:cs="宋体"/>
                <w:sz w:val="21"/>
                <w:szCs w:val="21"/>
              </w:rPr>
            </w:pPr>
            <w:r>
              <w:rPr>
                <w:rFonts w:hint="eastAsia" w:ascii="宋体" w:hAnsi="宋体" w:eastAsia="宋体" w:cs="宋体"/>
                <w:sz w:val="21"/>
                <w:szCs w:val="21"/>
              </w:rPr>
              <w:t>2、整机最大路由地址表≥3K；整机最大ARP地址表≥2K；整机最大MAC地址表≥16K；</w:t>
            </w:r>
          </w:p>
          <w:p w14:paraId="2BACA850">
            <w:pPr>
              <w:spacing w:after="156" w:afterLines="50" w:line="240" w:lineRule="auto"/>
              <w:ind w:firstLine="0" w:firstLineChars="0"/>
              <w:jc w:val="left"/>
              <w:rPr>
                <w:rFonts w:hint="eastAsia" w:ascii="宋体" w:hAnsi="宋体" w:eastAsia="宋体" w:cs="宋体"/>
                <w:sz w:val="21"/>
                <w:szCs w:val="21"/>
              </w:rPr>
            </w:pPr>
            <w:r>
              <w:rPr>
                <w:rFonts w:hint="eastAsia" w:ascii="宋体" w:hAnsi="宋体" w:eastAsia="宋体" w:cs="宋体"/>
                <w:sz w:val="21"/>
                <w:szCs w:val="21"/>
              </w:rPr>
              <w:t>3、要求无风扇静音设计；</w:t>
            </w:r>
          </w:p>
          <w:p w14:paraId="19C1D35D">
            <w:pPr>
              <w:spacing w:after="156" w:afterLines="50" w:line="240" w:lineRule="auto"/>
              <w:ind w:firstLine="0" w:firstLineChars="0"/>
              <w:jc w:val="left"/>
              <w:rPr>
                <w:rFonts w:hint="eastAsia" w:ascii="宋体" w:hAnsi="宋体" w:eastAsia="宋体" w:cs="宋体"/>
                <w:sz w:val="21"/>
                <w:szCs w:val="21"/>
              </w:rPr>
            </w:pPr>
            <w:r>
              <w:rPr>
                <w:rFonts w:hint="eastAsia" w:ascii="宋体" w:hAnsi="宋体" w:eastAsia="宋体" w:cs="宋体"/>
                <w:sz w:val="21"/>
                <w:szCs w:val="21"/>
              </w:rPr>
              <w:t>4、支持IPv4静态路由、RIP、OSPF；支持IPv6静态路由、RIPng、OSPFv3；</w:t>
            </w:r>
          </w:p>
          <w:p w14:paraId="3BD66982">
            <w:pPr>
              <w:spacing w:after="156" w:afterLines="50" w:line="240" w:lineRule="auto"/>
              <w:ind w:firstLine="0" w:firstLineChars="0"/>
              <w:jc w:val="left"/>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kern w:val="0"/>
                <w:sz w:val="21"/>
                <w:szCs w:val="21"/>
              </w:rPr>
              <w:t>▲</w:t>
            </w:r>
            <w:r>
              <w:rPr>
                <w:rFonts w:hint="eastAsia" w:ascii="宋体" w:hAnsi="宋体" w:eastAsia="宋体" w:cs="宋体"/>
                <w:sz w:val="21"/>
                <w:szCs w:val="21"/>
              </w:rPr>
              <w:t>要求支持安全启动Secure boot，在系统启动过程中支持安全检测，防止对系统镜像进行修改和伪造数据；</w:t>
            </w:r>
            <w:r>
              <w:rPr>
                <w:rFonts w:hint="eastAsia" w:ascii="宋体" w:hAnsi="宋体" w:eastAsia="宋体" w:cs="宋体"/>
                <w:color w:val="000000"/>
                <w:kern w:val="0"/>
                <w:sz w:val="21"/>
                <w:szCs w:val="21"/>
                <w:lang w:bidi="ar"/>
              </w:rPr>
              <w:t>（提供第三方检测机构出具的带CNAS或CMA标识的检测报告）</w:t>
            </w:r>
          </w:p>
          <w:p w14:paraId="2B9A6816">
            <w:pPr>
              <w:pStyle w:val="2"/>
              <w:spacing w:after="156" w:afterLines="50" w:line="240" w:lineRule="auto"/>
              <w:ind w:left="0" w:leftChars="0" w:firstLine="0" w:firstLineChars="0"/>
              <w:rPr>
                <w:rFonts w:hint="eastAsia" w:ascii="宋体" w:hAnsi="宋体" w:eastAsia="宋体"/>
                <w:sz w:val="21"/>
                <w:szCs w:val="21"/>
              </w:rPr>
            </w:pPr>
            <w:r>
              <w:rPr>
                <w:rFonts w:hint="eastAsia" w:ascii="宋体" w:hAnsi="宋体" w:eastAsia="宋体" w:cs="宋体"/>
                <w:kern w:val="0"/>
                <w:sz w:val="21"/>
                <w:szCs w:val="21"/>
              </w:rPr>
              <w:t>6、</w:t>
            </w:r>
            <w:r>
              <w:rPr>
                <w:rFonts w:hint="eastAsia" w:ascii="宋体" w:hAnsi="宋体" w:eastAsia="宋体" w:cs="宋体"/>
                <w:sz w:val="21"/>
                <w:szCs w:val="21"/>
              </w:rPr>
              <w:t>设备能够被公有云平台管理</w:t>
            </w:r>
            <w:r>
              <w:rPr>
                <w:rFonts w:hint="eastAsia" w:ascii="宋体" w:hAnsi="宋体" w:eastAsia="宋体"/>
                <w:sz w:val="21"/>
                <w:szCs w:val="21"/>
              </w:rPr>
              <w:t xml:space="preserve"> ；</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5D97CEE2">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23E8AB77">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2</w:t>
            </w:r>
          </w:p>
        </w:tc>
      </w:tr>
      <w:tr w14:paraId="2ADC1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0C64E505">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1.5</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15B2B933">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出口防火墙</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04779ED7">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bCs/>
                <w:color w:val="000000"/>
                <w:kern w:val="0"/>
                <w:sz w:val="21"/>
                <w:szCs w:val="21"/>
              </w:rPr>
              <w:t>1、采用国产自主可控设计，满足国产化设计要求；</w:t>
            </w:r>
          </w:p>
          <w:p w14:paraId="7C155241">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2、三层吞吐率≥</w:t>
            </w:r>
            <w:r>
              <w:rPr>
                <w:rFonts w:ascii="宋体" w:hAnsi="宋体" w:eastAsia="宋体" w:cs="宋体"/>
                <w:color w:val="000000"/>
                <w:kern w:val="0"/>
                <w:sz w:val="21"/>
                <w:szCs w:val="21"/>
              </w:rPr>
              <w:t>4</w:t>
            </w:r>
            <w:r>
              <w:rPr>
                <w:rFonts w:hint="eastAsia" w:ascii="宋体" w:hAnsi="宋体" w:eastAsia="宋体" w:cs="宋体"/>
                <w:color w:val="000000"/>
                <w:kern w:val="0"/>
                <w:sz w:val="21"/>
                <w:szCs w:val="21"/>
              </w:rPr>
              <w:t>Gbps，应用层吞吐≥</w:t>
            </w:r>
            <w:r>
              <w:rPr>
                <w:rFonts w:ascii="宋体" w:hAnsi="宋体" w:eastAsia="宋体" w:cs="宋体"/>
                <w:color w:val="000000"/>
                <w:kern w:val="0"/>
                <w:sz w:val="21"/>
                <w:szCs w:val="21"/>
              </w:rPr>
              <w:t>3</w:t>
            </w:r>
            <w:r>
              <w:rPr>
                <w:rFonts w:hint="eastAsia" w:ascii="宋体" w:hAnsi="宋体" w:eastAsia="宋体" w:cs="宋体"/>
                <w:color w:val="000000"/>
                <w:kern w:val="0"/>
                <w:sz w:val="21"/>
                <w:szCs w:val="21"/>
              </w:rPr>
              <w:t>Gbps，</w:t>
            </w:r>
            <w:r>
              <w:rPr>
                <w:rFonts w:hint="eastAsia" w:ascii="宋体" w:hAnsi="宋体" w:eastAsia="宋体" w:cs="宋体"/>
                <w:kern w:val="0"/>
                <w:sz w:val="21"/>
                <w:szCs w:val="21"/>
              </w:rPr>
              <w:t>适用带宽≥5</w:t>
            </w:r>
            <w:r>
              <w:rPr>
                <w:rFonts w:ascii="宋体" w:hAnsi="宋体" w:eastAsia="宋体" w:cs="宋体"/>
                <w:kern w:val="0"/>
                <w:sz w:val="21"/>
                <w:szCs w:val="21"/>
              </w:rPr>
              <w:t>0</w:t>
            </w:r>
            <w:r>
              <w:rPr>
                <w:rFonts w:hint="eastAsia" w:ascii="宋体" w:hAnsi="宋体" w:eastAsia="宋体" w:cs="宋体"/>
                <w:kern w:val="0"/>
                <w:sz w:val="21"/>
                <w:szCs w:val="21"/>
              </w:rPr>
              <w:t>0Mbps，自带100条SSL VPN用户数量授权，并发连接数≥2</w:t>
            </w:r>
            <w:r>
              <w:rPr>
                <w:rFonts w:ascii="宋体" w:hAnsi="宋体" w:eastAsia="宋体" w:cs="宋体"/>
                <w:kern w:val="0"/>
                <w:sz w:val="21"/>
                <w:szCs w:val="21"/>
              </w:rPr>
              <w:t>5</w:t>
            </w:r>
            <w:r>
              <w:rPr>
                <w:rFonts w:hint="eastAsia" w:ascii="宋体" w:hAnsi="宋体" w:eastAsia="宋体" w:cs="宋体"/>
                <w:kern w:val="0"/>
                <w:sz w:val="21"/>
                <w:szCs w:val="21"/>
              </w:rPr>
              <w:t>0万，新</w:t>
            </w:r>
            <w:r>
              <w:rPr>
                <w:rFonts w:hint="eastAsia" w:ascii="宋体" w:hAnsi="宋体" w:eastAsia="宋体" w:cs="宋体"/>
                <w:color w:val="000000"/>
                <w:kern w:val="0"/>
                <w:sz w:val="21"/>
                <w:szCs w:val="21"/>
              </w:rPr>
              <w:t>建连接数≥</w:t>
            </w:r>
            <w:r>
              <w:rPr>
                <w:rFonts w:ascii="宋体" w:hAnsi="宋体" w:eastAsia="宋体" w:cs="宋体"/>
                <w:color w:val="000000"/>
                <w:kern w:val="0"/>
                <w:sz w:val="21"/>
                <w:szCs w:val="21"/>
              </w:rPr>
              <w:t>4</w:t>
            </w:r>
            <w:r>
              <w:rPr>
                <w:rFonts w:hint="eastAsia" w:ascii="宋体" w:hAnsi="宋体" w:eastAsia="宋体" w:cs="宋体"/>
                <w:color w:val="000000"/>
                <w:kern w:val="0"/>
                <w:sz w:val="21"/>
                <w:szCs w:val="21"/>
              </w:rPr>
              <w:t>W</w:t>
            </w:r>
            <w:r>
              <w:rPr>
                <w:rFonts w:hint="eastAsia" w:ascii="宋体" w:hAnsi="宋体" w:eastAsia="宋体" w:cs="宋体"/>
                <w:bCs/>
                <w:color w:val="000000"/>
                <w:kern w:val="0"/>
                <w:sz w:val="21"/>
                <w:szCs w:val="21"/>
              </w:rPr>
              <w:t>；</w:t>
            </w:r>
          </w:p>
          <w:p w14:paraId="590171A3">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3、支持≥1</w:t>
            </w:r>
            <w:r>
              <w:rPr>
                <w:rFonts w:ascii="宋体" w:hAnsi="宋体" w:eastAsia="宋体" w:cs="宋体"/>
                <w:color w:val="000000"/>
                <w:kern w:val="0"/>
                <w:sz w:val="21"/>
                <w:szCs w:val="21"/>
              </w:rPr>
              <w:t>6</w:t>
            </w:r>
            <w:r>
              <w:rPr>
                <w:rFonts w:hint="eastAsia" w:ascii="宋体" w:hAnsi="宋体" w:eastAsia="宋体" w:cs="宋体"/>
                <w:color w:val="000000"/>
                <w:kern w:val="0"/>
                <w:sz w:val="21"/>
                <w:szCs w:val="21"/>
              </w:rPr>
              <w:t>个GE电口，≥8个千兆SFP光口，≥</w:t>
            </w:r>
            <w:r>
              <w:rPr>
                <w:rFonts w:ascii="宋体" w:hAnsi="宋体" w:eastAsia="宋体" w:cs="宋体"/>
                <w:color w:val="000000"/>
                <w:kern w:val="0"/>
                <w:sz w:val="21"/>
                <w:szCs w:val="21"/>
              </w:rPr>
              <w:t>4</w:t>
            </w:r>
            <w:r>
              <w:rPr>
                <w:rFonts w:hint="eastAsia" w:ascii="宋体" w:hAnsi="宋体" w:eastAsia="宋体" w:cs="宋体"/>
                <w:color w:val="000000"/>
                <w:kern w:val="0"/>
                <w:sz w:val="21"/>
                <w:szCs w:val="21"/>
              </w:rPr>
              <w:t>个SFP+万兆光口，≥1个业务接口扩展槽位；≥1年入侵防御、防病毒、URL/应用识别特征库升级服务</w:t>
            </w:r>
            <w:r>
              <w:rPr>
                <w:rFonts w:hint="eastAsia" w:ascii="宋体" w:hAnsi="宋体" w:eastAsia="宋体" w:cs="宋体"/>
                <w:bCs/>
                <w:color w:val="000000"/>
                <w:kern w:val="0"/>
                <w:sz w:val="21"/>
                <w:szCs w:val="21"/>
              </w:rPr>
              <w:t>；</w:t>
            </w:r>
          </w:p>
          <w:p w14:paraId="277154F4">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4、支持配置自动备份和回滚，通过FTP发送到指定服务器</w:t>
            </w:r>
            <w:r>
              <w:rPr>
                <w:rFonts w:hint="eastAsia" w:ascii="宋体" w:hAnsi="宋体" w:eastAsia="宋体" w:cs="宋体"/>
                <w:bCs/>
                <w:color w:val="000000"/>
                <w:kern w:val="0"/>
                <w:sz w:val="21"/>
                <w:szCs w:val="21"/>
              </w:rPr>
              <w:t>；</w:t>
            </w:r>
            <w:r>
              <w:rPr>
                <w:rFonts w:hint="eastAsia" w:ascii="宋体" w:hAnsi="宋体" w:eastAsia="宋体" w:cs="宋体"/>
                <w:color w:val="000000"/>
                <w:kern w:val="0"/>
                <w:sz w:val="21"/>
                <w:szCs w:val="21"/>
              </w:rPr>
              <w:t xml:space="preserve"> </w:t>
            </w:r>
          </w:p>
          <w:p w14:paraId="41D4ED35">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5、支持NAT44（支持静态NAT转换、动态NAT转换、双向NAT，NAT ALG功能）、NAT64、NAT66； </w:t>
            </w:r>
          </w:p>
          <w:p w14:paraId="209CD88E">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6、支持IPsec VPN智能选路，当有多条可使用的链路能够到达目的网络的情况下，实时地自动探测链路的时延、丢包率，动态切换到满足通信质量要求的链路建立IPSec隧道，IPsec VPN支持SM1/SM2/SM3/SM4国密算法； </w:t>
            </w:r>
          </w:p>
          <w:p w14:paraId="3C2C924F">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7、支持DDoS攻击防御功能，包含Flood攻击防御功能、单包攻击防御功能、扫描攻击防御功能、连接速率限制功能等</w:t>
            </w:r>
            <w:r>
              <w:rPr>
                <w:rFonts w:hint="eastAsia" w:ascii="宋体" w:hAnsi="宋体" w:eastAsia="宋体" w:cs="宋体"/>
                <w:bCs/>
                <w:color w:val="000000"/>
                <w:kern w:val="0"/>
                <w:sz w:val="21"/>
                <w:szCs w:val="21"/>
              </w:rPr>
              <w:t>；</w:t>
            </w:r>
            <w:r>
              <w:rPr>
                <w:rFonts w:hint="eastAsia" w:ascii="宋体" w:hAnsi="宋体" w:eastAsia="宋体" w:cs="宋体"/>
                <w:color w:val="000000"/>
                <w:kern w:val="0"/>
                <w:sz w:val="21"/>
                <w:szCs w:val="21"/>
              </w:rPr>
              <w:t xml:space="preserve"> </w:t>
            </w:r>
          </w:p>
          <w:p w14:paraId="14F5A88F">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r>
              <w:rPr>
                <w:rFonts w:hint="eastAsia" w:ascii="宋体" w:hAnsi="宋体" w:eastAsia="宋体" w:cs="宋体"/>
                <w:kern w:val="0"/>
                <w:sz w:val="21"/>
                <w:szCs w:val="21"/>
              </w:rPr>
              <w:t>▲</w:t>
            </w:r>
            <w:r>
              <w:rPr>
                <w:rFonts w:hint="eastAsia" w:ascii="宋体" w:hAnsi="宋体" w:eastAsia="宋体" w:cs="宋体"/>
                <w:color w:val="000000"/>
                <w:kern w:val="0"/>
                <w:sz w:val="21"/>
                <w:szCs w:val="21"/>
              </w:rPr>
              <w:t>支持基于地理区域的安全策略，识别流量发起的地区位置信息，根据流量发起的域访问的差异化控制地址的访问位置信息实现对不同区域的访问控制功能</w:t>
            </w:r>
            <w:r>
              <w:rPr>
                <w:rFonts w:hint="eastAsia" w:ascii="宋体" w:hAnsi="宋体" w:eastAsia="宋体" w:cs="宋体"/>
                <w:bCs/>
                <w:color w:val="000000"/>
                <w:kern w:val="0"/>
                <w:sz w:val="21"/>
                <w:szCs w:val="21"/>
              </w:rPr>
              <w:t>；</w:t>
            </w:r>
            <w:r>
              <w:rPr>
                <w:rFonts w:hint="eastAsia" w:ascii="宋体" w:hAnsi="宋体" w:eastAsia="宋体" w:cs="宋体"/>
                <w:color w:val="000000"/>
                <w:kern w:val="0"/>
                <w:sz w:val="21"/>
                <w:szCs w:val="21"/>
                <w:lang w:bidi="ar"/>
              </w:rPr>
              <w:t>（提供第三方检测机构出具的带CNAS或CMA标识的检测报告）</w:t>
            </w:r>
          </w:p>
          <w:p w14:paraId="2F5030D8">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9、支持基于应用风险的策略调优，可根据流量、应用、风险类型等细粒度展示，并给出总体安全评分，便于用户更好的管理安全策略。</w:t>
            </w:r>
          </w:p>
          <w:p w14:paraId="326E9F78">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10、防火墙支持资产发现，包含PC、摄像头等资产发现，可以识别其厂商、型号、操作系统、MAC信息等</w:t>
            </w:r>
            <w:r>
              <w:rPr>
                <w:rFonts w:hint="eastAsia" w:ascii="宋体" w:hAnsi="宋体" w:eastAsia="宋体" w:cs="宋体"/>
                <w:bCs/>
                <w:color w:val="000000"/>
                <w:kern w:val="0"/>
                <w:sz w:val="21"/>
                <w:szCs w:val="21"/>
              </w:rPr>
              <w:t>；</w:t>
            </w:r>
            <w:r>
              <w:rPr>
                <w:rFonts w:hint="eastAsia" w:ascii="宋体" w:hAnsi="宋体" w:eastAsia="宋体" w:cs="宋体"/>
                <w:color w:val="000000"/>
                <w:kern w:val="0"/>
                <w:sz w:val="21"/>
                <w:szCs w:val="21"/>
              </w:rPr>
              <w:t xml:space="preserve"> </w:t>
            </w:r>
          </w:p>
          <w:p w14:paraId="58E87FA1">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11、支持IPsec VPN智能选路，根据隧道质量调度流量。</w:t>
            </w:r>
          </w:p>
          <w:p w14:paraId="6A7536CD">
            <w:pPr>
              <w:widowControl/>
              <w:spacing w:after="156" w:afterLines="50" w:line="240" w:lineRule="auto"/>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12、支持HTTPS加密流量的安全检测，支持TCP代理和SSL代理，且代理策略中可同时配置多类过滤条件，具体包括：源安全域、目的安全域、源地址、目的地址、用户和服务。一类过滤条件可以配置多个匹配项； </w:t>
            </w:r>
          </w:p>
          <w:p w14:paraId="2DC44538">
            <w:pPr>
              <w:pStyle w:val="2"/>
              <w:spacing w:after="156" w:afterLines="50" w:line="240" w:lineRule="auto"/>
              <w:ind w:left="0" w:leftChars="0" w:firstLine="0" w:firstLineChars="0"/>
              <w:rPr>
                <w:rFonts w:hint="eastAsia" w:ascii="宋体" w:hAnsi="宋体" w:eastAsia="宋体"/>
                <w:sz w:val="21"/>
                <w:szCs w:val="21"/>
              </w:rPr>
            </w:pPr>
            <w:r>
              <w:rPr>
                <w:rFonts w:ascii="宋体" w:hAnsi="宋体" w:eastAsia="宋体" w:cs="宋体"/>
                <w:color w:val="000000"/>
                <w:kern w:val="0"/>
                <w:sz w:val="21"/>
                <w:szCs w:val="21"/>
              </w:rPr>
              <w:t>1</w:t>
            </w:r>
            <w:r>
              <w:rPr>
                <w:rFonts w:hint="eastAsia" w:ascii="宋体" w:hAnsi="宋体" w:eastAsia="宋体" w:cs="宋体"/>
                <w:color w:val="000000"/>
                <w:kern w:val="0"/>
                <w:sz w:val="21"/>
                <w:szCs w:val="21"/>
              </w:rPr>
              <w:t>3、防火墙支持基于源目的IP、协议、应用和时间段的带宽管理功能；</w:t>
            </w:r>
            <w:r>
              <w:rPr>
                <w:rFonts w:hint="eastAsia" w:ascii="宋体" w:hAnsi="宋体" w:eastAsia="宋体"/>
                <w:sz w:val="21"/>
                <w:szCs w:val="21"/>
              </w:rPr>
              <w:t xml:space="preserve"> </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5DA03AA7">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66F6F32E">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1</w:t>
            </w:r>
          </w:p>
        </w:tc>
      </w:tr>
      <w:tr w14:paraId="37954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583AA7F5">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b/>
                <w:bCs/>
                <w:color w:val="000000"/>
                <w:sz w:val="21"/>
                <w:szCs w:val="21"/>
              </w:rPr>
              <w:t>2</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5D4A59F6">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b/>
                <w:bCs/>
                <w:color w:val="000000"/>
                <w:sz w:val="21"/>
                <w:szCs w:val="21"/>
              </w:rPr>
              <w:t>配套安全设施建设</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086A2B28">
            <w:pPr>
              <w:widowControl/>
              <w:spacing w:after="156" w:afterLines="50" w:line="240" w:lineRule="auto"/>
              <w:ind w:firstLine="0" w:firstLineChars="0"/>
              <w:jc w:val="left"/>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　</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6C064983">
            <w:pPr>
              <w:pStyle w:val="2"/>
              <w:spacing w:line="240" w:lineRule="auto"/>
              <w:ind w:left="0" w:leftChars="0" w:firstLine="0" w:firstLineChars="0"/>
              <w:rPr>
                <w:rFonts w:hint="eastAsia" w:asciiTheme="minorEastAsia" w:hAnsiTheme="minorEastAsia" w:eastAsiaTheme="minorEastAsia"/>
                <w:sz w:val="21"/>
                <w:szCs w:val="21"/>
              </w:rPr>
            </w:pP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483F1855">
            <w:pPr>
              <w:pStyle w:val="2"/>
              <w:spacing w:line="240" w:lineRule="auto"/>
              <w:ind w:left="0" w:leftChars="0" w:firstLine="0" w:firstLineChars="0"/>
              <w:rPr>
                <w:rFonts w:hint="eastAsia" w:asciiTheme="minorEastAsia" w:hAnsiTheme="minorEastAsia" w:eastAsiaTheme="minorEastAsia"/>
                <w:sz w:val="21"/>
                <w:szCs w:val="21"/>
              </w:rPr>
            </w:pPr>
          </w:p>
        </w:tc>
      </w:tr>
      <w:tr w14:paraId="7D81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7472CC1A">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2.1</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730CF236">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 xml:space="preserve">防火墙系统 </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52B4E9B1">
            <w:pPr>
              <w:widowControl/>
              <w:spacing w:after="156" w:afterLines="50" w:line="240" w:lineRule="auto"/>
              <w:ind w:firstLine="0" w:firstLineChars="0"/>
              <w:jc w:val="left"/>
              <w:rPr>
                <w:rFonts w:hint="eastAsia" w:cs="宋体" w:asciiTheme="minorEastAsia" w:hAnsiTheme="minorEastAsia" w:eastAsiaTheme="minorEastAsia"/>
                <w:kern w:val="0"/>
                <w:sz w:val="21"/>
                <w:szCs w:val="21"/>
              </w:rPr>
            </w:pPr>
            <w:r>
              <w:rPr>
                <w:rFonts w:hint="eastAsia" w:asciiTheme="minorEastAsia" w:hAnsiTheme="minorEastAsia" w:eastAsiaTheme="minorEastAsia"/>
                <w:color w:val="000000"/>
                <w:sz w:val="21"/>
                <w:szCs w:val="21"/>
              </w:rPr>
              <w:t>1、功能要求：设备需具备访问控制、入侵防御、病毒防护、链路负载均衡、流量管控、上网行为管理、SSL VPN 等完整安全能力；提供 1 年 AV/IPS/URL/APP/WAF 全类特征库升级服务，标配不少于 10 个 SSL VPN 客户端授权。</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2、性能指标：网络层吞吐量≥10Gbps，应用层吞吐量≥6Gbps，IPS 吞吐量≥6G；最大并发连接≥800 万，每秒新建连接≥10 万条。</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3、硬件接口规格：配备 10GE 光口，4 组 Combo 复用端口（4 千兆电 + 4 千兆光，光电互斥）；预留 2 个业务扩展插槽，支持 3 组硬件 Bypass；自带 1 个调试串口、2 个 USB 接口；整机为标准 1U 机架式，配置双冗余电源。</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017610AF">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296AB3D6">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w:t>
            </w:r>
          </w:p>
        </w:tc>
      </w:tr>
      <w:tr w14:paraId="2AEE7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7A13C007">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2.2</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62BAC819">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网络入侵检测系统</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329B5527">
            <w:pPr>
              <w:widowControl/>
              <w:spacing w:after="156" w:afterLines="50" w:line="240" w:lineRule="auto"/>
              <w:ind w:firstLine="0" w:firstLineChars="0"/>
              <w:jc w:val="left"/>
              <w:rPr>
                <w:rFonts w:hint="eastAsia" w:cs="宋体" w:asciiTheme="minorEastAsia" w:hAnsiTheme="minorEastAsia" w:eastAsiaTheme="minorEastAsia"/>
                <w:kern w:val="0"/>
                <w:sz w:val="21"/>
                <w:szCs w:val="21"/>
              </w:rPr>
            </w:pPr>
            <w:r>
              <w:rPr>
                <w:rFonts w:hint="eastAsia" w:asciiTheme="minorEastAsia" w:hAnsiTheme="minorEastAsia" w:eastAsiaTheme="minorEastAsia"/>
                <w:color w:val="000000"/>
                <w:sz w:val="21"/>
                <w:szCs w:val="21"/>
              </w:rPr>
              <w:t>1、功能要求：支持入侵行为检测、病毒查杀、WEB 攻击监测、漏洞扫描、工业协议识别、工业攻击识别；可开展安全风险研判、告警分析、用户行为审计、流量统计，提供 1 年 AV/IPS/URL/APP/WAF 全特征库升级授权。</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2、性能指标：网络层吞吐量≥4Gbps，应用层吞吐量≥3.5Gbps，IDS 处理吞吐量≥3.5G；最大并发连接≥200 万，每秒新建连接≥8 万条。</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3、硬件接口规格：配置 4GE 千兆电口、2 组 Combo 复用端口（2GE+2SFP，光电互斥），支持 1 组硬件 Bypass；1 个串口、2 个 USB 口；内置 500G 固态硬盘，标准 1U 机架式机箱，双冗余电源。</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0C1E8C7E">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0B0070A7">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w:t>
            </w:r>
          </w:p>
        </w:tc>
      </w:tr>
      <w:tr w14:paraId="6B6E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19566900">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2.3</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2306F03B">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日志收集与分析系统</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5C3AC8FF">
            <w:pPr>
              <w:widowControl/>
              <w:spacing w:after="156" w:afterLines="50" w:line="240" w:lineRule="auto"/>
              <w:ind w:firstLine="0" w:firstLineChars="0"/>
              <w:jc w:val="left"/>
              <w:rPr>
                <w:rFonts w:hint="eastAsia" w:cs="宋体" w:asciiTheme="minorEastAsia" w:hAnsiTheme="minorEastAsia" w:eastAsiaTheme="minorEastAsia"/>
                <w:kern w:val="0"/>
                <w:sz w:val="21"/>
                <w:szCs w:val="21"/>
              </w:rPr>
            </w:pPr>
            <w:r>
              <w:rPr>
                <w:rFonts w:hint="eastAsia" w:asciiTheme="minorEastAsia" w:hAnsiTheme="minorEastAsia" w:eastAsiaTheme="minorEastAsia"/>
                <w:color w:val="000000"/>
                <w:sz w:val="21"/>
                <w:szCs w:val="21"/>
              </w:rPr>
              <w:t>1、授权与性能：内置不少于 50 个采集对象授权许可，日志事件采集性能≥18000EPS。</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2、功能要求：包含资产台账管理、多源日志采集存储、日志全文检索、分级分类审计、安全事件分析、异常告警、处置工单、多维度报表统计等全套功能。</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3、硬件配置：8 个千兆电口、4 个千兆 SFP 光口，预留 2 块接口卡扩展槽；搭载国产海光处理器，配置 4TB 大容量存储，标准 2U 机架式机箱、双冗余电源。</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563DB601">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187C1643">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w:t>
            </w:r>
          </w:p>
        </w:tc>
      </w:tr>
      <w:tr w14:paraId="0993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1538CF4B">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2.4</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3F753D33">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堡垒机系统</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0FB995E9">
            <w:pPr>
              <w:widowControl/>
              <w:spacing w:after="156" w:afterLines="50" w:line="240" w:lineRule="auto"/>
              <w:ind w:firstLine="0" w:firstLineChars="0"/>
              <w:jc w:val="left"/>
              <w:rPr>
                <w:rFonts w:hint="eastAsia" w:cs="宋体" w:asciiTheme="minorEastAsia" w:hAnsiTheme="minorEastAsia" w:eastAsiaTheme="minorEastAsia"/>
                <w:kern w:val="0"/>
                <w:sz w:val="21"/>
                <w:szCs w:val="21"/>
              </w:rPr>
            </w:pPr>
            <w:r>
              <w:rPr>
                <w:rFonts w:hint="eastAsia" w:asciiTheme="minorEastAsia" w:hAnsiTheme="minorEastAsia" w:eastAsiaTheme="minorEastAsia"/>
                <w:color w:val="000000"/>
                <w:sz w:val="21"/>
                <w:szCs w:val="21"/>
              </w:rPr>
              <w:t>1、接口与授权：配备 8GE 千兆电口、4 个 SFP 光口，2 个接口扩展插槽，内置不少于 30 个被管理对象许可。</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2、功能要求：支持多因素用户认证、密码代填代维、精细化访问授权、全操作录像审计、账号生命周期管理、分级权限控制、单点登录等运维安全能力。</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3、硬件配置：采用飞腾 D2000 国产处理器，配置 16G 国产内存、1TB 国产固态硬盘；标准 1U 机架式机箱，单电源。</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5DB8D0F4">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1634FB28">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w:t>
            </w:r>
          </w:p>
        </w:tc>
      </w:tr>
      <w:tr w14:paraId="19A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0B98BF78">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2.5</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7DF609D3">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数据库审计</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62E3DC6F">
            <w:pPr>
              <w:widowControl/>
              <w:spacing w:after="156" w:afterLines="50" w:line="240" w:lineRule="auto"/>
              <w:ind w:firstLine="0" w:firstLineChars="0"/>
              <w:jc w:val="left"/>
              <w:rPr>
                <w:rFonts w:hint="eastAsia" w:cs="宋体" w:asciiTheme="minorEastAsia" w:hAnsiTheme="minorEastAsia" w:eastAsiaTheme="minorEastAsia"/>
                <w:kern w:val="0"/>
                <w:sz w:val="21"/>
                <w:szCs w:val="21"/>
              </w:rPr>
            </w:pPr>
            <w:r>
              <w:rPr>
                <w:rFonts w:hint="eastAsia" w:asciiTheme="minorEastAsia" w:hAnsiTheme="minorEastAsia" w:eastAsiaTheme="minorEastAsia"/>
                <w:color w:val="000000"/>
                <w:sz w:val="21"/>
                <w:szCs w:val="21"/>
              </w:rPr>
              <w:t>1、功能兼容：实时监控数据库访问行为、通信报文，自动识别各类风险操作，完整留存审计日志用于事后溯源；兼容 ORACLE、MYSQL、MSSQL、达梦、人大金仓、神州通用、MongoDB、Redis、Kafka 等国内外主流数据库、大数据组件。</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2、性能指标：数据库处理流量≥200Mbps，SQL 语句处理能力≥20000 条 / 秒。</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3、硬件规格：1U 机架设备，双冗余电源；6 个千兆电口、1 个扩展插槽，内存 8G，4TB 存储；配套 3 年原厂硬件维保服务。</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5A8C8708">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5C252FA5">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w:t>
            </w:r>
          </w:p>
        </w:tc>
      </w:tr>
      <w:tr w14:paraId="5DA3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6DBB27F5">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2.6</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3FF8DB03">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漏洞扫描</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48F6E96A">
            <w:pPr>
              <w:widowControl/>
              <w:spacing w:after="156" w:afterLines="50" w:line="240" w:lineRule="auto"/>
              <w:ind w:firstLine="0" w:firstLineChars="0"/>
              <w:jc w:val="left"/>
              <w:rPr>
                <w:rFonts w:hint="eastAsia" w:cs="宋体" w:asciiTheme="minorEastAsia" w:hAnsiTheme="minorEastAsia" w:eastAsiaTheme="minorEastAsia"/>
                <w:kern w:val="0"/>
                <w:sz w:val="21"/>
                <w:szCs w:val="21"/>
              </w:rPr>
            </w:pPr>
            <w:r>
              <w:rPr>
                <w:rFonts w:hint="eastAsia" w:asciiTheme="minorEastAsia" w:hAnsiTheme="minorEastAsia" w:eastAsiaTheme="minorEastAsia"/>
                <w:color w:val="000000"/>
                <w:sz w:val="21"/>
                <w:szCs w:val="21"/>
              </w:rPr>
              <w:t>1、功能描述：可扩展平台系统，默认含系统漏洞扫描，通过选择模块实现相应功能，如工控系统漏洞扫描、web漏洞扫描、基线核查等模块。该系统默认带有系统漏洞扫描模块，支持分布式部署，可以向上级服务器上传扫描结果。支持任务管理、报告管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2、技术指标：单个扫描任务最多包含8192个IP地址（32个C类网段）；最大允许并发扫描80个主机；最大允许5个扫描任务并发。</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3、硬件规格：1U 机架式，国产化平台，满足自主可控要求，飞腾 CPU+麒麟操作系统，6个千兆电口+2个千兆光口，2*USB，1 个 Consle，2个接口扩展槽，16G内存，4T数据存储硬盘，冗余电源，默认含一年特征库升级以及三年硬件维保服务，自发货之日起开始计算。</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436573DB">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261A6510">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w:t>
            </w:r>
          </w:p>
        </w:tc>
      </w:tr>
      <w:tr w14:paraId="021B6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72320C6B">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2.7</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05136381">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系统评测</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53DCFE70">
            <w:pPr>
              <w:widowControl/>
              <w:spacing w:after="156" w:afterLines="50" w:line="240" w:lineRule="auto"/>
              <w:ind w:firstLine="0" w:firstLineChars="0"/>
              <w:jc w:val="left"/>
              <w:rPr>
                <w:rFonts w:hint="eastAsia" w:cs="宋体" w:asciiTheme="minorEastAsia" w:hAnsiTheme="minorEastAsia" w:eastAsiaTheme="minorEastAsia"/>
                <w:kern w:val="0"/>
                <w:sz w:val="21"/>
                <w:szCs w:val="21"/>
              </w:rPr>
            </w:pPr>
            <w:r>
              <w:rPr>
                <w:rFonts w:hint="eastAsia" w:asciiTheme="minorEastAsia" w:hAnsiTheme="minorEastAsia" w:eastAsiaTheme="minorEastAsia"/>
                <w:color w:val="000000"/>
                <w:sz w:val="21"/>
                <w:szCs w:val="21"/>
              </w:rPr>
              <w:t>等保三级</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6019FFD4">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60784C7E">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w:t>
            </w:r>
          </w:p>
        </w:tc>
      </w:tr>
      <w:tr w14:paraId="7B229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7152AD4B">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2.8</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0BCF19AD">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升级服务</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2318BCF8">
            <w:pPr>
              <w:widowControl/>
              <w:spacing w:after="156" w:afterLines="50" w:line="240" w:lineRule="auto"/>
              <w:ind w:firstLine="0" w:firstLineChars="0"/>
              <w:jc w:val="left"/>
              <w:rPr>
                <w:rFonts w:hint="eastAsia" w:cs="宋体" w:asciiTheme="minorEastAsia" w:hAnsiTheme="minorEastAsia" w:eastAsiaTheme="minorEastAsia"/>
                <w:kern w:val="0"/>
                <w:sz w:val="21"/>
                <w:szCs w:val="21"/>
              </w:rPr>
            </w:pPr>
            <w:r>
              <w:rPr>
                <w:rFonts w:hint="eastAsia" w:asciiTheme="minorEastAsia" w:hAnsiTheme="minorEastAsia" w:eastAsiaTheme="minorEastAsia"/>
                <w:color w:val="000000"/>
                <w:sz w:val="21"/>
                <w:szCs w:val="21"/>
              </w:rPr>
              <w:t>1年特征库升级授权，含AV/IPS/URL/APP/WAF特征库升级授权</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071635A3">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7A1462E3">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w:t>
            </w:r>
          </w:p>
        </w:tc>
      </w:tr>
      <w:tr w14:paraId="24FC0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9"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786A8C3E">
            <w:pPr>
              <w:pStyle w:val="2"/>
              <w:spacing w:line="240" w:lineRule="auto"/>
              <w:ind w:left="0" w:leftChars="0" w:firstLine="0" w:firstLineChars="0"/>
              <w:rPr>
                <w:rFonts w:hint="eastAsia" w:asciiTheme="minorEastAsia" w:hAnsiTheme="minorEastAsia" w:eastAsiaTheme="minorEastAsia"/>
                <w:b/>
                <w:bCs/>
                <w:sz w:val="21"/>
                <w:szCs w:val="21"/>
              </w:rPr>
            </w:pPr>
            <w:r>
              <w:rPr>
                <w:rFonts w:hint="eastAsia" w:asciiTheme="minorEastAsia" w:hAnsiTheme="minorEastAsia" w:eastAsiaTheme="minorEastAsia"/>
                <w:color w:val="000000"/>
                <w:sz w:val="21"/>
                <w:szCs w:val="21"/>
              </w:rPr>
              <w:t>2.9</w:t>
            </w:r>
          </w:p>
        </w:tc>
        <w:tc>
          <w:tcPr>
            <w:tcW w:w="1103"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tcPr>
          <w:p w14:paraId="2A932F1F">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color w:val="000000"/>
                <w:sz w:val="21"/>
                <w:szCs w:val="21"/>
              </w:rPr>
              <w:t>硬盘</w:t>
            </w:r>
          </w:p>
        </w:tc>
        <w:tc>
          <w:tcPr>
            <w:tcW w:w="5953" w:type="dxa"/>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14:paraId="6B8370D5">
            <w:pPr>
              <w:widowControl/>
              <w:spacing w:after="156" w:afterLines="50" w:line="240" w:lineRule="auto"/>
              <w:ind w:firstLine="0" w:firstLineChars="0"/>
              <w:jc w:val="left"/>
              <w:rPr>
                <w:rFonts w:hint="eastAsia" w:cs="宋体" w:asciiTheme="minorEastAsia" w:hAnsiTheme="minorEastAsia" w:eastAsiaTheme="minorEastAsia"/>
                <w:kern w:val="0"/>
                <w:sz w:val="21"/>
                <w:szCs w:val="21"/>
              </w:rPr>
            </w:pPr>
            <w:r>
              <w:rPr>
                <w:rFonts w:hint="eastAsia" w:asciiTheme="minorEastAsia" w:hAnsiTheme="minorEastAsia" w:eastAsiaTheme="minorEastAsia"/>
                <w:color w:val="000000"/>
                <w:sz w:val="21"/>
                <w:szCs w:val="21"/>
              </w:rPr>
              <w:t>1T机械硬盘</w:t>
            </w:r>
          </w:p>
        </w:tc>
        <w:tc>
          <w:tcPr>
            <w:tcW w:w="425"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2C8C7A8A">
            <w:pPr>
              <w:pStyle w:val="2"/>
              <w:spacing w:line="240" w:lineRule="auto"/>
              <w:ind w:left="0" w:leftChars="0" w:firstLine="0" w:firstLineChars="0"/>
              <w:rPr>
                <w:rFonts w:hint="eastAsia" w:asciiTheme="minorEastAsia" w:hAnsiTheme="minorEastAsia" w:eastAsiaTheme="minorEastAsia"/>
                <w:sz w:val="21"/>
                <w:szCs w:val="21"/>
              </w:rPr>
            </w:pPr>
            <w:r>
              <w:rPr>
                <w:rFonts w:asciiTheme="minorEastAsia" w:hAnsiTheme="minorEastAsia" w:eastAsiaTheme="minorEastAsia"/>
                <w:sz w:val="21"/>
                <w:szCs w:val="21"/>
              </w:rPr>
              <w:t>套</w:t>
            </w:r>
          </w:p>
        </w:tc>
        <w:tc>
          <w:tcPr>
            <w:tcW w:w="380" w:type="dxa"/>
            <w:tcBorders>
              <w:top w:val="single" w:color="auto" w:sz="4" w:space="0"/>
              <w:left w:val="single" w:color="auto" w:sz="4" w:space="0"/>
              <w:bottom w:val="single" w:color="auto" w:sz="4" w:space="0"/>
              <w:right w:val="single" w:color="auto" w:sz="4" w:space="0"/>
            </w:tcBorders>
            <w:noWrap/>
            <w:tcMar>
              <w:top w:w="12" w:type="dxa"/>
              <w:left w:w="12" w:type="dxa"/>
              <w:bottom w:w="0" w:type="dxa"/>
              <w:right w:w="12" w:type="dxa"/>
            </w:tcMar>
            <w:vAlign w:val="center"/>
          </w:tcPr>
          <w:p w14:paraId="2445CDFC">
            <w:pPr>
              <w:pStyle w:val="2"/>
              <w:spacing w:line="240" w:lineRule="auto"/>
              <w:ind w:left="0" w:leftChars="0" w:firstLine="0" w:firstLineChars="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w:t>
            </w:r>
          </w:p>
        </w:tc>
      </w:tr>
    </w:tbl>
    <w:p w14:paraId="745E57DE">
      <w:pPr>
        <w:pStyle w:val="2"/>
        <w:spacing w:line="360" w:lineRule="auto"/>
        <w:ind w:left="0" w:leftChars="0" w:firstLine="0" w:firstLineChars="0"/>
      </w:pPr>
    </w:p>
    <w:p w14:paraId="625DE505">
      <w:pPr>
        <w:pStyle w:val="5"/>
        <w:ind w:firstLine="562"/>
      </w:pPr>
      <w:bookmarkStart w:id="4" w:name="OLE_LINK26"/>
      <w:r>
        <w:rPr>
          <w:rFonts w:hint="eastAsia"/>
        </w:rPr>
        <w:t>4.1.3系统集成及其他</w:t>
      </w:r>
    </w:p>
    <w:bookmarkEnd w:id="4"/>
    <w:tbl>
      <w:tblPr>
        <w:tblStyle w:val="16"/>
        <w:tblW w:w="8505" w:type="dxa"/>
        <w:jc w:val="center"/>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652"/>
        <w:gridCol w:w="1029"/>
        <w:gridCol w:w="5517"/>
        <w:gridCol w:w="653"/>
        <w:gridCol w:w="654"/>
      </w:tblGrid>
      <w:tr w14:paraId="3DB8CF31">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652" w:type="dxa"/>
            <w:tcBorders>
              <w:tl2br w:val="nil"/>
              <w:tr2bl w:val="nil"/>
            </w:tcBorders>
            <w:tcMar>
              <w:top w:w="12" w:type="dxa"/>
              <w:left w:w="12" w:type="dxa"/>
              <w:right w:w="12" w:type="dxa"/>
            </w:tcMar>
            <w:vAlign w:val="center"/>
          </w:tcPr>
          <w:p w14:paraId="4727D6F2">
            <w:pPr>
              <w:widowControl/>
              <w:spacing w:line="276" w:lineRule="auto"/>
              <w:ind w:firstLine="0" w:firstLineChars="0"/>
              <w:jc w:val="center"/>
              <w:textAlignment w:val="center"/>
              <w:rPr>
                <w:rFonts w:hint="eastAsia" w:ascii="宋体" w:hAnsi="宋体" w:eastAsia="宋体" w:cs="宋体"/>
                <w:b/>
                <w:color w:val="000000"/>
                <w:sz w:val="21"/>
                <w:szCs w:val="21"/>
              </w:rPr>
            </w:pPr>
            <w:bookmarkStart w:id="5" w:name="OLE_LINK27"/>
            <w:r>
              <w:rPr>
                <w:rFonts w:hint="eastAsia" w:ascii="宋体" w:hAnsi="宋体" w:eastAsia="宋体" w:cs="宋体"/>
                <w:b/>
                <w:color w:val="000000"/>
                <w:kern w:val="0"/>
                <w:sz w:val="21"/>
                <w:szCs w:val="21"/>
                <w:lang w:bidi="ar"/>
              </w:rPr>
              <w:t>序号</w:t>
            </w:r>
          </w:p>
        </w:tc>
        <w:tc>
          <w:tcPr>
            <w:tcW w:w="1029" w:type="dxa"/>
            <w:tcBorders>
              <w:tl2br w:val="nil"/>
              <w:tr2bl w:val="nil"/>
            </w:tcBorders>
            <w:tcMar>
              <w:top w:w="12" w:type="dxa"/>
              <w:left w:w="12" w:type="dxa"/>
              <w:right w:w="12" w:type="dxa"/>
            </w:tcMar>
            <w:vAlign w:val="center"/>
          </w:tcPr>
          <w:p w14:paraId="5E6DCB7E">
            <w:pPr>
              <w:widowControl/>
              <w:spacing w:line="276"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lang w:bidi="ar"/>
              </w:rPr>
              <w:t>内容</w:t>
            </w:r>
          </w:p>
        </w:tc>
        <w:tc>
          <w:tcPr>
            <w:tcW w:w="5517" w:type="dxa"/>
            <w:tcBorders>
              <w:tl2br w:val="nil"/>
              <w:tr2bl w:val="nil"/>
            </w:tcBorders>
            <w:tcMar>
              <w:top w:w="12" w:type="dxa"/>
              <w:left w:w="12" w:type="dxa"/>
              <w:right w:w="12" w:type="dxa"/>
            </w:tcMar>
            <w:vAlign w:val="center"/>
          </w:tcPr>
          <w:p w14:paraId="352488DA">
            <w:pPr>
              <w:widowControl/>
              <w:spacing w:line="276"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lang w:bidi="ar"/>
              </w:rPr>
              <w:t>说明</w:t>
            </w:r>
          </w:p>
        </w:tc>
        <w:tc>
          <w:tcPr>
            <w:tcW w:w="653" w:type="dxa"/>
            <w:tcBorders>
              <w:tl2br w:val="nil"/>
              <w:tr2bl w:val="nil"/>
            </w:tcBorders>
            <w:tcMar>
              <w:top w:w="12" w:type="dxa"/>
              <w:left w:w="12" w:type="dxa"/>
              <w:right w:w="12" w:type="dxa"/>
            </w:tcMar>
            <w:vAlign w:val="center"/>
          </w:tcPr>
          <w:p w14:paraId="55A2D222">
            <w:pPr>
              <w:widowControl/>
              <w:spacing w:line="276"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lang w:bidi="ar"/>
              </w:rPr>
              <w:t>数量</w:t>
            </w:r>
          </w:p>
        </w:tc>
        <w:tc>
          <w:tcPr>
            <w:tcW w:w="654" w:type="dxa"/>
            <w:tcBorders>
              <w:tl2br w:val="nil"/>
              <w:tr2bl w:val="nil"/>
            </w:tcBorders>
            <w:tcMar>
              <w:top w:w="12" w:type="dxa"/>
              <w:left w:w="12" w:type="dxa"/>
              <w:right w:w="12" w:type="dxa"/>
            </w:tcMar>
            <w:vAlign w:val="center"/>
          </w:tcPr>
          <w:p w14:paraId="6264525E">
            <w:pPr>
              <w:widowControl/>
              <w:spacing w:line="276"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lang w:bidi="ar"/>
              </w:rPr>
              <w:t>单位</w:t>
            </w:r>
          </w:p>
        </w:tc>
      </w:tr>
      <w:tr w14:paraId="165C2DAB">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8" w:hRule="atLeast"/>
          <w:jc w:val="center"/>
        </w:trPr>
        <w:tc>
          <w:tcPr>
            <w:tcW w:w="652" w:type="dxa"/>
            <w:tcBorders>
              <w:tl2br w:val="nil"/>
              <w:tr2bl w:val="nil"/>
            </w:tcBorders>
            <w:noWrap/>
            <w:tcMar>
              <w:top w:w="12" w:type="dxa"/>
              <w:left w:w="12" w:type="dxa"/>
              <w:right w:w="12" w:type="dxa"/>
            </w:tcMar>
            <w:vAlign w:val="center"/>
          </w:tcPr>
          <w:p w14:paraId="75F16BFB">
            <w:pPr>
              <w:widowControl/>
              <w:spacing w:line="276" w:lineRule="auto"/>
              <w:ind w:firstLine="0" w:firstLineChars="0"/>
              <w:jc w:val="center"/>
              <w:textAlignment w:val="center"/>
              <w:rPr>
                <w:rFonts w:hint="eastAsia" w:ascii="宋体" w:hAnsi="宋体" w:eastAsia="宋体" w:cs="宋体"/>
                <w:b/>
                <w:color w:val="000000"/>
                <w:kern w:val="0"/>
                <w:sz w:val="21"/>
                <w:szCs w:val="21"/>
                <w:lang w:bidi="ar"/>
              </w:rPr>
            </w:pPr>
            <w:r>
              <w:rPr>
                <w:rFonts w:hint="eastAsia" w:ascii="宋体" w:hAnsi="宋体" w:eastAsia="宋体" w:cs="宋体"/>
                <w:b/>
                <w:color w:val="000000"/>
                <w:kern w:val="0"/>
                <w:sz w:val="21"/>
                <w:szCs w:val="21"/>
                <w:lang w:bidi="ar"/>
              </w:rPr>
              <w:t>1</w:t>
            </w:r>
          </w:p>
        </w:tc>
        <w:tc>
          <w:tcPr>
            <w:tcW w:w="1029" w:type="dxa"/>
            <w:tcBorders>
              <w:tl2br w:val="nil"/>
              <w:tr2bl w:val="nil"/>
            </w:tcBorders>
            <w:noWrap/>
            <w:tcMar>
              <w:top w:w="12" w:type="dxa"/>
              <w:left w:w="12" w:type="dxa"/>
              <w:right w:w="12" w:type="dxa"/>
            </w:tcMar>
            <w:vAlign w:val="center"/>
          </w:tcPr>
          <w:p w14:paraId="49C86C93">
            <w:pPr>
              <w:widowControl/>
              <w:spacing w:line="276" w:lineRule="auto"/>
              <w:ind w:firstLine="0" w:firstLineChars="0"/>
              <w:jc w:val="left"/>
              <w:textAlignment w:val="center"/>
              <w:rPr>
                <w:rFonts w:hint="eastAsia" w:ascii="宋体" w:hAnsi="宋体" w:eastAsia="宋体" w:cs="宋体"/>
                <w:b/>
                <w:color w:val="000000"/>
                <w:kern w:val="0"/>
                <w:sz w:val="21"/>
                <w:szCs w:val="21"/>
                <w:lang w:bidi="ar"/>
              </w:rPr>
            </w:pPr>
            <w:r>
              <w:rPr>
                <w:rFonts w:hint="eastAsia" w:ascii="宋体" w:hAnsi="宋体" w:eastAsia="宋体" w:cs="宋体"/>
                <w:b/>
                <w:color w:val="000000"/>
                <w:kern w:val="0"/>
                <w:sz w:val="21"/>
                <w:szCs w:val="21"/>
                <w:lang w:bidi="ar"/>
              </w:rPr>
              <w:t>其他费用</w:t>
            </w:r>
          </w:p>
        </w:tc>
        <w:tc>
          <w:tcPr>
            <w:tcW w:w="5517" w:type="dxa"/>
            <w:tcBorders>
              <w:tl2br w:val="nil"/>
              <w:tr2bl w:val="nil"/>
            </w:tcBorders>
            <w:noWrap/>
            <w:tcMar>
              <w:top w:w="12" w:type="dxa"/>
              <w:left w:w="12" w:type="dxa"/>
              <w:right w:w="12" w:type="dxa"/>
            </w:tcMar>
            <w:vAlign w:val="center"/>
          </w:tcPr>
          <w:p w14:paraId="28FA2EED">
            <w:pPr>
              <w:spacing w:line="276" w:lineRule="auto"/>
              <w:ind w:firstLine="0" w:firstLineChars="0"/>
              <w:jc w:val="center"/>
              <w:rPr>
                <w:rFonts w:hint="eastAsia" w:ascii="宋体" w:hAnsi="宋体" w:eastAsia="宋体" w:cs="宋体"/>
                <w:b/>
                <w:color w:val="000000"/>
                <w:sz w:val="21"/>
                <w:szCs w:val="21"/>
              </w:rPr>
            </w:pPr>
          </w:p>
        </w:tc>
        <w:tc>
          <w:tcPr>
            <w:tcW w:w="653" w:type="dxa"/>
            <w:tcBorders>
              <w:tl2br w:val="nil"/>
              <w:tr2bl w:val="nil"/>
            </w:tcBorders>
            <w:noWrap/>
            <w:tcMar>
              <w:top w:w="12" w:type="dxa"/>
              <w:left w:w="12" w:type="dxa"/>
              <w:right w:w="12" w:type="dxa"/>
            </w:tcMar>
            <w:vAlign w:val="center"/>
          </w:tcPr>
          <w:p w14:paraId="20E706AD">
            <w:pPr>
              <w:spacing w:line="276" w:lineRule="auto"/>
              <w:ind w:firstLine="0" w:firstLineChars="0"/>
              <w:jc w:val="center"/>
              <w:rPr>
                <w:rFonts w:hint="eastAsia" w:ascii="宋体" w:hAnsi="宋体" w:eastAsia="宋体" w:cs="宋体"/>
                <w:b/>
                <w:color w:val="000000"/>
                <w:sz w:val="21"/>
                <w:szCs w:val="21"/>
              </w:rPr>
            </w:pPr>
          </w:p>
        </w:tc>
        <w:tc>
          <w:tcPr>
            <w:tcW w:w="654" w:type="dxa"/>
            <w:tcBorders>
              <w:tl2br w:val="nil"/>
              <w:tr2bl w:val="nil"/>
            </w:tcBorders>
            <w:noWrap/>
            <w:tcMar>
              <w:top w:w="12" w:type="dxa"/>
              <w:left w:w="12" w:type="dxa"/>
              <w:right w:w="12" w:type="dxa"/>
            </w:tcMar>
            <w:vAlign w:val="center"/>
          </w:tcPr>
          <w:p w14:paraId="59F7E6C0">
            <w:pPr>
              <w:spacing w:line="276" w:lineRule="auto"/>
              <w:ind w:firstLine="0" w:firstLineChars="0"/>
              <w:jc w:val="center"/>
              <w:rPr>
                <w:rFonts w:hint="eastAsia" w:ascii="宋体" w:hAnsi="宋体" w:eastAsia="宋体" w:cs="宋体"/>
                <w:b/>
                <w:color w:val="000000"/>
                <w:sz w:val="21"/>
                <w:szCs w:val="21"/>
              </w:rPr>
            </w:pPr>
          </w:p>
        </w:tc>
      </w:tr>
      <w:tr w14:paraId="3E65EC26">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2" w:type="dxa"/>
            <w:tcBorders>
              <w:tl2br w:val="nil"/>
              <w:tr2bl w:val="nil"/>
            </w:tcBorders>
            <w:noWrap/>
            <w:tcMar>
              <w:top w:w="12" w:type="dxa"/>
              <w:left w:w="12" w:type="dxa"/>
              <w:right w:w="12" w:type="dxa"/>
            </w:tcMar>
            <w:vAlign w:val="center"/>
          </w:tcPr>
          <w:p w14:paraId="6950AB65">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1.1</w:t>
            </w:r>
          </w:p>
        </w:tc>
        <w:tc>
          <w:tcPr>
            <w:tcW w:w="1029" w:type="dxa"/>
            <w:tcBorders>
              <w:tl2br w:val="nil"/>
              <w:tr2bl w:val="nil"/>
            </w:tcBorders>
            <w:noWrap/>
            <w:tcMar>
              <w:top w:w="12" w:type="dxa"/>
              <w:left w:w="12" w:type="dxa"/>
              <w:right w:w="12" w:type="dxa"/>
            </w:tcMar>
            <w:vAlign w:val="center"/>
          </w:tcPr>
          <w:p w14:paraId="56CC3D52">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维护服务</w:t>
            </w:r>
          </w:p>
        </w:tc>
        <w:tc>
          <w:tcPr>
            <w:tcW w:w="5517" w:type="dxa"/>
            <w:tcBorders>
              <w:tl2br w:val="nil"/>
              <w:tr2bl w:val="nil"/>
            </w:tcBorders>
            <w:tcMar>
              <w:top w:w="12" w:type="dxa"/>
              <w:left w:w="12" w:type="dxa"/>
              <w:right w:w="12" w:type="dxa"/>
            </w:tcMar>
            <w:vAlign w:val="center"/>
          </w:tcPr>
          <w:p w14:paraId="745967C0">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包含2年维护服务。</w:t>
            </w:r>
          </w:p>
        </w:tc>
        <w:tc>
          <w:tcPr>
            <w:tcW w:w="653" w:type="dxa"/>
            <w:tcBorders>
              <w:tl2br w:val="nil"/>
              <w:tr2bl w:val="nil"/>
            </w:tcBorders>
            <w:noWrap/>
            <w:tcMar>
              <w:top w:w="12" w:type="dxa"/>
              <w:left w:w="12" w:type="dxa"/>
              <w:right w:w="12" w:type="dxa"/>
            </w:tcMar>
            <w:vAlign w:val="center"/>
          </w:tcPr>
          <w:p w14:paraId="24EE1F59">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654" w:type="dxa"/>
            <w:tcBorders>
              <w:tl2br w:val="nil"/>
              <w:tr2bl w:val="nil"/>
            </w:tcBorders>
            <w:noWrap/>
            <w:tcMar>
              <w:top w:w="12" w:type="dxa"/>
              <w:left w:w="12" w:type="dxa"/>
              <w:right w:w="12" w:type="dxa"/>
            </w:tcMar>
            <w:vAlign w:val="center"/>
          </w:tcPr>
          <w:p w14:paraId="5E3550B4">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项</w:t>
            </w:r>
          </w:p>
        </w:tc>
      </w:tr>
      <w:tr w14:paraId="42F8E547">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1040" w:hRule="atLeast"/>
          <w:jc w:val="center"/>
        </w:trPr>
        <w:tc>
          <w:tcPr>
            <w:tcW w:w="652" w:type="dxa"/>
            <w:tcBorders>
              <w:tl2br w:val="nil"/>
              <w:tr2bl w:val="nil"/>
            </w:tcBorders>
            <w:noWrap/>
            <w:tcMar>
              <w:top w:w="12" w:type="dxa"/>
              <w:left w:w="12" w:type="dxa"/>
              <w:right w:w="12" w:type="dxa"/>
            </w:tcMar>
            <w:vAlign w:val="center"/>
          </w:tcPr>
          <w:p w14:paraId="672130B7">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1.2</w:t>
            </w:r>
          </w:p>
        </w:tc>
        <w:tc>
          <w:tcPr>
            <w:tcW w:w="1029" w:type="dxa"/>
            <w:tcBorders>
              <w:tl2br w:val="nil"/>
              <w:tr2bl w:val="nil"/>
            </w:tcBorders>
            <w:tcMar>
              <w:top w:w="12" w:type="dxa"/>
              <w:left w:w="12" w:type="dxa"/>
              <w:right w:w="12" w:type="dxa"/>
            </w:tcMar>
            <w:vAlign w:val="center"/>
          </w:tcPr>
          <w:p w14:paraId="7F56BE2F">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软件售后服务</w:t>
            </w:r>
          </w:p>
        </w:tc>
        <w:tc>
          <w:tcPr>
            <w:tcW w:w="5517" w:type="dxa"/>
            <w:tcBorders>
              <w:tl2br w:val="nil"/>
              <w:tr2bl w:val="nil"/>
            </w:tcBorders>
            <w:tcMar>
              <w:top w:w="12" w:type="dxa"/>
              <w:left w:w="12" w:type="dxa"/>
              <w:right w:w="12" w:type="dxa"/>
            </w:tcMar>
            <w:vAlign w:val="center"/>
          </w:tcPr>
          <w:p w14:paraId="3DCB0BE2">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软件系统涵盖2年的售后服务，针对日常运行、维护、管理、优化等一系列活动，旨在确保软件系统的高可用性、高性能、高安全性和高效率</w:t>
            </w:r>
          </w:p>
        </w:tc>
        <w:tc>
          <w:tcPr>
            <w:tcW w:w="653" w:type="dxa"/>
            <w:tcBorders>
              <w:tl2br w:val="nil"/>
              <w:tr2bl w:val="nil"/>
            </w:tcBorders>
            <w:noWrap/>
            <w:tcMar>
              <w:top w:w="12" w:type="dxa"/>
              <w:left w:w="12" w:type="dxa"/>
              <w:right w:w="12" w:type="dxa"/>
            </w:tcMar>
            <w:vAlign w:val="center"/>
          </w:tcPr>
          <w:p w14:paraId="3193ABDA">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654" w:type="dxa"/>
            <w:tcBorders>
              <w:tl2br w:val="nil"/>
              <w:tr2bl w:val="nil"/>
            </w:tcBorders>
            <w:noWrap/>
            <w:tcMar>
              <w:top w:w="12" w:type="dxa"/>
              <w:left w:w="12" w:type="dxa"/>
              <w:right w:w="12" w:type="dxa"/>
            </w:tcMar>
            <w:vAlign w:val="center"/>
          </w:tcPr>
          <w:p w14:paraId="0934A05E">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项</w:t>
            </w:r>
          </w:p>
        </w:tc>
      </w:tr>
      <w:tr w14:paraId="71632FDB">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2" w:type="dxa"/>
            <w:tcBorders>
              <w:tl2br w:val="nil"/>
              <w:tr2bl w:val="nil"/>
            </w:tcBorders>
            <w:noWrap/>
            <w:tcMar>
              <w:top w:w="12" w:type="dxa"/>
              <w:left w:w="12" w:type="dxa"/>
              <w:right w:w="12" w:type="dxa"/>
            </w:tcMar>
            <w:vAlign w:val="center"/>
          </w:tcPr>
          <w:p w14:paraId="6180B84C">
            <w:pPr>
              <w:widowControl/>
              <w:spacing w:line="276" w:lineRule="auto"/>
              <w:ind w:firstLine="0" w:firstLineChars="0"/>
              <w:jc w:val="center"/>
              <w:textAlignment w:val="center"/>
              <w:rPr>
                <w:rFonts w:hint="eastAsia"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2</w:t>
            </w:r>
          </w:p>
        </w:tc>
        <w:tc>
          <w:tcPr>
            <w:tcW w:w="1029" w:type="dxa"/>
            <w:tcBorders>
              <w:tl2br w:val="nil"/>
              <w:tr2bl w:val="nil"/>
            </w:tcBorders>
            <w:tcMar>
              <w:top w:w="12" w:type="dxa"/>
              <w:left w:w="12" w:type="dxa"/>
              <w:right w:w="12" w:type="dxa"/>
            </w:tcMar>
            <w:vAlign w:val="center"/>
          </w:tcPr>
          <w:p w14:paraId="222B1DD8">
            <w:pPr>
              <w:widowControl/>
              <w:spacing w:line="276" w:lineRule="auto"/>
              <w:ind w:firstLine="0" w:firstLineChars="0"/>
              <w:jc w:val="center"/>
              <w:textAlignment w:val="center"/>
              <w:rPr>
                <w:rFonts w:hint="eastAsia"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平台部署</w:t>
            </w:r>
          </w:p>
        </w:tc>
        <w:tc>
          <w:tcPr>
            <w:tcW w:w="5517" w:type="dxa"/>
            <w:tcBorders>
              <w:tl2br w:val="nil"/>
              <w:tr2bl w:val="nil"/>
            </w:tcBorders>
            <w:tcMar>
              <w:top w:w="12" w:type="dxa"/>
              <w:left w:w="12" w:type="dxa"/>
              <w:right w:w="12" w:type="dxa"/>
            </w:tcMar>
            <w:vAlign w:val="center"/>
          </w:tcPr>
          <w:p w14:paraId="6B249FF6">
            <w:pPr>
              <w:widowControl/>
              <w:spacing w:line="276" w:lineRule="auto"/>
              <w:ind w:firstLine="0" w:firstLineChars="0"/>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平台部署服务</w:t>
            </w:r>
          </w:p>
        </w:tc>
        <w:tc>
          <w:tcPr>
            <w:tcW w:w="653" w:type="dxa"/>
            <w:tcBorders>
              <w:tl2br w:val="nil"/>
              <w:tr2bl w:val="nil"/>
            </w:tcBorders>
            <w:noWrap/>
            <w:tcMar>
              <w:top w:w="12" w:type="dxa"/>
              <w:left w:w="12" w:type="dxa"/>
              <w:right w:w="12" w:type="dxa"/>
            </w:tcMar>
            <w:vAlign w:val="center"/>
          </w:tcPr>
          <w:p w14:paraId="77199EEB">
            <w:pPr>
              <w:widowControl/>
              <w:spacing w:line="276" w:lineRule="auto"/>
              <w:ind w:firstLine="0" w:firstLineChars="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654" w:type="dxa"/>
            <w:tcBorders>
              <w:tl2br w:val="nil"/>
              <w:tr2bl w:val="nil"/>
            </w:tcBorders>
            <w:noWrap/>
            <w:tcMar>
              <w:top w:w="12" w:type="dxa"/>
              <w:left w:w="12" w:type="dxa"/>
              <w:right w:w="12" w:type="dxa"/>
            </w:tcMar>
            <w:vAlign w:val="center"/>
          </w:tcPr>
          <w:p w14:paraId="2CF295A2">
            <w:pPr>
              <w:spacing w:line="276"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项</w:t>
            </w:r>
          </w:p>
        </w:tc>
      </w:tr>
      <w:bookmarkEnd w:id="5"/>
    </w:tbl>
    <w:p w14:paraId="052FD3C2">
      <w:pPr>
        <w:spacing w:line="360" w:lineRule="auto"/>
        <w:ind w:firstLine="480"/>
      </w:pPr>
    </w:p>
    <w:p w14:paraId="16DB5BDF">
      <w:pPr>
        <w:pStyle w:val="4"/>
        <w:spacing w:line="360" w:lineRule="auto"/>
        <w:ind w:firstLine="0" w:firstLineChars="0"/>
        <w:rPr>
          <w:rFonts w:hint="eastAsia" w:ascii="宋体" w:hAnsi="宋体" w:eastAsia="宋体" w:cs="宋体"/>
          <w:color w:val="auto"/>
        </w:rPr>
      </w:pPr>
      <w:r>
        <w:rPr>
          <w:rFonts w:hint="eastAsia" w:ascii="宋体" w:hAnsi="宋体" w:eastAsia="宋体" w:cs="宋体"/>
          <w:color w:val="auto"/>
        </w:rPr>
        <w:t>（二）设备采购部分</w:t>
      </w:r>
    </w:p>
    <w:p w14:paraId="78603BCC">
      <w:pPr>
        <w:pStyle w:val="5"/>
        <w:ind w:firstLine="562"/>
      </w:pPr>
      <w:r>
        <w:rPr>
          <w:rFonts w:hint="eastAsia"/>
        </w:rPr>
        <w:t>4.2.1设备技术参数</w:t>
      </w:r>
    </w:p>
    <w:tbl>
      <w:tblPr>
        <w:tblStyle w:val="16"/>
        <w:tblW w:w="8504" w:type="dxa"/>
        <w:jc w:val="center"/>
        <w:tblLayout w:type="fixed"/>
        <w:tblCellMar>
          <w:top w:w="0" w:type="dxa"/>
          <w:left w:w="0" w:type="dxa"/>
          <w:bottom w:w="0" w:type="dxa"/>
          <w:right w:w="0" w:type="dxa"/>
        </w:tblCellMar>
      </w:tblPr>
      <w:tblGrid>
        <w:gridCol w:w="585"/>
        <w:gridCol w:w="1139"/>
        <w:gridCol w:w="5748"/>
        <w:gridCol w:w="342"/>
        <w:gridCol w:w="690"/>
      </w:tblGrid>
      <w:tr w14:paraId="2EACB69F">
        <w:tblPrEx>
          <w:tblCellMar>
            <w:top w:w="0" w:type="dxa"/>
            <w:left w:w="0" w:type="dxa"/>
            <w:bottom w:w="0" w:type="dxa"/>
            <w:right w:w="0" w:type="dxa"/>
          </w:tblCellMar>
        </w:tblPrEx>
        <w:trPr>
          <w:trHeight w:val="60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D9E1F4"/>
            <w:tcMar>
              <w:top w:w="12" w:type="dxa"/>
              <w:left w:w="12" w:type="dxa"/>
              <w:right w:w="12" w:type="dxa"/>
            </w:tcMar>
            <w:vAlign w:val="center"/>
          </w:tcPr>
          <w:p w14:paraId="1EE2ED62">
            <w:pPr>
              <w:widowControl/>
              <w:spacing w:line="276" w:lineRule="auto"/>
              <w:ind w:firstLine="0" w:firstLineChars="0"/>
              <w:jc w:val="center"/>
              <w:textAlignment w:val="center"/>
              <w:rPr>
                <w:rFonts w:hint="eastAsia" w:ascii="宋体" w:hAnsi="宋体" w:eastAsia="宋体" w:cs="宋体"/>
                <w:b/>
                <w:color w:val="000000"/>
                <w:sz w:val="21"/>
                <w:szCs w:val="21"/>
              </w:rPr>
            </w:pPr>
            <w:bookmarkStart w:id="6" w:name="OLE_LINK20"/>
            <w:r>
              <w:rPr>
                <w:rFonts w:hint="eastAsia" w:ascii="宋体" w:hAnsi="宋体" w:eastAsia="宋体" w:cs="宋体"/>
                <w:b/>
                <w:color w:val="000000"/>
                <w:kern w:val="0"/>
                <w:sz w:val="21"/>
                <w:szCs w:val="21"/>
                <w:lang w:bidi="ar"/>
              </w:rPr>
              <w:t>序号</w:t>
            </w:r>
          </w:p>
        </w:tc>
        <w:tc>
          <w:tcPr>
            <w:tcW w:w="1139" w:type="dxa"/>
            <w:tcBorders>
              <w:top w:val="single" w:color="000000" w:sz="4" w:space="0"/>
              <w:left w:val="single" w:color="000000" w:sz="4" w:space="0"/>
              <w:bottom w:val="single" w:color="000000" w:sz="4" w:space="0"/>
              <w:right w:val="single" w:color="000000" w:sz="4" w:space="0"/>
            </w:tcBorders>
            <w:shd w:val="clear" w:color="auto" w:fill="D9E1F4"/>
            <w:tcMar>
              <w:top w:w="12" w:type="dxa"/>
              <w:left w:w="12" w:type="dxa"/>
              <w:right w:w="12" w:type="dxa"/>
            </w:tcMar>
            <w:vAlign w:val="center"/>
          </w:tcPr>
          <w:p w14:paraId="02B98E37">
            <w:pPr>
              <w:widowControl/>
              <w:spacing w:line="276"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lang w:bidi="ar"/>
              </w:rPr>
              <w:t>项目名称</w:t>
            </w:r>
          </w:p>
        </w:tc>
        <w:tc>
          <w:tcPr>
            <w:tcW w:w="5748" w:type="dxa"/>
            <w:tcBorders>
              <w:top w:val="single" w:color="000000" w:sz="4" w:space="0"/>
              <w:left w:val="single" w:color="000000" w:sz="4" w:space="0"/>
              <w:bottom w:val="single" w:color="000000" w:sz="4" w:space="0"/>
              <w:right w:val="single" w:color="000000" w:sz="4" w:space="0"/>
            </w:tcBorders>
            <w:shd w:val="clear" w:color="auto" w:fill="D9E1F4"/>
            <w:tcMar>
              <w:top w:w="12" w:type="dxa"/>
              <w:left w:w="12" w:type="dxa"/>
              <w:right w:w="12" w:type="dxa"/>
            </w:tcMar>
            <w:vAlign w:val="center"/>
          </w:tcPr>
          <w:p w14:paraId="23917DA5">
            <w:pPr>
              <w:widowControl/>
              <w:spacing w:line="276"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lang w:bidi="ar"/>
              </w:rPr>
              <w:t>项目特征描述（参数）</w:t>
            </w:r>
          </w:p>
        </w:tc>
        <w:tc>
          <w:tcPr>
            <w:tcW w:w="342" w:type="dxa"/>
            <w:tcBorders>
              <w:top w:val="single" w:color="000000" w:sz="4" w:space="0"/>
              <w:left w:val="single" w:color="000000" w:sz="4" w:space="0"/>
              <w:bottom w:val="single" w:color="000000" w:sz="4" w:space="0"/>
              <w:right w:val="single" w:color="000000" w:sz="4" w:space="0"/>
            </w:tcBorders>
            <w:shd w:val="clear" w:color="auto" w:fill="D9E1F4"/>
            <w:tcMar>
              <w:top w:w="12" w:type="dxa"/>
              <w:left w:w="12" w:type="dxa"/>
              <w:right w:w="12" w:type="dxa"/>
            </w:tcMar>
            <w:vAlign w:val="center"/>
          </w:tcPr>
          <w:p w14:paraId="1F8DD61F">
            <w:pPr>
              <w:widowControl/>
              <w:spacing w:line="276"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lang w:bidi="ar"/>
              </w:rPr>
              <w:t>单位</w:t>
            </w:r>
          </w:p>
        </w:tc>
        <w:tc>
          <w:tcPr>
            <w:tcW w:w="690" w:type="dxa"/>
            <w:tcBorders>
              <w:top w:val="single" w:color="000000" w:sz="4" w:space="0"/>
              <w:left w:val="single" w:color="000000" w:sz="4" w:space="0"/>
              <w:bottom w:val="single" w:color="000000" w:sz="4" w:space="0"/>
              <w:right w:val="single" w:color="000000" w:sz="4" w:space="0"/>
            </w:tcBorders>
            <w:shd w:val="clear" w:color="auto" w:fill="D9E1F4"/>
            <w:tcMar>
              <w:top w:w="12" w:type="dxa"/>
              <w:left w:w="12" w:type="dxa"/>
              <w:right w:w="12" w:type="dxa"/>
            </w:tcMar>
            <w:vAlign w:val="center"/>
          </w:tcPr>
          <w:p w14:paraId="1F5C3011">
            <w:pPr>
              <w:widowControl/>
              <w:spacing w:line="276"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lang w:bidi="ar"/>
              </w:rPr>
              <w:t>数量</w:t>
            </w:r>
          </w:p>
        </w:tc>
      </w:tr>
      <w:tr w14:paraId="6040F934">
        <w:tblPrEx>
          <w:tblCellMar>
            <w:top w:w="0" w:type="dxa"/>
            <w:left w:w="0" w:type="dxa"/>
            <w:bottom w:w="0" w:type="dxa"/>
            <w:right w:w="0" w:type="dxa"/>
          </w:tblCellMar>
        </w:tblPrEx>
        <w:trPr>
          <w:trHeight w:val="607"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2E6BF50">
            <w:pPr>
              <w:widowControl/>
              <w:spacing w:line="276" w:lineRule="auto"/>
              <w:ind w:firstLine="0" w:firstLineChars="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113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94639D3">
            <w:pPr>
              <w:pStyle w:val="2"/>
              <w:ind w:left="0" w:leftChars="0" w:firstLine="0" w:firstLineChars="0"/>
            </w:pPr>
            <w:r>
              <w:rPr>
                <w:rFonts w:hint="eastAsia" w:ascii="宋体" w:hAnsi="宋体" w:eastAsia="宋体" w:cs="宋体"/>
                <w:color w:val="auto"/>
                <w:sz w:val="21"/>
                <w:szCs w:val="21"/>
              </w:rPr>
              <w:t>小型自动化机库</w:t>
            </w:r>
            <w:r>
              <w:rPr>
                <w:rFonts w:ascii="宋体" w:hAnsi="宋体" w:eastAsia="宋体" w:cs="宋体"/>
                <w:color w:val="auto"/>
                <w:sz w:val="21"/>
                <w:szCs w:val="21"/>
              </w:rPr>
              <w:t>及配套</w:t>
            </w:r>
          </w:p>
        </w:tc>
        <w:tc>
          <w:tcPr>
            <w:tcW w:w="574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62544B7">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一、小型飞行器</w:t>
            </w:r>
          </w:p>
          <w:p w14:paraId="0ECA245C">
            <w:pPr>
              <w:pStyle w:val="25"/>
              <w:widowControl/>
              <w:numPr>
                <w:ilvl w:val="0"/>
                <w:numId w:val="15"/>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起飞重量（含电池、普通桨叶和microSD卡、无配件）：≤1850g</w:t>
            </w:r>
          </w:p>
          <w:p w14:paraId="7BE184E8">
            <w:pPr>
              <w:pStyle w:val="25"/>
              <w:widowControl/>
              <w:numPr>
                <w:ilvl w:val="0"/>
                <w:numId w:val="15"/>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最大信号有效距离（无干扰、无遮挡）：≥25km</w:t>
            </w:r>
          </w:p>
          <w:p w14:paraId="15B4ADEC">
            <w:pPr>
              <w:pStyle w:val="25"/>
              <w:widowControl/>
              <w:numPr>
                <w:ilvl w:val="0"/>
                <w:numId w:val="15"/>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kern w:val="0"/>
                <w:sz w:val="20"/>
                <w:szCs w:val="20"/>
              </w:rPr>
              <w:t>★</w:t>
            </w:r>
            <w:r>
              <w:rPr>
                <w:rFonts w:hint="eastAsia" w:ascii="宋体" w:hAnsi="宋体" w:eastAsia="宋体" w:cs="宋体"/>
                <w:color w:val="000000"/>
                <w:szCs w:val="21"/>
              </w:rPr>
              <w:t>最长飞行时间：≥54分钟</w:t>
            </w:r>
            <w:r>
              <w:rPr>
                <w:rFonts w:hint="eastAsia" w:ascii="宋体" w:hAnsi="宋体" w:eastAsia="宋体" w:cs="宋体"/>
                <w:kern w:val="0"/>
                <w:szCs w:val="21"/>
              </w:rPr>
              <w:t>（投标人提供承诺函）</w:t>
            </w:r>
          </w:p>
          <w:p w14:paraId="4F80F11A">
            <w:pPr>
              <w:pStyle w:val="25"/>
              <w:widowControl/>
              <w:numPr>
                <w:ilvl w:val="0"/>
                <w:numId w:val="15"/>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最大可抗风速：≥12m/s</w:t>
            </w:r>
          </w:p>
          <w:p w14:paraId="20AE5F65">
            <w:pPr>
              <w:pStyle w:val="25"/>
              <w:widowControl/>
              <w:numPr>
                <w:ilvl w:val="0"/>
                <w:numId w:val="15"/>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▲全向感知系统：支持全向双目视觉避障系统，下方具备三维红外传感器，能够在探测到障碍物时在App上进行提醒，并自动减速刹车或绕行</w:t>
            </w:r>
            <w:r>
              <w:rPr>
                <w:rFonts w:ascii="宋体" w:hAnsi="宋体" w:eastAsia="宋体" w:cs="宋体"/>
                <w:color w:val="000000"/>
                <w:szCs w:val="21"/>
              </w:rPr>
              <w:t>（提供第三方检测机构出具的带CNAS或CMA标识的检测报告）</w:t>
            </w:r>
          </w:p>
          <w:p w14:paraId="5C8E5D36">
            <w:pPr>
              <w:pStyle w:val="25"/>
              <w:widowControl/>
              <w:numPr>
                <w:ilvl w:val="0"/>
                <w:numId w:val="15"/>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▲最大起飞海拔高度：≥6500米</w:t>
            </w:r>
            <w:r>
              <w:rPr>
                <w:rFonts w:ascii="宋体" w:hAnsi="宋体" w:eastAsia="宋体" w:cs="宋体"/>
                <w:color w:val="000000"/>
                <w:szCs w:val="21"/>
              </w:rPr>
              <w:t>（提供第三方检测机构出具的带CNAS或CMA标识的检测报告）</w:t>
            </w:r>
          </w:p>
          <w:p w14:paraId="5C9AD14F">
            <w:pPr>
              <w:pStyle w:val="25"/>
              <w:widowControl/>
              <w:numPr>
                <w:ilvl w:val="0"/>
                <w:numId w:val="15"/>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RTK：RTK集成在无人机上</w:t>
            </w:r>
          </w:p>
          <w:p w14:paraId="3A5CA4BB">
            <w:pPr>
              <w:pStyle w:val="2"/>
              <w:ind w:left="439" w:hanging="276"/>
            </w:pPr>
          </w:p>
          <w:p w14:paraId="0F287C65">
            <w:pPr>
              <w:widowControl/>
              <w:spacing w:line="276" w:lineRule="auto"/>
              <w:ind w:firstLine="0" w:firstLineChars="0"/>
              <w:jc w:val="left"/>
              <w:textAlignment w:val="center"/>
              <w:rPr>
                <w:rFonts w:hint="eastAsia" w:ascii="宋体" w:hAnsi="宋体" w:eastAsia="宋体" w:cs="宋体"/>
                <w:color w:val="000000"/>
                <w:sz w:val="21"/>
                <w:szCs w:val="21"/>
              </w:rPr>
            </w:pPr>
            <w:bookmarkStart w:id="7" w:name="OLE_LINK11"/>
            <w:r>
              <w:rPr>
                <w:rFonts w:hint="eastAsia" w:ascii="宋体" w:hAnsi="宋体" w:eastAsia="宋体" w:cs="宋体"/>
                <w:color w:val="000000"/>
                <w:sz w:val="21"/>
                <w:szCs w:val="21"/>
              </w:rPr>
              <w:t>二、</w:t>
            </w:r>
            <w:bookmarkEnd w:id="7"/>
            <w:r>
              <w:rPr>
                <w:rFonts w:hint="eastAsia" w:ascii="宋体" w:hAnsi="宋体" w:eastAsia="宋体" w:cs="宋体"/>
                <w:color w:val="000000"/>
                <w:sz w:val="21"/>
                <w:szCs w:val="21"/>
              </w:rPr>
              <w:t>飞行器一体化云台相机</w:t>
            </w:r>
          </w:p>
          <w:p w14:paraId="1F38D5BB">
            <w:pPr>
              <w:pStyle w:val="25"/>
              <w:widowControl/>
              <w:numPr>
                <w:ilvl w:val="0"/>
                <w:numId w:val="16"/>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▲相机类型：具有长焦可见光、中长焦可见光、广角可见光和红外热成像相机</w:t>
            </w:r>
            <w:r>
              <w:rPr>
                <w:rFonts w:ascii="宋体" w:hAnsi="宋体" w:eastAsia="宋体" w:cs="宋体"/>
                <w:color w:val="000000"/>
                <w:szCs w:val="21"/>
              </w:rPr>
              <w:t>（提供第三方检测机构出具的带CNAS或CMA标识的检测报告）</w:t>
            </w:r>
          </w:p>
          <w:p w14:paraId="626C32C2">
            <w:pPr>
              <w:pStyle w:val="25"/>
              <w:widowControl/>
              <w:numPr>
                <w:ilvl w:val="0"/>
                <w:numId w:val="16"/>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稳定系统：具备三轴机械增稳云台（俯仰、横滚、平移）</w:t>
            </w:r>
          </w:p>
          <w:p w14:paraId="6BE435C8">
            <w:pPr>
              <w:pStyle w:val="25"/>
              <w:widowControl/>
              <w:numPr>
                <w:ilvl w:val="0"/>
                <w:numId w:val="16"/>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激光测距模块：最远正入射量程1800m</w:t>
            </w:r>
          </w:p>
          <w:p w14:paraId="2CF03CC8">
            <w:pPr>
              <w:pStyle w:val="25"/>
              <w:widowControl/>
              <w:numPr>
                <w:ilvl w:val="0"/>
                <w:numId w:val="16"/>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红外补光：支持近红外补光灯</w:t>
            </w:r>
          </w:p>
          <w:p w14:paraId="6F21FB50">
            <w:pPr>
              <w:pStyle w:val="25"/>
              <w:widowControl/>
              <w:spacing w:line="276" w:lineRule="auto"/>
              <w:ind w:left="440" w:firstLine="0" w:firstLineChars="0"/>
              <w:jc w:val="left"/>
              <w:textAlignment w:val="center"/>
              <w:rPr>
                <w:rFonts w:hint="eastAsia" w:ascii="宋体" w:hAnsi="宋体" w:eastAsia="宋体" w:cs="宋体"/>
                <w:color w:val="000000"/>
                <w:szCs w:val="21"/>
              </w:rPr>
            </w:pPr>
          </w:p>
          <w:p w14:paraId="175899B4">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三、飞行器操控软件</w:t>
            </w:r>
          </w:p>
          <w:p w14:paraId="3D0D4816">
            <w:pPr>
              <w:pStyle w:val="25"/>
              <w:widowControl/>
              <w:numPr>
                <w:ilvl w:val="0"/>
                <w:numId w:val="17"/>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空中中继：支持空中中继功能，一台无人机可以给另外一台无人机做中继站</w:t>
            </w:r>
          </w:p>
          <w:p w14:paraId="41934896">
            <w:pPr>
              <w:pStyle w:val="25"/>
              <w:widowControl/>
              <w:numPr>
                <w:ilvl w:val="0"/>
                <w:numId w:val="17"/>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夜景模式：支持全彩夜视、黑白夜视</w:t>
            </w:r>
          </w:p>
          <w:p w14:paraId="4B80918F">
            <w:pPr>
              <w:pStyle w:val="25"/>
              <w:widowControl/>
              <w:spacing w:line="276" w:lineRule="auto"/>
              <w:ind w:left="440" w:firstLine="0" w:firstLineChars="0"/>
              <w:jc w:val="left"/>
              <w:textAlignment w:val="center"/>
              <w:rPr>
                <w:rFonts w:hint="eastAsia" w:ascii="宋体" w:hAnsi="宋体" w:eastAsia="宋体" w:cs="宋体"/>
                <w:color w:val="000000"/>
                <w:szCs w:val="21"/>
              </w:rPr>
            </w:pPr>
          </w:p>
          <w:p w14:paraId="4A547F1A">
            <w:pPr>
              <w:widowControl/>
              <w:spacing w:line="276" w:lineRule="auto"/>
              <w:ind w:firstLine="0" w:firstLineChars="0"/>
              <w:jc w:val="left"/>
              <w:textAlignment w:val="center"/>
              <w:rPr>
                <w:rFonts w:hint="eastAsia" w:ascii="宋体" w:hAnsi="宋体" w:eastAsia="宋体" w:cs="宋体"/>
                <w:color w:val="000000"/>
                <w:sz w:val="21"/>
                <w:szCs w:val="18"/>
              </w:rPr>
            </w:pPr>
            <w:r>
              <w:rPr>
                <w:rFonts w:hint="eastAsia" w:ascii="宋体" w:hAnsi="宋体" w:eastAsia="宋体" w:cs="宋体"/>
                <w:color w:val="000000"/>
                <w:sz w:val="21"/>
                <w:szCs w:val="18"/>
              </w:rPr>
              <w:t>四</w:t>
            </w:r>
            <w:r>
              <w:rPr>
                <w:rFonts w:ascii="宋体" w:hAnsi="宋体" w:eastAsia="宋体" w:cs="宋体"/>
                <w:color w:val="000000"/>
                <w:sz w:val="21"/>
                <w:szCs w:val="18"/>
              </w:rPr>
              <w:t>、</w:t>
            </w:r>
            <w:r>
              <w:rPr>
                <w:rFonts w:hint="eastAsia" w:ascii="宋体" w:hAnsi="宋体" w:eastAsia="宋体" w:cs="宋体"/>
                <w:color w:val="000000"/>
                <w:sz w:val="21"/>
                <w:szCs w:val="18"/>
              </w:rPr>
              <w:t>飞行器遥控&amp;图传系统</w:t>
            </w:r>
          </w:p>
          <w:p w14:paraId="269CF5C4">
            <w:pPr>
              <w:pStyle w:val="25"/>
              <w:widowControl/>
              <w:numPr>
                <w:ilvl w:val="0"/>
                <w:numId w:val="18"/>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天线：8天线，采用2发4收天线方案</w:t>
            </w:r>
          </w:p>
          <w:p w14:paraId="6E8D3A90">
            <w:pPr>
              <w:pStyle w:val="25"/>
              <w:widowControl/>
              <w:numPr>
                <w:ilvl w:val="0"/>
                <w:numId w:val="18"/>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工作频段：支持2.4G、5.8G图传</w:t>
            </w:r>
          </w:p>
          <w:p w14:paraId="3B0CA8C3">
            <w:pPr>
              <w:pStyle w:val="25"/>
              <w:widowControl/>
              <w:numPr>
                <w:ilvl w:val="0"/>
                <w:numId w:val="18"/>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一体化设计：具备遥控器和显示屏一体化设计，屏幕显示分辨率≥1920*1080p，亮度≥1400尼特</w:t>
            </w:r>
          </w:p>
          <w:p w14:paraId="6FB323D1">
            <w:pPr>
              <w:pStyle w:val="25"/>
              <w:widowControl/>
              <w:numPr>
                <w:ilvl w:val="0"/>
                <w:numId w:val="18"/>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接口：支持HDMI，SD，Type-C，PD，USB-A</w:t>
            </w:r>
          </w:p>
          <w:p w14:paraId="4672071B">
            <w:pPr>
              <w:pStyle w:val="2"/>
              <w:ind w:leftChars="60" w:hanging="276"/>
            </w:pPr>
          </w:p>
          <w:p w14:paraId="1F876C27">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五、小型自动化机库</w:t>
            </w:r>
          </w:p>
          <w:p w14:paraId="294CE9BD">
            <w:pPr>
              <w:pStyle w:val="25"/>
              <w:widowControl/>
              <w:numPr>
                <w:ilvl w:val="0"/>
                <w:numId w:val="19"/>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▲整机重量：≤55kg</w:t>
            </w:r>
            <w:r>
              <w:rPr>
                <w:rFonts w:ascii="宋体" w:hAnsi="宋体" w:eastAsia="宋体" w:cs="宋体"/>
                <w:color w:val="000000"/>
                <w:szCs w:val="21"/>
              </w:rPr>
              <w:t>（提供第三方检测机构出具的带CNAS或CMA标识的检测报告）</w:t>
            </w:r>
          </w:p>
          <w:p w14:paraId="06AFBBC6">
            <w:pPr>
              <w:pStyle w:val="25"/>
              <w:widowControl/>
              <w:numPr>
                <w:ilvl w:val="0"/>
                <w:numId w:val="19"/>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外形尺寸：≤</w:t>
            </w:r>
            <w:r>
              <w:rPr>
                <w:rFonts w:hint="eastAsia" w:ascii="宋体" w:hAnsi="宋体" w:eastAsia="宋体"/>
                <w:szCs w:val="21"/>
              </w:rPr>
              <w:t>650mm×750mm×800mm</w:t>
            </w:r>
          </w:p>
          <w:p w14:paraId="1EC352AE">
            <w:pPr>
              <w:pStyle w:val="25"/>
              <w:widowControl/>
              <w:numPr>
                <w:ilvl w:val="0"/>
                <w:numId w:val="19"/>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充电时间：从15%充至95%小于30分钟</w:t>
            </w:r>
          </w:p>
          <w:p w14:paraId="46479615">
            <w:pPr>
              <w:pStyle w:val="25"/>
              <w:widowControl/>
              <w:numPr>
                <w:ilvl w:val="0"/>
                <w:numId w:val="19"/>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空调类型：需要内置压缩机空调</w:t>
            </w:r>
          </w:p>
          <w:p w14:paraId="4355784C">
            <w:pPr>
              <w:pStyle w:val="25"/>
              <w:widowControl/>
              <w:numPr>
                <w:ilvl w:val="0"/>
                <w:numId w:val="19"/>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▲传感器：需要内置风速传感器、雨量传感器、环境温度传感器、水浸传感器、舱内温度传感器、舱内湿度传感器</w:t>
            </w:r>
            <w:r>
              <w:rPr>
                <w:rFonts w:ascii="宋体" w:hAnsi="宋体" w:eastAsia="宋体" w:cs="宋体"/>
                <w:color w:val="000000"/>
                <w:szCs w:val="21"/>
              </w:rPr>
              <w:t>（提供第三方检测机构出具的带CNAS或CMA标识的检测报告）</w:t>
            </w:r>
          </w:p>
          <w:p w14:paraId="40F4DF30">
            <w:pPr>
              <w:pStyle w:val="25"/>
              <w:widowControl/>
              <w:numPr>
                <w:ilvl w:val="0"/>
                <w:numId w:val="19"/>
              </w:numPr>
              <w:spacing w:line="276" w:lineRule="auto"/>
              <w:ind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快速起飞：下达任务后，需要15秒内起飞</w:t>
            </w:r>
          </w:p>
        </w:tc>
        <w:tc>
          <w:tcPr>
            <w:tcW w:w="342"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0D231DA4">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1734D0F5">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14:paraId="6029474D">
        <w:tblPrEx>
          <w:tblCellMar>
            <w:top w:w="0" w:type="dxa"/>
            <w:left w:w="0" w:type="dxa"/>
            <w:bottom w:w="0" w:type="dxa"/>
            <w:right w:w="0" w:type="dxa"/>
          </w:tblCellMar>
        </w:tblPrEx>
        <w:trPr>
          <w:trHeight w:val="1484"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7A5348E">
            <w:pPr>
              <w:widowControl/>
              <w:spacing w:line="276" w:lineRule="auto"/>
              <w:ind w:firstLine="0" w:firstLineChars="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113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7DDFE4E">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auto"/>
                <w:sz w:val="21"/>
                <w:szCs w:val="21"/>
              </w:rPr>
              <w:t>中型自动化机库</w:t>
            </w:r>
            <w:r>
              <w:rPr>
                <w:rFonts w:ascii="宋体" w:hAnsi="宋体" w:eastAsia="宋体" w:cs="宋体"/>
                <w:color w:val="auto"/>
                <w:sz w:val="21"/>
                <w:szCs w:val="21"/>
              </w:rPr>
              <w:t>及配套</w:t>
            </w:r>
          </w:p>
        </w:tc>
        <w:tc>
          <w:tcPr>
            <w:tcW w:w="574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A71E48D">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一、中型飞行器</w:t>
            </w:r>
          </w:p>
          <w:p w14:paraId="7E59FCD7">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1、构型：六旋翼，旋翼机臂支持免工具快速插拔，可与机体分离收纳</w:t>
            </w:r>
          </w:p>
          <w:p w14:paraId="5D45BB9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2、轴距：</w:t>
            </w:r>
            <w:r>
              <w:rPr>
                <w:rFonts w:hint="eastAsia" w:ascii="宋体" w:hAnsi="宋体" w:eastAsia="宋体" w:cs="宋体"/>
                <w:color w:val="000000"/>
                <w:sz w:val="21"/>
                <w:szCs w:val="21"/>
              </w:rPr>
              <w:t>≥</w:t>
            </w:r>
            <w:r>
              <w:rPr>
                <w:rFonts w:ascii="宋体" w:hAnsi="宋体" w:eastAsia="宋体" w:cs="宋体"/>
                <w:color w:val="000000"/>
                <w:sz w:val="21"/>
                <w:szCs w:val="21"/>
              </w:rPr>
              <w:t>1</w:t>
            </w:r>
            <w:r>
              <w:rPr>
                <w:rFonts w:hint="eastAsia" w:ascii="宋体" w:hAnsi="宋体" w:eastAsia="宋体" w:cs="宋体"/>
                <w:color w:val="000000"/>
                <w:sz w:val="21"/>
                <w:szCs w:val="21"/>
              </w:rPr>
              <w:t>500</w:t>
            </w:r>
            <w:r>
              <w:rPr>
                <w:rFonts w:ascii="宋体" w:hAnsi="宋体" w:eastAsia="宋体" w:cs="宋体"/>
                <w:color w:val="000000"/>
                <w:sz w:val="21"/>
                <w:szCs w:val="21"/>
              </w:rPr>
              <w:t>mm</w:t>
            </w:r>
          </w:p>
          <w:p w14:paraId="573B6B72">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3、桨间距：</w:t>
            </w:r>
            <w:r>
              <w:rPr>
                <w:rFonts w:hint="eastAsia" w:ascii="宋体" w:hAnsi="宋体" w:eastAsia="宋体" w:cs="宋体"/>
                <w:color w:val="000000"/>
                <w:sz w:val="21"/>
                <w:szCs w:val="21"/>
              </w:rPr>
              <w:t>≥</w:t>
            </w:r>
            <w:r>
              <w:rPr>
                <w:rFonts w:ascii="宋体" w:hAnsi="宋体" w:eastAsia="宋体" w:cs="宋体"/>
                <w:color w:val="000000"/>
                <w:sz w:val="21"/>
                <w:szCs w:val="21"/>
              </w:rPr>
              <w:t>2</w:t>
            </w:r>
            <w:r>
              <w:rPr>
                <w:rFonts w:hint="eastAsia" w:ascii="宋体" w:hAnsi="宋体" w:eastAsia="宋体" w:cs="宋体"/>
                <w:color w:val="000000"/>
                <w:sz w:val="21"/>
                <w:szCs w:val="21"/>
              </w:rPr>
              <w:t>200</w:t>
            </w:r>
            <w:r>
              <w:rPr>
                <w:rFonts w:ascii="宋体" w:hAnsi="宋体" w:eastAsia="宋体" w:cs="宋体"/>
                <w:color w:val="000000"/>
                <w:sz w:val="21"/>
                <w:szCs w:val="21"/>
              </w:rPr>
              <w:t>mm</w:t>
            </w:r>
          </w:p>
          <w:p w14:paraId="1D95E675">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4、最大载荷重量：</w:t>
            </w:r>
            <w:r>
              <w:rPr>
                <w:rFonts w:hint="eastAsia" w:ascii="宋体" w:hAnsi="宋体" w:eastAsia="宋体" w:cs="宋体"/>
                <w:color w:val="000000"/>
                <w:sz w:val="21"/>
                <w:szCs w:val="21"/>
              </w:rPr>
              <w:t>≥8</w:t>
            </w:r>
            <w:r>
              <w:rPr>
                <w:rFonts w:ascii="宋体" w:hAnsi="宋体" w:eastAsia="宋体" w:cs="宋体"/>
                <w:color w:val="000000"/>
                <w:sz w:val="21"/>
                <w:szCs w:val="21"/>
              </w:rPr>
              <w:t>kg</w:t>
            </w:r>
          </w:p>
          <w:p w14:paraId="1AB6DB84">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5、动力能源：纯电动</w:t>
            </w:r>
          </w:p>
          <w:p w14:paraId="74101597">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6、</w:t>
            </w:r>
            <w:r>
              <w:rPr>
                <w:rFonts w:hint="eastAsia" w:ascii="宋体" w:hAnsi="宋体" w:eastAsia="宋体" w:cs="宋体"/>
                <w:kern w:val="0"/>
                <w:sz w:val="20"/>
                <w:szCs w:val="20"/>
              </w:rPr>
              <w:t>★</w:t>
            </w:r>
            <w:r>
              <w:rPr>
                <w:rFonts w:ascii="宋体" w:hAnsi="宋体" w:eastAsia="宋体" w:cs="宋体"/>
                <w:color w:val="000000"/>
                <w:sz w:val="21"/>
                <w:szCs w:val="21"/>
              </w:rPr>
              <w:t>续航时间：</w:t>
            </w:r>
            <w:r>
              <w:rPr>
                <w:rFonts w:hint="eastAsia" w:ascii="宋体" w:hAnsi="宋体" w:eastAsia="宋体" w:cs="宋体"/>
                <w:color w:val="000000"/>
                <w:sz w:val="21"/>
                <w:szCs w:val="21"/>
              </w:rPr>
              <w:t>≥6</w:t>
            </w:r>
            <w:r>
              <w:rPr>
                <w:rFonts w:ascii="宋体" w:hAnsi="宋体" w:eastAsia="宋体" w:cs="宋体"/>
                <w:color w:val="000000"/>
                <w:sz w:val="21"/>
                <w:szCs w:val="21"/>
              </w:rPr>
              <w:t>0min@空载；</w:t>
            </w:r>
            <w:r>
              <w:rPr>
                <w:rFonts w:hint="eastAsia" w:ascii="宋体" w:hAnsi="宋体" w:eastAsia="宋体" w:cs="宋体"/>
                <w:color w:val="000000"/>
                <w:sz w:val="21"/>
                <w:szCs w:val="21"/>
              </w:rPr>
              <w:t>≥50</w:t>
            </w:r>
            <w:r>
              <w:rPr>
                <w:rFonts w:ascii="宋体" w:hAnsi="宋体" w:eastAsia="宋体" w:cs="宋体"/>
                <w:color w:val="000000"/>
                <w:sz w:val="21"/>
                <w:szCs w:val="21"/>
              </w:rPr>
              <w:t>min@3kg 负载；</w:t>
            </w:r>
            <w:r>
              <w:rPr>
                <w:rFonts w:hint="eastAsia" w:ascii="宋体" w:hAnsi="宋体" w:eastAsia="宋体" w:cs="宋体"/>
                <w:color w:val="000000"/>
                <w:sz w:val="21"/>
                <w:szCs w:val="21"/>
              </w:rPr>
              <w:t>≥35</w:t>
            </w:r>
            <w:r>
              <w:rPr>
                <w:rFonts w:ascii="宋体" w:hAnsi="宋体" w:eastAsia="宋体" w:cs="宋体"/>
                <w:color w:val="000000"/>
                <w:sz w:val="21"/>
                <w:szCs w:val="21"/>
              </w:rPr>
              <w:t>min@7kg 负载；</w:t>
            </w:r>
            <w:r>
              <w:rPr>
                <w:rFonts w:hint="eastAsia" w:ascii="宋体" w:hAnsi="宋体" w:eastAsia="宋体" w:cs="宋体"/>
                <w:color w:val="000000"/>
                <w:sz w:val="21"/>
                <w:szCs w:val="21"/>
              </w:rPr>
              <w:t>≥</w:t>
            </w:r>
            <w:r>
              <w:rPr>
                <w:rFonts w:ascii="宋体" w:hAnsi="宋体" w:eastAsia="宋体" w:cs="宋体"/>
                <w:color w:val="000000"/>
                <w:sz w:val="21"/>
                <w:szCs w:val="21"/>
              </w:rPr>
              <w:t>30min@10kg负载</w:t>
            </w:r>
            <w:r>
              <w:rPr>
                <w:rFonts w:hint="eastAsia" w:ascii="宋体" w:hAnsi="宋体" w:eastAsia="宋体" w:cs="宋体"/>
                <w:kern w:val="0"/>
                <w:sz w:val="21"/>
                <w:szCs w:val="21"/>
              </w:rPr>
              <w:t>（投标人提供承诺函）</w:t>
            </w:r>
          </w:p>
          <w:p w14:paraId="28193C5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7、</w:t>
            </w:r>
            <w:r>
              <w:rPr>
                <w:rFonts w:hint="eastAsia" w:ascii="宋体" w:hAnsi="宋体" w:eastAsia="宋体" w:cs="宋体"/>
                <w:color w:val="000000"/>
                <w:sz w:val="21"/>
                <w:szCs w:val="21"/>
              </w:rPr>
              <w:t>最大</w:t>
            </w:r>
            <w:r>
              <w:rPr>
                <w:rFonts w:ascii="宋体" w:hAnsi="宋体" w:eastAsia="宋体" w:cs="宋体"/>
                <w:color w:val="000000"/>
                <w:sz w:val="21"/>
                <w:szCs w:val="21"/>
              </w:rPr>
              <w:t>飞行速度：</w:t>
            </w:r>
            <w:r>
              <w:rPr>
                <w:rFonts w:hint="eastAsia" w:ascii="宋体" w:hAnsi="宋体" w:eastAsia="宋体" w:cs="宋体"/>
                <w:color w:val="000000"/>
                <w:sz w:val="21"/>
                <w:szCs w:val="21"/>
              </w:rPr>
              <w:t>≥</w:t>
            </w:r>
            <w:r>
              <w:rPr>
                <w:rFonts w:ascii="宋体" w:hAnsi="宋体" w:eastAsia="宋体" w:cs="宋体"/>
                <w:color w:val="000000"/>
                <w:sz w:val="21"/>
                <w:szCs w:val="21"/>
              </w:rPr>
              <w:t>10m/s</w:t>
            </w:r>
          </w:p>
          <w:p w14:paraId="6B2D9506">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8、升限/起降海拔：最大起飞海拔高度≥5000 米，飞行相对高度≥100米</w:t>
            </w:r>
          </w:p>
          <w:p w14:paraId="4EBAEDD5">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9、导航方式：北斗 + 惯性导航</w:t>
            </w:r>
          </w:p>
          <w:p w14:paraId="7442D885">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10、航线规划：支持自定义规划航线、自主飞行</w:t>
            </w:r>
          </w:p>
          <w:p w14:paraId="437965D8">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11、自动化能力：高度自动化，无人机放飞、执勤、回收、充电等环节完全自主执行，无需人工操作</w:t>
            </w:r>
          </w:p>
          <w:p w14:paraId="2344EF4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12、最大挂载载荷数量：≥</w:t>
            </w:r>
            <w:r>
              <w:rPr>
                <w:rFonts w:hint="eastAsia" w:ascii="宋体" w:hAnsi="宋体" w:eastAsia="宋体" w:cs="宋体"/>
                <w:color w:val="000000"/>
                <w:sz w:val="21"/>
                <w:szCs w:val="21"/>
              </w:rPr>
              <w:t>4</w:t>
            </w:r>
            <w:r>
              <w:rPr>
                <w:rFonts w:ascii="宋体" w:hAnsi="宋体" w:eastAsia="宋体" w:cs="宋体"/>
                <w:color w:val="000000"/>
                <w:sz w:val="21"/>
                <w:szCs w:val="21"/>
              </w:rPr>
              <w:t>个</w:t>
            </w:r>
          </w:p>
          <w:p w14:paraId="269D4307">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13、扩展接口：集成可见光相机（不占用挂载口），可扩展喊话器、探照灯、激光雷达、多拼相机、多光谱、高光谱等载荷</w:t>
            </w:r>
          </w:p>
          <w:p w14:paraId="7A212627">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14、设备通信：支持千兆以太网 / 串口，可定制通信接口；兼容 TCP/IP/ 串口 / FTP 数据传输协议</w:t>
            </w:r>
          </w:p>
          <w:p w14:paraId="64C1925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15、控制距离：≥</w:t>
            </w:r>
            <w:r>
              <w:rPr>
                <w:rFonts w:hint="eastAsia" w:ascii="宋体" w:hAnsi="宋体" w:eastAsia="宋体" w:cs="宋体"/>
                <w:color w:val="000000"/>
                <w:sz w:val="21"/>
                <w:szCs w:val="21"/>
              </w:rPr>
              <w:t>15</w:t>
            </w:r>
            <w:r>
              <w:rPr>
                <w:rFonts w:ascii="宋体" w:hAnsi="宋体" w:eastAsia="宋体" w:cs="宋体"/>
                <w:color w:val="000000"/>
                <w:sz w:val="21"/>
                <w:szCs w:val="21"/>
              </w:rPr>
              <w:t>km</w:t>
            </w:r>
          </w:p>
          <w:p w14:paraId="7118DEB6">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16</w:t>
            </w:r>
            <w:r>
              <w:rPr>
                <w:rFonts w:ascii="宋体" w:hAnsi="宋体" w:eastAsia="宋体" w:cs="宋体"/>
                <w:color w:val="000000"/>
                <w:sz w:val="21"/>
                <w:szCs w:val="21"/>
              </w:rPr>
              <w:t>、防护等级：≥IPX4</w:t>
            </w:r>
          </w:p>
          <w:p w14:paraId="6224DFA8">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17</w:t>
            </w:r>
            <w:r>
              <w:rPr>
                <w:rFonts w:ascii="宋体" w:hAnsi="宋体" w:eastAsia="宋体" w:cs="宋体"/>
                <w:color w:val="000000"/>
                <w:sz w:val="21"/>
                <w:szCs w:val="21"/>
              </w:rPr>
              <w:t>、防雨能力：可抵御中雨</w:t>
            </w:r>
          </w:p>
          <w:p w14:paraId="3BA50D78">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18</w:t>
            </w:r>
            <w:r>
              <w:rPr>
                <w:rFonts w:ascii="宋体" w:hAnsi="宋体" w:eastAsia="宋体" w:cs="宋体"/>
                <w:color w:val="000000"/>
                <w:sz w:val="21"/>
                <w:szCs w:val="21"/>
              </w:rPr>
              <w:t>、抗风等级：≥6级（巡航阶段）</w:t>
            </w:r>
          </w:p>
          <w:p w14:paraId="46027B7A">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19</w:t>
            </w:r>
            <w:r>
              <w:rPr>
                <w:rFonts w:ascii="宋体" w:hAnsi="宋体" w:eastAsia="宋体" w:cs="宋体"/>
                <w:color w:val="000000"/>
                <w:sz w:val="21"/>
                <w:szCs w:val="21"/>
              </w:rPr>
              <w:t>、低电量保护：电量低于 20% 自动返航降落至机库</w:t>
            </w:r>
          </w:p>
          <w:p w14:paraId="6847CAB7">
            <w:pPr>
              <w:pStyle w:val="2"/>
              <w:ind w:left="0" w:leftChars="0"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20</w:t>
            </w:r>
            <w:r>
              <w:rPr>
                <w:rFonts w:ascii="宋体" w:hAnsi="宋体" w:eastAsia="宋体" w:cs="宋体"/>
                <w:color w:val="000000"/>
                <w:sz w:val="21"/>
                <w:szCs w:val="21"/>
              </w:rPr>
              <w:t>、失联保护：失联后继续执行航线任务，最终自动返航降落至机库</w:t>
            </w:r>
          </w:p>
          <w:p w14:paraId="2538AEB1">
            <w:pPr>
              <w:ind w:firstLine="480"/>
            </w:pPr>
          </w:p>
          <w:p w14:paraId="0A927879">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二、中型自动化机库</w:t>
            </w:r>
          </w:p>
          <w:p w14:paraId="302467F7">
            <w:pPr>
              <w:widowControl/>
              <w:ind w:firstLine="0" w:firstLineChars="0"/>
              <w:jc w:val="left"/>
              <w:rPr>
                <w:rFonts w:hint="eastAsia" w:ascii="宋体" w:hAnsi="宋体" w:eastAsia="宋体"/>
                <w:sz w:val="21"/>
                <w:szCs w:val="21"/>
              </w:rPr>
            </w:pPr>
            <w:r>
              <w:rPr>
                <w:rFonts w:ascii="宋体" w:hAnsi="宋体" w:eastAsia="宋体"/>
                <w:sz w:val="21"/>
                <w:szCs w:val="21"/>
              </w:rPr>
              <w:t>1、闭合尺寸：</w:t>
            </w:r>
            <w:r>
              <w:rPr>
                <w:rFonts w:hint="eastAsia" w:ascii="宋体" w:hAnsi="宋体" w:eastAsia="宋体"/>
                <w:sz w:val="21"/>
                <w:szCs w:val="21"/>
              </w:rPr>
              <w:t>≤</w:t>
            </w:r>
            <w:r>
              <w:rPr>
                <w:rFonts w:ascii="宋体" w:hAnsi="宋体" w:eastAsia="宋体"/>
                <w:sz w:val="21"/>
                <w:szCs w:val="21"/>
              </w:rPr>
              <w:t>2</w:t>
            </w:r>
            <w:r>
              <w:rPr>
                <w:rFonts w:hint="eastAsia" w:ascii="宋体" w:hAnsi="宋体" w:eastAsia="宋体"/>
                <w:sz w:val="21"/>
                <w:szCs w:val="21"/>
              </w:rPr>
              <w:t>200</w:t>
            </w:r>
            <w:r>
              <w:rPr>
                <w:rFonts w:ascii="宋体" w:hAnsi="宋体" w:eastAsia="宋体"/>
                <w:sz w:val="21"/>
                <w:szCs w:val="21"/>
              </w:rPr>
              <w:t>mm×2</w:t>
            </w:r>
            <w:r>
              <w:rPr>
                <w:rFonts w:hint="eastAsia" w:ascii="宋体" w:hAnsi="宋体" w:eastAsia="宋体"/>
                <w:sz w:val="21"/>
                <w:szCs w:val="21"/>
              </w:rPr>
              <w:t>30</w:t>
            </w:r>
            <w:r>
              <w:rPr>
                <w:rFonts w:ascii="宋体" w:hAnsi="宋体" w:eastAsia="宋体"/>
                <w:sz w:val="21"/>
                <w:szCs w:val="21"/>
              </w:rPr>
              <w:t>0mm×1</w:t>
            </w:r>
            <w:r>
              <w:rPr>
                <w:rFonts w:hint="eastAsia" w:ascii="宋体" w:hAnsi="宋体" w:eastAsia="宋体"/>
                <w:sz w:val="21"/>
                <w:szCs w:val="21"/>
              </w:rPr>
              <w:t>40</w:t>
            </w:r>
            <w:r>
              <w:rPr>
                <w:rFonts w:ascii="宋体" w:hAnsi="宋体" w:eastAsia="宋体"/>
                <w:sz w:val="21"/>
                <w:szCs w:val="21"/>
              </w:rPr>
              <w:t>0mm（长 × 宽 × 高）</w:t>
            </w:r>
          </w:p>
          <w:p w14:paraId="7FB5366F">
            <w:pPr>
              <w:widowControl/>
              <w:ind w:firstLine="0" w:firstLineChars="0"/>
              <w:jc w:val="left"/>
              <w:rPr>
                <w:rFonts w:hint="eastAsia" w:ascii="宋体" w:hAnsi="宋体" w:eastAsia="宋体"/>
                <w:sz w:val="21"/>
                <w:szCs w:val="21"/>
              </w:rPr>
            </w:pPr>
            <w:r>
              <w:rPr>
                <w:rFonts w:ascii="宋体" w:hAnsi="宋体" w:eastAsia="宋体"/>
                <w:sz w:val="21"/>
                <w:szCs w:val="21"/>
              </w:rPr>
              <w:t>2、展开尺寸：</w:t>
            </w:r>
            <w:r>
              <w:rPr>
                <w:rFonts w:hint="eastAsia" w:ascii="宋体" w:hAnsi="宋体" w:eastAsia="宋体"/>
                <w:sz w:val="21"/>
                <w:szCs w:val="21"/>
              </w:rPr>
              <w:t>≤</w:t>
            </w:r>
            <w:r>
              <w:rPr>
                <w:rFonts w:ascii="宋体" w:hAnsi="宋体" w:eastAsia="宋体"/>
                <w:sz w:val="21"/>
                <w:szCs w:val="21"/>
              </w:rPr>
              <w:t>2</w:t>
            </w:r>
            <w:r>
              <w:rPr>
                <w:rFonts w:hint="eastAsia" w:ascii="宋体" w:hAnsi="宋体" w:eastAsia="宋体"/>
                <w:sz w:val="21"/>
                <w:szCs w:val="21"/>
              </w:rPr>
              <w:t>20</w:t>
            </w:r>
            <w:r>
              <w:rPr>
                <w:rFonts w:ascii="宋体" w:hAnsi="宋体" w:eastAsia="宋体"/>
                <w:sz w:val="21"/>
                <w:szCs w:val="21"/>
              </w:rPr>
              <w:t>0mm×4</w:t>
            </w:r>
            <w:r>
              <w:rPr>
                <w:rFonts w:hint="eastAsia" w:ascii="宋体" w:hAnsi="宋体" w:eastAsia="宋体"/>
                <w:sz w:val="21"/>
                <w:szCs w:val="21"/>
              </w:rPr>
              <w:t>20</w:t>
            </w:r>
            <w:r>
              <w:rPr>
                <w:rFonts w:ascii="宋体" w:hAnsi="宋体" w:eastAsia="宋体"/>
                <w:sz w:val="21"/>
                <w:szCs w:val="21"/>
              </w:rPr>
              <w:t>0mm×1</w:t>
            </w:r>
            <w:r>
              <w:rPr>
                <w:rFonts w:hint="eastAsia" w:ascii="宋体" w:hAnsi="宋体" w:eastAsia="宋体"/>
                <w:sz w:val="21"/>
                <w:szCs w:val="21"/>
              </w:rPr>
              <w:t>40</w:t>
            </w:r>
            <w:r>
              <w:rPr>
                <w:rFonts w:ascii="宋体" w:hAnsi="宋体" w:eastAsia="宋体"/>
                <w:sz w:val="21"/>
                <w:szCs w:val="21"/>
              </w:rPr>
              <w:t>0mm（长 × 宽 × 高）</w:t>
            </w:r>
          </w:p>
          <w:p w14:paraId="65F63A01">
            <w:pPr>
              <w:widowControl/>
              <w:ind w:firstLine="0" w:firstLineChars="0"/>
              <w:jc w:val="left"/>
              <w:rPr>
                <w:rFonts w:hint="eastAsia" w:ascii="宋体" w:hAnsi="宋体" w:eastAsia="宋体"/>
                <w:sz w:val="21"/>
                <w:szCs w:val="21"/>
              </w:rPr>
            </w:pPr>
            <w:r>
              <w:rPr>
                <w:rFonts w:ascii="宋体" w:hAnsi="宋体" w:eastAsia="宋体"/>
                <w:sz w:val="21"/>
                <w:szCs w:val="21"/>
              </w:rPr>
              <w:t>3、重量：≤1000kg</w:t>
            </w:r>
          </w:p>
          <w:p w14:paraId="321C37F8">
            <w:pPr>
              <w:widowControl/>
              <w:ind w:firstLine="0" w:firstLineChars="0"/>
              <w:jc w:val="left"/>
              <w:rPr>
                <w:rFonts w:hint="eastAsia" w:ascii="宋体" w:hAnsi="宋体" w:eastAsia="宋体"/>
                <w:sz w:val="21"/>
                <w:szCs w:val="21"/>
              </w:rPr>
            </w:pPr>
            <w:r>
              <w:rPr>
                <w:rFonts w:ascii="宋体" w:hAnsi="宋体" w:eastAsia="宋体"/>
                <w:sz w:val="21"/>
                <w:szCs w:val="21"/>
              </w:rPr>
              <w:t>4、机身材料：钢 / 铝 / 复合材料</w:t>
            </w:r>
          </w:p>
          <w:p w14:paraId="7F9BE561">
            <w:pPr>
              <w:widowControl/>
              <w:ind w:firstLine="0" w:firstLineChars="0"/>
              <w:jc w:val="left"/>
              <w:rPr>
                <w:rFonts w:hint="eastAsia" w:ascii="宋体" w:hAnsi="宋体" w:eastAsia="宋体"/>
                <w:sz w:val="21"/>
                <w:szCs w:val="21"/>
              </w:rPr>
            </w:pPr>
            <w:r>
              <w:rPr>
                <w:rFonts w:ascii="宋体" w:hAnsi="宋体" w:eastAsia="宋体"/>
                <w:sz w:val="21"/>
                <w:szCs w:val="21"/>
              </w:rPr>
              <w:t>5、输入电压：舱体、空调均为 220V 市电</w:t>
            </w:r>
          </w:p>
          <w:p w14:paraId="1ABBB499">
            <w:pPr>
              <w:widowControl/>
              <w:ind w:firstLine="0" w:firstLineChars="0"/>
              <w:jc w:val="left"/>
              <w:rPr>
                <w:rFonts w:hint="eastAsia" w:ascii="宋体" w:hAnsi="宋体" w:eastAsia="宋体"/>
                <w:sz w:val="21"/>
                <w:szCs w:val="21"/>
              </w:rPr>
            </w:pPr>
            <w:r>
              <w:rPr>
                <w:rFonts w:ascii="宋体" w:hAnsi="宋体" w:eastAsia="宋体"/>
                <w:sz w:val="21"/>
                <w:szCs w:val="21"/>
              </w:rPr>
              <w:t>6、整机功耗：峰值功耗 4000W（机库 + 空调）；待机功耗≤300W（机库）</w:t>
            </w:r>
          </w:p>
          <w:p w14:paraId="2E0C1CE3">
            <w:pPr>
              <w:widowControl/>
              <w:ind w:firstLine="0" w:firstLineChars="0"/>
              <w:jc w:val="left"/>
              <w:rPr>
                <w:rFonts w:hint="eastAsia" w:ascii="宋体" w:hAnsi="宋体" w:eastAsia="宋体"/>
                <w:sz w:val="21"/>
                <w:szCs w:val="21"/>
              </w:rPr>
            </w:pPr>
            <w:r>
              <w:rPr>
                <w:rFonts w:ascii="宋体" w:hAnsi="宋体" w:eastAsia="宋体"/>
                <w:sz w:val="21"/>
                <w:szCs w:val="21"/>
              </w:rPr>
              <w:t>7、展开 / 收藏时间：</w:t>
            </w:r>
            <w:r>
              <w:rPr>
                <w:rFonts w:hint="eastAsia" w:ascii="宋体" w:hAnsi="宋体" w:eastAsia="宋体"/>
                <w:sz w:val="21"/>
                <w:szCs w:val="21"/>
              </w:rPr>
              <w:t>≤</w:t>
            </w:r>
            <w:r>
              <w:rPr>
                <w:rFonts w:ascii="宋体" w:hAnsi="宋体" w:eastAsia="宋体"/>
                <w:sz w:val="21"/>
                <w:szCs w:val="21"/>
              </w:rPr>
              <w:t>1</w:t>
            </w:r>
            <w:r>
              <w:rPr>
                <w:rFonts w:hint="eastAsia" w:ascii="宋体" w:hAnsi="宋体" w:eastAsia="宋体"/>
                <w:sz w:val="21"/>
                <w:szCs w:val="21"/>
              </w:rPr>
              <w:t>8</w:t>
            </w:r>
            <w:r>
              <w:rPr>
                <w:rFonts w:ascii="宋体" w:hAnsi="宋体" w:eastAsia="宋体"/>
                <w:sz w:val="21"/>
                <w:szCs w:val="21"/>
              </w:rPr>
              <w:t>0s</w:t>
            </w:r>
          </w:p>
          <w:p w14:paraId="21BCF8FF">
            <w:pPr>
              <w:widowControl/>
              <w:ind w:firstLine="0" w:firstLineChars="0"/>
              <w:jc w:val="left"/>
              <w:rPr>
                <w:rFonts w:hint="eastAsia" w:ascii="宋体" w:hAnsi="宋体" w:eastAsia="宋体"/>
                <w:sz w:val="21"/>
                <w:szCs w:val="21"/>
              </w:rPr>
            </w:pPr>
            <w:r>
              <w:rPr>
                <w:rFonts w:hint="eastAsia" w:ascii="宋体" w:hAnsi="宋体" w:eastAsia="宋体"/>
                <w:sz w:val="21"/>
                <w:szCs w:val="21"/>
              </w:rPr>
              <w:t>8</w:t>
            </w:r>
            <w:r>
              <w:rPr>
                <w:rFonts w:ascii="宋体" w:hAnsi="宋体" w:eastAsia="宋体"/>
                <w:sz w:val="21"/>
                <w:szCs w:val="21"/>
              </w:rPr>
              <w:t>、抗风能力：</w:t>
            </w:r>
            <w:r>
              <w:rPr>
                <w:rFonts w:hint="eastAsia" w:ascii="宋体" w:hAnsi="宋体" w:eastAsia="宋体"/>
                <w:sz w:val="21"/>
                <w:szCs w:val="21"/>
              </w:rPr>
              <w:t>≥9</w:t>
            </w:r>
            <w:r>
              <w:rPr>
                <w:rFonts w:ascii="宋体" w:hAnsi="宋体" w:eastAsia="宋体"/>
                <w:sz w:val="21"/>
                <w:szCs w:val="21"/>
              </w:rPr>
              <w:t>级</w:t>
            </w:r>
          </w:p>
          <w:p w14:paraId="69A921E1">
            <w:pPr>
              <w:widowControl/>
              <w:ind w:firstLine="0" w:firstLineChars="0"/>
              <w:jc w:val="left"/>
              <w:rPr>
                <w:rFonts w:hint="eastAsia" w:ascii="宋体" w:hAnsi="宋体" w:eastAsia="宋体"/>
                <w:sz w:val="21"/>
                <w:szCs w:val="21"/>
              </w:rPr>
            </w:pPr>
            <w:r>
              <w:rPr>
                <w:rFonts w:hint="eastAsia" w:ascii="宋体" w:hAnsi="宋体" w:eastAsia="宋体"/>
                <w:sz w:val="21"/>
                <w:szCs w:val="21"/>
              </w:rPr>
              <w:t>9</w:t>
            </w:r>
            <w:r>
              <w:rPr>
                <w:rFonts w:ascii="宋体" w:hAnsi="宋体" w:eastAsia="宋体"/>
                <w:sz w:val="21"/>
                <w:szCs w:val="21"/>
              </w:rPr>
              <w:t>、通讯方式：4G/5G 无线网络、有线网络</w:t>
            </w:r>
          </w:p>
          <w:p w14:paraId="1885AD60">
            <w:pPr>
              <w:widowControl/>
              <w:ind w:firstLine="0" w:firstLineChars="0"/>
              <w:jc w:val="left"/>
              <w:rPr>
                <w:rFonts w:hint="eastAsia" w:ascii="宋体" w:hAnsi="宋体" w:eastAsia="宋体"/>
                <w:sz w:val="21"/>
                <w:szCs w:val="21"/>
              </w:rPr>
            </w:pPr>
            <w:r>
              <w:rPr>
                <w:rFonts w:ascii="宋体" w:hAnsi="宋体" w:eastAsia="宋体"/>
                <w:sz w:val="21"/>
                <w:szCs w:val="21"/>
              </w:rPr>
              <w:t>1</w:t>
            </w:r>
            <w:r>
              <w:rPr>
                <w:rFonts w:hint="eastAsia" w:ascii="宋体" w:hAnsi="宋体" w:eastAsia="宋体"/>
                <w:sz w:val="21"/>
                <w:szCs w:val="21"/>
              </w:rPr>
              <w:t>0</w:t>
            </w:r>
            <w:r>
              <w:rPr>
                <w:rFonts w:ascii="宋体" w:hAnsi="宋体" w:eastAsia="宋体"/>
                <w:sz w:val="21"/>
                <w:szCs w:val="21"/>
              </w:rPr>
              <w:t>、防护等级：</w:t>
            </w:r>
            <w:r>
              <w:rPr>
                <w:rFonts w:hint="eastAsia" w:ascii="宋体" w:hAnsi="宋体" w:eastAsia="宋体"/>
                <w:sz w:val="21"/>
                <w:szCs w:val="21"/>
              </w:rPr>
              <w:t>≥</w:t>
            </w:r>
            <w:r>
              <w:rPr>
                <w:rFonts w:ascii="宋体" w:hAnsi="宋体" w:eastAsia="宋体"/>
                <w:sz w:val="21"/>
                <w:szCs w:val="21"/>
              </w:rPr>
              <w:t>IP55（舱门闭合状态）</w:t>
            </w:r>
          </w:p>
          <w:p w14:paraId="5B590048">
            <w:pPr>
              <w:widowControl/>
              <w:ind w:firstLine="0" w:firstLineChars="0"/>
              <w:jc w:val="left"/>
              <w:rPr>
                <w:rFonts w:hint="eastAsia" w:ascii="宋体" w:hAnsi="宋体" w:eastAsia="宋体"/>
                <w:sz w:val="21"/>
                <w:szCs w:val="21"/>
              </w:rPr>
            </w:pPr>
            <w:r>
              <w:rPr>
                <w:rFonts w:ascii="宋体" w:hAnsi="宋体" w:eastAsia="宋体"/>
                <w:sz w:val="21"/>
                <w:szCs w:val="21"/>
              </w:rPr>
              <w:t>1</w:t>
            </w:r>
            <w:r>
              <w:rPr>
                <w:rFonts w:hint="eastAsia" w:ascii="宋体" w:hAnsi="宋体" w:eastAsia="宋体"/>
                <w:sz w:val="21"/>
                <w:szCs w:val="21"/>
              </w:rPr>
              <w:t>1</w:t>
            </w:r>
            <w:r>
              <w:rPr>
                <w:rFonts w:ascii="宋体" w:hAnsi="宋体" w:eastAsia="宋体"/>
                <w:sz w:val="21"/>
                <w:szCs w:val="21"/>
              </w:rPr>
              <w:t>、数据采集：可远程启停机载设备数据采集，支持有线直连导出数据</w:t>
            </w:r>
          </w:p>
          <w:p w14:paraId="006CC425">
            <w:pPr>
              <w:widowControl/>
              <w:ind w:firstLine="0" w:firstLineChars="0"/>
              <w:jc w:val="left"/>
              <w:rPr>
                <w:rFonts w:hint="eastAsia" w:ascii="宋体" w:hAnsi="宋体" w:eastAsia="宋体"/>
                <w:sz w:val="21"/>
                <w:szCs w:val="21"/>
              </w:rPr>
            </w:pPr>
            <w:r>
              <w:rPr>
                <w:rFonts w:ascii="宋体" w:hAnsi="宋体" w:eastAsia="宋体"/>
                <w:sz w:val="21"/>
                <w:szCs w:val="21"/>
              </w:rPr>
              <w:t>1</w:t>
            </w:r>
            <w:r>
              <w:rPr>
                <w:rFonts w:hint="eastAsia" w:ascii="宋体" w:hAnsi="宋体" w:eastAsia="宋体"/>
                <w:sz w:val="21"/>
                <w:szCs w:val="21"/>
              </w:rPr>
              <w:t>2</w:t>
            </w:r>
            <w:r>
              <w:rPr>
                <w:rFonts w:ascii="宋体" w:hAnsi="宋体" w:eastAsia="宋体"/>
                <w:sz w:val="21"/>
                <w:szCs w:val="21"/>
              </w:rPr>
              <w:t>、存储容量：</w:t>
            </w:r>
            <w:r>
              <w:rPr>
                <w:rFonts w:hint="eastAsia" w:ascii="宋体" w:hAnsi="宋体" w:eastAsia="宋体"/>
                <w:sz w:val="21"/>
                <w:szCs w:val="21"/>
              </w:rPr>
              <w:t>≥5T</w:t>
            </w:r>
          </w:p>
          <w:p w14:paraId="67AD67D3">
            <w:pPr>
              <w:widowControl/>
              <w:ind w:firstLine="0" w:firstLineChars="0"/>
              <w:jc w:val="left"/>
              <w:rPr>
                <w:rFonts w:hint="eastAsia" w:ascii="宋体" w:hAnsi="宋体" w:eastAsia="宋体"/>
                <w:sz w:val="21"/>
                <w:szCs w:val="21"/>
              </w:rPr>
            </w:pPr>
            <w:r>
              <w:rPr>
                <w:rFonts w:ascii="宋体" w:hAnsi="宋体" w:eastAsia="宋体"/>
                <w:sz w:val="21"/>
                <w:szCs w:val="21"/>
              </w:rPr>
              <w:t>1</w:t>
            </w:r>
            <w:r>
              <w:rPr>
                <w:rFonts w:hint="eastAsia" w:ascii="宋体" w:hAnsi="宋体" w:eastAsia="宋体"/>
                <w:sz w:val="21"/>
                <w:szCs w:val="21"/>
              </w:rPr>
              <w:t>3</w:t>
            </w:r>
            <w:r>
              <w:rPr>
                <w:rFonts w:ascii="宋体" w:hAnsi="宋体" w:eastAsia="宋体"/>
                <w:sz w:val="21"/>
                <w:szCs w:val="21"/>
              </w:rPr>
              <w:t>、安全保护：具备过载、短路、防雷保护</w:t>
            </w:r>
          </w:p>
          <w:p w14:paraId="02750630">
            <w:pPr>
              <w:widowControl/>
              <w:ind w:firstLine="0" w:firstLineChars="0"/>
              <w:jc w:val="left"/>
              <w:rPr>
                <w:rFonts w:hint="eastAsia" w:ascii="宋体" w:hAnsi="宋体" w:eastAsia="宋体"/>
                <w:sz w:val="21"/>
                <w:szCs w:val="21"/>
              </w:rPr>
            </w:pPr>
            <w:r>
              <w:rPr>
                <w:rFonts w:ascii="宋体" w:hAnsi="宋体" w:eastAsia="宋体"/>
                <w:sz w:val="21"/>
                <w:szCs w:val="21"/>
              </w:rPr>
              <w:t>1</w:t>
            </w:r>
            <w:r>
              <w:rPr>
                <w:rFonts w:hint="eastAsia" w:ascii="宋体" w:hAnsi="宋体" w:eastAsia="宋体"/>
                <w:sz w:val="21"/>
                <w:szCs w:val="21"/>
              </w:rPr>
              <w:t>4</w:t>
            </w:r>
            <w:r>
              <w:rPr>
                <w:rFonts w:ascii="宋体" w:hAnsi="宋体" w:eastAsia="宋体"/>
                <w:sz w:val="21"/>
                <w:szCs w:val="21"/>
              </w:rPr>
              <w:t>、气象监测：可监测温度、湿度、风向、风速、雨量、水浸</w:t>
            </w:r>
          </w:p>
          <w:p w14:paraId="5E7B1A08">
            <w:pPr>
              <w:widowControl/>
              <w:ind w:firstLine="0" w:firstLineChars="0"/>
              <w:jc w:val="left"/>
              <w:rPr>
                <w:rFonts w:hint="eastAsia" w:ascii="宋体" w:hAnsi="宋体" w:eastAsia="宋体"/>
                <w:sz w:val="21"/>
                <w:szCs w:val="21"/>
              </w:rPr>
            </w:pPr>
            <w:r>
              <w:rPr>
                <w:rFonts w:ascii="宋体" w:hAnsi="宋体" w:eastAsia="宋体"/>
                <w:sz w:val="21"/>
                <w:szCs w:val="21"/>
              </w:rPr>
              <w:t>1</w:t>
            </w:r>
            <w:r>
              <w:rPr>
                <w:rFonts w:hint="eastAsia" w:ascii="宋体" w:hAnsi="宋体" w:eastAsia="宋体"/>
                <w:sz w:val="21"/>
                <w:szCs w:val="21"/>
              </w:rPr>
              <w:t>5</w:t>
            </w:r>
            <w:r>
              <w:rPr>
                <w:rFonts w:ascii="宋体" w:hAnsi="宋体" w:eastAsia="宋体"/>
                <w:sz w:val="21"/>
                <w:szCs w:val="21"/>
              </w:rPr>
              <w:t>、视频监控：配备舱内、舱外固定摄像机</w:t>
            </w:r>
          </w:p>
          <w:p w14:paraId="33A28066">
            <w:pPr>
              <w:widowControl/>
              <w:ind w:firstLine="0" w:firstLineChars="0"/>
              <w:jc w:val="left"/>
              <w:rPr>
                <w:rFonts w:hint="eastAsia" w:ascii="宋体" w:hAnsi="宋体" w:eastAsia="宋体"/>
                <w:sz w:val="21"/>
                <w:szCs w:val="21"/>
              </w:rPr>
            </w:pPr>
            <w:r>
              <w:rPr>
                <w:rFonts w:ascii="宋体" w:hAnsi="宋体" w:eastAsia="宋体"/>
                <w:sz w:val="21"/>
                <w:szCs w:val="21"/>
              </w:rPr>
              <w:t>1</w:t>
            </w:r>
            <w:r>
              <w:rPr>
                <w:rFonts w:hint="eastAsia" w:ascii="宋体" w:hAnsi="宋体" w:eastAsia="宋体"/>
                <w:sz w:val="21"/>
                <w:szCs w:val="21"/>
              </w:rPr>
              <w:t>6</w:t>
            </w:r>
            <w:r>
              <w:rPr>
                <w:rFonts w:ascii="宋体" w:hAnsi="宋体" w:eastAsia="宋体"/>
                <w:sz w:val="21"/>
                <w:szCs w:val="21"/>
              </w:rPr>
              <w:t>、通信气象站：集成温度、风速、雨量传感器、无线数据链基站及天线，可全域监测设备运行状态</w:t>
            </w:r>
          </w:p>
          <w:p w14:paraId="7C248B37">
            <w:pPr>
              <w:widowControl/>
              <w:ind w:firstLine="0" w:firstLineChars="0"/>
              <w:jc w:val="left"/>
              <w:rPr>
                <w:rFonts w:hint="eastAsia" w:ascii="宋体" w:hAnsi="宋体" w:eastAsia="宋体"/>
                <w:sz w:val="21"/>
                <w:szCs w:val="21"/>
              </w:rPr>
            </w:pPr>
            <w:r>
              <w:rPr>
                <w:rFonts w:ascii="宋体" w:hAnsi="宋体" w:eastAsia="宋体"/>
                <w:sz w:val="21"/>
                <w:szCs w:val="21"/>
              </w:rPr>
              <w:t>1</w:t>
            </w:r>
            <w:r>
              <w:rPr>
                <w:rFonts w:hint="eastAsia" w:ascii="宋体" w:hAnsi="宋体" w:eastAsia="宋体"/>
                <w:sz w:val="21"/>
                <w:szCs w:val="21"/>
              </w:rPr>
              <w:t>7</w:t>
            </w:r>
            <w:r>
              <w:rPr>
                <w:rFonts w:ascii="宋体" w:hAnsi="宋体" w:eastAsia="宋体"/>
                <w:sz w:val="21"/>
                <w:szCs w:val="21"/>
              </w:rPr>
              <w:t>、环控系统：配备恒温系统，为无人机、电池提供恒温运行环境</w:t>
            </w:r>
          </w:p>
          <w:p w14:paraId="20FDA5BC">
            <w:pPr>
              <w:widowControl/>
              <w:ind w:firstLine="0" w:firstLineChars="0"/>
              <w:jc w:val="left"/>
              <w:rPr>
                <w:rFonts w:hint="eastAsia" w:ascii="宋体" w:hAnsi="宋体" w:eastAsia="宋体"/>
                <w:sz w:val="21"/>
                <w:szCs w:val="21"/>
              </w:rPr>
            </w:pPr>
            <w:r>
              <w:rPr>
                <w:rFonts w:hint="eastAsia" w:ascii="宋体" w:hAnsi="宋体" w:eastAsia="宋体"/>
                <w:sz w:val="21"/>
                <w:szCs w:val="21"/>
              </w:rPr>
              <w:t>18</w:t>
            </w:r>
            <w:r>
              <w:rPr>
                <w:rFonts w:ascii="宋体" w:hAnsi="宋体" w:eastAsia="宋体"/>
                <w:sz w:val="21"/>
                <w:szCs w:val="21"/>
              </w:rPr>
              <w:t>、自动装置：搭载归中机构、导水设施、自动充电装置</w:t>
            </w:r>
          </w:p>
          <w:p w14:paraId="3DCBCE60">
            <w:pPr>
              <w:widowControl/>
              <w:ind w:firstLine="0" w:firstLineChars="0"/>
              <w:jc w:val="left"/>
              <w:rPr>
                <w:rFonts w:hint="eastAsia" w:ascii="宋体" w:hAnsi="宋体" w:eastAsia="宋体"/>
                <w:sz w:val="21"/>
                <w:szCs w:val="21"/>
              </w:rPr>
            </w:pPr>
            <w:r>
              <w:rPr>
                <w:rFonts w:hint="eastAsia" w:ascii="宋体" w:hAnsi="宋体" w:eastAsia="宋体"/>
                <w:sz w:val="21"/>
                <w:szCs w:val="21"/>
              </w:rPr>
              <w:t>19</w:t>
            </w:r>
            <w:r>
              <w:rPr>
                <w:rFonts w:ascii="宋体" w:hAnsi="宋体" w:eastAsia="宋体"/>
                <w:sz w:val="21"/>
                <w:szCs w:val="21"/>
              </w:rPr>
              <w:t>、消防配置：内置自动灭火系统</w:t>
            </w:r>
          </w:p>
          <w:p w14:paraId="4EB911BD">
            <w:pPr>
              <w:widowControl/>
              <w:ind w:firstLine="0" w:firstLineChars="0"/>
              <w:jc w:val="left"/>
              <w:rPr>
                <w:rFonts w:hint="eastAsia" w:ascii="宋体" w:hAnsi="宋体" w:eastAsia="宋体"/>
                <w:sz w:val="21"/>
                <w:szCs w:val="21"/>
              </w:rPr>
            </w:pPr>
            <w:r>
              <w:rPr>
                <w:rFonts w:hint="eastAsia" w:ascii="宋体" w:hAnsi="宋体" w:eastAsia="宋体"/>
                <w:sz w:val="21"/>
                <w:szCs w:val="21"/>
              </w:rPr>
              <w:t>20</w:t>
            </w:r>
            <w:r>
              <w:rPr>
                <w:rFonts w:ascii="宋体" w:hAnsi="宋体" w:eastAsia="宋体"/>
                <w:sz w:val="21"/>
                <w:szCs w:val="21"/>
              </w:rPr>
              <w:t>、UPS 续航：无市电状态下可连续工作 2 小时，保障无人机返航降落</w:t>
            </w:r>
          </w:p>
          <w:p w14:paraId="2CEA69D6">
            <w:pPr>
              <w:widowControl/>
              <w:ind w:firstLine="0" w:firstLineChars="0"/>
              <w:jc w:val="left"/>
              <w:rPr>
                <w:rFonts w:hint="eastAsia" w:ascii="宋体" w:hAnsi="宋体" w:eastAsia="宋体"/>
                <w:sz w:val="21"/>
                <w:szCs w:val="21"/>
              </w:rPr>
            </w:pPr>
            <w:r>
              <w:rPr>
                <w:rFonts w:hint="eastAsia" w:ascii="宋体" w:hAnsi="宋体" w:eastAsia="宋体"/>
                <w:sz w:val="21"/>
                <w:szCs w:val="21"/>
              </w:rPr>
              <w:t>21</w:t>
            </w:r>
            <w:r>
              <w:rPr>
                <w:rFonts w:ascii="宋体" w:hAnsi="宋体" w:eastAsia="宋体"/>
                <w:sz w:val="21"/>
                <w:szCs w:val="21"/>
              </w:rPr>
              <w:t>、本地控制：支持本地操作控制</w:t>
            </w:r>
          </w:p>
        </w:tc>
        <w:tc>
          <w:tcPr>
            <w:tcW w:w="342"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37EAF8FB">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4C5E7E8A">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r>
      <w:tr w14:paraId="610A3B6D">
        <w:tblPrEx>
          <w:tblCellMar>
            <w:top w:w="0" w:type="dxa"/>
            <w:left w:w="0" w:type="dxa"/>
            <w:bottom w:w="0" w:type="dxa"/>
            <w:right w:w="0" w:type="dxa"/>
          </w:tblCellMar>
        </w:tblPrEx>
        <w:trPr>
          <w:trHeight w:val="1484"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AA146A4">
            <w:pPr>
              <w:widowControl/>
              <w:spacing w:line="276" w:lineRule="auto"/>
              <w:ind w:firstLine="0" w:firstLineChars="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w:t>
            </w:r>
          </w:p>
        </w:tc>
        <w:tc>
          <w:tcPr>
            <w:tcW w:w="113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81FCA1D">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大</w:t>
            </w:r>
            <w:r>
              <w:rPr>
                <w:rFonts w:ascii="宋体" w:hAnsi="宋体" w:eastAsia="宋体" w:cs="宋体"/>
                <w:color w:val="000000"/>
                <w:sz w:val="21"/>
                <w:szCs w:val="21"/>
              </w:rPr>
              <w:t>型自动化机库及配套</w:t>
            </w:r>
          </w:p>
        </w:tc>
        <w:tc>
          <w:tcPr>
            <w:tcW w:w="574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699676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一、垂起固定翼无人机</w:t>
            </w:r>
          </w:p>
          <w:p w14:paraId="06214625">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w:t>
            </w:r>
            <w:r>
              <w:rPr>
                <w:rFonts w:hint="eastAsia" w:ascii="宋体" w:hAnsi="宋体" w:eastAsia="宋体" w:cs="宋体"/>
                <w:color w:val="000000"/>
                <w:sz w:val="21"/>
                <w:szCs w:val="21"/>
              </w:rPr>
              <w:t>▲</w:t>
            </w:r>
            <w:r>
              <w:rPr>
                <w:rFonts w:ascii="宋体" w:hAnsi="宋体" w:eastAsia="宋体" w:cs="宋体"/>
                <w:color w:val="000000"/>
                <w:sz w:val="21"/>
                <w:szCs w:val="21"/>
              </w:rPr>
              <w:t>外观尺寸：长 × 宽 × 高：≤1500×2500×500mm（不含螺旋桨）；≤1500×2500×500mm（含螺旋桨）（提供第三方检测机构出具的带CNAS或CMA标识的检测报告）</w:t>
            </w:r>
          </w:p>
          <w:p w14:paraId="458CBDDA">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2、机身结构：采取模块化设计，免工具组装和快拆</w:t>
            </w:r>
          </w:p>
          <w:p w14:paraId="435C27D1">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w:t>
            </w:r>
            <w:r>
              <w:rPr>
                <w:rFonts w:hint="eastAsia" w:ascii="宋体" w:hAnsi="宋体" w:eastAsia="宋体" w:cs="宋体"/>
                <w:color w:val="000000"/>
                <w:sz w:val="21"/>
                <w:szCs w:val="21"/>
              </w:rPr>
              <w:t>▲</w:t>
            </w:r>
            <w:r>
              <w:rPr>
                <w:rFonts w:ascii="宋体" w:hAnsi="宋体" w:eastAsia="宋体" w:cs="宋体"/>
                <w:color w:val="000000"/>
                <w:sz w:val="21"/>
                <w:szCs w:val="21"/>
              </w:rPr>
              <w:t>重量：≤7.5kg（含智能电池、螺旋桨，不含云台相机）（提供第三方检测机构出具的带CNAS或CMA标识的检测报告）</w:t>
            </w:r>
          </w:p>
          <w:p w14:paraId="41704BA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4、</w:t>
            </w:r>
            <w:r>
              <w:rPr>
                <w:rFonts w:hint="eastAsia" w:ascii="宋体" w:hAnsi="宋体" w:eastAsia="宋体" w:cs="宋体"/>
                <w:color w:val="000000"/>
                <w:sz w:val="21"/>
                <w:szCs w:val="21"/>
              </w:rPr>
              <w:t>▲</w:t>
            </w:r>
            <w:r>
              <w:rPr>
                <w:rFonts w:ascii="宋体" w:hAnsi="宋体" w:eastAsia="宋体" w:cs="宋体"/>
                <w:color w:val="000000"/>
                <w:sz w:val="21"/>
                <w:szCs w:val="21"/>
              </w:rPr>
              <w:t>最大载重：≥2kg（提供第三方检测机构出具的带CNAS或CMA标识的检测报告）</w:t>
            </w:r>
          </w:p>
          <w:p w14:paraId="0C140205">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5、最大起飞重量：≤9.5kg</w:t>
            </w:r>
          </w:p>
          <w:p w14:paraId="769E28F1">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6、</w:t>
            </w:r>
            <w:r>
              <w:rPr>
                <w:rFonts w:hint="eastAsia" w:ascii="宋体" w:hAnsi="宋体" w:eastAsia="宋体" w:cs="宋体"/>
                <w:kern w:val="0"/>
                <w:sz w:val="20"/>
                <w:szCs w:val="20"/>
              </w:rPr>
              <w:t>★</w:t>
            </w:r>
            <w:r>
              <w:rPr>
                <w:rFonts w:ascii="宋体" w:hAnsi="宋体" w:eastAsia="宋体" w:cs="宋体"/>
                <w:color w:val="000000"/>
                <w:sz w:val="21"/>
                <w:szCs w:val="21"/>
              </w:rPr>
              <w:t>续航时间：≥120min</w:t>
            </w:r>
            <w:r>
              <w:rPr>
                <w:rFonts w:hint="eastAsia" w:ascii="宋体" w:hAnsi="宋体" w:eastAsia="宋体" w:cs="宋体"/>
                <w:kern w:val="0"/>
                <w:sz w:val="21"/>
                <w:szCs w:val="21"/>
              </w:rPr>
              <w:t>（投标人提供承诺函）</w:t>
            </w:r>
          </w:p>
          <w:p w14:paraId="2C95AF6C">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7、地面站控制距离：城市环境≥10km，开阔环境≥30km</w:t>
            </w:r>
          </w:p>
          <w:p w14:paraId="05777E1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8、飞行速度：多旋翼飞行模式：0~17m/s；固定翼飞行模式：17m/s~30m/s</w:t>
            </w:r>
          </w:p>
          <w:p w14:paraId="542D8A4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9、最大上升速度：多旋翼飞行模式：≥4m/s；固定翼飞行模式：≥4m/s</w:t>
            </w:r>
          </w:p>
          <w:p w14:paraId="721FAA86">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10、垂直下降速度：多旋翼飞行模式：≥3m/s；固定翼飞行模式：≥3m/s</w:t>
            </w:r>
          </w:p>
          <w:p w14:paraId="43DDCED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11、</w:t>
            </w:r>
            <w:r>
              <w:rPr>
                <w:rFonts w:hint="eastAsia" w:ascii="宋体" w:hAnsi="宋体" w:eastAsia="宋体" w:cs="宋体"/>
                <w:color w:val="000000"/>
                <w:sz w:val="21"/>
                <w:szCs w:val="21"/>
              </w:rPr>
              <w:t>▲</w:t>
            </w:r>
            <w:r>
              <w:rPr>
                <w:rFonts w:ascii="宋体" w:hAnsi="宋体" w:eastAsia="宋体" w:cs="宋体"/>
                <w:color w:val="000000"/>
                <w:sz w:val="21"/>
                <w:szCs w:val="21"/>
              </w:rPr>
              <w:t>最大抗风等级：多旋翼飞行模式：≥12m/s；固定翼飞行模式：≥15m/s（提供第三方检测机构出具的带CNAS或CMA标识的检测报告）</w:t>
            </w:r>
          </w:p>
          <w:p w14:paraId="2F55DB9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12、防护等级：≥IP43</w:t>
            </w:r>
          </w:p>
          <w:p w14:paraId="0BD6DC06">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13、最小盘旋半径：平原地区≤100m</w:t>
            </w:r>
          </w:p>
          <w:p w14:paraId="4CC37851">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14、驱动方式：电驱动，动力电池采用智能锂聚合物电池</w:t>
            </w:r>
          </w:p>
          <w:p w14:paraId="01EBA6BA">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15、平台构型：倾转旋翼垂直起降</w:t>
            </w:r>
          </w:p>
          <w:p w14:paraId="4867E53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16、最大飞行海拔：≥5000m</w:t>
            </w:r>
          </w:p>
          <w:p w14:paraId="54D253CA">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17、展开时间：从装箱状态组装成飞行状态时间≤3min</w:t>
            </w:r>
          </w:p>
          <w:p w14:paraId="23E55C2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18、撤收时间：降落到撤收时间≤3min</w:t>
            </w:r>
          </w:p>
          <w:p w14:paraId="310E047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19、降落精度：偏差≤0.5m</w:t>
            </w:r>
          </w:p>
          <w:p w14:paraId="01CEF699">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20、工作频率：900M：902-928MHz；2.4G：2.400-2.4835GHz；5.1G：5.15-5.25GHz；5.8G：5.725-5.850GHz</w:t>
            </w:r>
          </w:p>
          <w:p w14:paraId="7BD6EE1F">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21、辐射功率：900MHz：FCC＜30dBm；2.4GHz：FCC＜30dBm，SRRC/CE/MIC＜20dBm；5.1GHz：FCC/RCM＜30dBm；5.8GHz：SRRC/FCC＜22dBm，CE＜14dBm</w:t>
            </w:r>
          </w:p>
          <w:p w14:paraId="7F7A1159">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22、悬停精度：垂直：优于 ±0.1m（视觉定位正常工作时）、±0.5m（GNSS 正常工作时）、±0.1m（RTK 定位正常工作时）；水平：优于 ±0.3m（视觉定位正常工作时）、±1.5m（GNSS 正常工作时）、±0.1m（RTK 定位正常工作时）</w:t>
            </w:r>
          </w:p>
          <w:p w14:paraId="08F87E71">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23、RTK 定位精度：多旋翼模式（RTK FIX）：≤1cm+1ppm（水平）、≤1.5cm+1ppm（垂直）；固定翼模式（RTK FIX）：≤3cm+1ppm（水平）、≤3cm+1ppm（垂直）</w:t>
            </w:r>
          </w:p>
          <w:p w14:paraId="40177950">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24、最大旋转角速度：俯仰轴：180°/s；航向轴：60°/s</w:t>
            </w:r>
          </w:p>
          <w:p w14:paraId="5F95B7BF">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25、最大俯仰角度：20°</w:t>
            </w:r>
          </w:p>
          <w:p w14:paraId="0DB6F162">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26、最大横滚角度：35°</w:t>
            </w:r>
          </w:p>
          <w:p w14:paraId="3E56EBA8">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27、电磁兼容：对无人机进行 GB/T 17626.2 中严酷等级 3 级的静电放电抗扰度试验状态正常</w:t>
            </w:r>
          </w:p>
          <w:p w14:paraId="279B6892">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28、</w:t>
            </w:r>
            <w:r>
              <w:rPr>
                <w:rFonts w:hint="eastAsia" w:ascii="宋体" w:hAnsi="宋体" w:eastAsia="宋体" w:cs="宋体"/>
                <w:color w:val="000000"/>
                <w:sz w:val="21"/>
                <w:szCs w:val="21"/>
              </w:rPr>
              <w:t>▲</w:t>
            </w:r>
            <w:r>
              <w:rPr>
                <w:rFonts w:ascii="宋体" w:hAnsi="宋体" w:eastAsia="宋体" w:cs="宋体"/>
                <w:color w:val="000000"/>
                <w:sz w:val="21"/>
                <w:szCs w:val="21"/>
              </w:rPr>
              <w:t>中雨飞行：淋中雨试验（起飞着陆、悬停飞行）状态正常（提供第三方检测机构出具的带CNAS或CMA标识的检测报告）</w:t>
            </w:r>
          </w:p>
          <w:p w14:paraId="10076908">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29、旋翼应急操作时间：≥10min（旋翼电池独立供电（非标准动力配置））</w:t>
            </w:r>
          </w:p>
          <w:p w14:paraId="07551008">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30、可靠性：平均无故障工作时间大于或等于 20 小时</w:t>
            </w:r>
          </w:p>
          <w:p w14:paraId="6554B841">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31、安全性：具备前视毫米波避障雷达功能</w:t>
            </w:r>
          </w:p>
          <w:p w14:paraId="7E2D7C09">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32、环境适应性：在 55℃±2℃至 - 20℃±2℃的温度环境下能正常起飞、悬停、着陆</w:t>
            </w:r>
          </w:p>
          <w:p w14:paraId="31FC7116">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33、GNSS：支持 GPS+GLONASS + 北斗 + 伽利略导航，且关闭其他信号后，仅支持单北斗导航</w:t>
            </w:r>
          </w:p>
          <w:p w14:paraId="3C8B30BC">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34、挂载拆装时间：≤5 秒</w:t>
            </w:r>
          </w:p>
          <w:p w14:paraId="42D96AAC">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35、自检：开机自检≤30 秒；具备一键自检功能，起飞自检时间≤2 分钟</w:t>
            </w:r>
          </w:p>
          <w:p w14:paraId="29DE222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36、移动起降：满足移动作业起降要求，无人机具备移动平台起降能力</w:t>
            </w:r>
          </w:p>
          <w:p w14:paraId="49D1DC15">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37、备份模块：电池、IMU、气压计、指南针、定位系统有备份模块</w:t>
            </w:r>
          </w:p>
          <w:p w14:paraId="12F4F343">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38、抗干扰能力：双冗余 CAN 总线通讯，实时监测舵面和电机状态，保障控制指令通畅，具有防电磁干扰能力</w:t>
            </w:r>
          </w:p>
          <w:p w14:paraId="5A251ED0">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39、飞行能力：具备一键起降、目标锁定、智能跟踪、智能指点飞行</w:t>
            </w:r>
          </w:p>
          <w:p w14:paraId="5D1C0AB8">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40、飞行安全：具备低电自动返航、数传信号中断自动返航等安全飞行控制能力</w:t>
            </w:r>
          </w:p>
          <w:p w14:paraId="17D42A09">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41、AI 能力：具备 AI 故障预判能力，全系统自检及时发现隐患</w:t>
            </w:r>
          </w:p>
          <w:p w14:paraId="415D520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42、姿态切换：固定翼飞行状态中，受到复杂环境等影响，飞控将自动切换到多旋翼模式进行辅助飞行</w:t>
            </w:r>
          </w:p>
          <w:p w14:paraId="3421415F">
            <w:pPr>
              <w:widowControl/>
              <w:spacing w:line="276" w:lineRule="auto"/>
              <w:ind w:firstLine="0" w:firstLineChars="0"/>
              <w:jc w:val="left"/>
              <w:textAlignment w:val="center"/>
              <w:rPr>
                <w:rFonts w:hint="eastAsia" w:ascii="宋体" w:hAnsi="宋体" w:eastAsia="宋体" w:cs="宋体"/>
                <w:color w:val="000000"/>
                <w:sz w:val="21"/>
                <w:szCs w:val="21"/>
              </w:rPr>
            </w:pPr>
          </w:p>
          <w:p w14:paraId="7AD59706">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二、多光云台</w:t>
            </w:r>
          </w:p>
          <w:p w14:paraId="6F0FC640">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1、重量：≤850g</w:t>
            </w:r>
          </w:p>
          <w:p w14:paraId="4B3575D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w:t>
            </w:r>
            <w:r>
              <w:rPr>
                <w:rFonts w:hint="eastAsia" w:ascii="宋体" w:hAnsi="宋体" w:eastAsia="宋体" w:cs="宋体"/>
                <w:color w:val="000000"/>
                <w:sz w:val="21"/>
                <w:szCs w:val="21"/>
              </w:rPr>
              <w:t>▲</w:t>
            </w:r>
            <w:r>
              <w:rPr>
                <w:rFonts w:ascii="宋体" w:hAnsi="宋体" w:eastAsia="宋体" w:cs="宋体"/>
                <w:color w:val="000000"/>
                <w:sz w:val="21"/>
                <w:szCs w:val="21"/>
              </w:rPr>
              <w:t>尺寸：≤160×100×180mm（提供第三方检测机构出具的带CNAS或CMA标识的检测报告）</w:t>
            </w:r>
          </w:p>
          <w:p w14:paraId="5CF79FC9">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3、防护等级：≥IP43</w:t>
            </w:r>
          </w:p>
          <w:p w14:paraId="22B9CF91">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4、稳定系统：三轴增稳机械云台</w:t>
            </w:r>
          </w:p>
          <w:p w14:paraId="4D5CB695">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5、角度抖动量：≤0.005°</w:t>
            </w:r>
          </w:p>
          <w:p w14:paraId="78D541D9">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6、可控转动范围：航向：≥±270°；俯仰：≥0° 至 - 90°</w:t>
            </w:r>
          </w:p>
          <w:p w14:paraId="284C2C3A">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7、结构设计范围：航向：≥±300°；横滚：≥-60° 至 + 90°；俯仰：≥+45° 至 - 135°</w:t>
            </w:r>
          </w:p>
          <w:p w14:paraId="0D49736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8、变焦相机传感器：≥1/2.5” CMOS，有效像素≥800 万</w:t>
            </w:r>
          </w:p>
          <w:p w14:paraId="55DE0BF1">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9、变焦相机镜头：光学变焦≥20 倍，数码变焦≥10 倍，混合变焦≥200 倍</w:t>
            </w:r>
          </w:p>
          <w:p w14:paraId="427CF33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10、变焦相机照片 / 视频分辨率：≥3840×2160</w:t>
            </w:r>
          </w:p>
          <w:p w14:paraId="4E8C716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11、广角相机传感器：≥1/2” CMOS，有效像素≥1200 万</w:t>
            </w:r>
          </w:p>
          <w:p w14:paraId="7CE875FA">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12、广角相机照片 / 视频分辨率：≥3840×2160</w:t>
            </w:r>
          </w:p>
          <w:p w14:paraId="7D030309">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13、热成像相机传感器：氧化钒非制冷红外焦平面探测器，有效像素≥30 万</w:t>
            </w:r>
          </w:p>
          <w:p w14:paraId="77985CF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14、热成像相机镜头：数码变焦≥8 倍</w:t>
            </w:r>
          </w:p>
          <w:p w14:paraId="2B344555">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15、热成像相机照片 / 视频分辨率：≥640×512</w:t>
            </w:r>
          </w:p>
          <w:p w14:paraId="0F548541">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16、热成像相机测温精度：优于 ±3℃或读数的 ±3%</w:t>
            </w:r>
          </w:p>
          <w:p w14:paraId="3888CB02">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17、热成像相机测温范围：高增益：-20℃至 + 150℃；低增益：0℃至 + 550℃</w:t>
            </w:r>
          </w:p>
          <w:p w14:paraId="72E0CEA2">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18、激光测距仪测量范围：10-1200m</w:t>
            </w:r>
          </w:p>
          <w:p w14:paraId="356424EC">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19、激光测距仪测量精度：优于 ±1m</w:t>
            </w:r>
          </w:p>
          <w:p w14:paraId="5DE9462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20、联动拍摄：支持变焦、广角、红外相机同时拍照 / 录像，支持广角镜头大范围搜索目标后切换变焦云台重点监察</w:t>
            </w:r>
          </w:p>
          <w:p w14:paraId="59362162">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21、工作模式：具备云台锁定工作模式</w:t>
            </w:r>
          </w:p>
          <w:p w14:paraId="0CABA22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22、</w:t>
            </w:r>
            <w:r>
              <w:rPr>
                <w:rFonts w:hint="eastAsia" w:ascii="宋体" w:hAnsi="宋体" w:eastAsia="宋体" w:cs="宋体"/>
                <w:color w:val="000000"/>
                <w:sz w:val="21"/>
                <w:szCs w:val="21"/>
              </w:rPr>
              <w:t>▲</w:t>
            </w:r>
            <w:r>
              <w:rPr>
                <w:rFonts w:ascii="宋体" w:hAnsi="宋体" w:eastAsia="宋体" w:cs="宋体"/>
                <w:color w:val="000000"/>
                <w:sz w:val="21"/>
                <w:szCs w:val="21"/>
              </w:rPr>
              <w:t>智能识别：可见光有效识别车辆距离≥1000m，有效识别人体轮廓≥500m；红外有效识别车辆距离≥500m，有效识别人体轮廓≥130m（提供第三方检测机构出具的带CNAS或CMA标识的检测报告）</w:t>
            </w:r>
          </w:p>
          <w:p w14:paraId="2F78FEE0">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23、移动侦测：目标定位精度≤20m，具备对移动目标进行测速的功能</w:t>
            </w:r>
          </w:p>
          <w:p w14:paraId="4FD69424">
            <w:pPr>
              <w:widowControl/>
              <w:spacing w:line="276" w:lineRule="auto"/>
              <w:ind w:firstLine="0" w:firstLineChars="0"/>
              <w:jc w:val="left"/>
              <w:textAlignment w:val="center"/>
              <w:rPr>
                <w:rFonts w:hint="eastAsia" w:ascii="宋体" w:hAnsi="宋体" w:eastAsia="宋体" w:cs="宋体"/>
                <w:color w:val="000000"/>
                <w:sz w:val="21"/>
                <w:szCs w:val="21"/>
              </w:rPr>
            </w:pPr>
          </w:p>
          <w:p w14:paraId="75FE0ED4">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三、地面站</w:t>
            </w:r>
          </w:p>
          <w:p w14:paraId="2E8BCE7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1、外观尺寸：天线折叠：≤320×250×90mm；天线展开：≤320×400×90mm</w:t>
            </w:r>
          </w:p>
          <w:p w14:paraId="447D1B13">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2、屏幕尺寸：≥9.7 英寸</w:t>
            </w:r>
          </w:p>
          <w:p w14:paraId="0E84924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3、屏幕亮度：≥780nit</w:t>
            </w:r>
          </w:p>
          <w:p w14:paraId="0EED6B1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4、GNSS：GPS+GLONASS + 北斗 + 伽利略</w:t>
            </w:r>
          </w:p>
          <w:p w14:paraId="45331AE4">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5、工作环境温度：-20℃至 + 40℃</w:t>
            </w:r>
          </w:p>
          <w:p w14:paraId="549B711F">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6、屏幕分辨率：≥2048×1536</w:t>
            </w:r>
          </w:p>
          <w:p w14:paraId="6A4F995C">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7、裸机重量：≤1987g</w:t>
            </w:r>
          </w:p>
          <w:p w14:paraId="0ABB5C3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8、工作频率：2.4Ghz-5.8Ghz；支持 900M：902-928MHz；2.4G：2.400-2.4835GHz；5.1G：5.15-5.25GHz；5.8G：5.725-5.850GHz</w:t>
            </w:r>
          </w:p>
          <w:p w14:paraId="50CDF5EF">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9、</w:t>
            </w:r>
            <w:r>
              <w:rPr>
                <w:rFonts w:hint="eastAsia" w:ascii="宋体" w:hAnsi="宋体" w:eastAsia="宋体" w:cs="宋体"/>
                <w:color w:val="000000"/>
                <w:sz w:val="21"/>
                <w:szCs w:val="21"/>
              </w:rPr>
              <w:t>▲</w:t>
            </w:r>
            <w:r>
              <w:rPr>
                <w:rFonts w:ascii="宋体" w:hAnsi="宋体" w:eastAsia="宋体" w:cs="宋体"/>
                <w:color w:val="000000"/>
                <w:sz w:val="21"/>
                <w:szCs w:val="21"/>
              </w:rPr>
              <w:t>续航时间：最大亮度：≥3 小时；50% 亮度：≥4.5 小时（提供第三方检测机构出具的带CNAS或CMA标识的检测报告）</w:t>
            </w:r>
          </w:p>
          <w:p w14:paraId="0860BC00">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10、图传距离：FCC：≥10km；CE/MIC：≥5km；SRRC：≥5km</w:t>
            </w:r>
          </w:p>
          <w:p w14:paraId="02190E3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11、Wi-Fi 功能：Wi-Fi 标准：802.11a/b/g/n/ac；工作频率：2.400-2.4835GHz、5.150-5.250GHz、5.650-5.755GHz、5.725-5.850GHz</w:t>
            </w:r>
          </w:p>
          <w:p w14:paraId="16440385">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12、防护等级：IP45</w:t>
            </w:r>
          </w:p>
          <w:p w14:paraId="4A47B220">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13、视频输出接口：HDMI 接口</w:t>
            </w:r>
          </w:p>
          <w:p w14:paraId="3B8957E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14、电池类型：锂聚合物电池，Li-Po 3S</w:t>
            </w:r>
          </w:p>
          <w:p w14:paraId="1EFF2B4A">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15、电池容量：≥8000mAh</w:t>
            </w:r>
          </w:p>
          <w:p w14:paraId="3E2C89F4">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16、电池电压：≥11V</w:t>
            </w:r>
          </w:p>
          <w:p w14:paraId="4DB527D6">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17、电池能量：≥90Wh</w:t>
            </w:r>
          </w:p>
          <w:p w14:paraId="39C6208C">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18、充电时间：≤100min</w:t>
            </w:r>
          </w:p>
          <w:p w14:paraId="00DB729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19、充电环境温度：0℃至 + 45℃</w:t>
            </w:r>
          </w:p>
          <w:p w14:paraId="7DC84C51">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20、扩展接口：具备 USB/TYP-c 接口拓展功能</w:t>
            </w:r>
          </w:p>
          <w:p w14:paraId="0824BF7C">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21、USB-A 接口：供电：5V/500mA；数据：USB 2.0</w:t>
            </w:r>
          </w:p>
          <w:p w14:paraId="04D2A109">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22、存储空间：≥256GB，支持 TF 扩展</w:t>
            </w:r>
          </w:p>
          <w:p w14:paraId="1F789776">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23、航点航线规划：具备航点航线规划（任务规划：可以添加航点任务、多边形任务、矩形任务，结合一键起降，实现全自主飞行）</w:t>
            </w:r>
          </w:p>
          <w:p w14:paraId="70573E64">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24、指点飞行：具备指点飞行功能（在界面上框选标，自主飞行所选目标位置，并以目标为中心环绕飞行，全面采集其信息）</w:t>
            </w:r>
          </w:p>
          <w:p w14:paraId="5E0168D4">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25、飞行历史记录：具备飞行历史记录（可搜索历史任务，便于管理，编辑历史任务）</w:t>
            </w:r>
          </w:p>
          <w:p w14:paraId="771F796F">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26、拓展能力：具备一定的拓展能力，支持开放 API 接口接入三方平台，可实现数据实时回传、状态实时监测、视频实时传输等功能</w:t>
            </w:r>
          </w:p>
          <w:p w14:paraId="0D829129">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27、快速任务：具备快速任务功能（可以设置临时目标点，随时插入快速任务，转换作业目标或场地，极速应对突发情况）</w:t>
            </w:r>
          </w:p>
          <w:p w14:paraId="650792D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28、数据显示：可综合显示飞行参数和任务参数，包括高度、速度、航向、飞行航迹坐标、飞行姿态、剩余电量、飞行时间等</w:t>
            </w:r>
          </w:p>
          <w:p w14:paraId="6E99C7E7">
            <w:pPr>
              <w:pStyle w:val="2"/>
              <w:ind w:left="439" w:hanging="276"/>
            </w:pPr>
          </w:p>
          <w:p w14:paraId="1C96DBC9">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四、基站</w:t>
            </w:r>
          </w:p>
          <w:p w14:paraId="627A7307">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1、卫星信号：支持 GPS、BeiDou、GLONASS、Galileo 卫星信号接收</w:t>
            </w:r>
          </w:p>
          <w:p w14:paraId="0E9BB88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2、初始可靠性：＞99.9%</w:t>
            </w:r>
          </w:p>
          <w:p w14:paraId="0703A702">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3、定位启动时长：冷启动＜40s，热启动＜10s，重捕获＜1s</w:t>
            </w:r>
          </w:p>
          <w:p w14:paraId="322AAA87">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4、差分格式：支持 RTCM 2.X/3.X 差分数据传输格式</w:t>
            </w:r>
          </w:p>
          <w:p w14:paraId="29DCDCBA">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5、功耗：≤7.5W</w:t>
            </w:r>
          </w:p>
          <w:p w14:paraId="190CA3B0">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6、供电电源：5-20V DC</w:t>
            </w:r>
          </w:p>
          <w:p w14:paraId="14F061C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7、工作时长：≥7.5 小时</w:t>
            </w:r>
          </w:p>
          <w:p w14:paraId="64E46DD4">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8、工作温度：-20℃~50℃</w:t>
            </w:r>
          </w:p>
          <w:p w14:paraId="2A5649F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9、数据链路：支持图传链路及 WiFi</w:t>
            </w:r>
          </w:p>
          <w:p w14:paraId="4B613EEF">
            <w:pPr>
              <w:pStyle w:val="2"/>
              <w:ind w:left="439" w:hanging="276"/>
            </w:pPr>
          </w:p>
          <w:p w14:paraId="6CB8305C">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五、跟踪天线</w:t>
            </w:r>
          </w:p>
          <w:p w14:paraId="71243BF2">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1、尺寸：≤450mm×400mm×550mm（RTK 收回）；≤450mm×1000mm×1000mm（RTK 展开）</w:t>
            </w:r>
          </w:p>
          <w:p w14:paraId="161C9CF1">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2、防护等级：≥IP64</w:t>
            </w:r>
          </w:p>
          <w:p w14:paraId="62BD7DED">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3、续航时间：≥15h</w:t>
            </w:r>
          </w:p>
          <w:p w14:paraId="1A94C5AA">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4、重量：≤15kg</w:t>
            </w:r>
          </w:p>
          <w:p w14:paraId="586FD90F">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5、传输距离：≥80km</w:t>
            </w:r>
          </w:p>
          <w:p w14:paraId="55E6E72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6、跟踪性能：支持全向高精度跟踪</w:t>
            </w:r>
          </w:p>
          <w:p w14:paraId="163F4AD8">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7、工作温度：-20℃~+40℃</w:t>
            </w:r>
          </w:p>
          <w:p w14:paraId="1526FB5E">
            <w:pPr>
              <w:widowControl/>
              <w:spacing w:line="276" w:lineRule="auto"/>
              <w:ind w:firstLine="0" w:firstLineChars="0"/>
              <w:jc w:val="left"/>
              <w:textAlignment w:val="center"/>
              <w:rPr>
                <w:rFonts w:hint="eastAsia" w:ascii="宋体" w:hAnsi="宋体" w:eastAsia="宋体" w:cs="宋体"/>
                <w:color w:val="000000"/>
                <w:sz w:val="21"/>
                <w:szCs w:val="21"/>
              </w:rPr>
            </w:pPr>
          </w:p>
          <w:p w14:paraId="1385EFC9">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六、大型自动化机库</w:t>
            </w:r>
          </w:p>
          <w:p w14:paraId="144CB30F">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w:t>
            </w:r>
            <w:r>
              <w:rPr>
                <w:rFonts w:hint="eastAsia" w:ascii="宋体" w:hAnsi="宋体" w:eastAsia="宋体" w:cs="宋体"/>
                <w:color w:val="000000"/>
                <w:sz w:val="21"/>
                <w:szCs w:val="21"/>
              </w:rPr>
              <w:t>▲</w:t>
            </w:r>
            <w:r>
              <w:rPr>
                <w:rFonts w:ascii="宋体" w:hAnsi="宋体" w:eastAsia="宋体" w:cs="宋体"/>
                <w:color w:val="000000"/>
                <w:sz w:val="21"/>
                <w:szCs w:val="21"/>
              </w:rPr>
              <w:t>机巢尺寸（长 × 宽 × 高）：舱门闭合（含轮子、不含气象站）≤2200mm×2700mm×1500mm；舱门开启（含轮子、不含气象站）≤4500mm×2700mm×1500mm；舱门闭合（含轮子、含气象站）≤2200mm×2700mm×3900mm；舱门开启（含轮子、含气象站）≤4500mm×2700mm×3900mm（提供第三方检测机构出具的带CNAS或CMA标识的检测报告）</w:t>
            </w:r>
          </w:p>
          <w:p w14:paraId="5D7E1366">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2、待机功率：≤300W（机巢在待机、不开启空调、未对电池充电状态下）</w:t>
            </w:r>
          </w:p>
          <w:p w14:paraId="48BB1ECC">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3、峰值功率：≤2200W（机巢在模拟循环作业流程状态下，包括机巢一键备飞备降、4 块电池充电且空调开启状态）</w:t>
            </w:r>
          </w:p>
          <w:p w14:paraId="4D9963C8">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4、</w:t>
            </w:r>
            <w:r>
              <w:rPr>
                <w:rFonts w:hint="eastAsia" w:ascii="宋体" w:hAnsi="宋体" w:eastAsia="宋体" w:cs="宋体"/>
                <w:color w:val="000000"/>
                <w:sz w:val="21"/>
                <w:szCs w:val="21"/>
              </w:rPr>
              <w:t>▲</w:t>
            </w:r>
            <w:r>
              <w:rPr>
                <w:rFonts w:ascii="宋体" w:hAnsi="宋体" w:eastAsia="宋体" w:cs="宋体"/>
                <w:color w:val="000000"/>
                <w:sz w:val="21"/>
                <w:szCs w:val="21"/>
              </w:rPr>
              <w:t>机巢重量：≤600kg（提供第三方检测机构出具的带CNAS或CMA标识的检测报告）</w:t>
            </w:r>
          </w:p>
          <w:p w14:paraId="1095CA2C">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5、机身材质：304 不锈钢 + 铝合金 + 复合材料</w:t>
            </w:r>
          </w:p>
          <w:p w14:paraId="5D79BDA5">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6、工作环境：-35℃至 + 50℃，＜95% RH</w:t>
            </w:r>
          </w:p>
          <w:p w14:paraId="226D3D9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7、IP 防护等级：≥IP54</w:t>
            </w:r>
          </w:p>
          <w:p w14:paraId="53E134E8">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8、最大抗风速度：≥12m/s</w:t>
            </w:r>
          </w:p>
          <w:p w14:paraId="01B77AB5">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9、最大工作海拔高度：≥6000m</w:t>
            </w:r>
          </w:p>
          <w:p w14:paraId="76EB1DBC">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10、最大图传距离：≥30km</w:t>
            </w:r>
          </w:p>
          <w:p w14:paraId="34E0A70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11、环境监测：支持检测巢外风速、风向、雨量、气压、温湿度及巢内温湿度</w:t>
            </w:r>
          </w:p>
          <w:p w14:paraId="29751136">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12、视频监控：具备飞行器摄像头、巢内 / 巢外实时监控；支持设置视频分辨率及帧率分别为 1080P@25fps 和 720P@25fps</w:t>
            </w:r>
          </w:p>
          <w:p w14:paraId="0B2211A6">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13、空调系统：具备内置空调系统</w:t>
            </w:r>
          </w:p>
          <w:p w14:paraId="350BB64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14、舱门开启方式：支持侧开门</w:t>
            </w:r>
          </w:p>
          <w:p w14:paraId="1D5D1C70">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15、无人机补电方式：支持自动换电功能</w:t>
            </w:r>
          </w:p>
          <w:p w14:paraId="1818A937">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16、舱内电池数量：配备≥6 块智能电池（含机身电池）</w:t>
            </w:r>
          </w:p>
          <w:p w14:paraId="0520631F">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17、供电要求：支持 AC 220V 50Hz 输入，防水航空插头快接设计；支持额外增加变压模块，110V 交流输入</w:t>
            </w:r>
          </w:p>
          <w:p w14:paraId="46876252">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18、抗电强度：试验电压 1500Vac、50Hz，试验时间 1min，试验过程中应无击穿、闪烁等破坏性放电现象，试验后通电检查，机巢应能正常工作</w:t>
            </w:r>
          </w:p>
          <w:p w14:paraId="52D3B742">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19、绝缘电阻：试验电压 500Vdc，试验时间 1min，绝缘电阻测量值应不小于 0.5MΩ</w:t>
            </w:r>
          </w:p>
          <w:p w14:paraId="1F2A4628">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20、接地电阻：试验电流 10A，试验时间 60s，应不大于 100mΩ</w:t>
            </w:r>
          </w:p>
          <w:p w14:paraId="33D22494">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21、泄露电流：在常温环境下，给机巢正常供电，分别测量在电源输入 L、N 与连接金属箔的易触及金属部件（金属结构件）之间泄漏电流，应不超过 3.5mA</w:t>
            </w:r>
          </w:p>
          <w:p w14:paraId="1FD21683">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22、浪涌保护：具备浪涌保护功能，能够承受的瞬时最大电流≥40kA</w:t>
            </w:r>
          </w:p>
          <w:p w14:paraId="59B663C6">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23、用电安全防护：具备过载保护与漏电保护功能（电流阈值 30mA）</w:t>
            </w:r>
          </w:p>
          <w:p w14:paraId="451E8802">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24、视频监控功能：机巢应具备对巢内和巢外进行视频监控功能，应支持设置视频分辨率及帧率分别为1080P@25fps和</w:t>
            </w:r>
            <w:r>
              <w:rPr>
                <w:rFonts w:ascii="宋体" w:hAnsi="宋体" w:eastAsia="宋体" w:cs="宋体"/>
                <w:color w:val="000000"/>
                <w:sz w:val="21"/>
                <w:szCs w:val="21"/>
              </w:rPr>
              <w:t>720P@25fps</w:t>
            </w:r>
          </w:p>
          <w:p w14:paraId="3F548FD7">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w:t>
            </w:r>
            <w:r>
              <w:rPr>
                <w:rFonts w:hint="eastAsia" w:ascii="宋体" w:hAnsi="宋体" w:eastAsia="宋体" w:cs="宋体"/>
                <w:color w:val="000000"/>
                <w:sz w:val="21"/>
                <w:szCs w:val="21"/>
              </w:rPr>
              <w:t>5</w:t>
            </w:r>
            <w:r>
              <w:rPr>
                <w:rFonts w:ascii="宋体" w:hAnsi="宋体" w:eastAsia="宋体" w:cs="宋体"/>
                <w:color w:val="000000"/>
                <w:sz w:val="21"/>
                <w:szCs w:val="21"/>
              </w:rPr>
              <w:t>、无人机管理和控制功能：具备对无人机起飞、飞行任务、下降进行管理和控制的功能</w:t>
            </w:r>
          </w:p>
          <w:p w14:paraId="2A1F0027">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w:t>
            </w:r>
            <w:r>
              <w:rPr>
                <w:rFonts w:hint="eastAsia" w:ascii="宋体" w:hAnsi="宋体" w:eastAsia="宋体" w:cs="宋体"/>
                <w:color w:val="000000"/>
                <w:sz w:val="21"/>
                <w:szCs w:val="21"/>
              </w:rPr>
              <w:t>6</w:t>
            </w:r>
            <w:r>
              <w:rPr>
                <w:rFonts w:ascii="宋体" w:hAnsi="宋体" w:eastAsia="宋体" w:cs="宋体"/>
                <w:color w:val="000000"/>
                <w:sz w:val="21"/>
                <w:szCs w:val="21"/>
              </w:rPr>
              <w:t>、备用电源：机巢应具备备用电源</w:t>
            </w:r>
          </w:p>
          <w:p w14:paraId="025591DE">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w:t>
            </w:r>
            <w:r>
              <w:rPr>
                <w:rFonts w:hint="eastAsia" w:ascii="宋体" w:hAnsi="宋体" w:eastAsia="宋体" w:cs="宋体"/>
                <w:color w:val="000000"/>
                <w:sz w:val="21"/>
                <w:szCs w:val="21"/>
              </w:rPr>
              <w:t>7</w:t>
            </w:r>
            <w:r>
              <w:rPr>
                <w:rFonts w:ascii="宋体" w:hAnsi="宋体" w:eastAsia="宋体" w:cs="宋体"/>
                <w:color w:val="000000"/>
                <w:sz w:val="21"/>
                <w:szCs w:val="21"/>
              </w:rPr>
              <w:t>、网络接入：支持以太网、光纤、无线网络、蜂窝网络（4G/5G）等网络接入方式</w:t>
            </w:r>
          </w:p>
          <w:p w14:paraId="27C99FE2">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w:t>
            </w:r>
            <w:r>
              <w:rPr>
                <w:rFonts w:hint="eastAsia" w:ascii="宋体" w:hAnsi="宋体" w:eastAsia="宋体" w:cs="宋体"/>
                <w:color w:val="000000"/>
                <w:sz w:val="21"/>
                <w:szCs w:val="21"/>
              </w:rPr>
              <w:t>8</w:t>
            </w:r>
            <w:r>
              <w:rPr>
                <w:rFonts w:ascii="宋体" w:hAnsi="宋体" w:eastAsia="宋体" w:cs="宋体"/>
                <w:color w:val="000000"/>
                <w:sz w:val="21"/>
                <w:szCs w:val="21"/>
              </w:rPr>
              <w:t>、工作频率：支持 832-862MHz；900-930MHz；1.420-1.450GHz；2.400-2.4835GHz；5.15-5.25GHz；5.725-5.850GHz</w:t>
            </w:r>
          </w:p>
          <w:p w14:paraId="7D075759">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2</w:t>
            </w:r>
            <w:r>
              <w:rPr>
                <w:rFonts w:hint="eastAsia" w:ascii="宋体" w:hAnsi="宋体" w:eastAsia="宋体" w:cs="宋体"/>
                <w:color w:val="000000"/>
                <w:sz w:val="21"/>
                <w:szCs w:val="21"/>
              </w:rPr>
              <w:t>9</w:t>
            </w:r>
            <w:r>
              <w:rPr>
                <w:rFonts w:ascii="宋体" w:hAnsi="宋体" w:eastAsia="宋体" w:cs="宋体"/>
                <w:color w:val="000000"/>
                <w:sz w:val="21"/>
                <w:szCs w:val="21"/>
              </w:rPr>
              <w:t>、等效全向辐射功率：832-862MHz：≤33dBm；900-930MHz：≤33dBm；1.420-1.450GHz：≤30dBm；2.400-2.4835GHz：≤30dBm；5.15-5.25GHz：≤30dBm；5.725-5.850GHz：≤30dBm</w:t>
            </w:r>
          </w:p>
          <w:p w14:paraId="1DAEF5A8">
            <w:pPr>
              <w:widowControl/>
              <w:spacing w:line="276"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30</w:t>
            </w:r>
            <w:r>
              <w:rPr>
                <w:rFonts w:ascii="宋体" w:hAnsi="宋体" w:eastAsia="宋体" w:cs="宋体"/>
                <w:color w:val="000000"/>
                <w:sz w:val="21"/>
                <w:szCs w:val="21"/>
              </w:rPr>
              <w:t>、降落定位：支持 RTK（无人机需配备 RTK）、视觉识别等定位方式</w:t>
            </w:r>
          </w:p>
          <w:p w14:paraId="5C12FF7A">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w:t>
            </w:r>
            <w:r>
              <w:rPr>
                <w:rFonts w:hint="eastAsia" w:ascii="宋体" w:hAnsi="宋体" w:eastAsia="宋体" w:cs="宋体"/>
                <w:color w:val="000000"/>
                <w:sz w:val="21"/>
                <w:szCs w:val="21"/>
              </w:rPr>
              <w:t>1</w:t>
            </w:r>
            <w:r>
              <w:rPr>
                <w:rFonts w:ascii="宋体" w:hAnsi="宋体" w:eastAsia="宋体" w:cs="宋体"/>
                <w:color w:val="000000"/>
                <w:sz w:val="21"/>
                <w:szCs w:val="21"/>
              </w:rPr>
              <w:t>、定制功能：系统支持二次开发功能，具备一定的定制能力，且能够开放 API 接入三方平台</w:t>
            </w:r>
          </w:p>
          <w:p w14:paraId="5FDFD62B">
            <w:pPr>
              <w:widowControl/>
              <w:spacing w:line="276" w:lineRule="auto"/>
              <w:ind w:firstLine="0" w:firstLineChars="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3</w:t>
            </w:r>
            <w:r>
              <w:rPr>
                <w:rFonts w:hint="eastAsia" w:ascii="宋体" w:hAnsi="宋体" w:eastAsia="宋体" w:cs="宋体"/>
                <w:color w:val="000000"/>
                <w:sz w:val="21"/>
                <w:szCs w:val="21"/>
              </w:rPr>
              <w:t>2</w:t>
            </w:r>
            <w:r>
              <w:rPr>
                <w:rFonts w:ascii="宋体" w:hAnsi="宋体" w:eastAsia="宋体" w:cs="宋体"/>
                <w:color w:val="000000"/>
                <w:sz w:val="21"/>
                <w:szCs w:val="21"/>
              </w:rPr>
              <w:t>、管理功能：系统具备综合实况总览，设备、人员管理，巡检计划、数据存储、系统功能管理等功能</w:t>
            </w:r>
          </w:p>
        </w:tc>
        <w:tc>
          <w:tcPr>
            <w:tcW w:w="342"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29280A36">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001C8440">
            <w:pPr>
              <w:widowControl/>
              <w:spacing w:line="276"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bookmarkEnd w:id="6"/>
    </w:tbl>
    <w:p w14:paraId="6096BCEF">
      <w:pPr>
        <w:pStyle w:val="5"/>
        <w:ind w:firstLine="562"/>
      </w:pPr>
      <w:r>
        <w:rPr>
          <w:rFonts w:hint="eastAsia"/>
        </w:rPr>
        <w:t>4.2.2</w:t>
      </w:r>
      <w:r>
        <w:t>系统集成及安装服务</w:t>
      </w:r>
    </w:p>
    <w:tbl>
      <w:tblPr>
        <w:tblStyle w:val="16"/>
        <w:tblW w:w="8505" w:type="dxa"/>
        <w:jc w:val="center"/>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652"/>
        <w:gridCol w:w="1029"/>
        <w:gridCol w:w="5517"/>
        <w:gridCol w:w="653"/>
        <w:gridCol w:w="654"/>
      </w:tblGrid>
      <w:tr w14:paraId="06232E16">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PrEx>
        <w:trPr>
          <w:trHeight w:val="312" w:hRule="atLeast"/>
          <w:jc w:val="center"/>
        </w:trPr>
        <w:tc>
          <w:tcPr>
            <w:tcW w:w="652" w:type="dxa"/>
            <w:tcBorders>
              <w:top w:val="single" w:color="000000" w:sz="2" w:space="0"/>
              <w:left w:val="single" w:color="000000" w:sz="2" w:space="0"/>
              <w:bottom w:val="single" w:color="000000" w:sz="4" w:space="0"/>
              <w:right w:val="single" w:color="000000" w:sz="4" w:space="0"/>
            </w:tcBorders>
            <w:tcMar>
              <w:top w:w="12" w:type="dxa"/>
              <w:left w:w="12" w:type="dxa"/>
              <w:bottom w:w="0" w:type="dxa"/>
              <w:right w:w="12" w:type="dxa"/>
            </w:tcMar>
            <w:vAlign w:val="center"/>
          </w:tcPr>
          <w:p w14:paraId="11DAFA1D">
            <w:pPr>
              <w:widowControl/>
              <w:spacing w:line="276" w:lineRule="auto"/>
              <w:ind w:firstLine="0" w:firstLineChars="0"/>
              <w:jc w:val="center"/>
              <w:textAlignment w:val="center"/>
              <w:rPr>
                <w:rFonts w:hint="eastAsia" w:ascii="宋体" w:hAnsi="宋体" w:eastAsia="宋体" w:cs="宋体"/>
                <w:b/>
                <w:color w:val="000000"/>
                <w:sz w:val="21"/>
                <w:szCs w:val="21"/>
              </w:rPr>
            </w:pPr>
            <w:r>
              <w:rPr>
                <w:rFonts w:ascii="宋体" w:hAnsi="宋体" w:eastAsia="宋体" w:cs="宋体"/>
                <w:b/>
                <w:color w:val="000000"/>
                <w:kern w:val="0"/>
                <w:sz w:val="21"/>
                <w:szCs w:val="21"/>
                <w:lang w:bidi="ar"/>
              </w:rPr>
              <w:t>序号</w:t>
            </w:r>
          </w:p>
        </w:tc>
        <w:tc>
          <w:tcPr>
            <w:tcW w:w="1029" w:type="dxa"/>
            <w:tcBorders>
              <w:top w:val="single" w:color="000000" w:sz="2"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8B9E37C">
            <w:pPr>
              <w:widowControl/>
              <w:spacing w:line="276" w:lineRule="auto"/>
              <w:ind w:firstLine="0" w:firstLineChars="0"/>
              <w:jc w:val="center"/>
              <w:textAlignment w:val="center"/>
              <w:rPr>
                <w:rFonts w:hint="eastAsia" w:ascii="宋体" w:hAnsi="宋体" w:eastAsia="宋体" w:cs="宋体"/>
                <w:b/>
                <w:color w:val="000000"/>
                <w:sz w:val="21"/>
                <w:szCs w:val="21"/>
              </w:rPr>
            </w:pPr>
            <w:r>
              <w:rPr>
                <w:rFonts w:ascii="宋体" w:hAnsi="宋体" w:eastAsia="宋体" w:cs="宋体"/>
                <w:b/>
                <w:color w:val="000000"/>
                <w:kern w:val="0"/>
                <w:sz w:val="21"/>
                <w:szCs w:val="21"/>
                <w:lang w:bidi="ar"/>
              </w:rPr>
              <w:t>内容</w:t>
            </w:r>
          </w:p>
        </w:tc>
        <w:tc>
          <w:tcPr>
            <w:tcW w:w="5517" w:type="dxa"/>
            <w:tcBorders>
              <w:top w:val="single" w:color="000000" w:sz="2"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2E58C153">
            <w:pPr>
              <w:widowControl/>
              <w:spacing w:line="276" w:lineRule="auto"/>
              <w:ind w:firstLine="0" w:firstLineChars="0"/>
              <w:jc w:val="center"/>
              <w:textAlignment w:val="center"/>
              <w:rPr>
                <w:rFonts w:hint="eastAsia" w:ascii="宋体" w:hAnsi="宋体" w:eastAsia="宋体" w:cs="宋体"/>
                <w:b/>
                <w:color w:val="000000"/>
                <w:sz w:val="21"/>
                <w:szCs w:val="21"/>
              </w:rPr>
            </w:pPr>
            <w:r>
              <w:rPr>
                <w:rFonts w:ascii="宋体" w:hAnsi="宋体" w:eastAsia="宋体" w:cs="宋体"/>
                <w:b/>
                <w:color w:val="000000"/>
                <w:kern w:val="0"/>
                <w:sz w:val="21"/>
                <w:szCs w:val="21"/>
                <w:lang w:bidi="ar"/>
              </w:rPr>
              <w:t>说明</w:t>
            </w:r>
          </w:p>
        </w:tc>
        <w:tc>
          <w:tcPr>
            <w:tcW w:w="653" w:type="dxa"/>
            <w:tcBorders>
              <w:top w:val="single" w:color="000000" w:sz="2" w:space="0"/>
              <w:left w:val="single" w:color="000000" w:sz="4" w:space="0"/>
              <w:bottom w:val="single" w:color="000000" w:sz="4" w:space="0"/>
              <w:right w:val="single" w:color="000000" w:sz="4" w:space="0"/>
            </w:tcBorders>
            <w:tcMar>
              <w:top w:w="12" w:type="dxa"/>
              <w:left w:w="12" w:type="dxa"/>
              <w:bottom w:w="0" w:type="dxa"/>
              <w:right w:w="12" w:type="dxa"/>
            </w:tcMar>
            <w:vAlign w:val="center"/>
          </w:tcPr>
          <w:p w14:paraId="1DFD4640">
            <w:pPr>
              <w:widowControl/>
              <w:spacing w:line="276" w:lineRule="auto"/>
              <w:ind w:firstLine="0" w:firstLineChars="0"/>
              <w:jc w:val="center"/>
              <w:textAlignment w:val="center"/>
              <w:rPr>
                <w:rFonts w:hint="eastAsia" w:ascii="宋体" w:hAnsi="宋体" w:eastAsia="宋体" w:cs="宋体"/>
                <w:b/>
                <w:color w:val="000000"/>
                <w:sz w:val="21"/>
                <w:szCs w:val="21"/>
              </w:rPr>
            </w:pPr>
            <w:r>
              <w:rPr>
                <w:rFonts w:ascii="宋体" w:hAnsi="宋体" w:eastAsia="宋体" w:cs="宋体"/>
                <w:b/>
                <w:color w:val="000000"/>
                <w:kern w:val="0"/>
                <w:sz w:val="21"/>
                <w:szCs w:val="21"/>
                <w:lang w:bidi="ar"/>
              </w:rPr>
              <w:t>数量</w:t>
            </w:r>
          </w:p>
        </w:tc>
        <w:tc>
          <w:tcPr>
            <w:tcW w:w="654" w:type="dxa"/>
            <w:tcBorders>
              <w:top w:val="single" w:color="000000" w:sz="2" w:space="0"/>
              <w:left w:val="single" w:color="000000" w:sz="4" w:space="0"/>
              <w:bottom w:val="single" w:color="000000" w:sz="4" w:space="0"/>
              <w:right w:val="single" w:color="000000" w:sz="2" w:space="0"/>
            </w:tcBorders>
            <w:tcMar>
              <w:top w:w="12" w:type="dxa"/>
              <w:left w:w="12" w:type="dxa"/>
              <w:bottom w:w="0" w:type="dxa"/>
              <w:right w:w="12" w:type="dxa"/>
            </w:tcMar>
            <w:vAlign w:val="center"/>
          </w:tcPr>
          <w:p w14:paraId="187CC877">
            <w:pPr>
              <w:widowControl/>
              <w:spacing w:line="276" w:lineRule="auto"/>
              <w:ind w:firstLine="0" w:firstLineChars="0"/>
              <w:jc w:val="center"/>
              <w:textAlignment w:val="center"/>
              <w:rPr>
                <w:rFonts w:hint="eastAsia" w:ascii="宋体" w:hAnsi="宋体" w:eastAsia="宋体" w:cs="宋体"/>
                <w:b/>
                <w:color w:val="000000"/>
                <w:sz w:val="21"/>
                <w:szCs w:val="21"/>
              </w:rPr>
            </w:pPr>
            <w:r>
              <w:rPr>
                <w:rFonts w:ascii="宋体" w:hAnsi="宋体" w:eastAsia="宋体" w:cs="宋体"/>
                <w:b/>
                <w:color w:val="000000"/>
                <w:kern w:val="0"/>
                <w:sz w:val="21"/>
                <w:szCs w:val="21"/>
                <w:lang w:bidi="ar"/>
              </w:rPr>
              <w:t>单位</w:t>
            </w:r>
          </w:p>
        </w:tc>
      </w:tr>
      <w:tr w14:paraId="014EFE69">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8" w:hRule="atLeast"/>
          <w:jc w:val="center"/>
        </w:trPr>
        <w:tc>
          <w:tcPr>
            <w:tcW w:w="652" w:type="dxa"/>
            <w:tcBorders>
              <w:top w:val="single" w:color="000000" w:sz="4" w:space="0"/>
              <w:left w:val="single" w:color="000000" w:sz="2" w:space="0"/>
              <w:bottom w:val="single" w:color="000000" w:sz="4" w:space="0"/>
              <w:right w:val="single" w:color="000000" w:sz="4" w:space="0"/>
            </w:tcBorders>
            <w:noWrap/>
            <w:tcMar>
              <w:top w:w="12" w:type="dxa"/>
              <w:left w:w="12" w:type="dxa"/>
              <w:bottom w:w="0" w:type="dxa"/>
              <w:right w:w="12" w:type="dxa"/>
            </w:tcMar>
            <w:vAlign w:val="center"/>
          </w:tcPr>
          <w:p w14:paraId="0EABC5F5">
            <w:pPr>
              <w:widowControl/>
              <w:spacing w:line="276" w:lineRule="auto"/>
              <w:ind w:firstLine="0" w:firstLineChars="0"/>
              <w:jc w:val="center"/>
              <w:textAlignment w:val="center"/>
              <w:rPr>
                <w:rFonts w:hint="eastAsia" w:ascii="宋体" w:hAnsi="宋体" w:eastAsia="宋体" w:cs="宋体"/>
                <w:b/>
                <w:color w:val="000000"/>
                <w:kern w:val="0"/>
                <w:sz w:val="21"/>
                <w:szCs w:val="21"/>
                <w:lang w:bidi="ar"/>
              </w:rPr>
            </w:pPr>
            <w:r>
              <w:rPr>
                <w:rFonts w:ascii="宋体" w:hAnsi="宋体" w:eastAsia="宋体" w:cs="宋体"/>
                <w:b/>
                <w:color w:val="000000"/>
                <w:kern w:val="0"/>
                <w:sz w:val="21"/>
                <w:szCs w:val="21"/>
                <w:lang w:bidi="ar"/>
              </w:rPr>
              <w:t>1</w:t>
            </w:r>
          </w:p>
        </w:tc>
        <w:tc>
          <w:tcPr>
            <w:tcW w:w="1029"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14:paraId="6ED5F1D0">
            <w:pPr>
              <w:widowControl/>
              <w:spacing w:line="276" w:lineRule="auto"/>
              <w:ind w:firstLine="0" w:firstLineChars="0"/>
              <w:jc w:val="left"/>
              <w:textAlignment w:val="center"/>
              <w:rPr>
                <w:rFonts w:hint="eastAsia" w:ascii="宋体" w:hAnsi="宋体" w:eastAsia="宋体" w:cs="宋体"/>
                <w:bCs/>
                <w:color w:val="000000"/>
                <w:kern w:val="0"/>
                <w:sz w:val="21"/>
                <w:szCs w:val="21"/>
                <w:lang w:bidi="ar"/>
              </w:rPr>
            </w:pPr>
            <w:r>
              <w:rPr>
                <w:rFonts w:ascii="宋体" w:hAnsi="宋体" w:eastAsia="宋体" w:cs="宋体"/>
                <w:bCs/>
                <w:color w:val="000000"/>
                <w:kern w:val="0"/>
                <w:sz w:val="21"/>
                <w:szCs w:val="21"/>
                <w:lang w:bidi="ar"/>
              </w:rPr>
              <w:t>系统集成及安装服务</w:t>
            </w:r>
          </w:p>
        </w:tc>
        <w:tc>
          <w:tcPr>
            <w:tcW w:w="5517"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14:paraId="20AAA00A">
            <w:pPr>
              <w:spacing w:line="276" w:lineRule="auto"/>
              <w:ind w:firstLine="0" w:firstLineChars="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进行设备安装部署，工程实施包括但不限于水泥底座建设、强弱电工程实施、网络接入、接地及防雷工程建设、设备防盗措施等。</w:t>
            </w:r>
          </w:p>
        </w:tc>
        <w:tc>
          <w:tcPr>
            <w:tcW w:w="653"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14:paraId="4CCA73A1">
            <w:pPr>
              <w:spacing w:line="276" w:lineRule="auto"/>
              <w:ind w:firstLine="0" w:firstLineChars="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1</w:t>
            </w:r>
          </w:p>
        </w:tc>
        <w:tc>
          <w:tcPr>
            <w:tcW w:w="654" w:type="dxa"/>
            <w:tcBorders>
              <w:top w:val="single" w:color="000000" w:sz="4" w:space="0"/>
              <w:left w:val="single" w:color="000000" w:sz="4" w:space="0"/>
              <w:bottom w:val="single" w:color="000000" w:sz="4" w:space="0"/>
              <w:right w:val="single" w:color="000000" w:sz="2" w:space="0"/>
            </w:tcBorders>
            <w:noWrap/>
            <w:tcMar>
              <w:top w:w="12" w:type="dxa"/>
              <w:left w:w="12" w:type="dxa"/>
              <w:bottom w:w="0" w:type="dxa"/>
              <w:right w:w="12" w:type="dxa"/>
            </w:tcMar>
            <w:vAlign w:val="center"/>
          </w:tcPr>
          <w:p w14:paraId="0DC2B2B8">
            <w:pPr>
              <w:spacing w:line="276" w:lineRule="auto"/>
              <w:ind w:firstLine="0" w:firstLineChars="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项</w:t>
            </w:r>
          </w:p>
        </w:tc>
      </w:tr>
    </w:tbl>
    <w:p w14:paraId="4E82B326">
      <w:pPr>
        <w:ind w:firstLine="480"/>
      </w:pPr>
    </w:p>
    <w:p w14:paraId="071F8AB5">
      <w:pPr>
        <w:pStyle w:val="4"/>
        <w:spacing w:line="360" w:lineRule="auto"/>
        <w:ind w:firstLine="0" w:firstLineChars="0"/>
        <w:rPr>
          <w:rFonts w:hint="eastAsia" w:ascii="宋体" w:hAnsi="宋体" w:eastAsia="宋体" w:cs="宋体"/>
          <w:color w:val="auto"/>
        </w:rPr>
      </w:pPr>
      <w:r>
        <w:rPr>
          <w:rFonts w:hint="eastAsia" w:ascii="宋体" w:hAnsi="宋体" w:eastAsia="宋体" w:cs="宋体"/>
          <w:color w:val="auto"/>
        </w:rPr>
        <w:t>（三）网络安全需求</w:t>
      </w:r>
    </w:p>
    <w:p w14:paraId="6018EEC9">
      <w:pPr>
        <w:spacing w:line="360" w:lineRule="auto"/>
        <w:ind w:firstLine="480"/>
        <w:rPr>
          <w:rFonts w:hint="eastAsia" w:ascii="宋体" w:hAnsi="宋体" w:eastAsia="宋体" w:cs="宋体"/>
          <w:color w:val="auto"/>
        </w:rPr>
      </w:pPr>
      <w:r>
        <w:rPr>
          <w:rFonts w:hint="eastAsia" w:ascii="宋体" w:hAnsi="宋体" w:eastAsia="宋体" w:cs="宋体"/>
          <w:color w:val="auto"/>
        </w:rPr>
        <w:t>系统网络安全参照《网络安全法》《数据安全法》《个人数据保护法》要求，整体按信息安全等级保护三级进行。</w:t>
      </w:r>
    </w:p>
    <w:p w14:paraId="378D753A">
      <w:pPr>
        <w:pStyle w:val="3"/>
        <w:ind w:firstLine="0" w:firstLineChars="0"/>
        <w:rPr>
          <w:rFonts w:hint="eastAsia" w:ascii="宋体" w:hAnsi="宋体" w:eastAsia="宋体" w:cs="宋体"/>
          <w:color w:val="auto"/>
        </w:rPr>
      </w:pPr>
      <w:r>
        <w:rPr>
          <w:rFonts w:hint="eastAsia" w:ascii="宋体" w:hAnsi="宋体" w:eastAsia="宋体" w:cs="宋体"/>
          <w:color w:val="auto"/>
        </w:rPr>
        <w:t>五、项目实施及服务要求</w:t>
      </w:r>
    </w:p>
    <w:p w14:paraId="48D7149A">
      <w:pPr>
        <w:pStyle w:val="4"/>
        <w:spacing w:line="360" w:lineRule="auto"/>
        <w:ind w:firstLine="0" w:firstLineChars="0"/>
        <w:rPr>
          <w:rFonts w:hint="eastAsia" w:ascii="宋体" w:hAnsi="宋体" w:eastAsia="宋体" w:cs="宋体"/>
          <w:color w:val="auto"/>
        </w:rPr>
      </w:pPr>
      <w:r>
        <w:rPr>
          <w:rFonts w:hint="eastAsia" w:ascii="宋体" w:hAnsi="宋体" w:eastAsia="宋体" w:cs="宋体"/>
          <w:color w:val="auto"/>
        </w:rPr>
        <w:t>（一）项目实施要求</w:t>
      </w:r>
    </w:p>
    <w:p w14:paraId="7E3E2C50">
      <w:pPr>
        <w:spacing w:line="360" w:lineRule="auto"/>
        <w:ind w:firstLine="480"/>
        <w:rPr>
          <w:rFonts w:hint="eastAsia" w:ascii="宋体" w:hAnsi="宋体" w:eastAsia="宋体" w:cs="宋体"/>
          <w:color w:val="auto"/>
        </w:rPr>
      </w:pPr>
      <w:bookmarkStart w:id="8" w:name="OLE_LINK7"/>
      <w:r>
        <w:rPr>
          <w:rFonts w:hint="eastAsia" w:ascii="宋体" w:hAnsi="宋体" w:eastAsia="宋体" w:cs="宋体"/>
          <w:color w:val="auto"/>
        </w:rPr>
        <w:t>中标人须建立一个完善和稳定的管理组织机构，中标人须安排项目经理、项目技术负责人以及若干经验丰富的人员参与项目建设。以上成员需为中标人单位自有人员。</w:t>
      </w:r>
    </w:p>
    <w:p w14:paraId="3236E722">
      <w:pPr>
        <w:numPr>
          <w:ilvl w:val="0"/>
          <w:numId w:val="20"/>
        </w:numPr>
        <w:spacing w:line="360" w:lineRule="auto"/>
        <w:ind w:firstLine="480"/>
      </w:pPr>
      <w:bookmarkStart w:id="9" w:name="OLE_LINK4"/>
      <w:bookmarkStart w:id="10" w:name="OLE_LINK5"/>
      <w:r>
        <w:rPr>
          <w:rFonts w:hint="eastAsia" w:ascii="宋体" w:hAnsi="宋体" w:eastAsia="宋体" w:cs="宋体"/>
          <w:color w:val="auto"/>
        </w:rPr>
        <w:t>根据本采购包建设内容，应设置至少1名项目经理，</w:t>
      </w:r>
      <w:bookmarkEnd w:id="9"/>
      <w:r>
        <w:rPr>
          <w:rFonts w:hint="eastAsia" w:ascii="宋体" w:hAnsi="宋体" w:eastAsia="宋体" w:cs="宋体"/>
          <w:color w:val="auto"/>
        </w:rPr>
        <w:t>负责项目全生命周期实施与管理，统筹进度、人员、成本管控，协调各方资源，落实安全管理要求，确保项目按期按质合规交付。</w:t>
      </w:r>
    </w:p>
    <w:bookmarkEnd w:id="10"/>
    <w:p w14:paraId="7F4DD6BE">
      <w:pPr>
        <w:spacing w:line="360" w:lineRule="auto"/>
        <w:ind w:firstLine="480"/>
      </w:pPr>
      <w:r>
        <w:rPr>
          <w:rFonts w:hint="eastAsia" w:ascii="宋体" w:hAnsi="宋体" w:eastAsia="宋体" w:cs="宋体"/>
          <w:color w:val="auto"/>
        </w:rPr>
        <w:t>2.根据本采购包建设内容，需要至少1名技术负责人。技术负责人负责技术团队的管理、整体技术把控。</w:t>
      </w:r>
    </w:p>
    <w:bookmarkEnd w:id="8"/>
    <w:p w14:paraId="68343D98">
      <w:pPr>
        <w:pStyle w:val="4"/>
        <w:spacing w:line="360" w:lineRule="auto"/>
        <w:ind w:firstLine="0" w:firstLineChars="0"/>
        <w:rPr>
          <w:rFonts w:hint="eastAsia" w:ascii="宋体" w:hAnsi="宋体" w:eastAsia="宋体" w:cs="宋体"/>
          <w:color w:val="auto"/>
        </w:rPr>
      </w:pPr>
      <w:r>
        <w:rPr>
          <w:rFonts w:hint="eastAsia" w:ascii="宋体" w:hAnsi="宋体" w:eastAsia="宋体" w:cs="宋体"/>
          <w:color w:val="auto"/>
        </w:rPr>
        <w:t>（二）验收要求</w:t>
      </w:r>
    </w:p>
    <w:p w14:paraId="372BD2C0">
      <w:pPr>
        <w:spacing w:line="360" w:lineRule="auto"/>
        <w:ind w:firstLine="480"/>
        <w:rPr>
          <w:rFonts w:hint="eastAsia" w:ascii="宋体" w:hAnsi="宋体" w:eastAsia="宋体" w:cs="宋体"/>
          <w:color w:val="auto"/>
        </w:rPr>
      </w:pPr>
      <w:r>
        <w:rPr>
          <w:rFonts w:hint="eastAsia" w:ascii="宋体" w:hAnsi="宋体" w:eastAsia="宋体" w:cs="宋体"/>
          <w:color w:val="auto"/>
        </w:rPr>
        <w:t>验收方案由采购人确定，验收工作由采购人负责组织开展，中标人配合。</w:t>
      </w:r>
    </w:p>
    <w:p w14:paraId="2740E41F">
      <w:pPr>
        <w:spacing w:line="360" w:lineRule="auto"/>
        <w:ind w:firstLine="482"/>
        <w:rPr>
          <w:rFonts w:hint="eastAsia" w:ascii="宋体" w:hAnsi="宋体" w:eastAsia="宋体" w:cs="宋体"/>
          <w:b/>
          <w:bCs/>
          <w:color w:val="auto"/>
        </w:rPr>
      </w:pPr>
      <w:r>
        <w:rPr>
          <w:rFonts w:hint="eastAsia" w:ascii="宋体" w:hAnsi="宋体" w:eastAsia="宋体" w:cs="宋体"/>
          <w:b/>
          <w:bCs/>
          <w:color w:val="auto"/>
        </w:rPr>
        <w:t>设备采购安装及验收要求</w:t>
      </w:r>
    </w:p>
    <w:p w14:paraId="7F7C40F7">
      <w:pPr>
        <w:spacing w:line="360" w:lineRule="auto"/>
        <w:ind w:firstLine="480"/>
        <w:rPr>
          <w:rFonts w:hint="eastAsia" w:ascii="宋体" w:hAnsi="宋体" w:eastAsia="宋体" w:cs="宋体"/>
          <w:color w:val="auto"/>
        </w:rPr>
      </w:pPr>
      <w:r>
        <w:rPr>
          <w:rFonts w:hint="eastAsia" w:ascii="宋体" w:hAnsi="宋体" w:eastAsia="宋体" w:cs="宋体"/>
          <w:color w:val="auto"/>
        </w:rPr>
        <w:t>1.主体设备实施要求：中标人完成相应设备交货、安装，在货物数量、规格、质量可正常使用及各项功能应用满足合同要求后，由中标人、采购人、监理方三方共同签字到货验收。采购方组织验收小组按国家有关规定、规范进行到货验收，经检验货物、安装质量无任何问题，由采购人组织验收小组签署到货验收报告。因货物质量问题发生争议时，由本地质量技术监督部门鉴定。货物符合质量技术标准的，鉴定费由采购方承担；否则鉴定费由中标人承担。</w:t>
      </w:r>
    </w:p>
    <w:p w14:paraId="5CD53D6A">
      <w:pPr>
        <w:spacing w:line="360" w:lineRule="auto"/>
        <w:ind w:firstLine="480"/>
        <w:rPr>
          <w:rFonts w:hint="eastAsia" w:ascii="宋体" w:hAnsi="宋体" w:eastAsia="宋体" w:cs="宋体"/>
          <w:color w:val="auto"/>
        </w:rPr>
      </w:pPr>
      <w:r>
        <w:rPr>
          <w:rFonts w:hint="eastAsia" w:ascii="宋体" w:hAnsi="宋体" w:eastAsia="宋体" w:cs="宋体"/>
          <w:color w:val="auto"/>
        </w:rPr>
        <w:t>2.验收条件：交付合同约定的所有设备，并通过试运行。</w:t>
      </w:r>
    </w:p>
    <w:p w14:paraId="7BA1E4BE">
      <w:pPr>
        <w:spacing w:line="360" w:lineRule="auto"/>
        <w:ind w:firstLine="480"/>
        <w:rPr>
          <w:rFonts w:hint="eastAsia" w:ascii="宋体" w:hAnsi="宋体" w:eastAsia="宋体" w:cs="宋体"/>
          <w:color w:val="auto"/>
        </w:rPr>
      </w:pPr>
      <w:r>
        <w:rPr>
          <w:rFonts w:hint="eastAsia" w:ascii="宋体" w:hAnsi="宋体" w:eastAsia="宋体" w:cs="宋体"/>
          <w:color w:val="auto"/>
        </w:rPr>
        <w:t>3.验收方式：（1）货物运抵现场后，采购人将对货物数量、质量、规格等进行检验。如发现货物和规格或者两者都与招标文件、投标文件、合同不符，采购人有权限根据检验结果要求供应商立即更换或者提出索赔要求。（2）货物由供应商进行安装，完毕后，采购人应对货物的数量、质量、规格、性能等进行详细而全面的检验。如软件需要安装、调试，则由供应商负责并承担相应的费用。安装完毕，并证明货物以及安装质量无任何问题后，供应商向采购人提出验收申请，由采购人组织验收，验收合格后验收小组签署验收报告，作为付款凭据之一。必要时，可邀请第三方机构进行验收。</w:t>
      </w:r>
    </w:p>
    <w:p w14:paraId="0CD15A0B">
      <w:pPr>
        <w:spacing w:line="360" w:lineRule="auto"/>
        <w:ind w:firstLine="482"/>
        <w:rPr>
          <w:rFonts w:hint="eastAsia" w:ascii="宋体" w:hAnsi="宋体" w:eastAsia="宋体" w:cs="宋体"/>
          <w:b/>
          <w:bCs/>
          <w:color w:val="auto"/>
        </w:rPr>
      </w:pPr>
      <w:r>
        <w:rPr>
          <w:rFonts w:hint="eastAsia" w:ascii="宋体" w:hAnsi="宋体" w:eastAsia="宋体" w:cs="宋体"/>
          <w:b/>
          <w:bCs/>
          <w:color w:val="auto"/>
        </w:rPr>
        <w:t>应用系统验收要求</w:t>
      </w:r>
    </w:p>
    <w:p w14:paraId="567805C7">
      <w:pPr>
        <w:spacing w:line="360" w:lineRule="auto"/>
        <w:ind w:firstLine="480"/>
        <w:rPr>
          <w:rFonts w:hint="eastAsia" w:ascii="宋体" w:hAnsi="宋体" w:eastAsia="宋体" w:cs="宋体"/>
          <w:color w:val="auto"/>
        </w:rPr>
      </w:pPr>
      <w:r>
        <w:rPr>
          <w:rFonts w:hint="eastAsia" w:ascii="宋体" w:hAnsi="宋体" w:eastAsia="宋体" w:cs="宋体"/>
          <w:color w:val="auto"/>
        </w:rPr>
        <w:t>应用系统完成合同规定的内容后，文档齐全，成果自检合格，通过第三方测评机构测评后，出具合同验收意见。</w:t>
      </w:r>
    </w:p>
    <w:p w14:paraId="55827C75">
      <w:pPr>
        <w:spacing w:line="360" w:lineRule="auto"/>
        <w:ind w:firstLine="480"/>
        <w:rPr>
          <w:rFonts w:hint="eastAsia" w:ascii="宋体" w:hAnsi="宋体" w:eastAsia="宋体" w:cs="宋体"/>
          <w:color w:val="auto"/>
        </w:rPr>
      </w:pPr>
      <w:r>
        <w:rPr>
          <w:rFonts w:hint="eastAsia" w:ascii="宋体" w:hAnsi="宋体" w:eastAsia="宋体" w:cs="宋体"/>
          <w:color w:val="auto"/>
        </w:rPr>
        <w:t>1.项目按照招标要求完成各项内容建设并通过初步验收后，经过不少于14天的试运行期，方可申请系统成果验收。</w:t>
      </w:r>
    </w:p>
    <w:p w14:paraId="09ED7431">
      <w:pPr>
        <w:spacing w:line="360" w:lineRule="auto"/>
        <w:ind w:firstLine="480"/>
        <w:rPr>
          <w:rFonts w:hint="eastAsia" w:ascii="宋体" w:hAnsi="宋体" w:eastAsia="宋体" w:cs="宋体"/>
          <w:color w:val="auto"/>
        </w:rPr>
      </w:pPr>
      <w:r>
        <w:rPr>
          <w:rFonts w:hint="eastAsia" w:ascii="宋体" w:hAnsi="宋体" w:eastAsia="宋体" w:cs="宋体"/>
          <w:color w:val="auto"/>
        </w:rPr>
        <w:t>2.中标人必须向采购人提供试运行报告、测评报告等文档作为合同验收的依据。</w:t>
      </w:r>
    </w:p>
    <w:p w14:paraId="758F2D8D">
      <w:pPr>
        <w:spacing w:line="360" w:lineRule="auto"/>
        <w:ind w:firstLine="480"/>
        <w:rPr>
          <w:rFonts w:hint="eastAsia" w:ascii="宋体" w:hAnsi="宋体" w:eastAsia="宋体" w:cs="宋体"/>
          <w:color w:val="auto"/>
        </w:rPr>
      </w:pPr>
      <w:r>
        <w:rPr>
          <w:rFonts w:hint="eastAsia" w:ascii="宋体" w:hAnsi="宋体" w:eastAsia="宋体" w:cs="宋体"/>
          <w:color w:val="auto"/>
        </w:rPr>
        <w:t>3.验收主要包括以下内容：项目技术和管理文档是否齐全，各系统成果、功能模块完成情况是否满足招标文件及合同约定要求。</w:t>
      </w:r>
    </w:p>
    <w:p w14:paraId="10D36B71">
      <w:pPr>
        <w:spacing w:line="360" w:lineRule="auto"/>
        <w:ind w:firstLine="480"/>
        <w:rPr>
          <w:rFonts w:hint="eastAsia" w:ascii="宋体" w:hAnsi="宋体" w:eastAsia="宋体" w:cs="宋体"/>
          <w:color w:val="auto"/>
        </w:rPr>
      </w:pPr>
      <w:r>
        <w:rPr>
          <w:rFonts w:hint="eastAsia" w:ascii="宋体" w:hAnsi="宋体" w:eastAsia="宋体" w:cs="宋体"/>
          <w:color w:val="auto"/>
        </w:rPr>
        <w:t>4.当验收不合格时，中标人需无条件进行返工。</w:t>
      </w:r>
    </w:p>
    <w:p w14:paraId="19CD9336">
      <w:pPr>
        <w:spacing w:line="360" w:lineRule="auto"/>
        <w:ind w:firstLine="480"/>
        <w:rPr>
          <w:rFonts w:hint="eastAsia" w:ascii="宋体" w:hAnsi="宋体" w:eastAsia="宋体" w:cs="宋体"/>
          <w:color w:val="auto"/>
        </w:rPr>
      </w:pPr>
      <w:r>
        <w:rPr>
          <w:rFonts w:hint="eastAsia" w:ascii="宋体" w:hAnsi="宋体" w:eastAsia="宋体" w:cs="宋体"/>
          <w:color w:val="auto"/>
        </w:rPr>
        <w:t>5.建设需求中涉及到系统对接的内容，如果须对接的系统在本项目实施完成后，仍不具备可对接条件，则由供应商提供对接系统承诺函给采购人。</w:t>
      </w:r>
    </w:p>
    <w:p w14:paraId="7E954B31">
      <w:pPr>
        <w:pStyle w:val="4"/>
        <w:spacing w:line="360" w:lineRule="auto"/>
        <w:ind w:firstLine="0" w:firstLineChars="0"/>
        <w:rPr>
          <w:rFonts w:hint="eastAsia" w:ascii="宋体" w:hAnsi="宋体" w:eastAsia="宋体" w:cs="宋体"/>
          <w:color w:val="auto"/>
        </w:rPr>
      </w:pPr>
      <w:r>
        <w:rPr>
          <w:rFonts w:hint="eastAsia" w:ascii="宋体" w:hAnsi="宋体" w:eastAsia="宋体" w:cs="宋体"/>
          <w:color w:val="auto"/>
        </w:rPr>
        <w:t>（三）培训要求</w:t>
      </w:r>
    </w:p>
    <w:p w14:paraId="40728911">
      <w:pPr>
        <w:spacing w:line="360" w:lineRule="auto"/>
        <w:ind w:firstLine="480"/>
        <w:rPr>
          <w:rFonts w:hint="eastAsia" w:ascii="宋体" w:hAnsi="宋体" w:eastAsia="宋体" w:cs="宋体"/>
          <w:color w:val="auto"/>
        </w:rPr>
      </w:pPr>
      <w:r>
        <w:rPr>
          <w:rFonts w:hint="eastAsia" w:ascii="宋体" w:hAnsi="宋体" w:eastAsia="宋体" w:cs="宋体"/>
          <w:color w:val="auto"/>
        </w:rPr>
        <w:t>中标人必须提供相应的平台应用系统、数据使用操作等方面的培训。有关应用软件的操作培训课程，培训应该在项目验收完成前进行。中标人须在中标后提出全面、详细的培训课程以及时间表交给采购人，并在合同签订后征得采购人同意后实施。</w:t>
      </w:r>
    </w:p>
    <w:p w14:paraId="05012B2B">
      <w:pPr>
        <w:spacing w:line="360" w:lineRule="auto"/>
        <w:ind w:firstLine="480"/>
        <w:rPr>
          <w:rFonts w:hint="eastAsia" w:ascii="宋体" w:hAnsi="宋体" w:eastAsia="宋体" w:cs="宋体"/>
          <w:color w:val="auto"/>
        </w:rPr>
      </w:pPr>
      <w:r>
        <w:rPr>
          <w:rFonts w:hint="eastAsia" w:ascii="宋体" w:hAnsi="宋体" w:eastAsia="宋体" w:cs="宋体"/>
          <w:color w:val="auto"/>
        </w:rPr>
        <w:t>中标人应提供面向系统管理员的应用软件系统结构和设计等方面的培训。中标人将详细的培训课程以及时间表交给采购人，最后以采购人认可为准。</w:t>
      </w:r>
    </w:p>
    <w:p w14:paraId="18E1C9DE">
      <w:pPr>
        <w:spacing w:line="360" w:lineRule="auto"/>
        <w:ind w:firstLine="480"/>
        <w:rPr>
          <w:rFonts w:hint="eastAsia" w:ascii="宋体" w:hAnsi="宋体" w:eastAsia="宋体" w:cs="宋体"/>
          <w:color w:val="auto"/>
        </w:rPr>
      </w:pPr>
      <w:r>
        <w:rPr>
          <w:rFonts w:hint="eastAsia" w:ascii="宋体" w:hAnsi="宋体" w:eastAsia="宋体" w:cs="宋体"/>
          <w:color w:val="auto"/>
        </w:rPr>
        <w:t>对于所有培训，中标人必须派出具备相应专业资格和实际工作经验的辅导人员进行培训，培训所使用的语言必须是中文，否则中标人必须提供相应的翻译。</w:t>
      </w:r>
    </w:p>
    <w:p w14:paraId="290A1ACC">
      <w:pPr>
        <w:spacing w:line="360" w:lineRule="auto"/>
        <w:ind w:firstLine="480"/>
        <w:rPr>
          <w:rFonts w:hint="eastAsia" w:ascii="宋体" w:hAnsi="宋体" w:eastAsia="宋体" w:cs="宋体"/>
          <w:color w:val="auto"/>
        </w:rPr>
      </w:pPr>
      <w:r>
        <w:rPr>
          <w:rFonts w:hint="eastAsia" w:ascii="宋体" w:hAnsi="宋体" w:eastAsia="宋体" w:cs="宋体"/>
          <w:color w:val="auto"/>
        </w:rPr>
        <w:t>需针对用户按照不同的角色按照不同的培训课程，如系统管理员、普通用户、领导等角色，安排不同的培训课程。</w:t>
      </w:r>
    </w:p>
    <w:p w14:paraId="03B2D316">
      <w:pPr>
        <w:spacing w:line="360" w:lineRule="auto"/>
        <w:ind w:firstLine="480"/>
        <w:rPr>
          <w:rFonts w:hint="eastAsia" w:ascii="宋体" w:hAnsi="宋体" w:eastAsia="宋体" w:cs="宋体"/>
          <w:color w:val="auto"/>
        </w:rPr>
      </w:pPr>
      <w:r>
        <w:rPr>
          <w:rFonts w:hint="eastAsia" w:ascii="宋体" w:hAnsi="宋体" w:eastAsia="宋体" w:cs="宋体"/>
          <w:color w:val="auto"/>
        </w:rPr>
        <w:t>中标人需要提供详细的培训计划。</w:t>
      </w:r>
    </w:p>
    <w:p w14:paraId="7E58B7B3">
      <w:pPr>
        <w:spacing w:line="360" w:lineRule="auto"/>
        <w:ind w:firstLine="480"/>
        <w:rPr>
          <w:rFonts w:hint="eastAsia" w:ascii="宋体" w:hAnsi="宋体" w:eastAsia="宋体" w:cs="宋体"/>
          <w:color w:val="auto"/>
        </w:rPr>
      </w:pPr>
      <w:r>
        <w:rPr>
          <w:rFonts w:hint="eastAsia" w:ascii="宋体" w:hAnsi="宋体" w:eastAsia="宋体" w:cs="宋体"/>
          <w:color w:val="auto"/>
        </w:rPr>
        <w:t>培训费用计入项目总报价。中标人应提前拟定培训方案，保障培训质量，使参训人员掌握系统的操作和日常管理工作。培训方式可采用线上或线下培训，总体要求如下：</w:t>
      </w:r>
    </w:p>
    <w:p w14:paraId="2C8C3D86">
      <w:pPr>
        <w:spacing w:line="360" w:lineRule="auto"/>
        <w:ind w:firstLine="480"/>
        <w:rPr>
          <w:rFonts w:hint="eastAsia" w:ascii="宋体" w:hAnsi="宋体" w:eastAsia="宋体" w:cs="宋体"/>
          <w:color w:val="auto"/>
        </w:rPr>
      </w:pPr>
      <w:r>
        <w:rPr>
          <w:rFonts w:hint="eastAsia" w:ascii="宋体" w:hAnsi="宋体" w:eastAsia="宋体" w:cs="宋体"/>
          <w:color w:val="auto"/>
        </w:rPr>
        <w:t>1.培训内容：由中标人编制和实施。</w:t>
      </w:r>
    </w:p>
    <w:p w14:paraId="1B20FBF3">
      <w:pPr>
        <w:spacing w:line="360" w:lineRule="auto"/>
        <w:ind w:firstLine="480"/>
        <w:rPr>
          <w:rFonts w:hint="eastAsia" w:ascii="宋体" w:hAnsi="宋体" w:eastAsia="宋体" w:cs="宋体"/>
          <w:color w:val="auto"/>
        </w:rPr>
      </w:pPr>
      <w:r>
        <w:rPr>
          <w:rFonts w:hint="eastAsia" w:ascii="宋体" w:hAnsi="宋体" w:eastAsia="宋体" w:cs="宋体"/>
          <w:color w:val="auto"/>
        </w:rPr>
        <w:t>2.培训地点：由采购人与中标人共同商议确定。</w:t>
      </w:r>
    </w:p>
    <w:p w14:paraId="5B6E4A94">
      <w:pPr>
        <w:spacing w:line="360" w:lineRule="auto"/>
        <w:ind w:firstLine="480"/>
        <w:rPr>
          <w:rFonts w:hint="eastAsia" w:ascii="宋体" w:hAnsi="宋体" w:eastAsia="宋体" w:cs="宋体"/>
          <w:color w:val="auto"/>
        </w:rPr>
      </w:pPr>
      <w:r>
        <w:rPr>
          <w:rFonts w:hint="eastAsia" w:ascii="宋体" w:hAnsi="宋体" w:eastAsia="宋体" w:cs="宋体"/>
          <w:color w:val="auto"/>
        </w:rPr>
        <w:t>3.培训教材：由中标人负责编制与印刷。</w:t>
      </w:r>
    </w:p>
    <w:p w14:paraId="312FFD89">
      <w:pPr>
        <w:pStyle w:val="4"/>
        <w:spacing w:line="360" w:lineRule="auto"/>
        <w:ind w:firstLine="0" w:firstLineChars="0"/>
        <w:rPr>
          <w:rFonts w:hint="eastAsia" w:ascii="宋体" w:hAnsi="宋体" w:eastAsia="宋体" w:cs="宋体"/>
          <w:color w:val="auto"/>
        </w:rPr>
      </w:pPr>
      <w:r>
        <w:rPr>
          <w:rFonts w:hint="eastAsia" w:ascii="宋体" w:hAnsi="宋体" w:eastAsia="宋体" w:cs="宋体"/>
          <w:color w:val="auto"/>
        </w:rPr>
        <w:t>（四）售后维护服务要求</w:t>
      </w:r>
    </w:p>
    <w:p w14:paraId="191E4E95">
      <w:pPr>
        <w:spacing w:line="360" w:lineRule="auto"/>
        <w:ind w:firstLine="480"/>
        <w:rPr>
          <w:rFonts w:hint="eastAsia" w:ascii="宋体" w:hAnsi="宋体" w:eastAsia="宋体" w:cs="宋体"/>
          <w:color w:val="auto"/>
        </w:rPr>
      </w:pPr>
      <w:r>
        <w:rPr>
          <w:rFonts w:hint="eastAsia" w:ascii="宋体" w:hAnsi="宋体" w:eastAsia="宋体" w:cs="宋体"/>
          <w:color w:val="auto"/>
        </w:rPr>
        <w:t>1.售后维护服务从合同验收通过之日起计算。</w:t>
      </w:r>
    </w:p>
    <w:p w14:paraId="3AB96D7D">
      <w:pPr>
        <w:spacing w:line="360" w:lineRule="auto"/>
        <w:ind w:firstLine="480"/>
        <w:rPr>
          <w:rFonts w:hint="eastAsia" w:ascii="宋体" w:hAnsi="宋体" w:eastAsia="宋体" w:cs="宋体"/>
          <w:color w:val="auto"/>
        </w:rPr>
      </w:pPr>
      <w:r>
        <w:rPr>
          <w:rFonts w:hint="eastAsia" w:ascii="宋体" w:hAnsi="宋体" w:eastAsia="宋体" w:cs="宋体"/>
          <w:color w:val="auto"/>
        </w:rPr>
        <w:t>2.合同验收通过后进入24个月的项目服务期。</w:t>
      </w:r>
    </w:p>
    <w:p w14:paraId="76AA398F">
      <w:pPr>
        <w:spacing w:line="360" w:lineRule="auto"/>
        <w:ind w:firstLine="480"/>
        <w:rPr>
          <w:rFonts w:hint="eastAsia" w:ascii="宋体" w:hAnsi="宋体" w:eastAsia="宋体" w:cs="宋体"/>
          <w:color w:val="auto"/>
        </w:rPr>
      </w:pPr>
      <w:r>
        <w:rPr>
          <w:rFonts w:hint="eastAsia" w:ascii="宋体" w:hAnsi="宋体" w:eastAsia="宋体" w:cs="宋体"/>
          <w:color w:val="auto"/>
        </w:rPr>
        <w:t>3.系统上线期间，中标供应商必须委派工程师到现场进行系统的安装和培训。</w:t>
      </w:r>
    </w:p>
    <w:p w14:paraId="7B6F2B64">
      <w:pPr>
        <w:spacing w:line="360" w:lineRule="auto"/>
        <w:ind w:firstLine="480"/>
        <w:rPr>
          <w:rFonts w:hint="eastAsia" w:ascii="宋体" w:hAnsi="宋体" w:eastAsia="宋体" w:cs="宋体"/>
          <w:color w:val="auto"/>
        </w:rPr>
      </w:pPr>
      <w:r>
        <w:rPr>
          <w:rFonts w:hint="eastAsia" w:ascii="宋体" w:hAnsi="宋体" w:eastAsia="宋体" w:cs="宋体"/>
          <w:color w:val="auto"/>
        </w:rPr>
        <w:t>4.系统出现故障时，中标人需提供7×24小时的电话或网络远程技术支持，对于以上述方式无法解决的问题，中标人应在接到报障4小时之内（工作时间）或8小时内（非工作时间）</w:t>
      </w:r>
      <w:r>
        <w:rPr>
          <w:rFonts w:ascii="宋体" w:hAnsi="宋体" w:eastAsia="宋体" w:cs="宋体"/>
          <w:color w:val="auto"/>
        </w:rPr>
        <w:t>完成远程处置或到场排查修复，并及时出具故障分析报告</w:t>
      </w:r>
      <w:r>
        <w:rPr>
          <w:rFonts w:hint="eastAsia" w:ascii="宋体" w:hAnsi="宋体" w:eastAsia="宋体" w:cs="宋体"/>
          <w:color w:val="auto"/>
        </w:rPr>
        <w:t>。</w:t>
      </w:r>
    </w:p>
    <w:p w14:paraId="72E092B0">
      <w:pPr>
        <w:spacing w:line="360" w:lineRule="auto"/>
        <w:ind w:firstLine="480"/>
        <w:rPr>
          <w:rFonts w:hint="eastAsia" w:ascii="宋体" w:hAnsi="宋体" w:eastAsia="宋体" w:cs="宋体"/>
          <w:color w:val="auto"/>
        </w:rPr>
      </w:pPr>
      <w:r>
        <w:rPr>
          <w:rFonts w:hint="eastAsia" w:ascii="宋体" w:hAnsi="宋体" w:eastAsia="宋体" w:cs="宋体"/>
          <w:color w:val="auto"/>
        </w:rPr>
        <w:t>5.中标供应商必须提出维护期内的维护内容和范围（产品、技术、模块）。包括对软件的相应调整（操作平台的改变、数据库改变等），功能模块修改、增加、删除（注明功能模块免费调整、修改、增加的期限，属于程序BUG的问题要求终生免费保修，由此产生的费用包含在投标报价中），软件的定期升级等的服务方式。</w:t>
      </w:r>
    </w:p>
    <w:p w14:paraId="2C68516A">
      <w:pPr>
        <w:spacing w:line="360" w:lineRule="auto"/>
        <w:ind w:firstLine="480"/>
        <w:rPr>
          <w:rFonts w:hint="eastAsia" w:ascii="宋体" w:hAnsi="宋体" w:eastAsia="宋体" w:cs="宋体"/>
          <w:color w:val="auto"/>
        </w:rPr>
      </w:pPr>
      <w:r>
        <w:rPr>
          <w:rFonts w:hint="eastAsia" w:ascii="宋体" w:hAnsi="宋体" w:eastAsia="宋体" w:cs="宋体"/>
          <w:color w:val="auto"/>
        </w:rPr>
        <w:t>投标人必须提供加盖公章的承诺函，承诺函格式自拟。</w:t>
      </w:r>
    </w:p>
    <w:p w14:paraId="39082381">
      <w:pPr>
        <w:pStyle w:val="4"/>
        <w:spacing w:line="360" w:lineRule="auto"/>
        <w:ind w:firstLine="0" w:firstLineChars="0"/>
        <w:rPr>
          <w:rFonts w:hint="eastAsia" w:ascii="宋体" w:hAnsi="宋体" w:eastAsia="宋体" w:cs="宋体"/>
          <w:color w:val="auto"/>
        </w:rPr>
      </w:pPr>
      <w:r>
        <w:rPr>
          <w:rFonts w:hint="eastAsia" w:ascii="宋体" w:hAnsi="宋体" w:eastAsia="宋体" w:cs="宋体"/>
          <w:color w:val="auto"/>
        </w:rPr>
        <w:t>（五）支付方式</w:t>
      </w:r>
    </w:p>
    <w:p w14:paraId="0846D718">
      <w:pPr>
        <w:pStyle w:val="2"/>
        <w:spacing w:line="360" w:lineRule="auto"/>
        <w:ind w:left="0" w:leftChars="0" w:firstLine="480" w:firstLineChars="200"/>
        <w:rPr>
          <w:rFonts w:hint="eastAsia" w:asciiTheme="minorEastAsia" w:hAnsiTheme="minorEastAsia" w:eastAsiaTheme="minorEastAsia" w:cstheme="minorEastAsia"/>
          <w:color w:val="auto"/>
        </w:rPr>
      </w:pPr>
      <w:bookmarkStart w:id="11" w:name="OLE_LINK3"/>
      <w:r>
        <w:rPr>
          <w:rFonts w:hint="eastAsia" w:asciiTheme="minorEastAsia" w:hAnsiTheme="minorEastAsia" w:eastAsiaTheme="minorEastAsia" w:cstheme="minorEastAsia"/>
          <w:color w:val="auto"/>
        </w:rPr>
        <w:t>本项目计划分三期支付，具体支付方式和时间如下：</w:t>
      </w:r>
    </w:p>
    <w:p w14:paraId="20B67549">
      <w:pPr>
        <w:pStyle w:val="2"/>
        <w:spacing w:line="360" w:lineRule="auto"/>
        <w:ind w:left="0" w:leftChars="0" w:firstLine="48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（一）第一期：签订合同后，合同预付款为30%，乙方提供与拟支付金额等额的符合甲方财务管理要求的相应发票，甲方收到发票后5个工作日内办理支付手续。</w:t>
      </w:r>
    </w:p>
    <w:p w14:paraId="12BE2287">
      <w:pPr>
        <w:pStyle w:val="2"/>
        <w:spacing w:line="360" w:lineRule="auto"/>
        <w:ind w:left="0" w:leftChars="0" w:firstLine="48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（二）第二期：合同规定的所有设备到货，甲方签收后，乙方提供与拟支付金额等额的符合甲方财务管理要求的相应发票，甲方收到发票后5个工作日内办理支付手续，支付合同总金额的40%。</w:t>
      </w:r>
    </w:p>
    <w:p w14:paraId="233F4094">
      <w:pPr>
        <w:pStyle w:val="2"/>
        <w:spacing w:line="360" w:lineRule="auto"/>
        <w:ind w:left="0" w:leftChars="0" w:firstLine="48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（三）第三期：项目验收通过后，乙方提供与拟支付金额等额的符合甲方财务管理要求的相应发票及</w:t>
      </w:r>
      <w:r>
        <w:rPr>
          <w:rFonts w:hint="eastAsia" w:asciiTheme="minorEastAsia" w:hAnsiTheme="minorEastAsia" w:eastAsiaTheme="minorEastAsia" w:cstheme="minorEastAsia"/>
        </w:rPr>
        <w:t>合同履约保函5%（两年有效），甲方</w:t>
      </w:r>
      <w:r>
        <w:rPr>
          <w:rFonts w:hint="eastAsia" w:asciiTheme="minorEastAsia" w:hAnsiTheme="minorEastAsia" w:eastAsiaTheme="minorEastAsia" w:cstheme="minorEastAsia"/>
          <w:color w:val="auto"/>
        </w:rPr>
        <w:t>收到发票后5个工作日内办理支付手续，支付合同总金额的30%。</w:t>
      </w:r>
    </w:p>
    <w:bookmarkEnd w:id="11"/>
    <w:p w14:paraId="4C9D35B2">
      <w:pPr>
        <w:pStyle w:val="3"/>
        <w:ind w:firstLine="0" w:firstLineChars="0"/>
        <w:rPr>
          <w:rFonts w:hint="eastAsia" w:ascii="宋体" w:hAnsi="宋体" w:eastAsia="宋体" w:cs="宋体"/>
          <w:color w:val="auto"/>
        </w:rPr>
      </w:pPr>
      <w:r>
        <w:rPr>
          <w:rFonts w:hint="eastAsia" w:ascii="宋体" w:hAnsi="宋体" w:eastAsia="宋体" w:cs="宋体"/>
          <w:color w:val="auto"/>
        </w:rPr>
        <w:t>六、系统演示要求</w:t>
      </w:r>
    </w:p>
    <w:p w14:paraId="4621D5E4">
      <w:pPr>
        <w:pStyle w:val="22"/>
        <w:widowControl/>
        <w:spacing w:line="360" w:lineRule="auto"/>
        <w:ind w:firstLine="480"/>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本项目评标过程采用</w:t>
      </w:r>
      <w:bookmarkStart w:id="12" w:name="OLE_LINK14"/>
      <w:r>
        <w:rPr>
          <w:rFonts w:asciiTheme="minorEastAsia" w:hAnsiTheme="minorEastAsia" w:eastAsiaTheme="minorEastAsia" w:cstheme="minorEastAsia"/>
          <w:sz w:val="24"/>
          <w:szCs w:val="24"/>
        </w:rPr>
        <w:t>线上远程真实系统</w:t>
      </w:r>
      <w:bookmarkEnd w:id="12"/>
      <w:r>
        <w:rPr>
          <w:rFonts w:asciiTheme="minorEastAsia" w:hAnsiTheme="minorEastAsia" w:eastAsiaTheme="minorEastAsia" w:cstheme="minorEastAsia"/>
          <w:sz w:val="24"/>
          <w:szCs w:val="24"/>
        </w:rPr>
        <w:t>进行演示，建议</w:t>
      </w:r>
      <w:r>
        <w:rPr>
          <w:rFonts w:hint="eastAsia" w:asciiTheme="minorEastAsia" w:hAnsiTheme="minorEastAsia" w:eastAsiaTheme="minorEastAsia" w:cstheme="minorEastAsia"/>
          <w:sz w:val="24"/>
          <w:szCs w:val="24"/>
        </w:rPr>
        <w:t>投标人</w:t>
      </w:r>
      <w:r>
        <w:rPr>
          <w:rFonts w:asciiTheme="minorEastAsia" w:hAnsiTheme="minorEastAsia" w:eastAsiaTheme="minorEastAsia" w:cstheme="minorEastAsia"/>
          <w:sz w:val="24"/>
          <w:szCs w:val="24"/>
        </w:rPr>
        <w:t>在投标截止时间前完成线上演示设备调试、会议终端登录测试，并保持线上待命状态。真实系统演示具体开始时间由评标委员会统一确定，评标委员会将按批次通知投标人进入线上评审会议室。若</w:t>
      </w:r>
      <w:r>
        <w:rPr>
          <w:rFonts w:hint="eastAsia" w:asciiTheme="minorEastAsia" w:hAnsiTheme="minorEastAsia" w:eastAsiaTheme="minorEastAsia" w:cstheme="minorEastAsia"/>
          <w:sz w:val="24"/>
          <w:szCs w:val="24"/>
        </w:rPr>
        <w:t>投标人</w:t>
      </w:r>
      <w:r>
        <w:rPr>
          <w:rFonts w:asciiTheme="minorEastAsia" w:hAnsiTheme="minorEastAsia" w:eastAsiaTheme="minorEastAsia" w:cstheme="minorEastAsia"/>
          <w:sz w:val="24"/>
          <w:szCs w:val="24"/>
        </w:rPr>
        <w:t>未在评标委员会规定时限内登录线上演示</w:t>
      </w:r>
      <w:r>
        <w:rPr>
          <w:rFonts w:hint="eastAsia" w:asciiTheme="minorEastAsia" w:hAnsiTheme="minorEastAsia" w:eastAsiaTheme="minorEastAsia" w:cstheme="minorEastAsia"/>
          <w:sz w:val="24"/>
          <w:szCs w:val="24"/>
        </w:rPr>
        <w:t>会议室</w:t>
      </w:r>
      <w:r>
        <w:rPr>
          <w:rFonts w:asciiTheme="minorEastAsia" w:hAnsiTheme="minorEastAsia" w:eastAsiaTheme="minorEastAsia" w:cstheme="minorEastAsia"/>
          <w:sz w:val="24"/>
          <w:szCs w:val="24"/>
        </w:rPr>
        <w:t>、完成系统演示准备并开展演示，评标委员会有权视其自动放弃真实系统演示，</w:t>
      </w:r>
      <w:bookmarkStart w:id="13" w:name="OLE_LINK21"/>
      <w:r>
        <w:rPr>
          <w:rFonts w:asciiTheme="minorEastAsia" w:hAnsiTheme="minorEastAsia" w:eastAsiaTheme="minorEastAsia" w:cstheme="minorEastAsia"/>
          <w:sz w:val="24"/>
          <w:szCs w:val="24"/>
        </w:rPr>
        <w:t>演示项按零分处理。</w:t>
      </w:r>
      <w:bookmarkEnd w:id="13"/>
      <w:r>
        <w:rPr>
          <w:rFonts w:asciiTheme="minorEastAsia" w:hAnsiTheme="minorEastAsia" w:eastAsiaTheme="minorEastAsia" w:cstheme="minorEastAsia"/>
          <w:sz w:val="24"/>
          <w:szCs w:val="24"/>
        </w:rPr>
        <w:t>本次线上演示</w:t>
      </w:r>
      <w:r>
        <w:rPr>
          <w:rFonts w:hint="eastAsia" w:asciiTheme="minorEastAsia" w:hAnsiTheme="minorEastAsia" w:eastAsiaTheme="minorEastAsia" w:cstheme="minorEastAsia"/>
          <w:sz w:val="24"/>
          <w:szCs w:val="24"/>
        </w:rPr>
        <w:t>的</w:t>
      </w:r>
      <w:r>
        <w:rPr>
          <w:rFonts w:asciiTheme="minorEastAsia" w:hAnsiTheme="minorEastAsia" w:eastAsiaTheme="minorEastAsia" w:cstheme="minorEastAsia"/>
          <w:sz w:val="24"/>
          <w:szCs w:val="24"/>
        </w:rPr>
        <w:t>具体</w:t>
      </w:r>
      <w:r>
        <w:rPr>
          <w:rFonts w:hint="eastAsia" w:asciiTheme="minorEastAsia" w:hAnsiTheme="minorEastAsia" w:eastAsiaTheme="minorEastAsia" w:cstheme="minorEastAsia"/>
          <w:sz w:val="24"/>
          <w:szCs w:val="24"/>
        </w:rPr>
        <w:t>时间、</w:t>
      </w:r>
      <w:r>
        <w:rPr>
          <w:rFonts w:asciiTheme="minorEastAsia" w:hAnsiTheme="minorEastAsia" w:eastAsiaTheme="minorEastAsia" w:cstheme="minorEastAsia"/>
          <w:sz w:val="24"/>
          <w:szCs w:val="24"/>
        </w:rPr>
        <w:t>会议链接、登录方式将由采购代理机构提前通知投标人</w:t>
      </w:r>
      <w:r>
        <w:rPr>
          <w:rFonts w:hint="eastAsia" w:asciiTheme="minorEastAsia" w:hAnsiTheme="minorEastAsia" w:eastAsiaTheme="minorEastAsia" w:cstheme="minorEastAsia"/>
          <w:sz w:val="24"/>
          <w:szCs w:val="24"/>
        </w:rPr>
        <w:t>。</w:t>
      </w:r>
    </w:p>
    <w:p w14:paraId="52B9632E">
      <w:pPr>
        <w:pStyle w:val="22"/>
        <w:widowControl/>
        <w:spacing w:line="360" w:lineRule="auto"/>
        <w:ind w:firstLine="480"/>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一）本项目投标人须在评标期间全程配合完成线上远程真实系统演示，投标人需自行提前准备好演示环境及演示系统。本次演示仅限真实系统实时演示，仅采用PPT静态讲解、播放预录视频、图片展示等非实时系统演示形式的，演示项按零分处理。</w:t>
      </w:r>
    </w:p>
    <w:p w14:paraId="69B2D92A">
      <w:pPr>
        <w:pStyle w:val="22"/>
        <w:widowControl/>
        <w:spacing w:line="360" w:lineRule="auto"/>
        <w:ind w:firstLine="480"/>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二）投标人授权委托代理人必须全程参与线上系统演示，演示全程须保持视频、音频开启状态，评标委员会可根据评审需要，随时要求投标人出示身份证原件进行比对核验。本次线上演示参会人员（含授权委托代理人）总人数不得超过3人，演示全程严禁无关人员参与，严禁场外人员协助操控演示系统</w:t>
      </w:r>
      <w:r>
        <w:rPr>
          <w:rFonts w:hint="eastAsia" w:asciiTheme="minorEastAsia" w:hAnsiTheme="minorEastAsia" w:eastAsiaTheme="minorEastAsia" w:cstheme="minorEastAsia"/>
          <w:sz w:val="24"/>
          <w:szCs w:val="24"/>
        </w:rPr>
        <w:t>。</w:t>
      </w:r>
    </w:p>
    <w:p w14:paraId="0D42100E">
      <w:pPr>
        <w:pStyle w:val="22"/>
        <w:widowControl/>
        <w:spacing w:line="360" w:lineRule="auto"/>
        <w:ind w:firstLine="480"/>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三）投标人须自行保障网络通畅、演示设备运行稳定。因投标人自身原因导致网络卡顿、设备故障、操作失误、演示环境异常等问题，造成演示超时、演示中断、无法正常演示的，相关后果由投标人自行承担，评标委员会有权依规判定本次演示无效，演示项按零分处理</w:t>
      </w:r>
      <w:r>
        <w:rPr>
          <w:rFonts w:hint="eastAsia" w:asciiTheme="minorEastAsia" w:hAnsiTheme="minorEastAsia" w:eastAsiaTheme="minorEastAsia" w:cstheme="minorEastAsia"/>
          <w:sz w:val="24"/>
          <w:szCs w:val="24"/>
        </w:rPr>
        <w:t>。</w:t>
      </w:r>
    </w:p>
    <w:p w14:paraId="3A6E9CDD">
      <w:pPr>
        <w:pStyle w:val="22"/>
        <w:widowControl/>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（四）真实系统演示</w:t>
      </w:r>
      <w:r>
        <w:rPr>
          <w:rFonts w:asciiTheme="minorEastAsia" w:hAnsiTheme="minorEastAsia" w:eastAsiaTheme="minorEastAsia" w:cstheme="minorEastAsia"/>
          <w:sz w:val="24"/>
          <w:szCs w:val="24"/>
        </w:rPr>
        <w:t>时长为</w:t>
      </w:r>
      <w:r>
        <w:rPr>
          <w:rFonts w:hint="eastAsia" w:asciiTheme="minorEastAsia" w:hAnsiTheme="minorEastAsia" w:eastAsiaTheme="minorEastAsia" w:cstheme="minorEastAsia"/>
          <w:sz w:val="24"/>
          <w:szCs w:val="24"/>
        </w:rPr>
        <w:t>20分钟。</w:t>
      </w:r>
      <w:r>
        <w:rPr>
          <w:rFonts w:asciiTheme="minorEastAsia" w:hAnsiTheme="minorEastAsia" w:eastAsiaTheme="minorEastAsia" w:cstheme="minorEastAsia"/>
          <w:sz w:val="24"/>
          <w:szCs w:val="24"/>
        </w:rPr>
        <w:t>投标人演示顺序按照《开标一览表》排序依次进行</w:t>
      </w:r>
      <w:r>
        <w:rPr>
          <w:rFonts w:hint="eastAsia" w:asciiTheme="minorEastAsia" w:hAnsiTheme="minorEastAsia" w:eastAsiaTheme="minorEastAsia" w:cstheme="minorEastAsia"/>
          <w:sz w:val="24"/>
          <w:szCs w:val="24"/>
        </w:rPr>
        <w:t>。</w:t>
      </w:r>
    </w:p>
    <w:p w14:paraId="40849178">
      <w:pPr>
        <w:pStyle w:val="22"/>
        <w:widowControl/>
        <w:spacing w:line="360" w:lineRule="auto"/>
        <w:ind w:firstLine="48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（五）真实系统演示内容：</w:t>
      </w:r>
    </w:p>
    <w:p w14:paraId="38CD7180">
      <w:pPr>
        <w:spacing w:line="360" w:lineRule="auto"/>
        <w:ind w:firstLine="501" w:firstLineChars="209"/>
        <w:rPr>
          <w:rFonts w:hint="eastAsia" w:asciiTheme="minorEastAsia" w:hAnsiTheme="minorEastAsia" w:eastAsiaTheme="minorEastAsia" w:cstheme="minorEastAsia"/>
          <w:lang w:bidi="ar"/>
        </w:rPr>
      </w:pPr>
      <w:r>
        <w:rPr>
          <w:rFonts w:hint="eastAsia" w:asciiTheme="minorEastAsia" w:hAnsiTheme="minorEastAsia" w:eastAsiaTheme="minorEastAsia" w:cstheme="minorEastAsia"/>
          <w:lang w:bidi="ar"/>
        </w:rPr>
        <w:t>根据系统功能需求，</w:t>
      </w:r>
      <w:r>
        <w:rPr>
          <w:rFonts w:asciiTheme="minorEastAsia" w:hAnsiTheme="minorEastAsia" w:eastAsiaTheme="minorEastAsia" w:cstheme="minorEastAsia"/>
          <w:lang w:bidi="ar"/>
        </w:rPr>
        <w:t>演示方式采用</w:t>
      </w:r>
      <w:r>
        <w:rPr>
          <w:rFonts w:asciiTheme="minorEastAsia" w:hAnsiTheme="minorEastAsia" w:eastAsiaTheme="minorEastAsia" w:cstheme="minorEastAsia"/>
        </w:rPr>
        <w:t>线上远程</w:t>
      </w:r>
      <w:r>
        <w:rPr>
          <w:rFonts w:asciiTheme="minorEastAsia" w:hAnsiTheme="minorEastAsia" w:eastAsiaTheme="minorEastAsia" w:cstheme="minorEastAsia"/>
          <w:lang w:bidi="ar"/>
        </w:rPr>
        <w:t>真实系统演示</w:t>
      </w:r>
      <w:bookmarkStart w:id="14" w:name="OLE_LINK23"/>
      <w:r>
        <w:rPr>
          <w:rFonts w:asciiTheme="minorEastAsia" w:hAnsiTheme="minorEastAsia" w:eastAsiaTheme="minorEastAsia" w:cstheme="minorEastAsia"/>
          <w:lang w:bidi="ar"/>
        </w:rPr>
        <w:t>（</w:t>
      </w:r>
      <w:r>
        <w:rPr>
          <w:rFonts w:asciiTheme="minorEastAsia" w:hAnsiTheme="minorEastAsia" w:eastAsiaTheme="minorEastAsia" w:cstheme="minorEastAsia"/>
        </w:rPr>
        <w:t>仅使用PPT静态讲解、播放预录视频、图片展示等非实时系统演示形式的，演示项按零分处理</w:t>
      </w:r>
      <w:r>
        <w:rPr>
          <w:rFonts w:asciiTheme="minorEastAsia" w:hAnsiTheme="minorEastAsia" w:eastAsiaTheme="minorEastAsia" w:cstheme="minorEastAsia"/>
          <w:lang w:bidi="ar"/>
        </w:rPr>
        <w:t>）</w:t>
      </w:r>
      <w:bookmarkEnd w:id="14"/>
      <w:r>
        <w:rPr>
          <w:rFonts w:hint="eastAsia" w:asciiTheme="minorEastAsia" w:hAnsiTheme="minorEastAsia" w:eastAsiaTheme="minorEastAsia" w:cstheme="minorEastAsia"/>
          <w:lang w:bidi="ar"/>
        </w:rPr>
        <w:t>，10个演示系统功能如下：</w:t>
      </w:r>
    </w:p>
    <w:p w14:paraId="3C880B39">
      <w:pPr>
        <w:pStyle w:val="2"/>
        <w:spacing w:line="360" w:lineRule="auto"/>
        <w:ind w:left="163" w:firstLine="480" w:firstLineChars="200"/>
        <w:rPr>
          <w:rFonts w:hint="eastAsia" w:asciiTheme="minorEastAsia" w:hAnsiTheme="minorEastAsia" w:eastAsiaTheme="minorEastAsia" w:cstheme="minorEastAsia"/>
          <w:lang w:bidi="ar"/>
        </w:rPr>
      </w:pPr>
      <w:bookmarkStart w:id="15" w:name="OLE_LINK10"/>
      <w:bookmarkStart w:id="16" w:name="OLE_LINK16"/>
      <w:r>
        <w:rPr>
          <w:rFonts w:asciiTheme="minorEastAsia" w:hAnsiTheme="minorEastAsia" w:eastAsiaTheme="minorEastAsia" w:cstheme="minorEastAsia"/>
          <w:lang w:bidi="ar"/>
        </w:rPr>
        <w:t>1）低空飞行</w:t>
      </w:r>
      <w:r>
        <w:rPr>
          <w:rFonts w:hint="eastAsia" w:asciiTheme="minorEastAsia" w:hAnsiTheme="minorEastAsia" w:eastAsiaTheme="minorEastAsia" w:cstheme="minorEastAsia"/>
          <w:lang w:bidi="ar"/>
        </w:rPr>
        <w:t>管理与服务</w:t>
      </w:r>
      <w:r>
        <w:rPr>
          <w:rFonts w:asciiTheme="minorEastAsia" w:hAnsiTheme="minorEastAsia" w:eastAsiaTheme="minorEastAsia" w:cstheme="minorEastAsia"/>
          <w:lang w:bidi="ar"/>
        </w:rPr>
        <w:t>平台演示</w:t>
      </w:r>
    </w:p>
    <w:bookmarkEnd w:id="15"/>
    <w:p w14:paraId="4A236DBC">
      <w:pPr>
        <w:pStyle w:val="2"/>
        <w:spacing w:line="360" w:lineRule="auto"/>
        <w:ind w:left="163" w:firstLine="480" w:firstLineChars="200"/>
        <w:rPr>
          <w:rFonts w:hint="eastAsia" w:asciiTheme="minorEastAsia" w:hAnsiTheme="minorEastAsia" w:eastAsiaTheme="minorEastAsia" w:cstheme="minorEastAsia"/>
          <w:lang w:bidi="ar"/>
        </w:rPr>
      </w:pPr>
      <w:bookmarkStart w:id="17" w:name="OLE_LINK17"/>
      <w:r>
        <w:rPr>
          <w:rFonts w:asciiTheme="minorEastAsia" w:hAnsiTheme="minorEastAsia" w:eastAsiaTheme="minorEastAsia" w:cstheme="minorEastAsia"/>
          <w:lang w:bidi="ar"/>
        </w:rPr>
        <w:t>①</w:t>
      </w:r>
      <w:bookmarkEnd w:id="17"/>
      <w:r>
        <w:rPr>
          <w:rFonts w:asciiTheme="minorEastAsia" w:hAnsiTheme="minorEastAsia" w:eastAsiaTheme="minorEastAsia" w:cstheme="minorEastAsia"/>
          <w:lang w:bidi="ar"/>
        </w:rPr>
        <w:t>飞行计划智能辅助风险评估</w:t>
      </w:r>
      <w:r>
        <w:rPr>
          <w:rFonts w:hint="eastAsia" w:asciiTheme="minorEastAsia" w:hAnsiTheme="minorEastAsia" w:eastAsiaTheme="minorEastAsia" w:cstheme="minorEastAsia"/>
          <w:lang w:bidi="ar"/>
        </w:rPr>
        <w:t>：</w:t>
      </w:r>
      <w:bookmarkStart w:id="18" w:name="OLE_LINK15"/>
      <w:r>
        <w:rPr>
          <w:rFonts w:asciiTheme="minorEastAsia" w:hAnsiTheme="minorEastAsia" w:eastAsiaTheme="minorEastAsia" w:cstheme="minorEastAsia"/>
          <w:lang w:bidi="ar"/>
        </w:rPr>
        <w:t>可对用户提交的飞行计划开展</w:t>
      </w:r>
      <w:r>
        <w:rPr>
          <w:rFonts w:hint="eastAsia" w:asciiTheme="minorEastAsia" w:hAnsiTheme="minorEastAsia" w:eastAsiaTheme="minorEastAsia" w:cstheme="minorEastAsia"/>
          <w:lang w:bidi="ar"/>
        </w:rPr>
        <w:t>智能辅助</w:t>
      </w:r>
      <w:r>
        <w:rPr>
          <w:rFonts w:asciiTheme="minorEastAsia" w:hAnsiTheme="minorEastAsia" w:eastAsiaTheme="minorEastAsia" w:cstheme="minorEastAsia"/>
          <w:lang w:bidi="ar"/>
        </w:rPr>
        <w:t>评估，包含</w:t>
      </w:r>
      <w:r>
        <w:rPr>
          <w:rFonts w:hint="eastAsia" w:asciiTheme="minorEastAsia" w:hAnsiTheme="minorEastAsia" w:eastAsiaTheme="minorEastAsia" w:cstheme="minorEastAsia"/>
          <w:lang w:bidi="ar"/>
        </w:rPr>
        <w:t>运营</w:t>
      </w:r>
      <w:r>
        <w:rPr>
          <w:rFonts w:asciiTheme="minorEastAsia" w:hAnsiTheme="minorEastAsia" w:eastAsiaTheme="minorEastAsia" w:cstheme="minorEastAsia"/>
          <w:lang w:bidi="ar"/>
        </w:rPr>
        <w:t>主体资质</w:t>
      </w:r>
      <w:r>
        <w:rPr>
          <w:rFonts w:hint="eastAsia" w:asciiTheme="minorEastAsia" w:hAnsiTheme="minorEastAsia" w:eastAsiaTheme="minorEastAsia" w:cstheme="minorEastAsia"/>
          <w:lang w:bidi="ar"/>
        </w:rPr>
        <w:t>评估</w:t>
      </w:r>
      <w:r>
        <w:rPr>
          <w:rFonts w:asciiTheme="minorEastAsia" w:hAnsiTheme="minorEastAsia" w:eastAsiaTheme="minorEastAsia" w:cstheme="minorEastAsia"/>
          <w:lang w:bidi="ar"/>
        </w:rPr>
        <w:t>、空域使用合规性评估、飞行计划冲突评估、障碍物冲突评估、气象条件评估，</w:t>
      </w:r>
      <w:r>
        <w:rPr>
          <w:rFonts w:hint="eastAsia" w:asciiTheme="minorEastAsia" w:hAnsiTheme="minorEastAsia" w:eastAsiaTheme="minorEastAsia" w:cstheme="minorEastAsia"/>
          <w:lang w:bidi="ar"/>
        </w:rPr>
        <w:t>并给出评估结果</w:t>
      </w:r>
      <w:r>
        <w:rPr>
          <w:rFonts w:asciiTheme="minorEastAsia" w:hAnsiTheme="minorEastAsia" w:eastAsiaTheme="minorEastAsia" w:cstheme="minorEastAsia"/>
          <w:lang w:bidi="ar"/>
        </w:rPr>
        <w:t>。</w:t>
      </w:r>
      <w:bookmarkEnd w:id="18"/>
    </w:p>
    <w:p w14:paraId="4C35B1F1">
      <w:pPr>
        <w:pStyle w:val="2"/>
        <w:spacing w:line="360" w:lineRule="auto"/>
        <w:ind w:left="163" w:firstLine="480" w:firstLineChars="200"/>
        <w:rPr>
          <w:rFonts w:hint="eastAsia" w:asciiTheme="minorEastAsia" w:hAnsiTheme="minorEastAsia" w:eastAsiaTheme="minorEastAsia" w:cstheme="minorEastAsia"/>
          <w:lang w:bidi="ar"/>
        </w:rPr>
      </w:pPr>
      <w:r>
        <w:rPr>
          <w:rFonts w:asciiTheme="minorEastAsia" w:hAnsiTheme="minorEastAsia" w:eastAsiaTheme="minorEastAsia" w:cstheme="minorEastAsia"/>
          <w:lang w:bidi="ar"/>
        </w:rPr>
        <w:t>②飞行计划可视化仿真推演</w:t>
      </w:r>
      <w:r>
        <w:rPr>
          <w:rFonts w:hint="eastAsia" w:asciiTheme="minorEastAsia" w:hAnsiTheme="minorEastAsia" w:eastAsiaTheme="minorEastAsia" w:cstheme="minorEastAsia"/>
          <w:lang w:bidi="ar"/>
        </w:rPr>
        <w:t>：根据飞行计划信息，</w:t>
      </w:r>
      <w:r>
        <w:rPr>
          <w:rFonts w:asciiTheme="minorEastAsia" w:hAnsiTheme="minorEastAsia" w:eastAsiaTheme="minorEastAsia" w:cstheme="minorEastAsia"/>
          <w:lang w:bidi="ar"/>
        </w:rPr>
        <w:t>依托图形化界面完整展示飞行方案，配备倍速播放、快进、暂停控制功能。</w:t>
      </w:r>
    </w:p>
    <w:p w14:paraId="42F852ED">
      <w:pPr>
        <w:pStyle w:val="2"/>
        <w:spacing w:line="360" w:lineRule="auto"/>
        <w:ind w:left="163" w:firstLine="480" w:firstLineChars="200"/>
        <w:rPr>
          <w:rFonts w:hint="eastAsia" w:asciiTheme="minorEastAsia" w:hAnsiTheme="minorEastAsia" w:eastAsiaTheme="minorEastAsia" w:cstheme="minorEastAsia"/>
        </w:rPr>
      </w:pPr>
      <w:r>
        <w:rPr>
          <w:rFonts w:asciiTheme="minorEastAsia" w:hAnsiTheme="minorEastAsia" w:eastAsiaTheme="minorEastAsia" w:cstheme="minorEastAsia"/>
        </w:rPr>
        <w:t>（2）低空一网统飞平台演示</w:t>
      </w:r>
    </w:p>
    <w:p w14:paraId="4B9228E9">
      <w:pPr>
        <w:pStyle w:val="2"/>
        <w:spacing w:line="360" w:lineRule="auto"/>
        <w:ind w:left="163"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③</w:t>
      </w:r>
      <w:r>
        <w:rPr>
          <w:rFonts w:asciiTheme="minorEastAsia" w:hAnsiTheme="minorEastAsia" w:eastAsiaTheme="minorEastAsia" w:cstheme="minorEastAsia"/>
        </w:rPr>
        <w:t>全域地图标注</w:t>
      </w:r>
      <w:r>
        <w:rPr>
          <w:rFonts w:hint="eastAsia" w:asciiTheme="minorEastAsia" w:hAnsiTheme="minorEastAsia" w:eastAsiaTheme="minorEastAsia" w:cstheme="minorEastAsia"/>
        </w:rPr>
        <w:t>：</w:t>
      </w:r>
      <w:r>
        <w:rPr>
          <w:rFonts w:asciiTheme="minorEastAsia" w:hAnsiTheme="minorEastAsia" w:eastAsiaTheme="minorEastAsia" w:cstheme="minorEastAsia"/>
        </w:rPr>
        <w:t>可在地图上</w:t>
      </w:r>
      <w:r>
        <w:rPr>
          <w:rFonts w:hint="eastAsia" w:asciiTheme="minorEastAsia" w:hAnsiTheme="minorEastAsia" w:eastAsiaTheme="minorEastAsia" w:cstheme="minorEastAsia"/>
        </w:rPr>
        <w:t>展示</w:t>
      </w:r>
      <w:r>
        <w:rPr>
          <w:rFonts w:asciiTheme="minorEastAsia" w:hAnsiTheme="minorEastAsia" w:eastAsiaTheme="minorEastAsia" w:cstheme="minorEastAsia"/>
        </w:rPr>
        <w:t>标记</w:t>
      </w:r>
      <w:r>
        <w:rPr>
          <w:rFonts w:hint="eastAsia" w:asciiTheme="minorEastAsia" w:hAnsiTheme="minorEastAsia" w:eastAsiaTheme="minorEastAsia" w:cstheme="minorEastAsia"/>
        </w:rPr>
        <w:t>的</w:t>
      </w:r>
      <w:r>
        <w:rPr>
          <w:rFonts w:asciiTheme="minorEastAsia" w:hAnsiTheme="minorEastAsia" w:eastAsiaTheme="minorEastAsia" w:cstheme="minorEastAsia"/>
        </w:rPr>
        <w:t>全域关键地物信息</w:t>
      </w:r>
      <w:r>
        <w:rPr>
          <w:rFonts w:hint="eastAsia" w:asciiTheme="minorEastAsia" w:hAnsiTheme="minorEastAsia" w:eastAsiaTheme="minorEastAsia" w:cstheme="minorEastAsia"/>
        </w:rPr>
        <w:t>,如</w:t>
      </w:r>
      <w:r>
        <w:rPr>
          <w:rFonts w:asciiTheme="minorEastAsia" w:hAnsiTheme="minorEastAsia" w:eastAsiaTheme="minorEastAsia" w:cstheme="minorEastAsia"/>
        </w:rPr>
        <w:t>牧场、景点、沟口、养殖场、牧业公司、防火区、自然保护区、电厂等，实现“一张图”可视化管理。</w:t>
      </w:r>
    </w:p>
    <w:p w14:paraId="4138522E">
      <w:pPr>
        <w:pStyle w:val="2"/>
        <w:spacing w:line="360" w:lineRule="auto"/>
        <w:ind w:left="163"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④</w:t>
      </w:r>
      <w:r>
        <w:rPr>
          <w:rFonts w:asciiTheme="minorEastAsia" w:hAnsiTheme="minorEastAsia" w:eastAsiaTheme="minorEastAsia" w:cstheme="minorEastAsia"/>
        </w:rPr>
        <w:t>多源地理数据加载</w:t>
      </w:r>
      <w:r>
        <w:rPr>
          <w:rFonts w:hint="eastAsia" w:asciiTheme="minorEastAsia" w:hAnsiTheme="minorEastAsia" w:eastAsiaTheme="minorEastAsia" w:cstheme="minorEastAsia"/>
        </w:rPr>
        <w:t>：</w:t>
      </w:r>
      <w:r>
        <w:rPr>
          <w:rFonts w:asciiTheme="minorEastAsia" w:hAnsiTheme="minorEastAsia" w:eastAsiaTheme="minorEastAsia" w:cstheme="minorEastAsia"/>
        </w:rPr>
        <w:t>可</w:t>
      </w:r>
      <w:r>
        <w:rPr>
          <w:rFonts w:hint="eastAsia" w:asciiTheme="minorEastAsia" w:hAnsiTheme="minorEastAsia" w:eastAsiaTheme="minorEastAsia" w:cstheme="minorEastAsia"/>
        </w:rPr>
        <w:t>在地图上</w:t>
      </w:r>
      <w:r>
        <w:rPr>
          <w:rFonts w:asciiTheme="minorEastAsia" w:hAnsiTheme="minorEastAsia" w:eastAsiaTheme="minorEastAsia" w:cstheme="minorEastAsia"/>
        </w:rPr>
        <w:t>加载并展示自然保护区、渡阴山路线、图斑、基本农田、机电井、湿地公园、林草变化图斑、黄河等矢量图层；支持三维</w:t>
      </w:r>
      <w:r>
        <w:rPr>
          <w:rFonts w:hint="eastAsia" w:asciiTheme="minorEastAsia" w:hAnsiTheme="minorEastAsia" w:eastAsiaTheme="minorEastAsia" w:cstheme="minorEastAsia"/>
        </w:rPr>
        <w:t>地图</w:t>
      </w:r>
      <w:r>
        <w:rPr>
          <w:rFonts w:asciiTheme="minorEastAsia" w:hAnsiTheme="minorEastAsia" w:eastAsiaTheme="minorEastAsia" w:cstheme="minorEastAsia"/>
        </w:rPr>
        <w:t>模型加载与展示。</w:t>
      </w:r>
    </w:p>
    <w:p w14:paraId="28B578E4">
      <w:pPr>
        <w:pStyle w:val="2"/>
        <w:spacing w:line="360" w:lineRule="auto"/>
        <w:ind w:left="163"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⑤A</w:t>
      </w:r>
      <w:r>
        <w:rPr>
          <w:rFonts w:asciiTheme="minorEastAsia" w:hAnsiTheme="minorEastAsia" w:eastAsiaTheme="minorEastAsia" w:cstheme="minorEastAsia"/>
        </w:rPr>
        <w:t>I</w:t>
      </w:r>
      <w:r>
        <w:rPr>
          <w:rFonts w:hint="eastAsia" w:asciiTheme="minorEastAsia" w:hAnsiTheme="minorEastAsia" w:eastAsiaTheme="minorEastAsia" w:cstheme="minorEastAsia"/>
        </w:rPr>
        <w:t>算法管理：</w:t>
      </w:r>
      <w:bookmarkStart w:id="19" w:name="OLE_LINK22"/>
      <w:r>
        <w:rPr>
          <w:rFonts w:hint="eastAsia" w:asciiTheme="minorEastAsia" w:hAnsiTheme="minorEastAsia" w:eastAsiaTheme="minorEastAsia" w:cstheme="minorEastAsia"/>
        </w:rPr>
        <w:t>平台内置横幅识别、羊群检测、牛群检测、牧场粪池管理等AI算法，能够展示算法分析视频</w:t>
      </w:r>
      <w:bookmarkEnd w:id="19"/>
      <w:r>
        <w:rPr>
          <w:rFonts w:hint="eastAsia" w:asciiTheme="minorEastAsia" w:hAnsiTheme="minorEastAsia" w:eastAsiaTheme="minorEastAsia" w:cstheme="minorEastAsia"/>
        </w:rPr>
        <w:t>。</w:t>
      </w:r>
    </w:p>
    <w:p w14:paraId="54EB95EC">
      <w:pPr>
        <w:pStyle w:val="2"/>
        <w:spacing w:line="360" w:lineRule="auto"/>
        <w:ind w:left="163"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⑥黄河禁渔期巡查：</w:t>
      </w:r>
      <w:bookmarkStart w:id="20" w:name="OLE_LINK18"/>
      <w:r>
        <w:rPr>
          <w:rFonts w:hint="eastAsia" w:asciiTheme="minorEastAsia" w:hAnsiTheme="minorEastAsia" w:eastAsiaTheme="minorEastAsia" w:cstheme="minorEastAsia"/>
        </w:rPr>
        <w:t>平台能够创建飞行任务进行黄河河道无人机巡航，实时回传的河岸视频画面；调用AI算法实时识别岸边水文船、渔船，发现渔船，触发告警，生成巡检报告</w:t>
      </w:r>
      <w:bookmarkEnd w:id="20"/>
      <w:r>
        <w:rPr>
          <w:rFonts w:hint="eastAsia" w:asciiTheme="minorEastAsia" w:hAnsiTheme="minorEastAsia" w:eastAsiaTheme="minorEastAsia" w:cstheme="minorEastAsia"/>
        </w:rPr>
        <w:t>。</w:t>
      </w:r>
    </w:p>
    <w:p w14:paraId="6CE3696E">
      <w:pPr>
        <w:pStyle w:val="2"/>
        <w:spacing w:line="360" w:lineRule="auto"/>
        <w:ind w:left="163" w:firstLine="480" w:firstLineChars="200"/>
        <w:rPr>
          <w:rFonts w:hint="eastAsia" w:asciiTheme="minorEastAsia" w:hAnsiTheme="minorEastAsia" w:eastAsiaTheme="minorEastAsia" w:cstheme="minorEastAsia"/>
          <w:lang w:bidi="ar"/>
        </w:rPr>
      </w:pPr>
      <w:r>
        <w:rPr>
          <w:rFonts w:hint="eastAsia" w:asciiTheme="minorEastAsia" w:hAnsiTheme="minorEastAsia" w:eastAsiaTheme="minorEastAsia" w:cstheme="minorEastAsia"/>
          <w:lang w:bidi="ar"/>
        </w:rPr>
        <w:t>3</w:t>
      </w:r>
      <w:r>
        <w:rPr>
          <w:rFonts w:asciiTheme="minorEastAsia" w:hAnsiTheme="minorEastAsia" w:eastAsiaTheme="minorEastAsia" w:cstheme="minorEastAsia"/>
          <w:lang w:bidi="ar"/>
        </w:rPr>
        <w:t>）低空飞行</w:t>
      </w:r>
      <w:r>
        <w:rPr>
          <w:rFonts w:hint="eastAsia" w:asciiTheme="minorEastAsia" w:hAnsiTheme="minorEastAsia" w:eastAsiaTheme="minorEastAsia" w:cstheme="minorEastAsia"/>
          <w:lang w:bidi="ar"/>
        </w:rPr>
        <w:t>安全监管平台</w:t>
      </w:r>
      <w:r>
        <w:rPr>
          <w:rFonts w:asciiTheme="minorEastAsia" w:hAnsiTheme="minorEastAsia" w:eastAsiaTheme="minorEastAsia" w:cstheme="minorEastAsia"/>
          <w:lang w:bidi="ar"/>
        </w:rPr>
        <w:t>演示</w:t>
      </w:r>
    </w:p>
    <w:p w14:paraId="6B5093F9">
      <w:pPr>
        <w:pStyle w:val="2"/>
        <w:spacing w:line="360" w:lineRule="auto"/>
        <w:ind w:left="163" w:firstLine="480" w:firstLineChars="200"/>
        <w:rPr>
          <w:rFonts w:hint="eastAsia" w:asciiTheme="minorEastAsia" w:hAnsiTheme="minorEastAsia" w:eastAsiaTheme="minorEastAsia" w:cstheme="minorEastAsia"/>
        </w:rPr>
      </w:pPr>
      <w:bookmarkStart w:id="21" w:name="OLE_LINK19"/>
      <w:r>
        <w:rPr>
          <w:rFonts w:hint="eastAsia" w:ascii="Cambria Math" w:hAnsi="Cambria Math" w:cs="Cambria Math" w:eastAsiaTheme="minorEastAsia"/>
        </w:rPr>
        <w:t>⑦</w:t>
      </w:r>
      <w:bookmarkEnd w:id="21"/>
      <w:r>
        <w:rPr>
          <w:rFonts w:hint="eastAsia" w:asciiTheme="minorEastAsia" w:hAnsiTheme="minorEastAsia" w:eastAsiaTheme="minorEastAsia" w:cstheme="minorEastAsia"/>
        </w:rPr>
        <w:t>实时监控模块演示：依托电子地图呈现低空态势一张图，展示监管设备部署点位、运行状态与监视覆盖范围；实时标绘无人机飞行轨迹与位置、高度、速度等动态参数；支持二维码扫描导航至目标位置；违规飞行触发专项任务或超高飞行，自动告警，可联动设备跟踪处置；支持多类业务图层切换控制。</w:t>
      </w:r>
    </w:p>
    <w:p w14:paraId="0D49B0C5">
      <w:pPr>
        <w:pStyle w:val="2"/>
        <w:spacing w:line="360" w:lineRule="auto"/>
        <w:ind w:left="163" w:firstLine="480" w:firstLineChars="200"/>
        <w:rPr>
          <w:rFonts w:hint="eastAsia" w:asciiTheme="minorEastAsia" w:hAnsiTheme="minorEastAsia" w:eastAsiaTheme="minorEastAsia" w:cstheme="minorEastAsia"/>
        </w:rPr>
      </w:pPr>
      <w:r>
        <w:rPr>
          <w:rFonts w:hint="eastAsia" w:ascii="Cambria Math" w:hAnsi="Cambria Math" w:cs="Cambria Math" w:eastAsiaTheme="minorEastAsia"/>
        </w:rPr>
        <w:t>⑧</w:t>
      </w:r>
      <w:r>
        <w:rPr>
          <w:rFonts w:hint="eastAsia" w:asciiTheme="minorEastAsia" w:hAnsiTheme="minorEastAsia" w:eastAsiaTheme="minorEastAsia" w:cstheme="minorEastAsia"/>
        </w:rPr>
        <w:t>专项任务模块演示：</w:t>
      </w:r>
      <w:bookmarkStart w:id="22" w:name="OLE_LINK13"/>
      <w:bookmarkStart w:id="23" w:name="OLE_LINK28"/>
      <w:r>
        <w:rPr>
          <w:rFonts w:hint="eastAsia" w:asciiTheme="minorEastAsia" w:hAnsiTheme="minorEastAsia" w:eastAsiaTheme="minorEastAsia" w:cstheme="minorEastAsia"/>
        </w:rPr>
        <w:t>支持自设区域防控专项任务；支持任务列表集中查看，可自定义创建任务，配置管控区域、执行时段等</w:t>
      </w:r>
      <w:bookmarkEnd w:id="22"/>
      <w:r>
        <w:rPr>
          <w:rFonts w:hint="eastAsia" w:asciiTheme="minorEastAsia" w:hAnsiTheme="minorEastAsia" w:eastAsiaTheme="minorEastAsia" w:cstheme="minorEastAsia"/>
        </w:rPr>
        <w:t>。</w:t>
      </w:r>
      <w:bookmarkEnd w:id="23"/>
    </w:p>
    <w:p w14:paraId="5F0F2C0A">
      <w:pPr>
        <w:pStyle w:val="2"/>
        <w:spacing w:line="360" w:lineRule="auto"/>
        <w:ind w:left="163" w:firstLine="480" w:firstLineChars="200"/>
        <w:rPr>
          <w:rFonts w:hint="eastAsia" w:asciiTheme="minorEastAsia" w:hAnsiTheme="minorEastAsia" w:eastAsiaTheme="minorEastAsia" w:cstheme="minorEastAsia"/>
        </w:rPr>
      </w:pPr>
      <w:r>
        <w:rPr>
          <w:rFonts w:asciiTheme="minorEastAsia" w:hAnsiTheme="minorEastAsia" w:eastAsiaTheme="minorEastAsia" w:cstheme="minorEastAsia"/>
        </w:rPr>
        <w:t>（</w:t>
      </w:r>
      <w:r>
        <w:rPr>
          <w:rFonts w:hint="eastAsia" w:asciiTheme="minorEastAsia" w:hAnsiTheme="minorEastAsia" w:eastAsiaTheme="minorEastAsia" w:cstheme="minorEastAsia"/>
        </w:rPr>
        <w:t>4</w:t>
      </w:r>
      <w:r>
        <w:rPr>
          <w:rFonts w:asciiTheme="minorEastAsia" w:hAnsiTheme="minorEastAsia" w:eastAsiaTheme="minorEastAsia" w:cstheme="minorEastAsia"/>
        </w:rPr>
        <w:t>）平台联动演示</w:t>
      </w:r>
    </w:p>
    <w:p w14:paraId="6419577E">
      <w:pPr>
        <w:pStyle w:val="2"/>
        <w:spacing w:line="360" w:lineRule="auto"/>
        <w:ind w:left="163"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⑨</w:t>
      </w:r>
      <w:r>
        <w:rPr>
          <w:rFonts w:asciiTheme="minorEastAsia" w:hAnsiTheme="minorEastAsia" w:eastAsiaTheme="minorEastAsia" w:cstheme="minorEastAsia"/>
        </w:rPr>
        <w:t>低空一网统飞平台创建的飞行任务，可自动生成飞行计划申请并实时推送至低空飞行管理与服务平台；平台审批状态可反向同步至低空一网统飞平台，实现业务双向联动。</w:t>
      </w:r>
    </w:p>
    <w:p w14:paraId="3B3E7123">
      <w:pPr>
        <w:pStyle w:val="2"/>
        <w:spacing w:line="360" w:lineRule="auto"/>
        <w:ind w:left="163"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⑩</w:t>
      </w:r>
      <w:r>
        <w:rPr>
          <w:rFonts w:asciiTheme="minorEastAsia" w:hAnsiTheme="minorEastAsia" w:eastAsiaTheme="minorEastAsia" w:cstheme="minorEastAsia"/>
        </w:rPr>
        <w:t>低空一网统飞平台接入的无人机飞行动态数据，可实时推送至低空飞行管理与服务平台，推送内容包含设备型号、设备SN码、飞行位置经纬度、飞行高度、飞行速度等飞行参数。</w:t>
      </w:r>
      <w:bookmarkEnd w:id="16"/>
    </w:p>
    <w:p w14:paraId="658728EC">
      <w:pPr>
        <w:pStyle w:val="3"/>
        <w:ind w:firstLine="0" w:firstLineChars="0"/>
        <w:rPr>
          <w:rFonts w:hint="eastAsia" w:ascii="宋体" w:hAnsi="宋体" w:eastAsia="宋体" w:cs="宋体"/>
          <w:color w:val="auto"/>
        </w:rPr>
      </w:pPr>
      <w:r>
        <w:rPr>
          <w:rFonts w:hint="eastAsia" w:ascii="宋体" w:hAnsi="宋体" w:eastAsia="宋体" w:cs="宋体"/>
          <w:color w:val="auto"/>
        </w:rPr>
        <w:t>七</w:t>
      </w:r>
      <w:r>
        <w:rPr>
          <w:rFonts w:ascii="宋体" w:hAnsi="宋体" w:eastAsia="宋体" w:cs="宋体"/>
          <w:color w:val="auto"/>
        </w:rPr>
        <w:t>、关于联合体投标</w:t>
      </w:r>
    </w:p>
    <w:p w14:paraId="0D39E471">
      <w:pPr>
        <w:pStyle w:val="22"/>
        <w:widowControl/>
        <w:spacing w:line="360" w:lineRule="auto"/>
        <w:ind w:firstLine="480"/>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本项目不接受联合体投标</w:t>
      </w:r>
      <w:r>
        <w:rPr>
          <w:rFonts w:hint="eastAsia" w:asciiTheme="minorEastAsia" w:hAnsiTheme="minorEastAsia" w:eastAsiaTheme="minorEastAsia" w:cstheme="minorEastAsia"/>
          <w:sz w:val="24"/>
          <w:szCs w:val="24"/>
        </w:rPr>
        <w:t>。</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91127">
    <w:pPr>
      <w:pStyle w:val="11"/>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BA69C0F">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BA69C0F">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BDF6D">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A11BA">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77A21">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1D13D">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4C816">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43A94"/>
    <w:multiLevelType w:val="singleLevel"/>
    <w:tmpl w:val="B5E43A94"/>
    <w:lvl w:ilvl="0" w:tentative="0">
      <w:start w:val="1"/>
      <w:numFmt w:val="lowerRoman"/>
      <w:suff w:val="space"/>
      <w:lvlText w:val="%1."/>
      <w:lvlJc w:val="right"/>
      <w:pPr>
        <w:ind w:left="440" w:hanging="440"/>
      </w:pPr>
      <w:rPr>
        <w:rFonts w:hint="default"/>
      </w:rPr>
    </w:lvl>
  </w:abstractNum>
  <w:abstractNum w:abstractNumId="1">
    <w:nsid w:val="05A95AE2"/>
    <w:multiLevelType w:val="singleLevel"/>
    <w:tmpl w:val="05A95AE2"/>
    <w:lvl w:ilvl="0" w:tentative="0">
      <w:start w:val="1"/>
      <w:numFmt w:val="bullet"/>
      <w:lvlText w:val=""/>
      <w:lvlJc w:val="left"/>
      <w:pPr>
        <w:ind w:left="420" w:hanging="420"/>
      </w:pPr>
      <w:rPr>
        <w:rFonts w:hint="default" w:ascii="Wingdings" w:hAnsi="Wingdings"/>
      </w:rPr>
    </w:lvl>
  </w:abstractNum>
  <w:abstractNum w:abstractNumId="2">
    <w:nsid w:val="088035B1"/>
    <w:multiLevelType w:val="multilevel"/>
    <w:tmpl w:val="088035B1"/>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0B0BB923"/>
    <w:multiLevelType w:val="singleLevel"/>
    <w:tmpl w:val="0B0BB923"/>
    <w:lvl w:ilvl="0" w:tentative="0">
      <w:start w:val="1"/>
      <w:numFmt w:val="lowerRoman"/>
      <w:suff w:val="space"/>
      <w:lvlText w:val="%1."/>
      <w:lvlJc w:val="right"/>
      <w:pPr>
        <w:ind w:left="440" w:hanging="440"/>
      </w:pPr>
      <w:rPr>
        <w:rFonts w:hint="default"/>
      </w:rPr>
    </w:lvl>
  </w:abstractNum>
  <w:abstractNum w:abstractNumId="4">
    <w:nsid w:val="0F5D5BBF"/>
    <w:multiLevelType w:val="singleLevel"/>
    <w:tmpl w:val="0F5D5BBF"/>
    <w:lvl w:ilvl="0" w:tentative="0">
      <w:start w:val="1"/>
      <w:numFmt w:val="bullet"/>
      <w:lvlText w:val=""/>
      <w:lvlJc w:val="left"/>
      <w:pPr>
        <w:ind w:left="420" w:hanging="420"/>
      </w:pPr>
      <w:rPr>
        <w:rFonts w:hint="default" w:ascii="Wingdings" w:hAnsi="Wingdings"/>
      </w:rPr>
    </w:lvl>
  </w:abstractNum>
  <w:abstractNum w:abstractNumId="5">
    <w:nsid w:val="10CB1744"/>
    <w:multiLevelType w:val="singleLevel"/>
    <w:tmpl w:val="10CB1744"/>
    <w:lvl w:ilvl="0" w:tentative="0">
      <w:start w:val="1"/>
      <w:numFmt w:val="lowerRoman"/>
      <w:suff w:val="space"/>
      <w:lvlText w:val="%1."/>
      <w:lvlJc w:val="right"/>
      <w:pPr>
        <w:ind w:left="440" w:hanging="440"/>
      </w:pPr>
      <w:rPr>
        <w:rFonts w:hint="default"/>
      </w:rPr>
    </w:lvl>
  </w:abstractNum>
  <w:abstractNum w:abstractNumId="6">
    <w:nsid w:val="19A502B1"/>
    <w:multiLevelType w:val="multilevel"/>
    <w:tmpl w:val="19A502B1"/>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1BEA0474"/>
    <w:multiLevelType w:val="multilevel"/>
    <w:tmpl w:val="1BEA0474"/>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8">
    <w:nsid w:val="273E4052"/>
    <w:multiLevelType w:val="multilevel"/>
    <w:tmpl w:val="273E4052"/>
    <w:lvl w:ilvl="0" w:tentative="0">
      <w:start w:val="1"/>
      <w:numFmt w:val="decimal"/>
      <w:lvlText w:val="图%1"/>
      <w:lvlJc w:val="left"/>
      <w:pPr>
        <w:ind w:left="420" w:hanging="420"/>
      </w:pPr>
    </w:lvl>
    <w:lvl w:ilvl="1" w:tentative="0">
      <w:start w:val="1"/>
      <w:numFmt w:val="decimal"/>
      <w:lvlText w:val="（%2）"/>
      <w:lvlJc w:val="left"/>
      <w:pPr>
        <w:ind w:left="1140" w:hanging="72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A2B620A"/>
    <w:multiLevelType w:val="multilevel"/>
    <w:tmpl w:val="2A2B620A"/>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2B27F648"/>
    <w:multiLevelType w:val="singleLevel"/>
    <w:tmpl w:val="2B27F648"/>
    <w:lvl w:ilvl="0" w:tentative="0">
      <w:start w:val="1"/>
      <w:numFmt w:val="bullet"/>
      <w:lvlText w:val=""/>
      <w:lvlJc w:val="left"/>
      <w:pPr>
        <w:ind w:left="420" w:hanging="420"/>
      </w:pPr>
      <w:rPr>
        <w:rFonts w:hint="default" w:ascii="Wingdings" w:hAnsi="Wingdings"/>
      </w:rPr>
    </w:lvl>
  </w:abstractNum>
  <w:abstractNum w:abstractNumId="11">
    <w:nsid w:val="37224DA2"/>
    <w:multiLevelType w:val="multilevel"/>
    <w:tmpl w:val="37224DA2"/>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3D760C3B"/>
    <w:multiLevelType w:val="multilevel"/>
    <w:tmpl w:val="3D760C3B"/>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
    <w:nsid w:val="3E771461"/>
    <w:multiLevelType w:val="singleLevel"/>
    <w:tmpl w:val="3E771461"/>
    <w:lvl w:ilvl="0" w:tentative="0">
      <w:start w:val="1"/>
      <w:numFmt w:val="lowerRoman"/>
      <w:suff w:val="space"/>
      <w:lvlText w:val="%1."/>
      <w:lvlJc w:val="right"/>
      <w:pPr>
        <w:ind w:left="440" w:hanging="440"/>
      </w:pPr>
      <w:rPr>
        <w:rFonts w:hint="default"/>
      </w:rPr>
    </w:lvl>
  </w:abstractNum>
  <w:abstractNum w:abstractNumId="14">
    <w:nsid w:val="3EC71ACE"/>
    <w:multiLevelType w:val="singleLevel"/>
    <w:tmpl w:val="3EC71ACE"/>
    <w:lvl w:ilvl="0" w:tentative="0">
      <w:start w:val="1"/>
      <w:numFmt w:val="lowerRoman"/>
      <w:suff w:val="space"/>
      <w:lvlText w:val="%1."/>
      <w:lvlJc w:val="right"/>
      <w:pPr>
        <w:ind w:left="440" w:hanging="440"/>
      </w:pPr>
      <w:rPr>
        <w:rFonts w:hint="default"/>
      </w:rPr>
    </w:lvl>
  </w:abstractNum>
  <w:abstractNum w:abstractNumId="15">
    <w:nsid w:val="52C756DD"/>
    <w:multiLevelType w:val="multilevel"/>
    <w:tmpl w:val="52C756D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6">
    <w:nsid w:val="67353757"/>
    <w:multiLevelType w:val="multilevel"/>
    <w:tmpl w:val="67353757"/>
    <w:lvl w:ilvl="0" w:tentative="0">
      <w:start w:val="1"/>
      <w:numFmt w:val="chineseCountingThousand"/>
      <w:suff w:val="space"/>
      <w:lvlText w:val="第%1章"/>
      <w:lvlJc w:val="left"/>
      <w:pPr>
        <w:ind w:left="432" w:hanging="432"/>
      </w:pPr>
      <w:rPr>
        <w:rFonts w:hint="eastAsia"/>
      </w:rPr>
    </w:lvl>
    <w:lvl w:ilvl="1" w:tentative="0">
      <w:start w:val="1"/>
      <w:numFmt w:val="decimal"/>
      <w:isLgl/>
      <w:suff w:val="space"/>
      <w:lvlText w:val="%1.%2"/>
      <w:lvlJc w:val="left"/>
      <w:pPr>
        <w:ind w:left="576" w:hanging="576"/>
      </w:pPr>
      <w:rPr>
        <w:rFonts w:hint="eastAsia"/>
        <w:lang w:val="zh-CN"/>
      </w:rPr>
    </w:lvl>
    <w:lvl w:ilvl="2" w:tentative="0">
      <w:start w:val="1"/>
      <w:numFmt w:val="decimal"/>
      <w:isLgl/>
      <w:suff w:val="space"/>
      <w:lvlText w:val="%1.%2.%3"/>
      <w:lvlJc w:val="left"/>
      <w:pPr>
        <w:ind w:left="737" w:hanging="737"/>
      </w:pPr>
      <w:rPr>
        <w:rFonts w:hint="default" w:ascii="Arial" w:hAnsi="Arial" w:eastAsia="黑体"/>
        <w:b/>
        <w:i w:val="0"/>
        <w:lang w:val="en-US"/>
      </w:rPr>
    </w:lvl>
    <w:lvl w:ilvl="3" w:tentative="0">
      <w:start w:val="1"/>
      <w:numFmt w:val="decimal"/>
      <w:pStyle w:val="6"/>
      <w:isLgl/>
      <w:suff w:val="space"/>
      <w:lvlText w:val="%1.%2.%3.%4"/>
      <w:lvlJc w:val="left"/>
      <w:pPr>
        <w:ind w:left="864" w:hanging="864"/>
      </w:pPr>
      <w:rPr>
        <w:rFonts w:hint="eastAsia"/>
      </w:rPr>
    </w:lvl>
    <w:lvl w:ilvl="4" w:tentative="0">
      <w:start w:val="1"/>
      <w:numFmt w:val="decimal"/>
      <w:isLgl/>
      <w:suff w:val="space"/>
      <w:lvlText w:val="%1.%2.%3.%4.%5"/>
      <w:lvlJc w:val="left"/>
      <w:pPr>
        <w:ind w:left="1008" w:hanging="1008"/>
      </w:pPr>
      <w:rPr>
        <w:rFonts w:hint="default" w:ascii="Arial" w:hAnsi="Arial" w:cs="Times New Roman"/>
        <w:b w:val="0"/>
        <w:bCs w:val="0"/>
        <w:i w:val="0"/>
        <w:iCs w:val="0"/>
        <w:caps w:val="0"/>
        <w:smallCaps w:val="0"/>
        <w:strike w:val="0"/>
        <w:dstrike w:val="0"/>
        <w:color w:val="000000"/>
        <w:spacing w:val="0"/>
        <w:position w:val="0"/>
        <w:u w:val="none"/>
        <w:vertAlign w:val="baseline"/>
      </w:rPr>
    </w:lvl>
    <w:lvl w:ilvl="5" w:tentative="0">
      <w:start w:val="1"/>
      <w:numFmt w:val="decimal"/>
      <w:isLgl/>
      <w:suff w:val="space"/>
      <w:lvlText w:val="%1.%2.%3.%4.%5.%6"/>
      <w:lvlJc w:val="left"/>
      <w:pPr>
        <w:ind w:left="1152" w:hanging="1152"/>
      </w:pPr>
      <w:rPr>
        <w:rFonts w:hint="eastAsia"/>
      </w:rPr>
    </w:lvl>
    <w:lvl w:ilvl="6" w:tentative="0">
      <w:start w:val="1"/>
      <w:numFmt w:val="decimal"/>
      <w:isLgl/>
      <w:suff w:val="space"/>
      <w:lvlText w:val="%1.%2.%3.%4.%5.%6.%7"/>
      <w:lvlJc w:val="left"/>
      <w:pPr>
        <w:ind w:left="1296" w:hanging="1296"/>
      </w:pPr>
      <w:rPr>
        <w:rFonts w:hint="eastAsia"/>
      </w:rPr>
    </w:lvl>
    <w:lvl w:ilvl="7" w:tentative="0">
      <w:start w:val="1"/>
      <w:numFmt w:val="decimal"/>
      <w:isLgl/>
      <w:suff w:val="space"/>
      <w:lvlText w:val="%1.%2.%3.%4.%5.%6.%7.%8"/>
      <w:lvlJc w:val="left"/>
      <w:pPr>
        <w:ind w:left="1440" w:hanging="1440"/>
      </w:pPr>
      <w:rPr>
        <w:rFonts w:hint="eastAsia"/>
      </w:rPr>
    </w:lvl>
    <w:lvl w:ilvl="8" w:tentative="0">
      <w:start w:val="1"/>
      <w:numFmt w:val="decimal"/>
      <w:isLgl/>
      <w:suff w:val="space"/>
      <w:lvlText w:val="%1.%2.%3.%4.%5.%6.%7.%8.%9"/>
      <w:lvlJc w:val="left"/>
      <w:pPr>
        <w:ind w:left="1584" w:hanging="1584"/>
      </w:pPr>
      <w:rPr>
        <w:rFonts w:hint="eastAsia"/>
      </w:rPr>
    </w:lvl>
  </w:abstractNum>
  <w:abstractNum w:abstractNumId="17">
    <w:nsid w:val="6C3C7CFD"/>
    <w:multiLevelType w:val="singleLevel"/>
    <w:tmpl w:val="6C3C7CFD"/>
    <w:lvl w:ilvl="0" w:tentative="0">
      <w:start w:val="1"/>
      <w:numFmt w:val="lowerRoman"/>
      <w:suff w:val="space"/>
      <w:lvlText w:val="%1."/>
      <w:lvlJc w:val="right"/>
      <w:pPr>
        <w:ind w:left="440" w:hanging="440"/>
      </w:pPr>
      <w:rPr>
        <w:rFonts w:hint="default"/>
      </w:rPr>
    </w:lvl>
  </w:abstractNum>
  <w:abstractNum w:abstractNumId="18">
    <w:nsid w:val="6ED531A0"/>
    <w:multiLevelType w:val="multilevel"/>
    <w:tmpl w:val="6ED531A0"/>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9">
    <w:nsid w:val="7395BE1C"/>
    <w:multiLevelType w:val="singleLevel"/>
    <w:tmpl w:val="7395BE1C"/>
    <w:lvl w:ilvl="0" w:tentative="0">
      <w:start w:val="1"/>
      <w:numFmt w:val="decimal"/>
      <w:lvlText w:val="%1."/>
      <w:lvlJc w:val="left"/>
      <w:pPr>
        <w:tabs>
          <w:tab w:val="left" w:pos="312"/>
        </w:tabs>
      </w:pPr>
    </w:lvl>
  </w:abstractNum>
  <w:num w:numId="1">
    <w:abstractNumId w:val="16"/>
  </w:num>
  <w:num w:numId="2">
    <w:abstractNumId w:val="8"/>
  </w:num>
  <w:num w:numId="3">
    <w:abstractNumId w:val="15"/>
  </w:num>
  <w:num w:numId="4">
    <w:abstractNumId w:val="7"/>
  </w:num>
  <w:num w:numId="5">
    <w:abstractNumId w:val="0"/>
  </w:num>
  <w:num w:numId="6">
    <w:abstractNumId w:val="13"/>
  </w:num>
  <w:num w:numId="7">
    <w:abstractNumId w:val="1"/>
  </w:num>
  <w:num w:numId="8">
    <w:abstractNumId w:val="14"/>
  </w:num>
  <w:num w:numId="9">
    <w:abstractNumId w:val="4"/>
  </w:num>
  <w:num w:numId="10">
    <w:abstractNumId w:val="3"/>
  </w:num>
  <w:num w:numId="11">
    <w:abstractNumId w:val="5"/>
  </w:num>
  <w:num w:numId="12">
    <w:abstractNumId w:val="17"/>
  </w:num>
  <w:num w:numId="13">
    <w:abstractNumId w:val="10"/>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11"/>
  </w:num>
  <w:num w:numId="18">
    <w:abstractNumId w:val="12"/>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0817B7"/>
    <w:rsid w:val="00000661"/>
    <w:rsid w:val="00001AB4"/>
    <w:rsid w:val="0000278F"/>
    <w:rsid w:val="000059B1"/>
    <w:rsid w:val="00005F13"/>
    <w:rsid w:val="0000725F"/>
    <w:rsid w:val="00011454"/>
    <w:rsid w:val="000117EB"/>
    <w:rsid w:val="00011B6B"/>
    <w:rsid w:val="00017459"/>
    <w:rsid w:val="000178FB"/>
    <w:rsid w:val="00020368"/>
    <w:rsid w:val="000204B8"/>
    <w:rsid w:val="0002184D"/>
    <w:rsid w:val="0002376F"/>
    <w:rsid w:val="00024678"/>
    <w:rsid w:val="00024821"/>
    <w:rsid w:val="000262E4"/>
    <w:rsid w:val="000265B1"/>
    <w:rsid w:val="00026F60"/>
    <w:rsid w:val="00032FD9"/>
    <w:rsid w:val="00036740"/>
    <w:rsid w:val="00037452"/>
    <w:rsid w:val="00041CE6"/>
    <w:rsid w:val="000420C4"/>
    <w:rsid w:val="000424F6"/>
    <w:rsid w:val="0004463D"/>
    <w:rsid w:val="000468A2"/>
    <w:rsid w:val="00051831"/>
    <w:rsid w:val="000534AC"/>
    <w:rsid w:val="00061FB9"/>
    <w:rsid w:val="00064BA5"/>
    <w:rsid w:val="00064F10"/>
    <w:rsid w:val="0006769C"/>
    <w:rsid w:val="000678A6"/>
    <w:rsid w:val="00071246"/>
    <w:rsid w:val="00072D2F"/>
    <w:rsid w:val="00075FC2"/>
    <w:rsid w:val="000769AD"/>
    <w:rsid w:val="00080C28"/>
    <w:rsid w:val="00083FC3"/>
    <w:rsid w:val="00086C44"/>
    <w:rsid w:val="000901B9"/>
    <w:rsid w:val="000921E5"/>
    <w:rsid w:val="0009355B"/>
    <w:rsid w:val="00094B36"/>
    <w:rsid w:val="000A06BE"/>
    <w:rsid w:val="000A094B"/>
    <w:rsid w:val="000A11E7"/>
    <w:rsid w:val="000A1609"/>
    <w:rsid w:val="000A294B"/>
    <w:rsid w:val="000B709B"/>
    <w:rsid w:val="000B73EA"/>
    <w:rsid w:val="000C1581"/>
    <w:rsid w:val="000C292F"/>
    <w:rsid w:val="000D5514"/>
    <w:rsid w:val="000E167C"/>
    <w:rsid w:val="000E5EAC"/>
    <w:rsid w:val="000E6509"/>
    <w:rsid w:val="000E737A"/>
    <w:rsid w:val="000F0816"/>
    <w:rsid w:val="000F0E57"/>
    <w:rsid w:val="000F3371"/>
    <w:rsid w:val="000F79D4"/>
    <w:rsid w:val="00103246"/>
    <w:rsid w:val="001079FB"/>
    <w:rsid w:val="00111FA9"/>
    <w:rsid w:val="001160E0"/>
    <w:rsid w:val="00122A56"/>
    <w:rsid w:val="00125571"/>
    <w:rsid w:val="00127E99"/>
    <w:rsid w:val="00130FA4"/>
    <w:rsid w:val="001352D5"/>
    <w:rsid w:val="00140989"/>
    <w:rsid w:val="00140FD6"/>
    <w:rsid w:val="001430EC"/>
    <w:rsid w:val="00144F85"/>
    <w:rsid w:val="00147ABC"/>
    <w:rsid w:val="00151A00"/>
    <w:rsid w:val="00153692"/>
    <w:rsid w:val="00153E66"/>
    <w:rsid w:val="0016091F"/>
    <w:rsid w:val="00163900"/>
    <w:rsid w:val="001643C2"/>
    <w:rsid w:val="00165411"/>
    <w:rsid w:val="00170466"/>
    <w:rsid w:val="0017075E"/>
    <w:rsid w:val="00172C4A"/>
    <w:rsid w:val="00181254"/>
    <w:rsid w:val="001828A4"/>
    <w:rsid w:val="00191D49"/>
    <w:rsid w:val="0019335B"/>
    <w:rsid w:val="00195B0C"/>
    <w:rsid w:val="00196A9A"/>
    <w:rsid w:val="001A1B2A"/>
    <w:rsid w:val="001A6B30"/>
    <w:rsid w:val="001A6CF9"/>
    <w:rsid w:val="001A6F3C"/>
    <w:rsid w:val="001A7718"/>
    <w:rsid w:val="001B58CE"/>
    <w:rsid w:val="001C2934"/>
    <w:rsid w:val="001C484C"/>
    <w:rsid w:val="001C4867"/>
    <w:rsid w:val="001C55E4"/>
    <w:rsid w:val="001C7133"/>
    <w:rsid w:val="001C7FB1"/>
    <w:rsid w:val="001D02DE"/>
    <w:rsid w:val="001D0C04"/>
    <w:rsid w:val="001D0C23"/>
    <w:rsid w:val="001D5074"/>
    <w:rsid w:val="001D7585"/>
    <w:rsid w:val="001E154D"/>
    <w:rsid w:val="001E564E"/>
    <w:rsid w:val="001E5DAA"/>
    <w:rsid w:val="001E66B2"/>
    <w:rsid w:val="001F12E1"/>
    <w:rsid w:val="001F2C9F"/>
    <w:rsid w:val="001F4353"/>
    <w:rsid w:val="001F70E7"/>
    <w:rsid w:val="00202FBC"/>
    <w:rsid w:val="00207305"/>
    <w:rsid w:val="00213A99"/>
    <w:rsid w:val="00213CF8"/>
    <w:rsid w:val="0021638D"/>
    <w:rsid w:val="0021754A"/>
    <w:rsid w:val="00217FAB"/>
    <w:rsid w:val="00220870"/>
    <w:rsid w:val="00220996"/>
    <w:rsid w:val="00221003"/>
    <w:rsid w:val="00224DF1"/>
    <w:rsid w:val="00226D3B"/>
    <w:rsid w:val="0023350E"/>
    <w:rsid w:val="00240DF2"/>
    <w:rsid w:val="00242F6C"/>
    <w:rsid w:val="00243C89"/>
    <w:rsid w:val="00244F23"/>
    <w:rsid w:val="00245EB2"/>
    <w:rsid w:val="00245F0C"/>
    <w:rsid w:val="00246991"/>
    <w:rsid w:val="002506BD"/>
    <w:rsid w:val="002507B9"/>
    <w:rsid w:val="00256160"/>
    <w:rsid w:val="002568F3"/>
    <w:rsid w:val="00256CA4"/>
    <w:rsid w:val="00256DEA"/>
    <w:rsid w:val="00260706"/>
    <w:rsid w:val="00267DA1"/>
    <w:rsid w:val="0027163F"/>
    <w:rsid w:val="00272405"/>
    <w:rsid w:val="00274E56"/>
    <w:rsid w:val="00275E1C"/>
    <w:rsid w:val="00281FC2"/>
    <w:rsid w:val="002835D3"/>
    <w:rsid w:val="00284503"/>
    <w:rsid w:val="0028470B"/>
    <w:rsid w:val="0029275C"/>
    <w:rsid w:val="00294173"/>
    <w:rsid w:val="002962FA"/>
    <w:rsid w:val="00296F15"/>
    <w:rsid w:val="002A2A7E"/>
    <w:rsid w:val="002A2AFE"/>
    <w:rsid w:val="002A2BF7"/>
    <w:rsid w:val="002A4302"/>
    <w:rsid w:val="002A7655"/>
    <w:rsid w:val="002A7AA6"/>
    <w:rsid w:val="002B0DE5"/>
    <w:rsid w:val="002B2231"/>
    <w:rsid w:val="002B41F2"/>
    <w:rsid w:val="002B53DC"/>
    <w:rsid w:val="002B72E1"/>
    <w:rsid w:val="002C1119"/>
    <w:rsid w:val="002C1B7A"/>
    <w:rsid w:val="002C3C38"/>
    <w:rsid w:val="002C62ED"/>
    <w:rsid w:val="002C7B39"/>
    <w:rsid w:val="002D13F4"/>
    <w:rsid w:val="002D27A3"/>
    <w:rsid w:val="002E04D9"/>
    <w:rsid w:val="002E0FD2"/>
    <w:rsid w:val="002E113C"/>
    <w:rsid w:val="002E2C78"/>
    <w:rsid w:val="002E5F9B"/>
    <w:rsid w:val="002E63EC"/>
    <w:rsid w:val="002E705A"/>
    <w:rsid w:val="002F0810"/>
    <w:rsid w:val="002F77D7"/>
    <w:rsid w:val="00301393"/>
    <w:rsid w:val="0030210D"/>
    <w:rsid w:val="003029F7"/>
    <w:rsid w:val="00303DD6"/>
    <w:rsid w:val="003040C7"/>
    <w:rsid w:val="00307D30"/>
    <w:rsid w:val="00311703"/>
    <w:rsid w:val="00311B05"/>
    <w:rsid w:val="003120C2"/>
    <w:rsid w:val="003124A3"/>
    <w:rsid w:val="0031436A"/>
    <w:rsid w:val="00314758"/>
    <w:rsid w:val="00316EB4"/>
    <w:rsid w:val="00326F60"/>
    <w:rsid w:val="00330840"/>
    <w:rsid w:val="00331A07"/>
    <w:rsid w:val="0033300C"/>
    <w:rsid w:val="003337A0"/>
    <w:rsid w:val="00335487"/>
    <w:rsid w:val="00340F28"/>
    <w:rsid w:val="003418C0"/>
    <w:rsid w:val="00345C8A"/>
    <w:rsid w:val="00350A78"/>
    <w:rsid w:val="00350BC1"/>
    <w:rsid w:val="00351B5D"/>
    <w:rsid w:val="00354888"/>
    <w:rsid w:val="00355156"/>
    <w:rsid w:val="003551A6"/>
    <w:rsid w:val="00356932"/>
    <w:rsid w:val="0035718B"/>
    <w:rsid w:val="00361C3C"/>
    <w:rsid w:val="00366E61"/>
    <w:rsid w:val="00367B66"/>
    <w:rsid w:val="00372D8C"/>
    <w:rsid w:val="00382147"/>
    <w:rsid w:val="003869CB"/>
    <w:rsid w:val="00386C3E"/>
    <w:rsid w:val="00387062"/>
    <w:rsid w:val="00390EF4"/>
    <w:rsid w:val="003932BA"/>
    <w:rsid w:val="00393C56"/>
    <w:rsid w:val="00394858"/>
    <w:rsid w:val="00394F68"/>
    <w:rsid w:val="003952EF"/>
    <w:rsid w:val="003A0A95"/>
    <w:rsid w:val="003A0D00"/>
    <w:rsid w:val="003A0FD6"/>
    <w:rsid w:val="003A1944"/>
    <w:rsid w:val="003A2767"/>
    <w:rsid w:val="003A4B7F"/>
    <w:rsid w:val="003A7E86"/>
    <w:rsid w:val="003B00BB"/>
    <w:rsid w:val="003B15D2"/>
    <w:rsid w:val="003B1A53"/>
    <w:rsid w:val="003B33DA"/>
    <w:rsid w:val="003B5AE7"/>
    <w:rsid w:val="003B61F6"/>
    <w:rsid w:val="003B65AE"/>
    <w:rsid w:val="003C55F6"/>
    <w:rsid w:val="003D21B9"/>
    <w:rsid w:val="003D7803"/>
    <w:rsid w:val="003D7EDF"/>
    <w:rsid w:val="003E4F00"/>
    <w:rsid w:val="003F1775"/>
    <w:rsid w:val="003F7D77"/>
    <w:rsid w:val="004010A0"/>
    <w:rsid w:val="00403D63"/>
    <w:rsid w:val="004046FF"/>
    <w:rsid w:val="00411557"/>
    <w:rsid w:val="004146F2"/>
    <w:rsid w:val="00414888"/>
    <w:rsid w:val="00414BDA"/>
    <w:rsid w:val="0041563D"/>
    <w:rsid w:val="00416096"/>
    <w:rsid w:val="00420022"/>
    <w:rsid w:val="00421010"/>
    <w:rsid w:val="00421E52"/>
    <w:rsid w:val="00432C2A"/>
    <w:rsid w:val="00433C08"/>
    <w:rsid w:val="00441FF6"/>
    <w:rsid w:val="00443F14"/>
    <w:rsid w:val="00444B79"/>
    <w:rsid w:val="00444EA5"/>
    <w:rsid w:val="00452BD0"/>
    <w:rsid w:val="004534BE"/>
    <w:rsid w:val="00453660"/>
    <w:rsid w:val="004660F2"/>
    <w:rsid w:val="004709BE"/>
    <w:rsid w:val="00471FD2"/>
    <w:rsid w:val="00472709"/>
    <w:rsid w:val="00472862"/>
    <w:rsid w:val="00473627"/>
    <w:rsid w:val="004757BD"/>
    <w:rsid w:val="0048199F"/>
    <w:rsid w:val="00481FDC"/>
    <w:rsid w:val="00483A97"/>
    <w:rsid w:val="00484B75"/>
    <w:rsid w:val="0048586F"/>
    <w:rsid w:val="00485D9B"/>
    <w:rsid w:val="00485E2C"/>
    <w:rsid w:val="00487204"/>
    <w:rsid w:val="00487D17"/>
    <w:rsid w:val="004945CD"/>
    <w:rsid w:val="004958D4"/>
    <w:rsid w:val="004A10EF"/>
    <w:rsid w:val="004A523B"/>
    <w:rsid w:val="004A5F81"/>
    <w:rsid w:val="004B2B3C"/>
    <w:rsid w:val="004B35B0"/>
    <w:rsid w:val="004B5669"/>
    <w:rsid w:val="004B5908"/>
    <w:rsid w:val="004B6B31"/>
    <w:rsid w:val="004C5A32"/>
    <w:rsid w:val="004C5B0E"/>
    <w:rsid w:val="004C6787"/>
    <w:rsid w:val="004D2682"/>
    <w:rsid w:val="004D3E2C"/>
    <w:rsid w:val="004D6F5A"/>
    <w:rsid w:val="004E1AC5"/>
    <w:rsid w:val="004E36B0"/>
    <w:rsid w:val="004E4D2E"/>
    <w:rsid w:val="004E69A7"/>
    <w:rsid w:val="004F1B53"/>
    <w:rsid w:val="004F2318"/>
    <w:rsid w:val="004F3D3E"/>
    <w:rsid w:val="004F7069"/>
    <w:rsid w:val="00501396"/>
    <w:rsid w:val="005042B8"/>
    <w:rsid w:val="00504316"/>
    <w:rsid w:val="00507890"/>
    <w:rsid w:val="00510AD9"/>
    <w:rsid w:val="00511D8E"/>
    <w:rsid w:val="005121A5"/>
    <w:rsid w:val="00515725"/>
    <w:rsid w:val="005174F1"/>
    <w:rsid w:val="00517F5E"/>
    <w:rsid w:val="005209E8"/>
    <w:rsid w:val="00520ECF"/>
    <w:rsid w:val="00524321"/>
    <w:rsid w:val="00526A6C"/>
    <w:rsid w:val="00527A4B"/>
    <w:rsid w:val="00530201"/>
    <w:rsid w:val="00530FFD"/>
    <w:rsid w:val="00534BFC"/>
    <w:rsid w:val="0053669B"/>
    <w:rsid w:val="00541026"/>
    <w:rsid w:val="005412A4"/>
    <w:rsid w:val="005413A2"/>
    <w:rsid w:val="005439B1"/>
    <w:rsid w:val="0055445F"/>
    <w:rsid w:val="005548AE"/>
    <w:rsid w:val="005567A6"/>
    <w:rsid w:val="00562192"/>
    <w:rsid w:val="00566361"/>
    <w:rsid w:val="00574782"/>
    <w:rsid w:val="0057631A"/>
    <w:rsid w:val="005764F2"/>
    <w:rsid w:val="00576838"/>
    <w:rsid w:val="00576D5B"/>
    <w:rsid w:val="00580CF4"/>
    <w:rsid w:val="00582F64"/>
    <w:rsid w:val="00583342"/>
    <w:rsid w:val="00584491"/>
    <w:rsid w:val="005846B2"/>
    <w:rsid w:val="00591A92"/>
    <w:rsid w:val="00591E3E"/>
    <w:rsid w:val="00593453"/>
    <w:rsid w:val="005941F6"/>
    <w:rsid w:val="0059646C"/>
    <w:rsid w:val="00596627"/>
    <w:rsid w:val="005A0F18"/>
    <w:rsid w:val="005A1D8F"/>
    <w:rsid w:val="005A1ED7"/>
    <w:rsid w:val="005A388B"/>
    <w:rsid w:val="005A4356"/>
    <w:rsid w:val="005A51C4"/>
    <w:rsid w:val="005B094E"/>
    <w:rsid w:val="005B15A8"/>
    <w:rsid w:val="005B54A6"/>
    <w:rsid w:val="005B59FC"/>
    <w:rsid w:val="005B5BC6"/>
    <w:rsid w:val="005C1A43"/>
    <w:rsid w:val="005C25E4"/>
    <w:rsid w:val="005C3747"/>
    <w:rsid w:val="005C3E61"/>
    <w:rsid w:val="005C5133"/>
    <w:rsid w:val="005D0E77"/>
    <w:rsid w:val="005D15FD"/>
    <w:rsid w:val="005D6361"/>
    <w:rsid w:val="005D6C55"/>
    <w:rsid w:val="005E17BE"/>
    <w:rsid w:val="005E25FA"/>
    <w:rsid w:val="005E7238"/>
    <w:rsid w:val="005F16F9"/>
    <w:rsid w:val="005F28D1"/>
    <w:rsid w:val="005F3C67"/>
    <w:rsid w:val="005F67D0"/>
    <w:rsid w:val="006016B3"/>
    <w:rsid w:val="00602DDE"/>
    <w:rsid w:val="00610D8A"/>
    <w:rsid w:val="00613B77"/>
    <w:rsid w:val="00614FB3"/>
    <w:rsid w:val="00620CED"/>
    <w:rsid w:val="00621554"/>
    <w:rsid w:val="00622409"/>
    <w:rsid w:val="00622B46"/>
    <w:rsid w:val="00623516"/>
    <w:rsid w:val="0062393E"/>
    <w:rsid w:val="00627FBD"/>
    <w:rsid w:val="00630550"/>
    <w:rsid w:val="00631501"/>
    <w:rsid w:val="00635624"/>
    <w:rsid w:val="00640EA9"/>
    <w:rsid w:val="00642684"/>
    <w:rsid w:val="00644D2D"/>
    <w:rsid w:val="00646405"/>
    <w:rsid w:val="006524F3"/>
    <w:rsid w:val="00653283"/>
    <w:rsid w:val="006534E4"/>
    <w:rsid w:val="00656F67"/>
    <w:rsid w:val="00660AF5"/>
    <w:rsid w:val="00660E5B"/>
    <w:rsid w:val="006651B4"/>
    <w:rsid w:val="00665207"/>
    <w:rsid w:val="00665CD8"/>
    <w:rsid w:val="0068114A"/>
    <w:rsid w:val="00682749"/>
    <w:rsid w:val="00686469"/>
    <w:rsid w:val="00690852"/>
    <w:rsid w:val="00694136"/>
    <w:rsid w:val="006B30FB"/>
    <w:rsid w:val="006B4CCB"/>
    <w:rsid w:val="006C4C36"/>
    <w:rsid w:val="006D1067"/>
    <w:rsid w:val="006D5974"/>
    <w:rsid w:val="006E0064"/>
    <w:rsid w:val="006E2693"/>
    <w:rsid w:val="006E3C13"/>
    <w:rsid w:val="006E4025"/>
    <w:rsid w:val="006E5468"/>
    <w:rsid w:val="006F1C29"/>
    <w:rsid w:val="006F58D1"/>
    <w:rsid w:val="006F5E5C"/>
    <w:rsid w:val="006F7388"/>
    <w:rsid w:val="006F763A"/>
    <w:rsid w:val="006F7B8D"/>
    <w:rsid w:val="006F7D09"/>
    <w:rsid w:val="007005FA"/>
    <w:rsid w:val="00703956"/>
    <w:rsid w:val="0070493E"/>
    <w:rsid w:val="007072BB"/>
    <w:rsid w:val="00711301"/>
    <w:rsid w:val="007127CC"/>
    <w:rsid w:val="007202EE"/>
    <w:rsid w:val="0072148C"/>
    <w:rsid w:val="00721647"/>
    <w:rsid w:val="007352A5"/>
    <w:rsid w:val="007358DA"/>
    <w:rsid w:val="007431F9"/>
    <w:rsid w:val="0075193E"/>
    <w:rsid w:val="00753035"/>
    <w:rsid w:val="00761924"/>
    <w:rsid w:val="00764AE2"/>
    <w:rsid w:val="00773A55"/>
    <w:rsid w:val="0077507D"/>
    <w:rsid w:val="00776F56"/>
    <w:rsid w:val="00777831"/>
    <w:rsid w:val="00777B29"/>
    <w:rsid w:val="00784B36"/>
    <w:rsid w:val="007878DC"/>
    <w:rsid w:val="00792532"/>
    <w:rsid w:val="00794286"/>
    <w:rsid w:val="007964A3"/>
    <w:rsid w:val="00797E1B"/>
    <w:rsid w:val="007A04CC"/>
    <w:rsid w:val="007A37A2"/>
    <w:rsid w:val="007A7946"/>
    <w:rsid w:val="007A7FEA"/>
    <w:rsid w:val="007B1275"/>
    <w:rsid w:val="007B5AF7"/>
    <w:rsid w:val="007B6243"/>
    <w:rsid w:val="007B7757"/>
    <w:rsid w:val="007B7D86"/>
    <w:rsid w:val="007C0593"/>
    <w:rsid w:val="007C1361"/>
    <w:rsid w:val="007C6E02"/>
    <w:rsid w:val="007D3E6E"/>
    <w:rsid w:val="007D454A"/>
    <w:rsid w:val="007D4CFC"/>
    <w:rsid w:val="007E6E8C"/>
    <w:rsid w:val="007F78CF"/>
    <w:rsid w:val="00801865"/>
    <w:rsid w:val="00801E3F"/>
    <w:rsid w:val="00802568"/>
    <w:rsid w:val="00806414"/>
    <w:rsid w:val="00810962"/>
    <w:rsid w:val="008114C7"/>
    <w:rsid w:val="00815514"/>
    <w:rsid w:val="00820AF3"/>
    <w:rsid w:val="00821C0B"/>
    <w:rsid w:val="00825460"/>
    <w:rsid w:val="00825A88"/>
    <w:rsid w:val="008264E4"/>
    <w:rsid w:val="00826CA1"/>
    <w:rsid w:val="008302B0"/>
    <w:rsid w:val="00836AF8"/>
    <w:rsid w:val="00840197"/>
    <w:rsid w:val="0084528C"/>
    <w:rsid w:val="008457BC"/>
    <w:rsid w:val="00845E99"/>
    <w:rsid w:val="008466A3"/>
    <w:rsid w:val="00846A1A"/>
    <w:rsid w:val="008507C9"/>
    <w:rsid w:val="008524E0"/>
    <w:rsid w:val="008539C0"/>
    <w:rsid w:val="00856892"/>
    <w:rsid w:val="008607AC"/>
    <w:rsid w:val="00863AFF"/>
    <w:rsid w:val="00866E9C"/>
    <w:rsid w:val="00873374"/>
    <w:rsid w:val="00873D98"/>
    <w:rsid w:val="0087456D"/>
    <w:rsid w:val="00874D94"/>
    <w:rsid w:val="008763D5"/>
    <w:rsid w:val="008774F0"/>
    <w:rsid w:val="0087754E"/>
    <w:rsid w:val="00877580"/>
    <w:rsid w:val="00880161"/>
    <w:rsid w:val="00882384"/>
    <w:rsid w:val="0088476F"/>
    <w:rsid w:val="00891BCC"/>
    <w:rsid w:val="00892005"/>
    <w:rsid w:val="0089440E"/>
    <w:rsid w:val="00895AF6"/>
    <w:rsid w:val="00895E31"/>
    <w:rsid w:val="008966BC"/>
    <w:rsid w:val="008A0DC5"/>
    <w:rsid w:val="008A6F7E"/>
    <w:rsid w:val="008B0A56"/>
    <w:rsid w:val="008B0BC7"/>
    <w:rsid w:val="008B162F"/>
    <w:rsid w:val="008B489C"/>
    <w:rsid w:val="008C296D"/>
    <w:rsid w:val="008C2ECF"/>
    <w:rsid w:val="008C3C7D"/>
    <w:rsid w:val="008C3F69"/>
    <w:rsid w:val="008C6E4E"/>
    <w:rsid w:val="008C75C1"/>
    <w:rsid w:val="008D1916"/>
    <w:rsid w:val="008D51BB"/>
    <w:rsid w:val="008D5D3B"/>
    <w:rsid w:val="008D681C"/>
    <w:rsid w:val="008D7126"/>
    <w:rsid w:val="008D7440"/>
    <w:rsid w:val="008D77FC"/>
    <w:rsid w:val="008E0A4C"/>
    <w:rsid w:val="008E3477"/>
    <w:rsid w:val="008F432F"/>
    <w:rsid w:val="008F60A5"/>
    <w:rsid w:val="008F6604"/>
    <w:rsid w:val="00900162"/>
    <w:rsid w:val="009051B5"/>
    <w:rsid w:val="00905CD5"/>
    <w:rsid w:val="0090634B"/>
    <w:rsid w:val="00907DA8"/>
    <w:rsid w:val="00916E2F"/>
    <w:rsid w:val="009172C6"/>
    <w:rsid w:val="00917C2B"/>
    <w:rsid w:val="009221F2"/>
    <w:rsid w:val="0092394B"/>
    <w:rsid w:val="009303C1"/>
    <w:rsid w:val="00937184"/>
    <w:rsid w:val="0094512E"/>
    <w:rsid w:val="00945582"/>
    <w:rsid w:val="00945B53"/>
    <w:rsid w:val="009500C3"/>
    <w:rsid w:val="0096138D"/>
    <w:rsid w:val="0096324F"/>
    <w:rsid w:val="00966586"/>
    <w:rsid w:val="00966DE8"/>
    <w:rsid w:val="009706F6"/>
    <w:rsid w:val="00971FE5"/>
    <w:rsid w:val="00972158"/>
    <w:rsid w:val="00973C61"/>
    <w:rsid w:val="0097476E"/>
    <w:rsid w:val="009806B6"/>
    <w:rsid w:val="0098421F"/>
    <w:rsid w:val="00985445"/>
    <w:rsid w:val="0098732F"/>
    <w:rsid w:val="00993B89"/>
    <w:rsid w:val="009974CB"/>
    <w:rsid w:val="009A2487"/>
    <w:rsid w:val="009A3EF5"/>
    <w:rsid w:val="009A5E19"/>
    <w:rsid w:val="009A7BE5"/>
    <w:rsid w:val="009B00ED"/>
    <w:rsid w:val="009B1F42"/>
    <w:rsid w:val="009B28AA"/>
    <w:rsid w:val="009C3A78"/>
    <w:rsid w:val="009C4704"/>
    <w:rsid w:val="009C5013"/>
    <w:rsid w:val="009C57F5"/>
    <w:rsid w:val="009D1C89"/>
    <w:rsid w:val="009D3F8E"/>
    <w:rsid w:val="009E10AE"/>
    <w:rsid w:val="009E148B"/>
    <w:rsid w:val="009E298B"/>
    <w:rsid w:val="009E431B"/>
    <w:rsid w:val="009E493E"/>
    <w:rsid w:val="009E71B2"/>
    <w:rsid w:val="009E7A29"/>
    <w:rsid w:val="009F48D9"/>
    <w:rsid w:val="00A00129"/>
    <w:rsid w:val="00A1004A"/>
    <w:rsid w:val="00A17FE3"/>
    <w:rsid w:val="00A209A0"/>
    <w:rsid w:val="00A20AED"/>
    <w:rsid w:val="00A210C6"/>
    <w:rsid w:val="00A27098"/>
    <w:rsid w:val="00A326C0"/>
    <w:rsid w:val="00A375CE"/>
    <w:rsid w:val="00A40126"/>
    <w:rsid w:val="00A41CCC"/>
    <w:rsid w:val="00A435A6"/>
    <w:rsid w:val="00A446D8"/>
    <w:rsid w:val="00A44A9F"/>
    <w:rsid w:val="00A46A3C"/>
    <w:rsid w:val="00A5223B"/>
    <w:rsid w:val="00A52BE6"/>
    <w:rsid w:val="00A52FC6"/>
    <w:rsid w:val="00A60D16"/>
    <w:rsid w:val="00A60DED"/>
    <w:rsid w:val="00A62643"/>
    <w:rsid w:val="00A6711A"/>
    <w:rsid w:val="00A74859"/>
    <w:rsid w:val="00A75491"/>
    <w:rsid w:val="00A81D00"/>
    <w:rsid w:val="00A82991"/>
    <w:rsid w:val="00A84693"/>
    <w:rsid w:val="00A84A71"/>
    <w:rsid w:val="00A84AE9"/>
    <w:rsid w:val="00A85D24"/>
    <w:rsid w:val="00A86924"/>
    <w:rsid w:val="00A86BB8"/>
    <w:rsid w:val="00A87DEA"/>
    <w:rsid w:val="00A95391"/>
    <w:rsid w:val="00A9627B"/>
    <w:rsid w:val="00A967FA"/>
    <w:rsid w:val="00A96CDA"/>
    <w:rsid w:val="00AA2753"/>
    <w:rsid w:val="00AA2D28"/>
    <w:rsid w:val="00AA2EF4"/>
    <w:rsid w:val="00AA2FD0"/>
    <w:rsid w:val="00AA3421"/>
    <w:rsid w:val="00AA35BE"/>
    <w:rsid w:val="00AA3C6F"/>
    <w:rsid w:val="00AA5784"/>
    <w:rsid w:val="00AA7A9A"/>
    <w:rsid w:val="00AB241B"/>
    <w:rsid w:val="00AB443D"/>
    <w:rsid w:val="00AB7560"/>
    <w:rsid w:val="00AB7B8E"/>
    <w:rsid w:val="00AB7DB1"/>
    <w:rsid w:val="00AC0290"/>
    <w:rsid w:val="00AC077D"/>
    <w:rsid w:val="00AC5206"/>
    <w:rsid w:val="00AC53B3"/>
    <w:rsid w:val="00AD24E1"/>
    <w:rsid w:val="00AD4379"/>
    <w:rsid w:val="00AD59A9"/>
    <w:rsid w:val="00AD60C1"/>
    <w:rsid w:val="00AE2AB7"/>
    <w:rsid w:val="00AF0539"/>
    <w:rsid w:val="00AF294D"/>
    <w:rsid w:val="00AF339C"/>
    <w:rsid w:val="00AF4A58"/>
    <w:rsid w:val="00B018E0"/>
    <w:rsid w:val="00B0301F"/>
    <w:rsid w:val="00B06AE1"/>
    <w:rsid w:val="00B10D6F"/>
    <w:rsid w:val="00B11120"/>
    <w:rsid w:val="00B113DC"/>
    <w:rsid w:val="00B118F3"/>
    <w:rsid w:val="00B15DC1"/>
    <w:rsid w:val="00B17126"/>
    <w:rsid w:val="00B2033F"/>
    <w:rsid w:val="00B241B7"/>
    <w:rsid w:val="00B24C0C"/>
    <w:rsid w:val="00B25366"/>
    <w:rsid w:val="00B25492"/>
    <w:rsid w:val="00B32085"/>
    <w:rsid w:val="00B43977"/>
    <w:rsid w:val="00B45293"/>
    <w:rsid w:val="00B458B0"/>
    <w:rsid w:val="00B46638"/>
    <w:rsid w:val="00B47D08"/>
    <w:rsid w:val="00B47FBA"/>
    <w:rsid w:val="00B5149E"/>
    <w:rsid w:val="00B53D88"/>
    <w:rsid w:val="00B55907"/>
    <w:rsid w:val="00B617FC"/>
    <w:rsid w:val="00B61C50"/>
    <w:rsid w:val="00B628E1"/>
    <w:rsid w:val="00B63460"/>
    <w:rsid w:val="00B64067"/>
    <w:rsid w:val="00B64DCC"/>
    <w:rsid w:val="00B748C6"/>
    <w:rsid w:val="00B760E0"/>
    <w:rsid w:val="00B77B04"/>
    <w:rsid w:val="00B804DE"/>
    <w:rsid w:val="00B80FC0"/>
    <w:rsid w:val="00B81487"/>
    <w:rsid w:val="00B82159"/>
    <w:rsid w:val="00B83437"/>
    <w:rsid w:val="00B83A5A"/>
    <w:rsid w:val="00B8769C"/>
    <w:rsid w:val="00B92EA6"/>
    <w:rsid w:val="00B95EE6"/>
    <w:rsid w:val="00BA1E5B"/>
    <w:rsid w:val="00BB0C50"/>
    <w:rsid w:val="00BB7C62"/>
    <w:rsid w:val="00BC1E5F"/>
    <w:rsid w:val="00BC46D8"/>
    <w:rsid w:val="00BC76D2"/>
    <w:rsid w:val="00BC7A87"/>
    <w:rsid w:val="00BD0E30"/>
    <w:rsid w:val="00BD4B40"/>
    <w:rsid w:val="00BE37D9"/>
    <w:rsid w:val="00BE7410"/>
    <w:rsid w:val="00BF08B8"/>
    <w:rsid w:val="00BF3C73"/>
    <w:rsid w:val="00BF46CA"/>
    <w:rsid w:val="00BF4EE0"/>
    <w:rsid w:val="00BF51D6"/>
    <w:rsid w:val="00C03B06"/>
    <w:rsid w:val="00C045A9"/>
    <w:rsid w:val="00C114E7"/>
    <w:rsid w:val="00C22E5A"/>
    <w:rsid w:val="00C23B62"/>
    <w:rsid w:val="00C244B7"/>
    <w:rsid w:val="00C27DA7"/>
    <w:rsid w:val="00C31DAE"/>
    <w:rsid w:val="00C324F8"/>
    <w:rsid w:val="00C32B1A"/>
    <w:rsid w:val="00C36885"/>
    <w:rsid w:val="00C4322C"/>
    <w:rsid w:val="00C43581"/>
    <w:rsid w:val="00C44A0B"/>
    <w:rsid w:val="00C44B7C"/>
    <w:rsid w:val="00C45ADB"/>
    <w:rsid w:val="00C468F7"/>
    <w:rsid w:val="00C470D2"/>
    <w:rsid w:val="00C54152"/>
    <w:rsid w:val="00C56AAE"/>
    <w:rsid w:val="00C63D9A"/>
    <w:rsid w:val="00C66894"/>
    <w:rsid w:val="00C71B7F"/>
    <w:rsid w:val="00C73973"/>
    <w:rsid w:val="00C74B87"/>
    <w:rsid w:val="00C80898"/>
    <w:rsid w:val="00C8348C"/>
    <w:rsid w:val="00C858EB"/>
    <w:rsid w:val="00C859D3"/>
    <w:rsid w:val="00C863CF"/>
    <w:rsid w:val="00C87142"/>
    <w:rsid w:val="00C87F53"/>
    <w:rsid w:val="00C9128B"/>
    <w:rsid w:val="00C9191B"/>
    <w:rsid w:val="00C92E33"/>
    <w:rsid w:val="00C9639B"/>
    <w:rsid w:val="00CA425C"/>
    <w:rsid w:val="00CA498F"/>
    <w:rsid w:val="00CA5916"/>
    <w:rsid w:val="00CB0E70"/>
    <w:rsid w:val="00CB0F70"/>
    <w:rsid w:val="00CB13D6"/>
    <w:rsid w:val="00CB4F2D"/>
    <w:rsid w:val="00CB5A31"/>
    <w:rsid w:val="00CB5DF0"/>
    <w:rsid w:val="00CC3A8B"/>
    <w:rsid w:val="00CC4598"/>
    <w:rsid w:val="00CC5C5B"/>
    <w:rsid w:val="00CD0422"/>
    <w:rsid w:val="00CD08C0"/>
    <w:rsid w:val="00CD21C7"/>
    <w:rsid w:val="00CD22F2"/>
    <w:rsid w:val="00CD258A"/>
    <w:rsid w:val="00CD4E50"/>
    <w:rsid w:val="00CD68AA"/>
    <w:rsid w:val="00CE0093"/>
    <w:rsid w:val="00CE08DF"/>
    <w:rsid w:val="00CE3D54"/>
    <w:rsid w:val="00D023DB"/>
    <w:rsid w:val="00D03232"/>
    <w:rsid w:val="00D10B97"/>
    <w:rsid w:val="00D125A0"/>
    <w:rsid w:val="00D15157"/>
    <w:rsid w:val="00D15BA4"/>
    <w:rsid w:val="00D17C50"/>
    <w:rsid w:val="00D17C6E"/>
    <w:rsid w:val="00D21E6B"/>
    <w:rsid w:val="00D244F1"/>
    <w:rsid w:val="00D26CC1"/>
    <w:rsid w:val="00D4038B"/>
    <w:rsid w:val="00D407A4"/>
    <w:rsid w:val="00D469FB"/>
    <w:rsid w:val="00D513A3"/>
    <w:rsid w:val="00D52180"/>
    <w:rsid w:val="00D552DA"/>
    <w:rsid w:val="00D556C4"/>
    <w:rsid w:val="00D612AF"/>
    <w:rsid w:val="00D6352D"/>
    <w:rsid w:val="00D63EE0"/>
    <w:rsid w:val="00D673B3"/>
    <w:rsid w:val="00D7061F"/>
    <w:rsid w:val="00D72FF5"/>
    <w:rsid w:val="00D73E0C"/>
    <w:rsid w:val="00D73E6E"/>
    <w:rsid w:val="00D7713E"/>
    <w:rsid w:val="00D84D6D"/>
    <w:rsid w:val="00D85EC3"/>
    <w:rsid w:val="00D86286"/>
    <w:rsid w:val="00D8630F"/>
    <w:rsid w:val="00D86C43"/>
    <w:rsid w:val="00D929B6"/>
    <w:rsid w:val="00D94163"/>
    <w:rsid w:val="00DA0001"/>
    <w:rsid w:val="00DA5923"/>
    <w:rsid w:val="00DA59E7"/>
    <w:rsid w:val="00DB1F93"/>
    <w:rsid w:val="00DB2B10"/>
    <w:rsid w:val="00DB7863"/>
    <w:rsid w:val="00DC0E58"/>
    <w:rsid w:val="00DC1679"/>
    <w:rsid w:val="00DC3506"/>
    <w:rsid w:val="00DC5423"/>
    <w:rsid w:val="00DC7516"/>
    <w:rsid w:val="00DD23C7"/>
    <w:rsid w:val="00DD382A"/>
    <w:rsid w:val="00DD38C8"/>
    <w:rsid w:val="00DD5EE6"/>
    <w:rsid w:val="00DE4983"/>
    <w:rsid w:val="00DE498D"/>
    <w:rsid w:val="00DE521D"/>
    <w:rsid w:val="00DE6EEF"/>
    <w:rsid w:val="00DE7C32"/>
    <w:rsid w:val="00DF0653"/>
    <w:rsid w:val="00DF2FD3"/>
    <w:rsid w:val="00DF5F56"/>
    <w:rsid w:val="00DF770D"/>
    <w:rsid w:val="00DF7AAF"/>
    <w:rsid w:val="00E02628"/>
    <w:rsid w:val="00E02A96"/>
    <w:rsid w:val="00E0375B"/>
    <w:rsid w:val="00E05A00"/>
    <w:rsid w:val="00E069D4"/>
    <w:rsid w:val="00E102BD"/>
    <w:rsid w:val="00E16148"/>
    <w:rsid w:val="00E17839"/>
    <w:rsid w:val="00E209CD"/>
    <w:rsid w:val="00E209E0"/>
    <w:rsid w:val="00E227BA"/>
    <w:rsid w:val="00E235B2"/>
    <w:rsid w:val="00E23E87"/>
    <w:rsid w:val="00E245A3"/>
    <w:rsid w:val="00E310BB"/>
    <w:rsid w:val="00E375F0"/>
    <w:rsid w:val="00E41C78"/>
    <w:rsid w:val="00E429A9"/>
    <w:rsid w:val="00E43618"/>
    <w:rsid w:val="00E468F5"/>
    <w:rsid w:val="00E5396D"/>
    <w:rsid w:val="00E57C73"/>
    <w:rsid w:val="00E60B8D"/>
    <w:rsid w:val="00E6471D"/>
    <w:rsid w:val="00E73094"/>
    <w:rsid w:val="00E8129B"/>
    <w:rsid w:val="00E8303D"/>
    <w:rsid w:val="00E85229"/>
    <w:rsid w:val="00E866FE"/>
    <w:rsid w:val="00E90FA8"/>
    <w:rsid w:val="00E91878"/>
    <w:rsid w:val="00E91FC5"/>
    <w:rsid w:val="00E92C76"/>
    <w:rsid w:val="00E934C5"/>
    <w:rsid w:val="00E95010"/>
    <w:rsid w:val="00E968B4"/>
    <w:rsid w:val="00EA1AFD"/>
    <w:rsid w:val="00EA4AE1"/>
    <w:rsid w:val="00EA6C89"/>
    <w:rsid w:val="00EB2C87"/>
    <w:rsid w:val="00EB64FF"/>
    <w:rsid w:val="00EB6E7B"/>
    <w:rsid w:val="00EC231A"/>
    <w:rsid w:val="00EC4FFD"/>
    <w:rsid w:val="00EC6DF9"/>
    <w:rsid w:val="00EC71D5"/>
    <w:rsid w:val="00EC7605"/>
    <w:rsid w:val="00ED0C22"/>
    <w:rsid w:val="00ED335C"/>
    <w:rsid w:val="00EE49F6"/>
    <w:rsid w:val="00EE6C46"/>
    <w:rsid w:val="00EF0E70"/>
    <w:rsid w:val="00EF27DE"/>
    <w:rsid w:val="00EF569F"/>
    <w:rsid w:val="00EF5BFB"/>
    <w:rsid w:val="00EF6EE5"/>
    <w:rsid w:val="00EF7502"/>
    <w:rsid w:val="00F0607B"/>
    <w:rsid w:val="00F06262"/>
    <w:rsid w:val="00F06ADD"/>
    <w:rsid w:val="00F20C96"/>
    <w:rsid w:val="00F2183D"/>
    <w:rsid w:val="00F26826"/>
    <w:rsid w:val="00F30064"/>
    <w:rsid w:val="00F35F0E"/>
    <w:rsid w:val="00F361CD"/>
    <w:rsid w:val="00F401F7"/>
    <w:rsid w:val="00F4115B"/>
    <w:rsid w:val="00F4777F"/>
    <w:rsid w:val="00F50DB3"/>
    <w:rsid w:val="00F525AC"/>
    <w:rsid w:val="00F549F8"/>
    <w:rsid w:val="00F552C3"/>
    <w:rsid w:val="00F56196"/>
    <w:rsid w:val="00F561E8"/>
    <w:rsid w:val="00F67063"/>
    <w:rsid w:val="00F71B71"/>
    <w:rsid w:val="00F7478F"/>
    <w:rsid w:val="00F7576D"/>
    <w:rsid w:val="00F75E03"/>
    <w:rsid w:val="00F8125C"/>
    <w:rsid w:val="00F84EA1"/>
    <w:rsid w:val="00F90EDB"/>
    <w:rsid w:val="00F96BD4"/>
    <w:rsid w:val="00FB3373"/>
    <w:rsid w:val="00FB4F63"/>
    <w:rsid w:val="00FB5897"/>
    <w:rsid w:val="00FB58C7"/>
    <w:rsid w:val="00FB5CE2"/>
    <w:rsid w:val="00FC0D38"/>
    <w:rsid w:val="00FC2C72"/>
    <w:rsid w:val="00FC68B1"/>
    <w:rsid w:val="00FD0F8D"/>
    <w:rsid w:val="00FD16D1"/>
    <w:rsid w:val="00FD3717"/>
    <w:rsid w:val="00FD435A"/>
    <w:rsid w:val="00FF1DDA"/>
    <w:rsid w:val="00FF3E26"/>
    <w:rsid w:val="00FF4C6C"/>
    <w:rsid w:val="00FF5953"/>
    <w:rsid w:val="00FF72AC"/>
    <w:rsid w:val="00FF7882"/>
    <w:rsid w:val="08A529DA"/>
    <w:rsid w:val="0AD22273"/>
    <w:rsid w:val="10795928"/>
    <w:rsid w:val="1AAD0D98"/>
    <w:rsid w:val="1C654079"/>
    <w:rsid w:val="340B7998"/>
    <w:rsid w:val="36C33915"/>
    <w:rsid w:val="3C083CC9"/>
    <w:rsid w:val="3F9E4197"/>
    <w:rsid w:val="42C57F36"/>
    <w:rsid w:val="46677E14"/>
    <w:rsid w:val="504D156B"/>
    <w:rsid w:val="57C2283E"/>
    <w:rsid w:val="66077ACC"/>
    <w:rsid w:val="6A9453C1"/>
    <w:rsid w:val="703642F5"/>
    <w:rsid w:val="70E431AC"/>
    <w:rsid w:val="712107AA"/>
    <w:rsid w:val="75926D85"/>
    <w:rsid w:val="7A081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9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00" w:lineRule="exact"/>
      <w:ind w:firstLine="200" w:firstLineChars="200"/>
      <w:jc w:val="both"/>
    </w:pPr>
    <w:rPr>
      <w:rFonts w:ascii="Times New Roman" w:hAnsi="Times New Roman" w:eastAsia="仿宋_GB2312" w:cstheme="minorBidi"/>
      <w:color w:val="000000" w:themeColor="text1"/>
      <w:kern w:val="2"/>
      <w:sz w:val="24"/>
      <w:szCs w:val="24"/>
      <w:lang w:val="en-US" w:eastAsia="zh-CN" w:bidi="ar-SA"/>
      <w14:textFill>
        <w14:solidFill>
          <w14:schemeClr w14:val="tx1"/>
        </w14:solidFill>
      </w14:textFill>
    </w:rPr>
  </w:style>
  <w:style w:type="paragraph" w:styleId="3">
    <w:name w:val="heading 1"/>
    <w:basedOn w:val="1"/>
    <w:next w:val="1"/>
    <w:qFormat/>
    <w:uiPriority w:val="0"/>
    <w:pPr>
      <w:keepNext/>
      <w:keepLines/>
      <w:spacing w:before="240" w:after="240" w:line="360" w:lineRule="auto"/>
      <w:outlineLvl w:val="0"/>
    </w:pPr>
    <w:rPr>
      <w:rFonts w:eastAsia="黑体" w:asciiTheme="minorHAnsi" w:hAnsiTheme="minorHAnsi"/>
      <w:b/>
      <w:kern w:val="44"/>
      <w:sz w:val="32"/>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0"/>
    </w:rPr>
  </w:style>
  <w:style w:type="paragraph" w:styleId="5">
    <w:name w:val="heading 3"/>
    <w:basedOn w:val="1"/>
    <w:next w:val="1"/>
    <w:unhideWhenUsed/>
    <w:qFormat/>
    <w:uiPriority w:val="0"/>
    <w:pPr>
      <w:keepNext/>
      <w:keepLines/>
      <w:spacing w:before="80" w:after="80" w:line="360" w:lineRule="auto"/>
      <w:outlineLvl w:val="2"/>
    </w:pPr>
    <w:rPr>
      <w:rFonts w:eastAsia="黑体" w:asciiTheme="minorHAnsi" w:hAnsiTheme="minorHAnsi"/>
      <w:b/>
      <w:sz w:val="28"/>
    </w:rPr>
  </w:style>
  <w:style w:type="paragraph" w:styleId="6">
    <w:name w:val="heading 4"/>
    <w:basedOn w:val="1"/>
    <w:next w:val="1"/>
    <w:qFormat/>
    <w:uiPriority w:val="99"/>
    <w:pPr>
      <w:keepNext/>
      <w:keepLines/>
      <w:widowControl/>
      <w:numPr>
        <w:ilvl w:val="3"/>
        <w:numId w:val="1"/>
      </w:numPr>
      <w:spacing w:before="240" w:after="120"/>
      <w:jc w:val="left"/>
      <w:outlineLvl w:val="3"/>
    </w:pPr>
    <w:rPr>
      <w:rFonts w:ascii="Arial" w:hAnsi="Arial" w:eastAsia="黑体"/>
      <w:b/>
      <w:bCs/>
      <w:szCs w:val="28"/>
      <w:lang w:val="zh-CN"/>
    </w:rPr>
  </w:style>
  <w:style w:type="paragraph" w:styleId="7">
    <w:name w:val="heading 5"/>
    <w:basedOn w:val="1"/>
    <w:next w:val="1"/>
    <w:link w:val="24"/>
    <w:unhideWhenUsed/>
    <w:qFormat/>
    <w:uiPriority w:val="0"/>
    <w:pPr>
      <w:keepNext/>
      <w:keepLines/>
      <w:spacing w:before="240" w:after="120" w:line="400" w:lineRule="atLeast"/>
      <w:ind w:firstLine="0" w:firstLineChars="0"/>
      <w:outlineLvl w:val="4"/>
    </w:pPr>
    <w:rPr>
      <w:rFonts w:ascii="Arial" w:hAnsi="Arial" w:eastAsia="黑体"/>
      <w:b/>
      <w:bCs/>
    </w:rPr>
  </w:style>
  <w:style w:type="character" w:default="1" w:styleId="18">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toc 2"/>
    <w:basedOn w:val="1"/>
    <w:next w:val="1"/>
    <w:qFormat/>
    <w:uiPriority w:val="39"/>
    <w:pPr>
      <w:widowControl/>
      <w:tabs>
        <w:tab w:val="right" w:leader="dot" w:pos="8302"/>
      </w:tabs>
      <w:spacing w:line="240" w:lineRule="atLeast"/>
      <w:ind w:left="420" w:leftChars="68" w:hanging="277" w:hangingChars="115"/>
      <w:jc w:val="left"/>
    </w:pPr>
  </w:style>
  <w:style w:type="paragraph" w:styleId="8">
    <w:name w:val="annotation text"/>
    <w:basedOn w:val="1"/>
    <w:link w:val="29"/>
    <w:qFormat/>
    <w:uiPriority w:val="0"/>
    <w:pPr>
      <w:jc w:val="left"/>
    </w:pPr>
  </w:style>
  <w:style w:type="paragraph" w:styleId="9">
    <w:name w:val="Body Text"/>
    <w:basedOn w:val="1"/>
    <w:qFormat/>
    <w:uiPriority w:val="0"/>
    <w:pPr>
      <w:spacing w:after="120"/>
    </w:pPr>
    <w:rPr>
      <w:szCs w:val="20"/>
    </w:rPr>
  </w:style>
  <w:style w:type="paragraph" w:styleId="10">
    <w:name w:val="Balloon Text"/>
    <w:basedOn w:val="1"/>
    <w:link w:val="32"/>
    <w:qFormat/>
    <w:uiPriority w:val="0"/>
    <w:pPr>
      <w:spacing w:line="240" w:lineRule="auto"/>
    </w:pPr>
    <w:rPr>
      <w:sz w:val="18"/>
      <w:szCs w:val="18"/>
    </w:rPr>
  </w:style>
  <w:style w:type="paragraph" w:styleId="11">
    <w:name w:val="footer"/>
    <w:basedOn w:val="1"/>
    <w:link w:val="27"/>
    <w:qFormat/>
    <w:uiPriority w:val="99"/>
    <w:pPr>
      <w:tabs>
        <w:tab w:val="center" w:pos="4153"/>
        <w:tab w:val="right" w:pos="8306"/>
      </w:tabs>
      <w:snapToGrid w:val="0"/>
      <w:spacing w:line="240" w:lineRule="atLeast"/>
      <w:jc w:val="left"/>
    </w:pPr>
    <w:rPr>
      <w:sz w:val="18"/>
      <w:szCs w:val="18"/>
    </w:rPr>
  </w:style>
  <w:style w:type="paragraph" w:styleId="12">
    <w:name w:val="header"/>
    <w:basedOn w:val="1"/>
    <w:link w:val="26"/>
    <w:qFormat/>
    <w:uiPriority w:val="0"/>
    <w:pPr>
      <w:tabs>
        <w:tab w:val="center" w:pos="4153"/>
        <w:tab w:val="right" w:pos="8306"/>
      </w:tabs>
      <w:snapToGrid w:val="0"/>
      <w:spacing w:line="240" w:lineRule="atLeast"/>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eastAsia="宋体" w:cs="宋体"/>
      <w:kern w:val="0"/>
    </w:rPr>
  </w:style>
  <w:style w:type="paragraph" w:styleId="14">
    <w:name w:val="Title"/>
    <w:basedOn w:val="1"/>
    <w:next w:val="1"/>
    <w:link w:val="31"/>
    <w:qFormat/>
    <w:uiPriority w:val="0"/>
    <w:pPr>
      <w:spacing w:before="240" w:after="60"/>
      <w:jc w:val="center"/>
      <w:outlineLvl w:val="0"/>
    </w:pPr>
    <w:rPr>
      <w:rFonts w:asciiTheme="majorHAnsi" w:hAnsiTheme="majorHAnsi" w:eastAsiaTheme="majorEastAsia" w:cstheme="majorBidi"/>
      <w:b/>
      <w:bCs/>
      <w:sz w:val="32"/>
      <w:szCs w:val="32"/>
    </w:rPr>
  </w:style>
  <w:style w:type="paragraph" w:styleId="15">
    <w:name w:val="annotation subject"/>
    <w:basedOn w:val="8"/>
    <w:next w:val="8"/>
    <w:link w:val="30"/>
    <w:qFormat/>
    <w:uiPriority w:val="0"/>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annotation reference"/>
    <w:basedOn w:val="18"/>
    <w:qFormat/>
    <w:uiPriority w:val="0"/>
    <w:rPr>
      <w:sz w:val="21"/>
      <w:szCs w:val="21"/>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 w:type="paragraph" w:customStyle="1" w:styleId="21">
    <w:name w:val="SZX正文"/>
    <w:basedOn w:val="1"/>
    <w:qFormat/>
    <w:uiPriority w:val="0"/>
    <w:pPr>
      <w:ind w:firstLine="560"/>
    </w:pPr>
  </w:style>
  <w:style w:type="paragraph" w:customStyle="1" w:styleId="22">
    <w:name w:val="正文_2"/>
    <w:basedOn w:val="1"/>
    <w:qFormat/>
    <w:uiPriority w:val="0"/>
    <w:rPr>
      <w:rFonts w:ascii="Calibri" w:hAnsi="Calibri" w:eastAsia="宋体" w:cs="Times New Roman"/>
      <w:sz w:val="21"/>
      <w:szCs w:val="21"/>
    </w:rPr>
  </w:style>
  <w:style w:type="paragraph" w:customStyle="1" w:styleId="23">
    <w:name w:val="列出段落1"/>
    <w:basedOn w:val="1"/>
    <w:qFormat/>
    <w:uiPriority w:val="34"/>
    <w:pPr>
      <w:spacing w:line="240" w:lineRule="auto"/>
      <w:ind w:firstLine="420"/>
    </w:pPr>
    <w:rPr>
      <w:rFonts w:asciiTheme="minorHAnsi" w:hAnsiTheme="minorHAnsi" w:eastAsiaTheme="minorEastAsia"/>
      <w:color w:val="auto"/>
      <w:sz w:val="21"/>
      <w:szCs w:val="22"/>
    </w:rPr>
  </w:style>
  <w:style w:type="character" w:customStyle="1" w:styleId="24">
    <w:name w:val="标题 5 字符"/>
    <w:basedOn w:val="18"/>
    <w:link w:val="7"/>
    <w:qFormat/>
    <w:uiPriority w:val="0"/>
    <w:rPr>
      <w:rFonts w:ascii="Arial" w:hAnsi="Arial" w:eastAsia="黑体"/>
      <w:b/>
      <w:bCs/>
      <w:color w:val="000000" w:themeColor="text1"/>
      <w:kern w:val="2"/>
      <w:sz w:val="24"/>
      <w:szCs w:val="24"/>
      <w14:textFill>
        <w14:solidFill>
          <w14:schemeClr w14:val="tx1"/>
        </w14:solidFill>
      </w14:textFill>
    </w:rPr>
  </w:style>
  <w:style w:type="paragraph" w:styleId="25">
    <w:name w:val="List Paragraph"/>
    <w:basedOn w:val="1"/>
    <w:qFormat/>
    <w:uiPriority w:val="34"/>
    <w:pPr>
      <w:spacing w:line="240" w:lineRule="auto"/>
      <w:ind w:firstLine="420"/>
    </w:pPr>
    <w:rPr>
      <w:rFonts w:asciiTheme="minorHAnsi" w:hAnsiTheme="minorHAnsi" w:eastAsiaTheme="minorEastAsia"/>
      <w:color w:val="auto"/>
      <w:sz w:val="21"/>
      <w:szCs w:val="22"/>
    </w:rPr>
  </w:style>
  <w:style w:type="character" w:customStyle="1" w:styleId="26">
    <w:name w:val="页眉 字符"/>
    <w:basedOn w:val="18"/>
    <w:link w:val="12"/>
    <w:qFormat/>
    <w:uiPriority w:val="0"/>
    <w:rPr>
      <w:rFonts w:ascii="Times New Roman" w:hAnsi="Times New Roman" w:eastAsia="仿宋_GB2312"/>
      <w:color w:val="000000" w:themeColor="text1"/>
      <w:kern w:val="2"/>
      <w:sz w:val="18"/>
      <w:szCs w:val="18"/>
      <w14:textFill>
        <w14:solidFill>
          <w14:schemeClr w14:val="tx1"/>
        </w14:solidFill>
      </w14:textFill>
    </w:rPr>
  </w:style>
  <w:style w:type="character" w:customStyle="1" w:styleId="27">
    <w:name w:val="页脚 字符"/>
    <w:basedOn w:val="18"/>
    <w:link w:val="11"/>
    <w:qFormat/>
    <w:uiPriority w:val="99"/>
    <w:rPr>
      <w:rFonts w:ascii="Times New Roman" w:hAnsi="Times New Roman" w:eastAsia="仿宋_GB2312"/>
      <w:color w:val="000000" w:themeColor="text1"/>
      <w:kern w:val="2"/>
      <w:sz w:val="18"/>
      <w:szCs w:val="18"/>
      <w14:textFill>
        <w14:solidFill>
          <w14:schemeClr w14:val="tx1"/>
        </w14:solidFill>
      </w14:textFill>
    </w:rPr>
  </w:style>
  <w:style w:type="paragraph" w:customStyle="1" w:styleId="28">
    <w:name w:val="修订1"/>
    <w:hidden/>
    <w:unhideWhenUsed/>
    <w:qFormat/>
    <w:uiPriority w:val="99"/>
    <w:rPr>
      <w:rFonts w:ascii="Times New Roman" w:hAnsi="Times New Roman" w:eastAsia="仿宋_GB2312" w:cstheme="minorBidi"/>
      <w:color w:val="000000" w:themeColor="text1"/>
      <w:kern w:val="2"/>
      <w:sz w:val="24"/>
      <w:szCs w:val="24"/>
      <w:lang w:val="en-US" w:eastAsia="zh-CN" w:bidi="ar-SA"/>
      <w14:textFill>
        <w14:solidFill>
          <w14:schemeClr w14:val="tx1"/>
        </w14:solidFill>
      </w14:textFill>
    </w:rPr>
  </w:style>
  <w:style w:type="character" w:customStyle="1" w:styleId="29">
    <w:name w:val="批注文字 字符"/>
    <w:basedOn w:val="18"/>
    <w:link w:val="8"/>
    <w:qFormat/>
    <w:uiPriority w:val="0"/>
    <w:rPr>
      <w:rFonts w:ascii="Times New Roman" w:hAnsi="Times New Roman" w:eastAsia="仿宋_GB2312"/>
      <w:color w:val="000000" w:themeColor="text1"/>
      <w:kern w:val="2"/>
      <w:sz w:val="24"/>
      <w:szCs w:val="24"/>
      <w14:textFill>
        <w14:solidFill>
          <w14:schemeClr w14:val="tx1"/>
        </w14:solidFill>
      </w14:textFill>
    </w:rPr>
  </w:style>
  <w:style w:type="character" w:customStyle="1" w:styleId="30">
    <w:name w:val="批注主题 字符"/>
    <w:basedOn w:val="29"/>
    <w:link w:val="15"/>
    <w:qFormat/>
    <w:uiPriority w:val="0"/>
    <w:rPr>
      <w:rFonts w:ascii="Times New Roman" w:hAnsi="Times New Roman" w:eastAsia="仿宋_GB2312"/>
      <w:b/>
      <w:bCs/>
      <w:color w:val="000000" w:themeColor="text1"/>
      <w:kern w:val="2"/>
      <w:sz w:val="24"/>
      <w:szCs w:val="24"/>
      <w14:textFill>
        <w14:solidFill>
          <w14:schemeClr w14:val="tx1"/>
        </w14:solidFill>
      </w14:textFill>
    </w:rPr>
  </w:style>
  <w:style w:type="character" w:customStyle="1" w:styleId="31">
    <w:name w:val="标题 字符"/>
    <w:basedOn w:val="18"/>
    <w:link w:val="14"/>
    <w:qFormat/>
    <w:uiPriority w:val="0"/>
    <w:rPr>
      <w:rFonts w:asciiTheme="majorHAnsi" w:hAnsiTheme="majorHAnsi" w:eastAsiaTheme="majorEastAsia" w:cstheme="majorBidi"/>
      <w:b/>
      <w:bCs/>
      <w:color w:val="000000" w:themeColor="text1"/>
      <w:kern w:val="2"/>
      <w:sz w:val="32"/>
      <w:szCs w:val="32"/>
      <w14:textFill>
        <w14:solidFill>
          <w14:schemeClr w14:val="tx1"/>
        </w14:solidFill>
      </w14:textFill>
    </w:rPr>
  </w:style>
  <w:style w:type="character" w:customStyle="1" w:styleId="32">
    <w:name w:val="批注框文本 字符"/>
    <w:basedOn w:val="18"/>
    <w:link w:val="10"/>
    <w:qFormat/>
    <w:uiPriority w:val="0"/>
    <w:rPr>
      <w:rFonts w:ascii="Times New Roman" w:hAnsi="Times New Roman" w:eastAsia="仿宋_GB2312"/>
      <w:color w:val="000000" w:themeColor="text1"/>
      <w:kern w:val="2"/>
      <w:sz w:val="18"/>
      <w:szCs w:val="18"/>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2024</Words>
  <Characters>2061</Characters>
  <Lines>296</Lines>
  <Paragraphs>83</Paragraphs>
  <TotalTime>456</TotalTime>
  <ScaleCrop>false</ScaleCrop>
  <LinksUpToDate>false</LinksUpToDate>
  <CharactersWithSpaces>2062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2026-07-03T02:34:00Z</dcterms:created>
  <dc:creator>Administrator</dc:creator>
  <cp:lastModifiedBy>China</cp:lastModifiedBy>
  <dcterms:modified xsi:type="dcterms:W3CDTF">2026-07-15T07:29:40Z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011BB8DF96B74F4982DB1A4426F41395_13</vt:lpwstr>
  </property>
  <property fmtid="{D5CDD505-2E9C-101B-9397-08002B2CF9AE}" pid="4" name="KSOTemplateDocerSaveRecord">
    <vt:lpwstr>eyJoZGlkIjoiZmRjYmI3ZDFlZWVlMGU3OGNlZWQzMDYzNzdkYmJkYzYiLCJ1c2VySWQiOiI1MDUxMzk0MzAifQ==</vt:lpwstr>
  </property>
</Properties>
</file>