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81EA1">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仿宋" w:hAnsi="仿宋" w:eastAsia="仿宋" w:cs="仿宋"/>
          <w:b/>
          <w:bCs/>
          <w:sz w:val="48"/>
          <w:szCs w:val="48"/>
          <w:highlight w:val="none"/>
          <w:lang w:val="en-US" w:eastAsia="zh-CN"/>
        </w:rPr>
      </w:pPr>
      <w:r>
        <w:rPr>
          <w:rFonts w:hint="eastAsia" w:ascii="仿宋" w:hAnsi="仿宋" w:eastAsia="仿宋" w:cs="仿宋"/>
          <w:b/>
          <w:bCs/>
          <w:sz w:val="48"/>
          <w:szCs w:val="48"/>
          <w:highlight w:val="none"/>
          <w:lang w:val="en-US" w:eastAsia="zh-CN"/>
        </w:rPr>
        <w:t>工程量清单编制说明</w:t>
      </w:r>
    </w:p>
    <w:p w14:paraId="64FE53BB">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仿宋" w:hAnsi="仿宋" w:eastAsia="仿宋" w:cs="仿宋"/>
          <w:b/>
          <w:bCs/>
          <w:sz w:val="22"/>
          <w:szCs w:val="22"/>
          <w:highlight w:val="none"/>
          <w:lang w:val="en-US" w:eastAsia="zh-CN"/>
        </w:rPr>
      </w:pPr>
    </w:p>
    <w:p w14:paraId="22223E3A">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一、工程概况</w:t>
      </w:r>
    </w:p>
    <w:p w14:paraId="6242771F">
      <w:pPr>
        <w:pStyle w:val="2"/>
        <w:keepNext w:val="0"/>
        <w:keepLines w:val="0"/>
        <w:pageBreakBefore w:val="0"/>
        <w:widowControl/>
        <w:suppressLineNumbers w:val="0"/>
        <w:kinsoku/>
        <w:wordWrap/>
        <w:overflowPunct/>
        <w:topLinePunct w:val="0"/>
        <w:bidi w:val="0"/>
        <w:snapToGrid/>
        <w:spacing w:before="0" w:beforeAutospacing="0" w:after="0" w:afterAutospacing="0" w:line="360" w:lineRule="auto"/>
        <w:ind w:left="0" w:right="0"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工程名称：</w:t>
      </w:r>
      <w:r>
        <w:rPr>
          <w:rFonts w:hint="eastAsia" w:ascii="仿宋" w:hAnsi="仿宋" w:eastAsia="仿宋" w:cs="仿宋"/>
          <w:sz w:val="28"/>
          <w:szCs w:val="28"/>
          <w:lang w:val="en-US" w:eastAsia="zh-CN"/>
        </w:rPr>
        <w:t>鄂托克前旗昂素镇乌兰胡舒嘎查骆驼奶产业基地建设项目</w:t>
      </w:r>
    </w:p>
    <w:p w14:paraId="505A77E0">
      <w:pPr>
        <w:keepNext w:val="0"/>
        <w:keepLines w:val="0"/>
        <w:pageBreakBefore w:val="0"/>
        <w:widowControl w:val="0"/>
        <w:kinsoku/>
        <w:wordWrap/>
        <w:overflowPunct/>
        <w:topLinePunct w:val="0"/>
        <w:autoSpaceDE/>
        <w:autoSpaceDN/>
        <w:bidi w:val="0"/>
        <w:adjustRightInd w:val="0"/>
        <w:snapToGrid/>
        <w:spacing w:line="240" w:lineRule="auto"/>
        <w:ind w:firstLine="560" w:firstLineChars="200"/>
        <w:jc w:val="left"/>
        <w:textAlignment w:val="baseline"/>
        <w:rPr>
          <w:rFonts w:hint="default" w:ascii="仿宋" w:hAnsi="仿宋" w:eastAsia="仿宋" w:cs="仿宋"/>
          <w:kern w:val="2"/>
          <w:sz w:val="28"/>
          <w:szCs w:val="28"/>
          <w:highlight w:val="none"/>
          <w:u w:val="none"/>
          <w:shd w:val="clear" w:color="auto" w:fill="auto"/>
          <w:lang w:val="en-US" w:eastAsia="zh-CN" w:bidi="ar-SA"/>
        </w:rPr>
      </w:pPr>
      <w:r>
        <w:rPr>
          <w:rFonts w:hint="eastAsia" w:ascii="仿宋" w:hAnsi="仿宋" w:eastAsia="仿宋" w:cs="仿宋"/>
          <w:sz w:val="28"/>
          <w:szCs w:val="28"/>
          <w:highlight w:val="none"/>
          <w:lang w:val="en-US" w:eastAsia="zh-CN"/>
        </w:rPr>
        <w:t>施工地点：鄂尔多斯市鄂托克前旗</w:t>
      </w:r>
      <w:r>
        <w:rPr>
          <w:rFonts w:hint="eastAsia" w:ascii="仿宋" w:hAnsi="仿宋" w:eastAsia="仿宋" w:cs="仿宋"/>
          <w:sz w:val="28"/>
          <w:szCs w:val="28"/>
          <w:lang w:val="en-US" w:eastAsia="zh-CN"/>
        </w:rPr>
        <w:t>旗昂素镇</w:t>
      </w:r>
    </w:p>
    <w:p w14:paraId="2EF6F62A">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二、编制范围</w:t>
      </w:r>
    </w:p>
    <w:p w14:paraId="4F91F022">
      <w:pPr>
        <w:pStyle w:val="5"/>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641"/>
        <w:jc w:val="both"/>
        <w:textAlignment w:val="auto"/>
        <w:rPr>
          <w:rFonts w:hint="eastAsia" w:ascii="仿宋" w:hAnsi="仿宋" w:eastAsia="仿宋" w:cs="仿宋"/>
          <w:kern w:val="2"/>
          <w:sz w:val="28"/>
          <w:szCs w:val="28"/>
          <w:highlight w:val="none"/>
          <w:u w:val="none"/>
          <w:shd w:val="clear" w:color="auto" w:fill="auto"/>
          <w:lang w:val="en-US" w:eastAsia="zh-CN" w:bidi="ar-SA"/>
        </w:rPr>
      </w:pPr>
      <w:r>
        <w:rPr>
          <w:rFonts w:hint="eastAsia" w:ascii="仿宋" w:hAnsi="仿宋" w:eastAsia="仿宋" w:cs="仿宋"/>
          <w:kern w:val="2"/>
          <w:sz w:val="28"/>
          <w:szCs w:val="28"/>
          <w:highlight w:val="none"/>
          <w:u w:val="none"/>
          <w:shd w:val="clear" w:color="auto" w:fill="auto"/>
          <w:lang w:val="en-US" w:eastAsia="zh-CN" w:bidi="ar-SA"/>
        </w:rPr>
        <w:t>编制范围为图纸范围内的全部内容，包含土方工程、建筑与装饰工程、电气工程、给水工程等。</w:t>
      </w:r>
    </w:p>
    <w:p w14:paraId="5EBE5828">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left="641" w:leftChars="0" w:right="0" w:rightChars="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编制依据</w:t>
      </w:r>
      <w:bookmarkStart w:id="0" w:name="_GoBack"/>
      <w:bookmarkEnd w:id="0"/>
    </w:p>
    <w:p w14:paraId="331D2D71">
      <w:pPr>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left"/>
        <w:textAlignment w:val="baseline"/>
        <w:rPr>
          <w:rFonts w:hint="eastAsia" w:ascii="仿宋" w:hAnsi="仿宋" w:eastAsia="仿宋" w:cs="仿宋"/>
          <w:sz w:val="28"/>
          <w:szCs w:val="28"/>
          <w:lang w:val="en-US" w:eastAsia="zh-CN"/>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依据</w:t>
      </w:r>
      <w:r>
        <w:rPr>
          <w:rFonts w:hint="eastAsia" w:ascii="仿宋" w:hAnsi="仿宋" w:eastAsia="仿宋" w:cs="仿宋"/>
          <w:sz w:val="28"/>
          <w:szCs w:val="28"/>
        </w:rPr>
        <w:t>《建设工程工程量清单计价</w:t>
      </w:r>
      <w:r>
        <w:rPr>
          <w:rFonts w:hint="eastAsia" w:ascii="仿宋" w:hAnsi="仿宋" w:eastAsia="仿宋" w:cs="仿宋"/>
          <w:sz w:val="28"/>
          <w:szCs w:val="28"/>
          <w:lang w:val="en-US" w:eastAsia="zh-CN"/>
        </w:rPr>
        <w:t>标准</w:t>
      </w:r>
      <w:r>
        <w:rPr>
          <w:rFonts w:hint="eastAsia" w:ascii="仿宋" w:hAnsi="仿宋" w:eastAsia="仿宋" w:cs="仿宋"/>
          <w:sz w:val="28"/>
          <w:szCs w:val="28"/>
        </w:rPr>
        <w:t>》（GB</w:t>
      </w:r>
      <w:r>
        <w:rPr>
          <w:rFonts w:hint="eastAsia" w:ascii="仿宋" w:hAnsi="仿宋" w:eastAsia="仿宋" w:cs="仿宋"/>
          <w:sz w:val="28"/>
          <w:szCs w:val="28"/>
          <w:lang w:val="en-US" w:eastAsia="zh-CN"/>
        </w:rPr>
        <w:t>/T</w:t>
      </w:r>
      <w:r>
        <w:rPr>
          <w:rFonts w:hint="eastAsia" w:ascii="仿宋" w:hAnsi="仿宋" w:eastAsia="仿宋" w:cs="仿宋"/>
          <w:sz w:val="28"/>
          <w:szCs w:val="28"/>
        </w:rPr>
        <w:t>50500-20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以及相关法律法规及规范规定编制；</w:t>
      </w:r>
    </w:p>
    <w:p w14:paraId="250A79C5">
      <w:pPr>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left"/>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2、增值税执行《关于调整内蒙古自治区建设工程计价依据增值税税率的通知》内建标[2019]113号文件，税率为9%； </w:t>
      </w:r>
    </w:p>
    <w:p w14:paraId="47FD2329">
      <w:pPr>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left"/>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安全生产计提费依据内蒙古自治区住房和城乡建设厅文件内建标〔2025〕98号文件计取，结算时应根据经建设单位、监理单位、监督单位及安全生产管理部门批复的安全生产施工方案结合实际投入情况据实结算；</w:t>
      </w:r>
    </w:p>
    <w:p w14:paraId="7EF4A5AF">
      <w:pPr>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left"/>
        <w:textAlignment w:val="baseline"/>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4、人工增加费依据《建设工程工程量清单计价标准（GB/T50500-2024）》为19%；</w:t>
      </w:r>
    </w:p>
    <w:p w14:paraId="15B2281F">
      <w:pPr>
        <w:keepNext w:val="0"/>
        <w:keepLines w:val="0"/>
        <w:pageBreakBefore w:val="0"/>
        <w:widowControl w:val="0"/>
        <w:kinsoku/>
        <w:wordWrap/>
        <w:overflowPunct/>
        <w:topLinePunct w:val="0"/>
        <w:autoSpaceDE/>
        <w:autoSpaceDN/>
        <w:bidi w:val="0"/>
        <w:adjustRightInd w:val="0"/>
        <w:snapToGrid/>
        <w:spacing w:line="360" w:lineRule="auto"/>
        <w:ind w:firstLine="562" w:firstLineChars="200"/>
        <w:jc w:val="left"/>
        <w:textAlignment w:val="baseline"/>
        <w:rPr>
          <w:rFonts w:hint="default" w:ascii="仿宋" w:hAnsi="仿宋" w:eastAsia="仿宋" w:cs="仿宋"/>
          <w:color w:val="auto"/>
          <w:sz w:val="28"/>
          <w:szCs w:val="28"/>
          <w:lang w:val="en-US" w:eastAsia="zh-CN"/>
        </w:rPr>
      </w:pPr>
      <w:r>
        <w:rPr>
          <w:rFonts w:hint="eastAsia" w:ascii="仿宋" w:hAnsi="仿宋" w:eastAsia="仿宋" w:cs="仿宋"/>
          <w:b/>
          <w:bCs/>
          <w:color w:val="auto"/>
          <w:kern w:val="2"/>
          <w:sz w:val="28"/>
          <w:szCs w:val="28"/>
          <w:highlight w:val="none"/>
          <w:u w:val="none"/>
          <w:shd w:val="clear" w:color="auto" w:fill="auto"/>
          <w:lang w:val="en-US" w:eastAsia="zh-CN" w:bidi="zh-TW"/>
        </w:rPr>
        <w:t>四、暂列金额</w:t>
      </w:r>
      <w:r>
        <w:rPr>
          <w:rFonts w:hint="eastAsia" w:ascii="仿宋" w:hAnsi="仿宋" w:eastAsia="仿宋" w:cs="仿宋"/>
          <w:color w:val="auto"/>
          <w:sz w:val="28"/>
          <w:szCs w:val="28"/>
          <w:lang w:val="en-US" w:eastAsia="zh-CN"/>
        </w:rPr>
        <w:t>：</w:t>
      </w:r>
      <w:r>
        <w:rPr>
          <w:rFonts w:hint="eastAsia" w:ascii="仿宋" w:hAnsi="仿宋" w:eastAsia="仿宋" w:cs="仿宋"/>
          <w:strike w:val="0"/>
          <w:dstrike w:val="0"/>
          <w:color w:val="auto"/>
          <w:sz w:val="28"/>
          <w:szCs w:val="28"/>
          <w:highlight w:val="none"/>
          <w:lang w:val="en-US" w:eastAsia="zh-CN"/>
        </w:rPr>
        <w:t>不计</w:t>
      </w:r>
      <w:r>
        <w:rPr>
          <w:rFonts w:hint="eastAsia" w:ascii="仿宋" w:hAnsi="仿宋" w:eastAsia="仿宋" w:cs="仿宋"/>
          <w:color w:val="auto"/>
          <w:sz w:val="28"/>
          <w:szCs w:val="28"/>
          <w:lang w:val="en-US" w:eastAsia="zh-CN"/>
        </w:rPr>
        <w:t>。</w:t>
      </w:r>
    </w:p>
    <w:p w14:paraId="1C4068C6">
      <w:pPr>
        <w:numPr>
          <w:ilvl w:val="0"/>
          <w:numId w:val="0"/>
        </w:numPr>
        <w:spacing w:line="360" w:lineRule="auto"/>
        <w:ind w:firstLine="562" w:firstLineChars="200"/>
        <w:rPr>
          <w:rFonts w:hint="eastAsia" w:ascii="仿宋" w:hAnsi="仿宋" w:eastAsia="仿宋" w:cs="仿宋"/>
          <w:color w:val="auto"/>
          <w:sz w:val="28"/>
          <w:szCs w:val="28"/>
          <w:lang w:val="en-US" w:eastAsia="zh-CN"/>
        </w:rPr>
      </w:pPr>
      <w:r>
        <w:rPr>
          <w:rFonts w:hint="eastAsia" w:ascii="仿宋" w:hAnsi="仿宋" w:eastAsia="仿宋" w:cs="仿宋"/>
          <w:b/>
          <w:bCs/>
          <w:color w:val="auto"/>
          <w:kern w:val="2"/>
          <w:sz w:val="28"/>
          <w:szCs w:val="28"/>
          <w:highlight w:val="none"/>
          <w:u w:val="none"/>
          <w:shd w:val="clear" w:color="auto" w:fill="auto"/>
          <w:lang w:val="en-US" w:eastAsia="zh-CN" w:bidi="zh-TW"/>
        </w:rPr>
        <w:t>五、招标控制价</w:t>
      </w:r>
      <w:r>
        <w:rPr>
          <w:rFonts w:hint="eastAsia" w:ascii="仿宋" w:hAnsi="仿宋" w:eastAsia="仿宋" w:cs="仿宋"/>
          <w:color w:val="auto"/>
          <w:sz w:val="28"/>
          <w:szCs w:val="28"/>
          <w:lang w:val="en-US" w:eastAsia="zh-CN"/>
        </w:rPr>
        <w:t>：3#草料棚685681</w:t>
      </w:r>
      <w:r>
        <w:rPr>
          <w:rFonts w:hint="eastAsia" w:ascii="仿宋" w:hAnsi="仿宋" w:eastAsia="仿宋" w:cs="仿宋"/>
          <w:strike w:val="0"/>
          <w:dstrike w:val="0"/>
          <w:color w:val="auto"/>
          <w:sz w:val="28"/>
          <w:szCs w:val="28"/>
          <w:highlight w:val="none"/>
          <w:lang w:val="en-US" w:eastAsia="zh-CN"/>
        </w:rPr>
        <w:t>元</w:t>
      </w:r>
      <w:r>
        <w:rPr>
          <w:rFonts w:hint="eastAsia" w:ascii="仿宋" w:hAnsi="仿宋" w:eastAsia="仿宋" w:cs="仿宋"/>
          <w:color w:val="auto"/>
          <w:sz w:val="28"/>
          <w:szCs w:val="28"/>
          <w:lang w:val="en-US" w:eastAsia="zh-CN"/>
        </w:rPr>
        <w:t>（大写：陆拾捌万伍仟陆佰捌拾壹元整）、4#驼棚984320元（大写：玖拾捌万肆仟叁佰贰拾元整）。</w:t>
      </w:r>
    </w:p>
    <w:p w14:paraId="4FDBB3B1">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left="641" w:leftChars="0" w:right="0" w:rightChars="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六、其他说明</w:t>
      </w:r>
    </w:p>
    <w:p w14:paraId="5B963E35">
      <w:pPr>
        <w:numPr>
          <w:ilvl w:val="0"/>
          <w:numId w:val="0"/>
        </w:num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1.土方运距自行考虑，结算时不予调整；</w:t>
      </w:r>
    </w:p>
    <w:p w14:paraId="7FEADF2C">
      <w:pPr>
        <w:numPr>
          <w:ilvl w:val="0"/>
          <w:numId w:val="0"/>
        </w:num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2.商品混凝土运距自行考虑，结算时不予调整；</w:t>
      </w:r>
    </w:p>
    <w:p w14:paraId="2BFA4148">
      <w:pPr>
        <w:numPr>
          <w:ilvl w:val="0"/>
          <w:numId w:val="0"/>
        </w:num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3.材料检测费暂不计取，结算时据实结算</w:t>
      </w:r>
    </w:p>
    <w:p w14:paraId="782E509C">
      <w:pPr>
        <w:numPr>
          <w:ilvl w:val="0"/>
          <w:numId w:val="0"/>
        </w:num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4.本项目不计取建筑工人实名制费用，如有发生，据实结算即可；</w:t>
      </w:r>
    </w:p>
    <w:p w14:paraId="6A3E013C">
      <w:pPr>
        <w:numPr>
          <w:ilvl w:val="0"/>
          <w:numId w:val="0"/>
        </w:num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5.材料暂估价详见清单“材料暂估单价及调整表”；</w:t>
      </w:r>
    </w:p>
    <w:p w14:paraId="64EE0776">
      <w:pPr>
        <w:numPr>
          <w:ilvl w:val="0"/>
          <w:numId w:val="0"/>
        </w:numPr>
        <w:spacing w:line="360" w:lineRule="auto"/>
        <w:ind w:firstLine="560" w:firstLineChars="200"/>
        <w:rPr>
          <w:rFonts w:hint="eastAsia" w:ascii="仿宋" w:hAnsi="仿宋" w:eastAsia="仿宋" w:cs="仿宋"/>
          <w:b/>
          <w:bCs/>
          <w:sz w:val="48"/>
          <w:szCs w:val="48"/>
          <w:highlight w:val="none"/>
          <w:lang w:val="en-US" w:eastAsia="zh-CN"/>
        </w:rPr>
      </w:pPr>
      <w:r>
        <w:rPr>
          <w:rFonts w:hint="eastAsia" w:ascii="仿宋" w:hAnsi="仿宋" w:eastAsia="仿宋" w:cs="仿宋"/>
          <w:sz w:val="28"/>
          <w:szCs w:val="28"/>
          <w:lang w:val="en-US" w:eastAsia="zh-CN"/>
        </w:rPr>
        <w:t>6.未尽事宜详见各工程量清单项目特征描述。</w:t>
      </w:r>
    </w:p>
    <w:p w14:paraId="6BDDA214"/>
    <w:sectPr>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5165CE"/>
    <w:rsid w:val="0B813C06"/>
    <w:rsid w:val="0E9B2EC6"/>
    <w:rsid w:val="0F1F58A5"/>
    <w:rsid w:val="168934C5"/>
    <w:rsid w:val="19F31966"/>
    <w:rsid w:val="29AF561F"/>
    <w:rsid w:val="2E304F81"/>
    <w:rsid w:val="320B18F6"/>
    <w:rsid w:val="395872A2"/>
    <w:rsid w:val="3AA334C2"/>
    <w:rsid w:val="3FF2417C"/>
    <w:rsid w:val="418135F1"/>
    <w:rsid w:val="485165CE"/>
    <w:rsid w:val="4AC6114F"/>
    <w:rsid w:val="5EEF302F"/>
    <w:rsid w:val="6475239A"/>
    <w:rsid w:val="677D7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5">
    <w:name w:val="Body text|1"/>
    <w:basedOn w:val="1"/>
    <w:qFormat/>
    <w:uiPriority w:val="0"/>
    <w:pPr>
      <w:widowControl w:val="0"/>
      <w:shd w:val="clear" w:color="auto" w:fill="auto"/>
      <w:spacing w:line="415"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525</Words>
  <Characters>578</Characters>
  <Lines>0</Lines>
  <Paragraphs>0</Paragraphs>
  <TotalTime>4</TotalTime>
  <ScaleCrop>false</ScaleCrop>
  <LinksUpToDate>false</LinksUpToDate>
  <CharactersWithSpaces>579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2025-11-03T03:50:00Z</dcterms:created>
  <dc:creator>多么哇塞的姑娘</dc:creator>
  <cp:lastModifiedBy>（相知的感动）-温</cp:lastModifiedBy>
  <dcterms:modified xsi:type="dcterms:W3CDTF">2026-08-27T10:11:25Z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F1B11E45AF5A4722969115410BC22AEC_13</vt:lpwstr>
  </property>
  <property fmtid="{D5CDD505-2E9C-101B-9397-08002B2CF9AE}" pid="4" name="KSOTemplateDocerSaveRecord">
    <vt:lpwstr>eyJoZGlkIjoiMzE0Y2RjZWM2YTNlOTRmNDU5MjdlMTdhNmNiZTNiYTgiLCJ1c2VySWQiOiIyNzA2NTA2NTMifQ==</vt:lpwstr>
  </property>
</Properties>
</file>