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A5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合同编号：</w:t>
      </w:r>
    </w:p>
    <w:p w14:paraId="0928C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0613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1BAC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D80C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钢结构校舍检测鉴定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合同</w:t>
      </w:r>
    </w:p>
    <w:p w14:paraId="6B095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F02D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D4DBB5D">
      <w:pPr>
        <w:pStyle w:val="9"/>
        <w:jc w:val="both"/>
        <w:outlineLvl w:val="1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u w:val="single"/>
          <w:lang w:val="en-US" w:eastAsia="zh-CN" w:bidi="ar-SA"/>
        </w:rPr>
        <w:t>准格尔旗校园钢结构校舍检测鉴定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</w:p>
    <w:p w14:paraId="67E41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服务内容：全旗校园钢结构校舍检测鉴定</w:t>
      </w:r>
    </w:p>
    <w:p w14:paraId="55643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</w:t>
      </w:r>
    </w:p>
    <w:p w14:paraId="5FC15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</w:t>
      </w:r>
      <w:r>
        <w:rPr>
          <w:rFonts w:hint="eastAsia" w:ascii="仿宋_GB2312" w:hAnsi="仿宋_GB2312" w:eastAsia="仿宋_GB2312" w:cs="仿宋_GB2312"/>
          <w:sz w:val="32"/>
          <w:szCs w:val="32"/>
        </w:rPr>
        <w:t>托方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</w:t>
      </w:r>
    </w:p>
    <w:p w14:paraId="2CEA1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签订时间：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37D76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签订地点：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6C64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5A4EB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9BA7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5B1D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9B3B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本合同根据甲乙双方经平等协商，在真实、充分地表达各自意愿的基础上，根据《中华人民共和国民法典》的相关规定，达成如下协议，并由双方共同恪守。</w:t>
      </w:r>
    </w:p>
    <w:p w14:paraId="71BB5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第1章 合同双方信息</w:t>
      </w:r>
    </w:p>
    <w:p w14:paraId="6C0AA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甲方（委托方）：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准格尔旗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教育体育局</w:t>
      </w:r>
    </w:p>
    <w:p w14:paraId="792C3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地址：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</w:t>
      </w:r>
    </w:p>
    <w:p w14:paraId="0EBD3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</w:t>
      </w:r>
    </w:p>
    <w:p w14:paraId="7876F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项目联系人：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 w14:paraId="66D48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</w:t>
      </w:r>
    </w:p>
    <w:p w14:paraId="3AF9E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乙方（受托方）：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</w:t>
      </w:r>
    </w:p>
    <w:p w14:paraId="75BC0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</w:t>
      </w:r>
    </w:p>
    <w:p w14:paraId="4056F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资质证书编号（CMA/房屋安全鉴定资质）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</w:p>
    <w:p w14:paraId="4406B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地址：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</w:t>
      </w:r>
    </w:p>
    <w:p w14:paraId="274A7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</w:t>
      </w:r>
    </w:p>
    <w:p w14:paraId="0B173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项目总负责人：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</w:t>
      </w:r>
    </w:p>
    <w:p w14:paraId="7F8B9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</w:t>
      </w:r>
    </w:p>
    <w:p w14:paraId="5206A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第2章 项目总体概况</w:t>
      </w:r>
    </w:p>
    <w:p w14:paraId="05F69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准格尔旗校园钢结构校舍检测鉴定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</w:p>
    <w:p w14:paraId="169D5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项目覆盖范围：全旗所有中小学、幼儿园已投入使用钢结构校舍建筑，具体包含但不限于钢结构教学楼、体育馆、食堂、报告厅、风雨操场、门卫值班室等建筑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8A18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单校信息明细预留表：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详见附件</w:t>
      </w:r>
    </w:p>
    <w:p w14:paraId="53F85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4.本合同履行地点：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准格尔旗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现场，乙方在合同签订后40天（自然日）内完成检测并出具规范有效的检测鉴定报告，直至项目竣工验收完毕。</w:t>
      </w:r>
    </w:p>
    <w:p w14:paraId="53BA9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 项目目标：全面排查全旗校园钢结构校舍安全隐患，形成“一校一档”安全鉴定报告，建立全旗校园钢结构建筑安全动态台账，筑牢校园建筑安全防线。</w:t>
      </w:r>
    </w:p>
    <w:p w14:paraId="6C2DD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第3章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鉴定执行依据</w:t>
      </w:r>
    </w:p>
    <w:p w14:paraId="10136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包括但不限于：</w:t>
      </w:r>
    </w:p>
    <w:p w14:paraId="27CD2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（1）《民用建筑可靠性鉴定标准》GB50292</w:t>
      </w:r>
    </w:p>
    <w:p w14:paraId="1EC9B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（2）《钢结构设计标准》GB50017</w:t>
      </w:r>
    </w:p>
    <w:p w14:paraId="31E6E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（3）《建筑结构荷载规范》GB50009</w:t>
      </w:r>
    </w:p>
    <w:p w14:paraId="74870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（4）《建筑钢结构防火技术规范》CECS200</w:t>
      </w:r>
    </w:p>
    <w:p w14:paraId="790E3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（5）《建筑结构检测技术标准》GB/T50344</w:t>
      </w:r>
    </w:p>
    <w:p w14:paraId="5D454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（6）《建设工程质量检测管理办法》、CMA 计量认证相关管理规范以及其他法律法规要求的文件</w:t>
      </w:r>
    </w:p>
    <w:p w14:paraId="754E7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第4章 鉴定服务内容</w:t>
      </w:r>
    </w:p>
    <w:p w14:paraId="1351F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乙方需为每一栋校园钢结构建筑完成以下全部工作：</w:t>
      </w:r>
    </w:p>
    <w:p w14:paraId="0B839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（一）建筑结构整体外观勘查</w:t>
      </w:r>
    </w:p>
    <w:p w14:paraId="6DB5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（1）建筑整体倾斜、沉降观测，核查墙体、围护构件裂缝、变形、渗水痕迹等内容；</w:t>
      </w:r>
    </w:p>
    <w:p w14:paraId="67941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（2）钢结构整体布置核查：钢柱、钢梁、支撑体系、檩条、屋面桁架布置完整性等内容；</w:t>
      </w:r>
    </w:p>
    <w:p w14:paraId="69D88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（3）区分主体承重钢构件与非承重围护钢构件，排查私自切割、焊接、拆除支撑等违规改造部位等内容。</w:t>
      </w:r>
    </w:p>
    <w:p w14:paraId="1456D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（二）钢结构构件专项检测</w:t>
      </w:r>
    </w:p>
    <w:p w14:paraId="439A0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（1）构件尺寸与截面复核：现场实测钢柱、主梁、次梁、系杆、支撑、檩条截面规格、钢板厚度等，核对与原设计图纸一致性；</w:t>
      </w:r>
    </w:p>
    <w:p w14:paraId="1C8D6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（2）钢材锈蚀检测：全数检查钢构件锈蚀部位，测量锈蚀深度、锈蚀面积占比，区分轻微、中度、重度锈蚀；检测梁柱节点、檐口、地下室、卫生间等潮湿易腐蚀区域等内容；</w:t>
      </w:r>
    </w:p>
    <w:p w14:paraId="21733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（3）构件变形损伤检测：检测钢梁下挠、钢柱弯曲、构件扭曲、局部凹陷、撞击破损、裂纹等缺陷；测量构件挠度值，对比规范限值等内容；</w:t>
      </w:r>
    </w:p>
    <w:p w14:paraId="25231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连接节点检测：1）螺栓节点：检查高强螺栓、普通螺栓缺失、松动、滑丝、锈蚀、断裂情况等内容；2）焊接节点：焊缝外观检查，对关键梁柱接头、桁架焊缝开展外观探伤，记录夹渣、气孔、未焊透、开裂缺陷等内容；</w:t>
      </w:r>
    </w:p>
    <w:p w14:paraId="6BB528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（5）防火涂层检测：实测钢结构防火涂料厚度、完整度，核查涂层脱落、粉化、开裂、起皮区域，判断防火保护是否满足耐火设计要求等内容；</w:t>
      </w:r>
    </w:p>
    <w:p w14:paraId="2407B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（6）围护及附属结构检测：彩钢屋面板、墙板破损、漏水、固定件锈蚀；天沟、落水管锈蚀堵塞；屋面保温层破损；楼梯、栏杆、钢平台牢固度检测等内容。</w:t>
      </w:r>
    </w:p>
    <w:p w14:paraId="4CB57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（三）结构安全验算分析服务</w:t>
      </w:r>
    </w:p>
    <w:p w14:paraId="39B05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（1）根据现场实测构件尺寸、锈蚀折减厚度、实际荷载、原始结构图纸，建立结构计算模型；</w:t>
      </w:r>
    </w:p>
    <w:p w14:paraId="78060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（2）按照现行《钢结构设计标准》《建筑结构荷载规范》《民用建筑可靠性鉴定标准》开展承载力、刚度、稳定性验算；</w:t>
      </w:r>
    </w:p>
    <w:p w14:paraId="464A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（3）分别验算钢柱抗压稳定、钢梁抗弯抗剪、节点连接承载力、屋面支撑体系整体稳定；</w:t>
      </w:r>
    </w:p>
    <w:p w14:paraId="41A3F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（4）结合锈蚀损伤、防火层缺失、违规改造等不利工况，分项核算结构安全储备。。</w:t>
      </w:r>
    </w:p>
    <w:p w14:paraId="53BE3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（四）校舍安全等级综合鉴定评定</w:t>
      </w:r>
    </w:p>
    <w:p w14:paraId="05C33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依据《民用建筑可靠性鉴定标准》GB50292，对校舍整体安全性分级评定：</w:t>
      </w:r>
    </w:p>
    <w:p w14:paraId="78DF7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（1）Asu 级（安全完好）：结构承载力满足规范，无明显损伤，可正常使用；</w:t>
      </w:r>
    </w:p>
    <w:p w14:paraId="6B923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（2）Bsu 级（轻微缺陷）：存在轻微锈蚀、涂层破损，承载力基本满足，简单维修后可正常使用；</w:t>
      </w:r>
    </w:p>
    <w:p w14:paraId="6B760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（3）Csu 级（局部危险）：部分构件锈蚀、变形超标，承载力不足，需限期加固处理，限制使用荷载；</w:t>
      </w:r>
    </w:p>
    <w:p w14:paraId="17A35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（4）Dsu 级（整体危险）：主体承重构件严重损伤、结构失稳，存在坍塌风险，建议停用、拆除或立即全面加固。同时出具防火安全专项评价、耐久性使用年限评估。</w:t>
      </w:r>
    </w:p>
    <w:p w14:paraId="734F9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第5章 项目计费与结算方式</w:t>
      </w:r>
    </w:p>
    <w:p w14:paraId="4937E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计费规则：按实际完成鉴定的单栋建筑建筑面积×____元/㎡核算总费用，最终总费用以甲方确认的全旗实际完成鉴定校园明细汇总为准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且不超过乙方项目中标金额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F5B8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付款节点：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乙方提供检测报告后，⽀付合同总⾦额的50.00%；剩余价款待甲方组织专家组审核通过后支付。</w:t>
      </w:r>
    </w:p>
    <w:p w14:paraId="3CBC1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3. 乙方需在每笔款项支付前向甲方提供等额合规增值税专用发票。</w:t>
      </w:r>
    </w:p>
    <w:p w14:paraId="48C1A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4.乙方开户银行名称、户名、账号：</w:t>
      </w:r>
    </w:p>
    <w:p w14:paraId="1E9C3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收款单位全称（户名）：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471E4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开户银行：________________________________________;</w:t>
      </w:r>
    </w:p>
    <w:p w14:paraId="5F007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银行账号：________________________________________。</w:t>
      </w:r>
    </w:p>
    <w:p w14:paraId="2EC20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第6章 双方权责约定</w:t>
      </w:r>
    </w:p>
    <w:p w14:paraId="02C68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6.1 甲方权责</w:t>
      </w:r>
    </w:p>
    <w:p w14:paraId="6DB4A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1.统筹协调全旗所有待检学校配合乙方进场工作，为乙方进场提供必要的通行、作业便利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0604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2.按合同约定节点及时支付鉴定服务费用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37B8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6.2 乙方权责</w:t>
      </w:r>
    </w:p>
    <w:p w14:paraId="12AEE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1.组建校园鉴定项目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组所有人员进场前需完成校园安全保密培训，严格遵守各校园的日常管理规定，不得干扰正常教学秩序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根据合同规定，在承诺期限内完成检测鉴定工作。</w:t>
      </w:r>
    </w:p>
    <w:p w14:paraId="143C2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2.建立“重大隐患即时上报机制”：现场排查发现存在即时坍塌风险、严重影响师生安全的D级危房隐患，同步告知甲方和对应学校，第一时间出具临时停用、人员疏散的应急处置建议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44E7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3.建立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形成“一校一档”安全鉴定报告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台账，并及时交付甲方。</w:t>
      </w:r>
    </w:p>
    <w:p w14:paraId="6DAFC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第7章 项目验收标准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及售后服务标准</w:t>
      </w:r>
    </w:p>
    <w:p w14:paraId="2BD3D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成果报告交付服务</w:t>
      </w:r>
    </w:p>
    <w:p w14:paraId="4BB98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（1）编制完整《校园钢结构校舍安全检测鉴定报告》，全套包含：项目概况、检测依据、现场检测记录、实拍病害照片、检测数据表格、结构验算书、安全等级结论、整改加固建议；</w:t>
      </w:r>
    </w:p>
    <w:p w14:paraId="304F9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（2）报告加盖CMA计量认证章、检测机构资质章，附检测人员、鉴定人员执业证书复印件；</w:t>
      </w:r>
    </w:p>
    <w:p w14:paraId="2BECC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（3）提供纸质报告三份+电子版PDF存档文件，报告可用于校舍安全台账、住建部门备案、维修加固设计、专项资金申报；</w:t>
      </w:r>
    </w:p>
    <w:p w14:paraId="2CF6C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（4）配合采购人、住建部门答疑、现场复核、报告评审工作。</w:t>
      </w:r>
    </w:p>
    <w:p w14:paraId="596B9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配套售后服务</w:t>
      </w:r>
    </w:p>
    <w:p w14:paraId="38C12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（1）报告交付后免费提供1次现场答疑，配合主管部门核查问询；</w:t>
      </w:r>
    </w:p>
    <w:p w14:paraId="78998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（2）若校方开展加固维修，提供技术咨询，协助施工单位对照报告落实整改；</w:t>
      </w:r>
    </w:p>
    <w:p w14:paraId="11C70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（3）建立校舍检测档案，留存全部检测原始数据、影像资料，长期供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调阅。</w:t>
      </w:r>
    </w:p>
    <w:p w14:paraId="5A8A5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第8章 通用条款</w:t>
      </w:r>
    </w:p>
    <w:p w14:paraId="06B13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异议复检约定：甲方对检测结果存在异议的，可在收到报告后7个工作日内提出，双方共同委托第三方权威机构开展复检：若复检结果与原报告一致，复检费用由甲方承担；若不一致则由乙方承担全部复检费用。双方仍存在争议的，可向属地建设工程质量主管部门申请协调解决。</w:t>
      </w:r>
    </w:p>
    <w:p w14:paraId="10A97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保密条款：乙方对鉴定过程中接触到的校园建筑涉密信息、项目资料严格保密，保密义务在合同终止后3年内持续有效。</w:t>
      </w:r>
    </w:p>
    <w:p w14:paraId="77A07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转包限制：乙方不得将本项目的全部或部分工作转包给第三方机构，一经发现甲方有权立即解除合同，乙方需退还甲方已支付的全部款项并承担合同总金额20%的违约金。</w:t>
      </w:r>
    </w:p>
    <w:p w14:paraId="2AE01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违约责任：若乙方未按约定时限交付鉴定成果，每逾期1日需向甲方支付合同总金额千分之三的违约金；逾期超过7日，甲方有权单方解除合同。若乙方出具的鉴定报告存在数据造假、结论失实情况，乙方需全额退还甲方已付费用，并承担由此引发的校园安全相关全部连带责任。</w:t>
      </w:r>
    </w:p>
    <w:p w14:paraId="75B9F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 争议解决：双方产生争议无法协商解决的，向属地人民法院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准格尔旗人民法院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提起诉讼。</w:t>
      </w:r>
    </w:p>
    <w:p w14:paraId="1325A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 生效说明：本合同一式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陆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份，甲乙双方各执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叁</w:t>
      </w:r>
      <w:r>
        <w:rPr>
          <w:rFonts w:hint="eastAsia" w:ascii="仿宋_GB2312" w:hAnsi="仿宋_GB2312" w:eastAsia="仿宋_GB2312" w:cs="仿宋_GB2312"/>
          <w:sz w:val="32"/>
          <w:szCs w:val="32"/>
        </w:rPr>
        <w:t>份，双方签字盖章后即刻生效，所有合同义务履行完毕后自动终止。</w:t>
      </w:r>
    </w:p>
    <w:p w14:paraId="4E2F1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4CA3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AE3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60A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40D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AD4F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73A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49E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06A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132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91A2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1E2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EF7F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合同签署页</w:t>
      </w:r>
    </w:p>
    <w:p w14:paraId="4AAA4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4CD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甲方（单位盖章）：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 w14:paraId="7FC33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人/委托代理人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</w:p>
    <w:p w14:paraId="667B2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签订日期：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8213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F8AB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乙方（单位盖章）：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 w14:paraId="5A7B0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人/委托代理人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</w:p>
    <w:p w14:paraId="0DF4E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签订日期：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A43F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29D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 w14:paraId="0625A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FD6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D83C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29C385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29C385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33739"/>
    <w:rsid w:val="0198465B"/>
    <w:rsid w:val="01F3730C"/>
    <w:rsid w:val="06EC66E0"/>
    <w:rsid w:val="07474FE1"/>
    <w:rsid w:val="11827977"/>
    <w:rsid w:val="12493631"/>
    <w:rsid w:val="15202377"/>
    <w:rsid w:val="165C118C"/>
    <w:rsid w:val="18455C50"/>
    <w:rsid w:val="24ED56A6"/>
    <w:rsid w:val="2754792A"/>
    <w:rsid w:val="2AC80DF9"/>
    <w:rsid w:val="2AEE6FE7"/>
    <w:rsid w:val="2D0634AE"/>
    <w:rsid w:val="337C3E29"/>
    <w:rsid w:val="387C0DC3"/>
    <w:rsid w:val="3B337E5E"/>
    <w:rsid w:val="3D733739"/>
    <w:rsid w:val="3FBE7F13"/>
    <w:rsid w:val="409470BD"/>
    <w:rsid w:val="44654E01"/>
    <w:rsid w:val="472A1751"/>
    <w:rsid w:val="47CD5197"/>
    <w:rsid w:val="47DB3D58"/>
    <w:rsid w:val="49D40A5E"/>
    <w:rsid w:val="4D1A2C2C"/>
    <w:rsid w:val="4DE80F7C"/>
    <w:rsid w:val="4EE74D90"/>
    <w:rsid w:val="4F8C5937"/>
    <w:rsid w:val="554973CD"/>
    <w:rsid w:val="574F7976"/>
    <w:rsid w:val="593A6404"/>
    <w:rsid w:val="5F4D68A3"/>
    <w:rsid w:val="64DA673D"/>
    <w:rsid w:val="66876EA9"/>
    <w:rsid w:val="687D3D7D"/>
    <w:rsid w:val="68B852C3"/>
    <w:rsid w:val="6B511AB7"/>
    <w:rsid w:val="6CDE3BFC"/>
    <w:rsid w:val="6D0E0811"/>
    <w:rsid w:val="70722C7F"/>
    <w:rsid w:val="75A1363B"/>
    <w:rsid w:val="7981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40" w:firstLineChars="200"/>
    </w:pPr>
    <w:rPr>
      <w:rFonts w:hint="eastAsia" w:ascii="仿宋_GB2312" w:hAnsi="仿宋_GB2312" w:eastAsia="仿宋_GB2312" w:cs="仿宋_GB2312"/>
      <w:sz w:val="32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9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8bcd3d08-2596-4b52-917b-e1fa4ce3207b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53F85DCB</paraID>
      <start>31</start>
      <end>32</end>
      <status>modified</status>
      <modifiedWord>（</modifiedWord>
      <trackRevisions>false</trackRevisions>
    </reviewItem>
    <reviewItem>
      <errorID>d052307f-99a8-4f34-847d-ff69424ba669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53F85DCB</paraID>
      <start>35</start>
      <end>36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9e3f11-19d2-486a-b2f0-6f32ff343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3030</Words>
  <Characters>3201</Characters>
  <Lines>0</Lines>
  <Paragraphs>0</Paragraphs>
  <TotalTime>1</TotalTime>
  <ScaleCrop>false</ScaleCrop>
  <LinksUpToDate>false</LinksUpToDate>
  <CharactersWithSpaces>3830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2026-06-25T02:00:00Z</dcterms:created>
  <dc:creator>Ohhhhhh</dc:creator>
  <cp:lastModifiedBy>.</cp:lastModifiedBy>
  <dcterms:modified xsi:type="dcterms:W3CDTF">2026-06-26T07:50:56Z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50B958974F9C4B1CAE83433B64968D25_13</vt:lpwstr>
  </property>
  <property fmtid="{D5CDD505-2E9C-101B-9397-08002B2CF9AE}" pid="4" name="KSOTemplateDocerSaveRecord">
    <vt:lpwstr>eyJoZGlkIjoiY2Q1NWYzZmJlNmZiMzIwZjA0MmNmMWNmZGRmMDQzNmQiLCJ1c2VySWQiOiIzOTU0NTQyMjEifQ==</vt:lpwstr>
  </property>
</Properties>
</file>