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11983">
      <w:pPr>
        <w:keepNext w:val="0"/>
        <w:keepLines w:val="0"/>
        <w:widowControl/>
        <w:suppressLineNumbers w:val="0"/>
        <w:jc w:val="center"/>
        <w:rPr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编制说明</w:t>
      </w:r>
    </w:p>
    <w:bookmarkEnd w:id="0"/>
    <w:p w14:paraId="3116198A">
      <w:pPr>
        <w:keepNext w:val="0"/>
        <w:keepLines w:val="0"/>
        <w:widowControl/>
        <w:suppressLineNumbers w:val="0"/>
        <w:jc w:val="left"/>
        <w:rPr>
          <w:rFonts w:ascii="华文中宋" w:hAnsi="华文中宋" w:eastAsia="华文中宋" w:cs="华文中宋"/>
          <w:color w:val="000000"/>
          <w:kern w:val="0"/>
          <w:sz w:val="22"/>
          <w:szCs w:val="22"/>
          <w:lang w:val="en-US" w:eastAsia="zh-CN" w:bidi="ar"/>
        </w:rPr>
      </w:pPr>
    </w:p>
    <w:p w14:paraId="0BC9E1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一、工程名称：无障碍主题公园环境建设 </w:t>
      </w:r>
    </w:p>
    <w:p w14:paraId="16968D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二、编制依据： </w:t>
      </w:r>
    </w:p>
    <w:p w14:paraId="178FAA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1、《杭锦后旗无障碍主题园方案设计》；</w:t>
      </w:r>
    </w:p>
    <w:p w14:paraId="65114E9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2、《建设工程工程量清单计价规范》（GB50500-2024）及相配套的计算规范； </w:t>
      </w:r>
    </w:p>
    <w:p w14:paraId="403EDA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3、2017 年《内蒙古自治区建设工程费用定额》； </w:t>
      </w:r>
    </w:p>
    <w:p w14:paraId="287D1B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4、2017 年《内蒙古自治区建筑与装饰工程预算定额》； </w:t>
      </w:r>
    </w:p>
    <w:p w14:paraId="2D8615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5、2017年《内蒙古自治区通用安装工程预算定额》；</w:t>
      </w:r>
    </w:p>
    <w:p w14:paraId="5CB8EB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6、2017年《内蒙古自治区园林绿化工程预算定额》；</w:t>
      </w:r>
    </w:p>
    <w:p w14:paraId="087185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三、其他说明： </w:t>
      </w:r>
    </w:p>
    <w:p w14:paraId="252A59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1、材料价参照《2026 年一季度杭锦后旗陕坝镇建设工程材料市场信息价格表》进行调整。 </w:t>
      </w:r>
    </w:p>
    <w:p w14:paraId="75EA31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2、本工程依据《内蒙古自治区住房与城乡建设厅文件》内建标函[2025]98号文件，关于调整建设工程安全文明施工费的通知，费率标准应符合我区相关规定。 </w:t>
      </w:r>
    </w:p>
    <w:p w14:paraId="56339B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3、措施项目的内容及列项应符合2024版国家清单标准的规定。</w:t>
      </w:r>
    </w:p>
    <w:p w14:paraId="345D59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4、本工程依据《内蒙古自治区住房与城乡建设厅文件》内建标函[2021]148 号文件，关于调整内蒙古自治区建设工程现行预算定额人工费的通知，增加人工调增费用。</w:t>
      </w:r>
    </w:p>
    <w:p w14:paraId="49E6497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5、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材料检验试验费、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企业自有工人培训管理费均已按相关文件规定计入。</w:t>
      </w:r>
    </w:p>
    <w:p w14:paraId="06EFE2F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62F1DFA7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4584CB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B3392"/>
    <w:rsid w:val="0EB6385C"/>
    <w:rsid w:val="10FB04B0"/>
    <w:rsid w:val="194D473C"/>
    <w:rsid w:val="21B87493"/>
    <w:rsid w:val="2DC72F38"/>
    <w:rsid w:val="30E0489F"/>
    <w:rsid w:val="3C7324DC"/>
    <w:rsid w:val="3D7A1134"/>
    <w:rsid w:val="474156B1"/>
    <w:rsid w:val="6051650D"/>
    <w:rsid w:val="6CF43612"/>
    <w:rsid w:val="77EE068E"/>
    <w:rsid w:val="789E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423</Characters>
  <Lines>0</Lines>
  <Paragraphs>0</Paragraphs>
  <TotalTime>10</TotalTime>
  <ScaleCrop>false</ScaleCrop>
  <LinksUpToDate>false</LinksUpToDate>
  <CharactersWithSpaces>435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2026-05-17T02:41:00Z</dcterms:created>
  <dc:creator>admin</dc:creator>
  <cp:lastModifiedBy>Ms. Yang</cp:lastModifiedBy>
  <dcterms:modified xsi:type="dcterms:W3CDTF">2026-06-12T03:28:29Z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eyJoZGlkIjoiZjY2NTZmZDMzYzliMWU2NmQyZmEzZjI2NWVjMjQwMmQiLCJ1c2VySWQiOiIzNjczNjk4MTcifQ==</vt:lpwstr>
  </property>
  <property fmtid="{D5CDD505-2E9C-101B-9397-08002B2CF9AE}" pid="4" name="ICV">
    <vt:lpwstr>09BDECB430A341E4BD720E6F429A33A3_12</vt:lpwstr>
  </property>
</Properties>
</file>