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6D242">
      <w:pPr>
        <w:spacing w:line="360" w:lineRule="auto"/>
        <w:jc w:val="center"/>
        <w:rPr>
          <w:rFonts w:hint="eastAsia" w:asciiTheme="minorEastAsia" w:hAnsiTheme="minorEastAsia" w:cstheme="minorEastAsia"/>
          <w:b/>
          <w:bCs/>
          <w:color w:val="222222"/>
          <w:spacing w:val="7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32"/>
          <w:szCs w:val="32"/>
        </w:rPr>
        <w:t>采购内容与技术要求</w:t>
      </w:r>
    </w:p>
    <w:p w14:paraId="5B2CF3F7">
      <w:pPr>
        <w:widowControl/>
        <w:numPr>
          <w:ilvl w:val="0"/>
          <w:numId w:val="1"/>
        </w:numPr>
        <w:kinsoku w:val="0"/>
        <w:autoSpaceDE w:val="0"/>
        <w:autoSpaceDN w:val="0"/>
        <w:spacing w:line="360" w:lineRule="auto"/>
        <w:ind w:firstLine="0"/>
        <w:jc w:val="left"/>
        <w:textAlignment w:val="baseline"/>
        <w:outlineLvl w:val="0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项目概况</w:t>
      </w:r>
    </w:p>
    <w:p w14:paraId="0E7910A3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为落实国家、自治区规范失业保险业务经办、防范基金经办风险相关工作要求，提升失业保险业务审核效率、提高审核准确性、减少经办风险、优化经办服务水平。</w:t>
      </w:r>
    </w:p>
    <w:p w14:paraId="2838C2E8">
      <w:pPr>
        <w:widowControl/>
        <w:numPr>
          <w:ilvl w:val="1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outlineLvl w:val="1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工作目标</w:t>
      </w:r>
    </w:p>
    <w:p w14:paraId="08911BC9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基于失业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保险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业务量大、审核规则性强的特性，通过数字员工自动化处理规则性业务审核，提升审核效率，实现失业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保险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业务7×24小时不间断审核，释放人力处理复杂争议业务，且通过跨系统查询，提高审核准确率，减少人为干预，减少人为疏漏，大幅优化失业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保险业务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经办质效。</w:t>
      </w:r>
    </w:p>
    <w:p w14:paraId="2760306B">
      <w:pPr>
        <w:widowControl/>
        <w:numPr>
          <w:ilvl w:val="1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outlineLvl w:val="1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计划引入“数字员工”的业务</w:t>
      </w:r>
    </w:p>
    <w:p w14:paraId="63A7C32F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计划引入“数字员工”的业务为：失业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保险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金审核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稳岗返还补贴审核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、职业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技能提升补贴审核、一次性扩岗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补助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审核、失业动态监测分析、RPA机器人可视化中台等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六项业务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。</w:t>
      </w:r>
    </w:p>
    <w:p w14:paraId="2DE9328D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服务要求：</w:t>
      </w:r>
      <w:r>
        <w:rPr>
          <w:rFonts w:asciiTheme="minorEastAsia" w:hAnsiTheme="minorEastAsia" w:cstheme="minorEastAsia"/>
          <w:color w:val="222222"/>
          <w:spacing w:val="5"/>
          <w:sz w:val="28"/>
          <w:szCs w:val="28"/>
        </w:rPr>
        <w:t></w:t>
      </w:r>
    </w:p>
    <w:p w14:paraId="69A95A54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asciiTheme="minorEastAsia" w:hAnsiTheme="minorEastAsia" w:cstheme="minorEastAsia"/>
          <w:color w:val="222222"/>
          <w:spacing w:val="5"/>
          <w:sz w:val="28"/>
          <w:szCs w:val="28"/>
        </w:rPr>
        <w:t>供应商须为本项目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以上</w:t>
      </w:r>
      <w:r>
        <w:rPr>
          <w:rFonts w:asciiTheme="minorEastAsia" w:hAnsiTheme="minorEastAsia" w:cstheme="minorEastAsia"/>
          <w:color w:val="222222"/>
          <w:spacing w:val="5"/>
          <w:sz w:val="28"/>
          <w:szCs w:val="28"/>
        </w:rPr>
        <w:t xml:space="preserve">业务场景提供数字员工的建设、部署、调试、运维全流程服务，确保各业务流程自动化、稳定、安全运行。通过数字员工替代人工完成重复性、规则性强的审核与发放操作，提升业务办理效率，降低人工差错率，缩短审核发放周期。遵循 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“</w:t>
      </w:r>
      <w:r>
        <w:rPr>
          <w:rFonts w:asciiTheme="minorEastAsia" w:hAnsiTheme="minorEastAsia" w:cstheme="minorEastAsia"/>
          <w:color w:val="222222"/>
          <w:spacing w:val="5"/>
          <w:sz w:val="28"/>
          <w:szCs w:val="28"/>
        </w:rPr>
        <w:t>业务驱动、安全可控、灵活扩展、稳定可靠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”</w:t>
      </w:r>
      <w:r>
        <w:rPr>
          <w:rFonts w:asciiTheme="minorEastAsia" w:hAnsiTheme="minorEastAsia" w:cstheme="minorEastAsia"/>
          <w:color w:val="222222"/>
          <w:spacing w:val="5"/>
          <w:sz w:val="28"/>
          <w:szCs w:val="28"/>
        </w:rPr>
        <w:t xml:space="preserve"> 原则，数字员工须与现有业务系统无缝对接，不改变原有系统架构与数据结构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。</w:t>
      </w:r>
    </w:p>
    <w:p w14:paraId="19B31D59">
      <w:pPr>
        <w:widowControl/>
        <w:numPr>
          <w:ilvl w:val="3"/>
          <w:numId w:val="1"/>
        </w:numPr>
        <w:kinsoku w:val="0"/>
        <w:autoSpaceDE w:val="0"/>
        <w:autoSpaceDN w:val="0"/>
        <w:spacing w:line="360" w:lineRule="auto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服务范围：呼伦贝尔市就业服务中心本级及13个旗市区就业服务中心。</w:t>
      </w:r>
    </w:p>
    <w:p w14:paraId="0F461D3A">
      <w:pPr>
        <w:widowControl/>
        <w:numPr>
          <w:ilvl w:val="3"/>
          <w:numId w:val="1"/>
        </w:numPr>
        <w:kinsoku w:val="0"/>
        <w:autoSpaceDE w:val="0"/>
        <w:autoSpaceDN w:val="0"/>
        <w:spacing w:line="360" w:lineRule="auto"/>
        <w:jc w:val="left"/>
        <w:textAlignment w:val="baseline"/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  <w:t>技术需依据政策变化动态调整审核规则；</w:t>
      </w:r>
    </w:p>
    <w:p w14:paraId="3F4D009A">
      <w:pPr>
        <w:widowControl/>
        <w:numPr>
          <w:ilvl w:val="3"/>
          <w:numId w:val="1"/>
        </w:numPr>
        <w:kinsoku w:val="0"/>
        <w:autoSpaceDE w:val="0"/>
        <w:autoSpaceDN w:val="0"/>
        <w:spacing w:line="360" w:lineRule="auto"/>
        <w:jc w:val="left"/>
        <w:textAlignment w:val="baseline"/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  <w:t xml:space="preserve">需能够与自治区社保系统、医保系统、智慧就业公共服务平台等相关平台有效沟通衔接；  </w:t>
      </w:r>
    </w:p>
    <w:p w14:paraId="7861AF62">
      <w:pPr>
        <w:widowControl/>
        <w:numPr>
          <w:ilvl w:val="3"/>
          <w:numId w:val="1"/>
        </w:numPr>
        <w:kinsoku w:val="0"/>
        <w:autoSpaceDE w:val="0"/>
        <w:autoSpaceDN w:val="0"/>
        <w:spacing w:line="360" w:lineRule="auto"/>
        <w:jc w:val="left"/>
        <w:textAlignment w:val="baseline"/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  <w:t>服务期一年，供应商</w:t>
      </w:r>
      <w:r>
        <w:rPr>
          <w:rFonts w:hint="eastAsia" w:asciiTheme="minorEastAsia" w:hAnsiTheme="minorEastAsia" w:cstheme="minorEastAsia"/>
          <w:color w:val="222222"/>
          <w:spacing w:val="7"/>
          <w:sz w:val="28"/>
          <w:szCs w:val="28"/>
          <w:lang w:val="en-US" w:eastAsia="zh-CN"/>
        </w:rPr>
        <w:t>需</w:t>
      </w:r>
      <w:r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  <w:t>具备持续优化能力。</w:t>
      </w:r>
    </w:p>
    <w:p w14:paraId="094ACB04">
      <w:pPr>
        <w:widowControl/>
        <w:numPr>
          <w:ilvl w:val="3"/>
          <w:numId w:val="1"/>
        </w:numPr>
        <w:kinsoku w:val="0"/>
        <w:autoSpaceDE w:val="0"/>
        <w:autoSpaceDN w:val="0"/>
        <w:spacing w:line="360" w:lineRule="auto"/>
        <w:jc w:val="left"/>
        <w:textAlignment w:val="baseline"/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7"/>
          <w:sz w:val="28"/>
          <w:szCs w:val="28"/>
        </w:rPr>
        <w:t>运维保障及时，需建立7×24小时响应机制，并提供关键问题2小时内处理用户历史方案。</w:t>
      </w:r>
    </w:p>
    <w:p w14:paraId="7F4AF66C">
      <w:pPr>
        <w:widowControl/>
        <w:numPr>
          <w:ilvl w:val="1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outlineLvl w:val="1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上线应用计划</w:t>
      </w:r>
    </w:p>
    <w:p w14:paraId="3840A7D0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分阶段实施</w:t>
      </w:r>
    </w:p>
    <w:p w14:paraId="60FE58D9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优先推行呼伦贝尔市本级失业保险金审核、稳岗返还补贴审核、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职业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技能提升补贴审核、一次性扩岗补助审核、失业动态监测分析、RPA机器人可视化中台等业务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通过数字员工与人工审核并行试点运行1个月，完善优化自动审核流程，达到适配全市业务需求的效果。</w:t>
      </w:r>
    </w:p>
    <w:p w14:paraId="7A970F14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全面推广</w:t>
      </w:r>
    </w:p>
    <w:p w14:paraId="6DCCBE47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在试点运行顺畅后，全面推广至全市全业务、全链条审核，日均处理量达300笔以上，满足业务审核需求。</w:t>
      </w:r>
    </w:p>
    <w:p w14:paraId="112ADED6">
      <w:pPr>
        <w:widowControl/>
        <w:numPr>
          <w:ilvl w:val="1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outlineLvl w:val="1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风险管理</w:t>
      </w:r>
    </w:p>
    <w:p w14:paraId="5C9A1524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技术风险</w:t>
      </w:r>
    </w:p>
    <w:p w14:paraId="0686418D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 xml:space="preserve">通过数字员工与人工审核并行过渡1个月，确保人工复核与数字员工结果一致性。  </w:t>
      </w:r>
    </w:p>
    <w:p w14:paraId="5C56099C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数据安全</w:t>
      </w:r>
    </w:p>
    <w:p w14:paraId="520EC231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 xml:space="preserve">确保审核数据不外流，保证数据安全。  </w:t>
      </w:r>
    </w:p>
    <w:p w14:paraId="4D3749EC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人员培训</w:t>
      </w:r>
    </w:p>
    <w:p w14:paraId="2297B6AA">
      <w:pPr>
        <w:widowControl/>
        <w:kinsoku w:val="0"/>
        <w:autoSpaceDE w:val="0"/>
        <w:autoSpaceDN w:val="0"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开展数字员工操作、异常数据处理专项培训，按业务编制数字员工的操作手册，使工作人员能简单处理数字员工系统故障，做到工作人员与数字员工有效衔接。</w:t>
      </w:r>
    </w:p>
    <w:p w14:paraId="7AC70419">
      <w:pPr>
        <w:widowControl/>
        <w:numPr>
          <w:ilvl w:val="1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outlineLvl w:val="1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主要技术要求★</w:t>
      </w:r>
    </w:p>
    <w:p w14:paraId="34B95733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“数字员工”技术要求</w:t>
      </w:r>
    </w:p>
    <w:tbl>
      <w:tblPr>
        <w:tblStyle w:val="9"/>
        <w:tblW w:w="4943" w:type="pct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1734"/>
        <w:gridCol w:w="5875"/>
      </w:tblGrid>
      <w:tr w14:paraId="77A1407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FBB85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序号</w:t>
            </w: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77EEB3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类别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154E6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配置要求</w:t>
            </w:r>
          </w:p>
        </w:tc>
      </w:tr>
      <w:tr w14:paraId="42946B4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9C0CF7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55A51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任务触发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0AE230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至少</w:t>
            </w: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支持定时触发，人工触发和人工交互触发</w:t>
            </w:r>
            <w:r>
              <w:rPr>
                <w:rFonts w:hint="eastAsia" w:asciiTheme="minorEastAsia" w:hAnsiTheme="minorEastAsia" w:cstheme="minorEastAsia"/>
                <w:szCs w:val="21"/>
              </w:rPr>
              <w:t>等</w:t>
            </w: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模式；</w:t>
            </w:r>
          </w:p>
        </w:tc>
      </w:tr>
      <w:tr w14:paraId="619DC89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D17747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9CD7C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任务日志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3B4937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支持流程运行后，机器人提供运行日志，记录流程进度等；</w:t>
            </w:r>
          </w:p>
        </w:tc>
      </w:tr>
      <w:tr w14:paraId="3A5DE90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CE13ECB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A450E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0" w:name="_Toc12275"/>
            <w:bookmarkStart w:id="1" w:name="_Toc4400"/>
            <w:r>
              <w:rPr>
                <w:rFonts w:hint="eastAsia" w:asciiTheme="minorEastAsia" w:hAnsiTheme="minorEastAsia" w:cstheme="minorEastAsia"/>
                <w:szCs w:val="21"/>
              </w:rPr>
              <w:t>流程协作及日志</w:t>
            </w:r>
            <w:bookmarkEnd w:id="0"/>
            <w:bookmarkEnd w:id="1"/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6D9294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支持多个机器人通过相互协作，来集中</w:t>
            </w:r>
            <w:r>
              <w:rPr>
                <w:rFonts w:hint="eastAsia" w:asciiTheme="minorEastAsia" w:hAnsiTheme="minorEastAsia" w:cstheme="minorEastAsia"/>
                <w:szCs w:val="21"/>
                <w:lang w:val="en-GB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高效</w:t>
            </w:r>
            <w:r>
              <w:rPr>
                <w:rFonts w:hint="eastAsia" w:asciiTheme="minorEastAsia" w:hAnsiTheme="minorEastAsia" w:cstheme="minorEastAsia"/>
                <w:szCs w:val="21"/>
                <w:lang w:val="en-GB" w:eastAsia="zh-CN"/>
              </w:rPr>
              <w:t>地</w:t>
            </w: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完成同样一个流程，并做好清晰的日志记录工作；</w:t>
            </w:r>
          </w:p>
        </w:tc>
      </w:tr>
      <w:tr w14:paraId="58B27B2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914C12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29AE1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2" w:name="_Toc14328"/>
            <w:bookmarkStart w:id="3" w:name="_Toc15499"/>
            <w:r>
              <w:rPr>
                <w:rFonts w:hint="eastAsia" w:asciiTheme="minorEastAsia" w:hAnsiTheme="minorEastAsia" w:cstheme="minorEastAsia"/>
                <w:szCs w:val="21"/>
              </w:rPr>
              <w:t>本地化任务查看</w:t>
            </w:r>
            <w:bookmarkEnd w:id="2"/>
            <w:bookmarkEnd w:id="3"/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F02648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支持本地查看任务；</w:t>
            </w:r>
          </w:p>
        </w:tc>
      </w:tr>
      <w:tr w14:paraId="659595F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86B59F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DC16E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4" w:name="_Toc8839"/>
            <w:r>
              <w:rPr>
                <w:rFonts w:hint="eastAsia" w:asciiTheme="minorEastAsia" w:hAnsiTheme="minorEastAsia" w:cstheme="minorEastAsia"/>
                <w:szCs w:val="21"/>
              </w:rPr>
              <w:t>本地化流程列表查看</w:t>
            </w:r>
            <w:bookmarkEnd w:id="4"/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327A05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支持本地查看流程列表；</w:t>
            </w:r>
          </w:p>
        </w:tc>
      </w:tr>
      <w:tr w14:paraId="77DFEF8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670585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1A250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5" w:name="_Toc30807"/>
            <w:bookmarkStart w:id="6" w:name="_Toc28815"/>
            <w:r>
              <w:rPr>
                <w:rFonts w:hint="eastAsia" w:asciiTheme="minorEastAsia" w:hAnsiTheme="minorEastAsia" w:cstheme="minorEastAsia"/>
                <w:szCs w:val="21"/>
              </w:rPr>
              <w:t>锁屏运行</w:t>
            </w:r>
            <w:bookmarkEnd w:id="5"/>
            <w:bookmarkEnd w:id="6"/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D92968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GB"/>
              </w:rPr>
              <w:t>系统锁屏状态下，机器人终端操作不受影响；</w:t>
            </w:r>
          </w:p>
        </w:tc>
      </w:tr>
      <w:tr w14:paraId="399FE36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688E25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B1B04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7" w:name="_Toc24548"/>
            <w:bookmarkStart w:id="8" w:name="_Toc16744"/>
            <w:r>
              <w:rPr>
                <w:rFonts w:hint="eastAsia" w:asciiTheme="minorEastAsia" w:hAnsiTheme="minorEastAsia" w:cstheme="minorEastAsia"/>
                <w:szCs w:val="21"/>
              </w:rPr>
              <w:t>保护进程</w:t>
            </w:r>
            <w:bookmarkEnd w:id="7"/>
            <w:bookmarkEnd w:id="8"/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92DF19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自带保护进程，可以避免桌面客户误删除，在误删除后自动恢复；</w:t>
            </w:r>
          </w:p>
        </w:tc>
      </w:tr>
      <w:tr w14:paraId="062BBCD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D5BE65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6245D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9" w:name="_Toc11614"/>
            <w:bookmarkStart w:id="10" w:name="_Toc12788"/>
            <w:r>
              <w:rPr>
                <w:rFonts w:hint="eastAsia" w:asciiTheme="minorEastAsia" w:hAnsiTheme="minorEastAsia" w:cstheme="minorEastAsia"/>
                <w:szCs w:val="21"/>
              </w:rPr>
              <w:t>解锁屏幕</w:t>
            </w:r>
            <w:bookmarkEnd w:id="9"/>
            <w:bookmarkEnd w:id="10"/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15525E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支持自动解锁屏幕</w:t>
            </w:r>
          </w:p>
        </w:tc>
      </w:tr>
      <w:tr w14:paraId="2AD5541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0BE6CC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488C1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操作系统兼容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C9B85E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兼容高版本以及低版本Windows系统如Windows XP、Windows 2003、Linux等</w:t>
            </w:r>
          </w:p>
        </w:tc>
      </w:tr>
      <w:tr w14:paraId="73257E4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DFB964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bookmarkStart w:id="11" w:name="heading_6"/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D1772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移动端兼容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4E602D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兼容 iOS、Android主流移动端操作系统，可以提供可接管其上图形界面的机器人程序</w:t>
            </w:r>
          </w:p>
        </w:tc>
      </w:tr>
      <w:tr w14:paraId="6880C04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464B19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123D1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任务并发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84ADF6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单个机器人支持20个以上并发任务</w:t>
            </w:r>
          </w:p>
        </w:tc>
      </w:tr>
      <w:tr w14:paraId="1A6CB19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0FA76F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88E39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浏览器支持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C04478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支持各种浏览器</w:t>
            </w:r>
          </w:p>
        </w:tc>
      </w:tr>
      <w:tr w14:paraId="40F03A1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253FFF">
            <w:pPr>
              <w:numPr>
                <w:ilvl w:val="0"/>
                <w:numId w:val="2"/>
              </w:num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5AB67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浮动授权</w:t>
            </w:r>
          </w:p>
        </w:tc>
        <w:tc>
          <w:tcPr>
            <w:tcW w:w="3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D9D63C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本地程序无需授权，统一按接入服务器在线并发数控制授权数</w:t>
            </w:r>
          </w:p>
        </w:tc>
      </w:tr>
      <w:bookmarkEnd w:id="11"/>
    </w:tbl>
    <w:p w14:paraId="01E47DA5">
      <w:pPr>
        <w:widowControl/>
        <w:numPr>
          <w:ilvl w:val="2"/>
          <w:numId w:val="1"/>
        </w:numPr>
        <w:kinsoku w:val="0"/>
        <w:autoSpaceDE w:val="0"/>
        <w:autoSpaceDN w:val="0"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审核业务要求</w:t>
      </w:r>
    </w:p>
    <w:p w14:paraId="5FBFB41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default" w:ascii="Calibri" w:hAnsi="Calibri" w:cs="Calibri"/>
          <w:b/>
          <w:bCs/>
          <w:color w:val="222222"/>
          <w:spacing w:val="7"/>
          <w:sz w:val="28"/>
          <w:szCs w:val="28"/>
        </w:rPr>
        <w:t>①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失业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  <w:lang w:eastAsia="zh-CN"/>
        </w:rPr>
        <w:t>保险金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审核</w:t>
      </w:r>
    </w:p>
    <w:p w14:paraId="69B7A073">
      <w:pPr>
        <w:keepNext w:val="0"/>
        <w:keepLines w:val="0"/>
        <w:pageBreakBefore w:val="0"/>
        <w:wordWrap/>
        <w:overflowPunct/>
        <w:topLinePunct w:val="0"/>
        <w:bidi w:val="0"/>
        <w:adjustRightInd/>
        <w:snapToGrid/>
        <w:ind w:firstLine="580" w:firstLineChars="200"/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“数字员工”通过自动获取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  <w:lang w:eastAsia="zh-CN"/>
        </w:rPr>
        <w:t>内蒙古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社保信息系统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内蒙古就业公共服务平台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需办理的业务，根据身份证号、姓名等关键信息，自动查询失业登记状态和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受理时间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、参保信息、变更原因、应缴实缴明细、人员欠费信息和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法定退休年龄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等条件是否满足；并自动查询全国比对平台中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单人实时查询死亡、异地参保就业等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关键信息，比对系统的数据和计算的数据是否存在不一致的情况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（比对后要保留比对截图）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，均无问题的情况下，自动填写申领表，完成缺失字段的匹配，并点击通过，下载保存并打印申领表等内容，并同步推送复审；填入对应的完成备案表，不符合条件人员作“退回”，记录不符合原因。</w:t>
      </w:r>
    </w:p>
    <w:p w14:paraId="072E3C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审核流程：初审、复审、终审三级审批机制。</w:t>
      </w:r>
    </w:p>
    <w:p w14:paraId="649BE5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b/>
          <w:bCs/>
          <w:color w:val="auto"/>
          <w:spacing w:val="7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三审结束后，将本月应发所有数据批量上传全国比对系统，校验数据无误后，提交发放。</w:t>
      </w:r>
    </w:p>
    <w:p w14:paraId="7CAB72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90" w:firstLineChars="200"/>
        <w:textAlignment w:val="baseline"/>
        <w:rPr>
          <w:rFonts w:hint="eastAsia" w:asciiTheme="minorEastAsia" w:hAnsiTheme="minorEastAsia" w:cstheme="minorEastAsia"/>
          <w:b/>
          <w:bCs/>
          <w:color w:val="auto"/>
          <w:spacing w:val="7"/>
          <w:sz w:val="28"/>
          <w:szCs w:val="28"/>
          <w:highlight w:val="none"/>
        </w:rPr>
      </w:pPr>
      <w:r>
        <w:rPr>
          <w:rFonts w:hint="default" w:ascii="Calibri" w:hAnsi="Calibri" w:cs="Calibri"/>
          <w:b/>
          <w:bCs/>
          <w:color w:val="auto"/>
          <w:spacing w:val="7"/>
          <w:sz w:val="28"/>
          <w:szCs w:val="28"/>
          <w:highlight w:val="none"/>
        </w:rPr>
        <w:t>②</w:t>
      </w:r>
      <w:r>
        <w:rPr>
          <w:rFonts w:hint="eastAsia" w:asciiTheme="minorEastAsia" w:hAnsiTheme="minorEastAsia" w:cstheme="minorEastAsia"/>
          <w:b/>
          <w:bCs/>
          <w:color w:val="auto"/>
          <w:spacing w:val="7"/>
          <w:sz w:val="28"/>
          <w:szCs w:val="28"/>
          <w:highlight w:val="none"/>
        </w:rPr>
        <w:t>稳岗返还补贴审核</w:t>
      </w:r>
    </w:p>
    <w:p w14:paraId="6A7D7E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“数字员工”通过自动获取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内蒙古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社保信息系统内需办理的业务，自动获取企业关键信息，进入国家企业信用平台、信用中国、信用内蒙古、人社系统等平台进行审核条件的查询与判断，根据判断结果确定返还人数、返还比例、返还金额等是否符合，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是否存在单位欠费明细和单位下个人欠费、从上一年度年初至今是否正常参保以及裁员率是否符合条件。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  <w:t>均无问题的情况下，自动写入填写对应内容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及银行行号、账号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  <w:t>，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作“审核通过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”处理，记录审核台账并自动打印审核表，并同步推送复审；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  <w:t>不符合条件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的做标记处理，并记录联系方式，经人工联系后满足各项申领条件后再次发放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  <w:t>。</w:t>
      </w:r>
    </w:p>
    <w:p w14:paraId="5CCA6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val="en-US" w:eastAsia="zh-CN"/>
        </w:rPr>
        <w:t>初审通过后，需将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  <w:t>国家企业信用平台、信用中国、信用内蒙古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val="en-US" w:eastAsia="zh-CN"/>
        </w:rPr>
        <w:t>等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三个信用平台上查询到的结果截图打印。</w:t>
      </w:r>
    </w:p>
    <w:p w14:paraId="0083BA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审核流程：初审、复审、终审三级审批机制。</w:t>
      </w:r>
    </w:p>
    <w:p w14:paraId="17CB847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9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auto"/>
          <w:spacing w:val="7"/>
          <w:sz w:val="28"/>
          <w:szCs w:val="28"/>
          <w:highlight w:val="none"/>
        </w:rPr>
      </w:pPr>
      <w:r>
        <w:rPr>
          <w:rFonts w:hint="default" w:ascii="Calibri" w:hAnsi="Calibri" w:cs="Calibri"/>
          <w:b/>
          <w:bCs/>
          <w:color w:val="auto"/>
          <w:spacing w:val="7"/>
          <w:sz w:val="28"/>
          <w:szCs w:val="28"/>
          <w:highlight w:val="none"/>
          <w:lang w:eastAsia="zh-CN"/>
        </w:rPr>
        <w:t>③</w:t>
      </w:r>
      <w:r>
        <w:rPr>
          <w:rFonts w:hint="eastAsia" w:asciiTheme="minorEastAsia" w:hAnsiTheme="minorEastAsia" w:cstheme="minorEastAsia"/>
          <w:b/>
          <w:bCs/>
          <w:color w:val="auto"/>
          <w:spacing w:val="7"/>
          <w:sz w:val="28"/>
          <w:szCs w:val="28"/>
          <w:highlight w:val="none"/>
          <w:lang w:eastAsia="zh-CN"/>
        </w:rPr>
        <w:t>职业</w:t>
      </w:r>
      <w:r>
        <w:rPr>
          <w:rFonts w:hint="eastAsia" w:asciiTheme="minorEastAsia" w:hAnsiTheme="minorEastAsia" w:cstheme="minorEastAsia"/>
          <w:b/>
          <w:bCs/>
          <w:color w:val="auto"/>
          <w:spacing w:val="7"/>
          <w:sz w:val="28"/>
          <w:szCs w:val="28"/>
          <w:highlight w:val="none"/>
        </w:rPr>
        <w:t>技能提升补贴审核</w:t>
      </w:r>
    </w:p>
    <w:p w14:paraId="29B95148">
      <w:pPr>
        <w:keepNext w:val="0"/>
        <w:keepLines w:val="0"/>
        <w:pageBreakBefore w:val="0"/>
        <w:wordWrap/>
        <w:overflowPunct/>
        <w:topLinePunct w:val="0"/>
        <w:bidi w:val="0"/>
        <w:adjustRightInd/>
        <w:snapToGrid/>
        <w:ind w:firstLine="580" w:firstLineChars="200"/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“数字员工”通过自动获取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  <w:lang w:eastAsia="zh-CN"/>
        </w:rPr>
        <w:t>内蒙古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社保信息系统内需办理的业务，依次进行证岗相适承诺书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紧缺工种判断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并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val="en-US" w:eastAsia="zh-CN"/>
        </w:rPr>
        <w:t>下载打印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证岗相适承诺书。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获取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val="en-US" w:eastAsia="zh-CN"/>
        </w:rPr>
        <w:t>申领人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姓名，身份证号，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就业状态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val="en-US" w:eastAsia="zh-CN"/>
        </w:rPr>
        <w:t>及所在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单位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val="en-US" w:eastAsia="zh-CN"/>
        </w:rPr>
        <w:t>性质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等所需内容，判断是否满足补贴发放条件，并查询技能人才平台中证书信息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（打印网上证书截图）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、查询失业待遇中失业技能补贴待遇信息。比对系统的数据和计算的数据，均无问题的情况下，作“审核通过”处理，下载保存并打印申领表等内容，并同步推送复审；填入对应的完成备案表，不符合条件人员作“退回”，记录不符合原因。</w:t>
      </w:r>
    </w:p>
    <w:p w14:paraId="04643485">
      <w:pPr>
        <w:keepNext w:val="0"/>
        <w:keepLines w:val="0"/>
        <w:pageBreakBefore w:val="0"/>
        <w:wordWrap/>
        <w:overflowPunct/>
        <w:topLinePunct w:val="0"/>
        <w:bidi w:val="0"/>
        <w:adjustRightInd/>
        <w:snapToGrid/>
        <w:ind w:firstLine="580" w:firstLineChars="200"/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val="en-US" w:eastAsia="zh-CN"/>
        </w:rPr>
        <w:t>初审通过后，在技能人才评价证书全国联网查询系统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通过证书编号和个人信息将证书查询结果截图打印。</w:t>
      </w:r>
    </w:p>
    <w:p w14:paraId="01FDA6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审核流程：初审、复审、终审三级审批机制。</w:t>
      </w:r>
    </w:p>
    <w:p w14:paraId="623721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8" w:firstLineChars="200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222222"/>
          <w:spacing w:val="7"/>
          <w:sz w:val="28"/>
          <w:szCs w:val="28"/>
        </w:rPr>
        <w:t>④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一次性扩岗补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  <w:lang w:eastAsia="zh-CN"/>
        </w:rPr>
        <w:t>助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  <w:t>审核</w:t>
      </w:r>
    </w:p>
    <w:p w14:paraId="1E093A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“数字员工”按月自动比对参保、学籍、失业登记等数据，通过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内蒙古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</w:rPr>
        <w:t>社保信息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lang w:eastAsia="zh-CN"/>
        </w:rPr>
        <w:t>系统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查询符合条件的企业，以免申即享为主、自主申报为辅，经核验人员身份、参保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val="en-US" w:eastAsia="zh-CN"/>
        </w:rPr>
        <w:t>缴费状态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及企业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val="en-US" w:eastAsia="zh-CN"/>
        </w:rPr>
        <w:t>性质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，实现补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eastAsia="zh-CN"/>
        </w:rPr>
        <w:t>助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审核的自动化，符合企业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lang w:val="en-US" w:eastAsia="zh-CN"/>
        </w:rPr>
        <w:t>作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“审核通过”处理，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留存联系方式以便申请人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val="en-US" w:eastAsia="zh-CN"/>
        </w:rPr>
        <w:t>后续补充申请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  <w:lang w:eastAsia="zh-CN"/>
        </w:rPr>
        <w:t>材料，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none"/>
        </w:rPr>
        <w:t>记录审核台账并自动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打印审核表，并同步推送复审；不符合条件作“退回”，记录不符合原因。</w:t>
      </w:r>
    </w:p>
    <w:p w14:paraId="374224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</w:rPr>
        <w:t>审核流程：初审、复审、终审三级审批机制。</w:t>
      </w:r>
      <w:bookmarkStart w:id="12" w:name="_GoBack"/>
      <w:bookmarkEnd w:id="12"/>
    </w:p>
    <w:p w14:paraId="6C52FD5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  <w:u w:val="none"/>
        </w:rPr>
      </w:pPr>
      <w:r>
        <w:rPr>
          <w:rFonts w:hint="eastAsia" w:ascii="微软雅黑" w:hAnsi="微软雅黑" w:eastAsia="微软雅黑" w:cs="微软雅黑"/>
          <w:b/>
          <w:bCs/>
          <w:color w:val="222222"/>
          <w:spacing w:val="5"/>
          <w:sz w:val="28"/>
          <w:szCs w:val="28"/>
          <w:u w:val="none"/>
        </w:rPr>
        <w:t>⑤</w:t>
      </w:r>
      <w:r>
        <w:rPr>
          <w:rFonts w:hint="eastAsia" w:asciiTheme="minorEastAsia" w:hAnsiTheme="minorEastAsia" w:cstheme="minorEastAsia"/>
          <w:b/>
          <w:bCs/>
          <w:color w:val="222222"/>
          <w:spacing w:val="5"/>
          <w:sz w:val="28"/>
          <w:szCs w:val="28"/>
          <w:u w:val="none"/>
        </w:rPr>
        <w:t>失业动态监测分析</w:t>
      </w:r>
    </w:p>
    <w:p w14:paraId="517874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</w:rPr>
      </w:pP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u w:val="none"/>
        </w:rPr>
        <w:t>“数字员工”通过自动获取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u w:val="none"/>
          <w:lang w:eastAsia="zh-CN"/>
        </w:rPr>
        <w:t>内蒙古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u w:val="none"/>
        </w:rPr>
        <w:t>社保信息系统内</w:t>
      </w:r>
      <w:r>
        <w:rPr>
          <w:rFonts w:hint="eastAsia" w:asciiTheme="minorEastAsia" w:hAnsiTheme="minorEastAsia" w:cstheme="minorEastAsia"/>
          <w:color w:val="auto"/>
          <w:spacing w:val="5"/>
          <w:sz w:val="28"/>
          <w:szCs w:val="28"/>
          <w:highlight w:val="none"/>
          <w:u w:val="none"/>
          <w:lang w:eastAsia="zh-CN"/>
        </w:rPr>
        <w:t>失业动态监测数据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</w:rPr>
        <w:t>，进行行业情况分析、地区分析、企业性质分析、减员类型和原因分析、失业动态监测总体情况分析等多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  <w:lang w:eastAsia="zh-CN"/>
        </w:rPr>
        <w:t>维度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</w:rPr>
        <w:t>分析，并参照给定模板，按年度/季度/月度自动生成失业动态监测报告。</w:t>
      </w:r>
    </w:p>
    <w:p w14:paraId="24CACF0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8" w:firstLineChars="200"/>
        <w:jc w:val="left"/>
        <w:textAlignment w:val="baseline"/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  <w:u w:val="none"/>
        </w:rPr>
      </w:pPr>
      <w:r>
        <w:rPr>
          <w:rFonts w:hint="eastAsia" w:ascii="微软雅黑" w:hAnsi="微软雅黑" w:eastAsia="微软雅黑" w:cs="微软雅黑"/>
          <w:b/>
          <w:bCs/>
          <w:color w:val="222222"/>
          <w:spacing w:val="7"/>
          <w:sz w:val="28"/>
          <w:szCs w:val="28"/>
          <w:u w:val="none"/>
        </w:rPr>
        <w:t>⑥</w:t>
      </w:r>
      <w:r>
        <w:rPr>
          <w:rFonts w:hint="eastAsia" w:asciiTheme="minorEastAsia" w:hAnsiTheme="minorEastAsia" w:cstheme="minorEastAsia"/>
          <w:b/>
          <w:bCs/>
          <w:color w:val="222222"/>
          <w:spacing w:val="7"/>
          <w:sz w:val="28"/>
          <w:szCs w:val="28"/>
          <w:u w:val="none"/>
        </w:rPr>
        <w:t>RPA机器人可视化中台</w:t>
      </w:r>
    </w:p>
    <w:p w14:paraId="48B0B1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80" w:firstLineChars="200"/>
        <w:textAlignment w:val="baseline"/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highlight w:val="yellow"/>
        </w:rPr>
      </w:pP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</w:rPr>
        <w:t>在呼伦贝尔市就业服务中心建立可视化中台，集中管理全市所有“数字员工”展示范围包括但不限于流程运行数据、机器人运行数据、业务数据（如：各类补贴发放情况，环比、同比分析、各旗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  <w:lang w:eastAsia="zh-CN"/>
        </w:rPr>
        <w:t>市区</w:t>
      </w:r>
      <w:r>
        <w:rPr>
          <w:rFonts w:hint="eastAsia" w:asciiTheme="minorEastAsia" w:hAnsiTheme="minorEastAsia" w:cstheme="minorEastAsia"/>
          <w:color w:val="222222"/>
          <w:spacing w:val="5"/>
          <w:sz w:val="28"/>
          <w:szCs w:val="28"/>
          <w:u w:val="none"/>
        </w:rPr>
        <w:t>补贴发放情况、异常数据分析等）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FD7B24"/>
    <w:multiLevelType w:val="multilevel"/>
    <w:tmpl w:val="1AFD7B24"/>
    <w:lvl w:ilvl="0" w:tentative="0">
      <w:start w:val="1"/>
      <w:numFmt w:val="chineseCounting"/>
      <w:suff w:val="nothing"/>
      <w:lvlText w:val="%1、"/>
      <w:lvlJc w:val="left"/>
      <w:pPr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1">
    <w:nsid w:val="7DB0F52C"/>
    <w:multiLevelType w:val="singleLevel"/>
    <w:tmpl w:val="7DB0F52C"/>
    <w:lvl w:ilvl="0" w:tentative="0">
      <w:start w:val="1"/>
      <w:numFmt w:val="decimal"/>
      <w:suff w:val="nothing"/>
      <w:lvlText w:val="%1"/>
      <w:lvlJc w:val="center"/>
      <w:pPr>
        <w:tabs>
          <w:tab w:val="left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7F4222"/>
    <w:rsid w:val="000013CD"/>
    <w:rsid w:val="000C4557"/>
    <w:rsid w:val="000C622D"/>
    <w:rsid w:val="0013719D"/>
    <w:rsid w:val="00194789"/>
    <w:rsid w:val="00260D7A"/>
    <w:rsid w:val="002E5F91"/>
    <w:rsid w:val="002E6926"/>
    <w:rsid w:val="00372880"/>
    <w:rsid w:val="00626A5E"/>
    <w:rsid w:val="007D731F"/>
    <w:rsid w:val="007F0699"/>
    <w:rsid w:val="00827B26"/>
    <w:rsid w:val="008378AA"/>
    <w:rsid w:val="00884C5D"/>
    <w:rsid w:val="00962111"/>
    <w:rsid w:val="00976FAF"/>
    <w:rsid w:val="009F75EE"/>
    <w:rsid w:val="00A2600F"/>
    <w:rsid w:val="00AC303B"/>
    <w:rsid w:val="00B46DD4"/>
    <w:rsid w:val="00BF7248"/>
    <w:rsid w:val="00C2082F"/>
    <w:rsid w:val="00CB7689"/>
    <w:rsid w:val="00DB1ED6"/>
    <w:rsid w:val="00EE42C1"/>
    <w:rsid w:val="00EE5B30"/>
    <w:rsid w:val="00F01D93"/>
    <w:rsid w:val="0A5C7B97"/>
    <w:rsid w:val="0B860EB1"/>
    <w:rsid w:val="0EAE1E76"/>
    <w:rsid w:val="11252483"/>
    <w:rsid w:val="11401B02"/>
    <w:rsid w:val="114E78F4"/>
    <w:rsid w:val="12F714BE"/>
    <w:rsid w:val="14294AD0"/>
    <w:rsid w:val="17667DE9"/>
    <w:rsid w:val="1814189A"/>
    <w:rsid w:val="22AC0459"/>
    <w:rsid w:val="244E3C37"/>
    <w:rsid w:val="2835025F"/>
    <w:rsid w:val="297F4222"/>
    <w:rsid w:val="2C8D5567"/>
    <w:rsid w:val="313749B3"/>
    <w:rsid w:val="35F97693"/>
    <w:rsid w:val="37B3109E"/>
    <w:rsid w:val="3F0B4C4E"/>
    <w:rsid w:val="42162288"/>
    <w:rsid w:val="48C90054"/>
    <w:rsid w:val="4B5272B0"/>
    <w:rsid w:val="4F7035CA"/>
    <w:rsid w:val="54396B62"/>
    <w:rsid w:val="57C04E1F"/>
    <w:rsid w:val="581B3E37"/>
    <w:rsid w:val="5CD252D1"/>
    <w:rsid w:val="5E940365"/>
    <w:rsid w:val="60A57B09"/>
    <w:rsid w:val="612B54E0"/>
    <w:rsid w:val="61840B64"/>
    <w:rsid w:val="645A6256"/>
    <w:rsid w:val="64F93617"/>
    <w:rsid w:val="65C94D98"/>
    <w:rsid w:val="670C09AE"/>
    <w:rsid w:val="6A4C5F97"/>
    <w:rsid w:val="6E8D55D3"/>
    <w:rsid w:val="72361A07"/>
    <w:rsid w:val="7246168F"/>
    <w:rsid w:val="7298621E"/>
    <w:rsid w:val="761371F1"/>
    <w:rsid w:val="7C392FCB"/>
    <w:rsid w:val="7CF8248D"/>
    <w:rsid w:val="7F08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annotation reference"/>
    <w:basedOn w:val="11"/>
    <w:qFormat/>
    <w:uiPriority w:val="0"/>
    <w:rPr>
      <w:sz w:val="21"/>
      <w:szCs w:val="21"/>
    </w:rPr>
  </w:style>
  <w:style w:type="character" w:customStyle="1" w:styleId="14">
    <w:name w:val="页眉 字符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997</Words>
  <Characters>1006</Characters>
  <Lines>35</Lines>
  <Paragraphs>10</Paragraphs>
  <TotalTime>42</TotalTime>
  <ScaleCrop>false</ScaleCrop>
  <LinksUpToDate>false</LinksUpToDate>
  <CharactersWithSpaces>1014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2026-06-22T07:42:00Z</dcterms:created>
  <dc:creator>Administrator</dc:creator>
  <cp:lastModifiedBy>ganggeng</cp:lastModifiedBy>
  <cp:lastPrinted>2026-06-23T07:02:00Z</cp:lastPrinted>
  <dcterms:modified xsi:type="dcterms:W3CDTF">2026-06-29T02:38:13Z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F402B9CEC90242C2AD8EB5A62A94C438_11</vt:lpwstr>
  </property>
  <property fmtid="{D5CDD505-2E9C-101B-9397-08002B2CF9AE}" pid="4" name="KSOTemplateDocerSaveRecord">
    <vt:lpwstr>eyJoZGlkIjoiZjNmYTg0ZmY0YTlmNzNiNTE5MGZkZjg5NjM0ZGM3YmEiLCJ1c2VySWQiOiI1MDMwODUzNzMifQ==</vt:lpwstr>
  </property>
</Properties>
</file>