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DA228">
      <w:pPr>
        <w:jc w:val="center"/>
        <w:rPr>
          <w:rFonts w:hint="eastAsia" w:ascii="方正公文小标宋" w:hAnsi="方正公文小标宋" w:eastAsia="方正公文小标宋" w:cs="方正公文小标宋"/>
          <w:color w:val="auto"/>
          <w:sz w:val="36"/>
          <w:szCs w:val="36"/>
        </w:rPr>
      </w:pPr>
      <w:r>
        <w:rPr>
          <w:rFonts w:hint="eastAsia" w:ascii="方正公文小标宋" w:hAnsi="方正公文小标宋" w:eastAsia="方正公文小标宋" w:cs="方正公文小标宋"/>
          <w:color w:val="auto"/>
          <w:sz w:val="36"/>
          <w:szCs w:val="36"/>
        </w:rPr>
        <w:t>内蒙古乌海高新技术产业开发区海南产业园</w:t>
      </w:r>
    </w:p>
    <w:p w14:paraId="18ECC23D">
      <w:pPr>
        <w:jc w:val="center"/>
        <w:rPr>
          <w:rFonts w:hint="eastAsia" w:ascii="方正公文小标宋" w:hAnsi="方正公文小标宋" w:eastAsia="方正公文小标宋" w:cs="方正公文小标宋"/>
          <w:color w:val="auto"/>
          <w:sz w:val="36"/>
          <w:szCs w:val="36"/>
          <w:lang w:val="en-US" w:eastAsia="zh-CN"/>
        </w:rPr>
      </w:pPr>
      <w:r>
        <w:rPr>
          <w:rFonts w:hint="eastAsia" w:ascii="方正公文小标宋" w:hAnsi="方正公文小标宋" w:eastAsia="方正公文小标宋" w:cs="方正公文小标宋"/>
          <w:color w:val="auto"/>
          <w:sz w:val="36"/>
          <w:szCs w:val="36"/>
        </w:rPr>
        <w:t>安全风险评级服务</w:t>
      </w:r>
      <w:r>
        <w:rPr>
          <w:rFonts w:hint="eastAsia" w:ascii="方正公文小标宋" w:hAnsi="方正公文小标宋" w:eastAsia="方正公文小标宋" w:cs="方正公文小标宋"/>
          <w:color w:val="auto"/>
          <w:sz w:val="36"/>
          <w:szCs w:val="36"/>
          <w:lang w:val="en-US" w:eastAsia="zh-CN"/>
        </w:rPr>
        <w:t>项目</w:t>
      </w:r>
    </w:p>
    <w:p w14:paraId="217CE178">
      <w:pPr>
        <w:jc w:val="both"/>
        <w:rPr>
          <w:rFonts w:hint="eastAsia" w:ascii="方正公文小标宋" w:hAnsi="方正公文小标宋" w:eastAsia="方正公文小标宋" w:cs="方正公文小标宋"/>
          <w:color w:val="auto"/>
          <w:sz w:val="36"/>
          <w:szCs w:val="36"/>
          <w:lang w:val="en-US" w:eastAsia="zh-CN"/>
        </w:rPr>
      </w:pPr>
    </w:p>
    <w:p w14:paraId="16424DDE">
      <w:pPr>
        <w:pStyle w:val="2"/>
        <w:bidi w:val="0"/>
        <w:spacing w:line="24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一、项目背景</w:t>
      </w:r>
    </w:p>
    <w:p w14:paraId="10609125">
      <w:pPr>
        <w:keepNext w:val="0"/>
        <w:keepLines w:val="0"/>
        <w:widowControl/>
        <w:suppressLineNumbers w:val="0"/>
        <w:ind w:firstLine="600" w:firstLineChars="200"/>
        <w:jc w:val="left"/>
        <w:rPr>
          <w:rFonts w:hint="default" w:ascii="Times New Roman" w:hAnsi="Times New Roman" w:eastAsia="仿宋" w:cs="Times New Roman"/>
          <w:b/>
          <w:bCs/>
          <w:color w:val="auto"/>
          <w:kern w:val="0"/>
          <w:sz w:val="30"/>
          <w:szCs w:val="30"/>
          <w:lang w:val="en-US" w:eastAsia="zh-CN" w:bidi="ar"/>
        </w:rPr>
      </w:pPr>
      <w:r>
        <w:rPr>
          <w:rFonts w:hint="default" w:ascii="Times New Roman" w:hAnsi="Times New Roman" w:eastAsia="仿宋" w:cs="Times New Roman"/>
          <w:color w:val="auto"/>
          <w:kern w:val="0"/>
          <w:sz w:val="30"/>
          <w:szCs w:val="30"/>
          <w:lang w:val="en-US" w:eastAsia="zh-CN" w:bidi="ar"/>
        </w:rPr>
        <w:t>依据应急部新《化工园区安全风险排查治理导则》、《化工园区安全整治提升“十有两禁”》，</w:t>
      </w:r>
      <w:r>
        <w:rPr>
          <w:rFonts w:hint="default" w:ascii="Times New Roman" w:hAnsi="Times New Roman" w:eastAsia="仿宋" w:cs="Times New Roman"/>
          <w:b w:val="0"/>
          <w:bCs w:val="0"/>
          <w:color w:val="auto"/>
          <w:kern w:val="0"/>
          <w:sz w:val="30"/>
          <w:szCs w:val="30"/>
          <w:lang w:val="en-US" w:eastAsia="zh-CN" w:bidi="ar"/>
        </w:rPr>
        <w:t>参照2024年10月内蒙古自治区安委办《内蒙古自治区安全生产委员会办公室关于化工园区安全风险等级评估结果的通知》（内安委办函〔2024〕83号）反馈意见，结合园区实际情况，有针对性的安排5-7名专</w:t>
      </w:r>
      <w:r>
        <w:rPr>
          <w:rFonts w:hint="default" w:ascii="Times New Roman" w:hAnsi="Times New Roman" w:eastAsia="仿宋" w:cs="Times New Roman"/>
          <w:color w:val="auto"/>
          <w:kern w:val="0"/>
          <w:sz w:val="30"/>
          <w:szCs w:val="30"/>
          <w:lang w:val="en-US" w:eastAsia="zh-CN" w:bidi="ar"/>
        </w:rPr>
        <w:t>业/领域的专家，分别为</w:t>
      </w:r>
      <w:r>
        <w:rPr>
          <w:rFonts w:hint="default" w:ascii="Times New Roman" w:hAnsi="Times New Roman" w:eastAsia="仿宋" w:cs="Times New Roman"/>
          <w:b/>
          <w:bCs/>
          <w:color w:val="auto"/>
          <w:kern w:val="0"/>
          <w:sz w:val="30"/>
          <w:szCs w:val="30"/>
          <w:lang w:val="en-US" w:eastAsia="zh-CN" w:bidi="ar"/>
        </w:rPr>
        <w:t>规划管理、安全管理、企业管理、封闭化管理、基础设施、消防管理、制度管理板块专家</w:t>
      </w:r>
      <w:r>
        <w:rPr>
          <w:rFonts w:hint="default" w:ascii="Times New Roman" w:hAnsi="Times New Roman" w:eastAsia="仿宋" w:cs="Times New Roman"/>
          <w:color w:val="auto"/>
          <w:kern w:val="0"/>
          <w:sz w:val="30"/>
          <w:szCs w:val="30"/>
          <w:lang w:val="en-US" w:eastAsia="zh-CN" w:bidi="ar"/>
        </w:rPr>
        <w:t>，针对</w:t>
      </w:r>
      <w:r>
        <w:rPr>
          <w:rFonts w:hint="default" w:ascii="Times New Roman" w:hAnsi="Times New Roman" w:eastAsia="仿宋" w:cs="Times New Roman"/>
          <w:b w:val="0"/>
          <w:bCs w:val="0"/>
          <w:color w:val="auto"/>
          <w:sz w:val="30"/>
          <w:szCs w:val="30"/>
          <w:lang w:val="en-US" w:eastAsia="zh-CN"/>
        </w:rPr>
        <w:t>安全风险评级</w:t>
      </w:r>
      <w:r>
        <w:rPr>
          <w:rFonts w:hint="default" w:ascii="Times New Roman" w:hAnsi="Times New Roman" w:eastAsia="仿宋" w:cs="Times New Roman"/>
          <w:b w:val="0"/>
          <w:bCs w:val="0"/>
          <w:color w:val="auto"/>
          <w:kern w:val="0"/>
          <w:sz w:val="30"/>
          <w:szCs w:val="30"/>
          <w:lang w:val="en-US" w:eastAsia="zh-CN" w:bidi="ar"/>
        </w:rPr>
        <w:t>全过程评分标准解读和答疑，</w:t>
      </w:r>
      <w:r>
        <w:rPr>
          <w:rFonts w:hint="default" w:ascii="Times New Roman" w:hAnsi="Times New Roman" w:eastAsia="仿宋" w:cs="Times New Roman"/>
          <w:b w:val="0"/>
          <w:bCs w:val="0"/>
          <w:color w:val="auto"/>
          <w:sz w:val="30"/>
          <w:szCs w:val="30"/>
          <w:lang w:val="en-US" w:eastAsia="zh-CN"/>
        </w:rPr>
        <w:t>并</w:t>
      </w:r>
      <w:r>
        <w:rPr>
          <w:rFonts w:hint="default" w:ascii="Times New Roman" w:hAnsi="Times New Roman" w:eastAsia="仿宋" w:cs="Times New Roman"/>
          <w:b w:val="0"/>
          <w:bCs w:val="0"/>
          <w:color w:val="auto"/>
          <w:kern w:val="0"/>
          <w:sz w:val="30"/>
          <w:szCs w:val="30"/>
          <w:lang w:val="en-US" w:eastAsia="zh-CN" w:bidi="ar"/>
        </w:rPr>
        <w:t>进行一对一专业指导；</w:t>
      </w:r>
      <w:r>
        <w:rPr>
          <w:rFonts w:hint="default" w:ascii="Times New Roman" w:hAnsi="Times New Roman" w:eastAsia="仿宋" w:cs="Times New Roman"/>
          <w:color w:val="auto"/>
          <w:kern w:val="0"/>
          <w:sz w:val="30"/>
          <w:szCs w:val="30"/>
          <w:lang w:val="en-US" w:eastAsia="zh-CN" w:bidi="ar"/>
        </w:rPr>
        <w:t>梳理优化制定园区整体提升方案，编制“</w:t>
      </w:r>
      <w:r>
        <w:rPr>
          <w:rFonts w:hint="default" w:ascii="Times New Roman" w:hAnsi="Times New Roman" w:eastAsia="仿宋" w:cs="Times New Roman"/>
          <w:b/>
          <w:bCs/>
          <w:color w:val="auto"/>
          <w:kern w:val="0"/>
          <w:sz w:val="30"/>
          <w:szCs w:val="30"/>
          <w:lang w:val="en-US" w:eastAsia="zh-CN" w:bidi="ar"/>
        </w:rPr>
        <w:t>一园一策”并动态更新</w:t>
      </w:r>
      <w:r>
        <w:rPr>
          <w:rFonts w:hint="eastAsia" w:ascii="Times New Roman" w:hAnsi="Times New Roman" w:eastAsia="仿宋" w:cs="Times New Roman"/>
          <w:color w:val="auto"/>
          <w:kern w:val="0"/>
          <w:sz w:val="30"/>
          <w:szCs w:val="30"/>
          <w:lang w:val="en-US" w:eastAsia="zh-CN" w:bidi="ar"/>
        </w:rPr>
        <w:t>，</w:t>
      </w:r>
      <w:r>
        <w:rPr>
          <w:rFonts w:hint="default" w:ascii="Times New Roman" w:hAnsi="Times New Roman" w:eastAsia="仿宋" w:cs="Times New Roman"/>
          <w:b/>
          <w:bCs/>
          <w:color w:val="auto"/>
          <w:kern w:val="0"/>
          <w:sz w:val="30"/>
          <w:szCs w:val="30"/>
          <w:lang w:val="en-US" w:eastAsia="zh-CN" w:bidi="ar"/>
        </w:rPr>
        <w:t>服务期间完成当年的园区安全风险评级自评报告。</w:t>
      </w:r>
    </w:p>
    <w:p w14:paraId="2F9BCF11">
      <w:pPr>
        <w:keepNext w:val="0"/>
        <w:keepLines w:val="0"/>
        <w:widowControl/>
        <w:suppressLineNumbers w:val="0"/>
        <w:ind w:firstLine="602" w:firstLineChars="200"/>
        <w:jc w:val="left"/>
        <w:rPr>
          <w:rFonts w:hint="default" w:ascii="Times New Roman" w:hAnsi="Times New Roman" w:eastAsia="仿宋" w:cs="Times New Roman"/>
          <w:b/>
          <w:bCs/>
          <w:color w:val="auto"/>
          <w:kern w:val="0"/>
          <w:sz w:val="30"/>
          <w:szCs w:val="30"/>
          <w:lang w:val="en-US" w:eastAsia="zh-CN" w:bidi="ar"/>
        </w:rPr>
      </w:pPr>
    </w:p>
    <w:p w14:paraId="54ABF77E">
      <w:pPr>
        <w:pStyle w:val="2"/>
        <w:bidi w:val="0"/>
        <w:spacing w:line="240" w:lineRule="auto"/>
        <w:rPr>
          <w:rFonts w:hint="default"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二、服务内容</w:t>
      </w:r>
    </w:p>
    <w:p w14:paraId="47D0C833">
      <w:pPr>
        <w:keepNext w:val="0"/>
        <w:keepLines w:val="0"/>
        <w:widowControl/>
        <w:numPr>
          <w:ilvl w:val="0"/>
          <w:numId w:val="1"/>
        </w:numPr>
        <w:suppressLineNumbers w:val="0"/>
        <w:ind w:firstLine="602" w:firstLineChars="200"/>
        <w:jc w:val="left"/>
        <w:rPr>
          <w:rFonts w:hint="eastAsia" w:ascii="Times New Roman" w:hAnsi="Times New Roman" w:eastAsia="仿宋" w:cs="Times New Roman"/>
          <w:color w:val="auto"/>
          <w:kern w:val="0"/>
          <w:sz w:val="30"/>
          <w:szCs w:val="30"/>
          <w:lang w:val="en-US" w:eastAsia="zh-CN" w:bidi="ar"/>
        </w:rPr>
      </w:pPr>
      <w:r>
        <w:rPr>
          <w:rFonts w:hint="eastAsia" w:ascii="Times New Roman" w:hAnsi="Times New Roman" w:eastAsia="仿宋" w:cs="Times New Roman"/>
          <w:b/>
          <w:bCs/>
          <w:color w:val="auto"/>
          <w:kern w:val="0"/>
          <w:sz w:val="30"/>
          <w:szCs w:val="30"/>
          <w:lang w:val="en-US" w:eastAsia="zh-CN" w:bidi="ar"/>
        </w:rPr>
        <w:t>、指导政府组织成立化工园区评级领导小组</w:t>
      </w:r>
      <w:r>
        <w:rPr>
          <w:rFonts w:hint="eastAsia" w:ascii="Times New Roman" w:hAnsi="Times New Roman" w:eastAsia="仿宋" w:cs="Times New Roman"/>
          <w:color w:val="auto"/>
          <w:kern w:val="0"/>
          <w:sz w:val="30"/>
          <w:szCs w:val="30"/>
          <w:lang w:val="en-US" w:eastAsia="zh-CN" w:bidi="ar"/>
        </w:rPr>
        <w:t>，由政府主管化工园区的领导作为组长，应急管理局、自然资源局、消防救援总队、生态环境局、卫健委、发改委、工信局等部门局长及化工园区管委会主任为领导小组副组长，各行业监管部门为成员单位组建专班共同推进园区评级工作。</w:t>
      </w:r>
    </w:p>
    <w:p w14:paraId="162F8766">
      <w:pPr>
        <w:keepNext w:val="0"/>
        <w:keepLines w:val="0"/>
        <w:widowControl/>
        <w:numPr>
          <w:ilvl w:val="0"/>
          <w:numId w:val="0"/>
        </w:numPr>
        <w:suppressLineNumbers w:val="0"/>
        <w:ind w:firstLine="600" w:firstLineChars="200"/>
        <w:jc w:val="left"/>
        <w:rPr>
          <w:rFonts w:hint="eastAsia" w:ascii="Times New Roman" w:hAnsi="Times New Roman" w:eastAsia="仿宋" w:cs="Times New Roman"/>
          <w:color w:val="auto"/>
          <w:kern w:val="0"/>
          <w:sz w:val="30"/>
          <w:szCs w:val="30"/>
          <w:lang w:val="en-US" w:eastAsia="zh-CN" w:bidi="ar"/>
        </w:rPr>
      </w:pPr>
      <w:r>
        <w:rPr>
          <w:rFonts w:hint="default" w:ascii="Times New Roman" w:hAnsi="Times New Roman" w:eastAsia="仿宋" w:cs="Times New Roman"/>
          <w:b w:val="0"/>
          <w:bCs/>
          <w:color w:val="auto"/>
          <w:kern w:val="2"/>
          <w:sz w:val="30"/>
          <w:szCs w:val="30"/>
          <w:vertAlign w:val="baseline"/>
          <w:lang w:val="en-US" w:eastAsia="zh-CN" w:bidi="ar-SA"/>
        </w:rPr>
        <w:t>为了提高工作效率，顺利完成化工园区安全整治提升工作的开展，结合化工园区实际情况，</w:t>
      </w:r>
      <w:r>
        <w:rPr>
          <w:rFonts w:hint="default" w:ascii="Times New Roman" w:hAnsi="Times New Roman" w:eastAsia="仿宋" w:cs="Times New Roman"/>
          <w:b/>
          <w:bCs w:val="0"/>
          <w:color w:val="auto"/>
          <w:kern w:val="2"/>
          <w:sz w:val="30"/>
          <w:szCs w:val="30"/>
          <w:vertAlign w:val="baseline"/>
          <w:lang w:val="en-US" w:eastAsia="zh-CN" w:bidi="ar-SA"/>
        </w:rPr>
        <w:t>指导园区协调政府组织成立评级工作领导小组，结合“一园一策”明确分工，</w:t>
      </w:r>
      <w:r>
        <w:rPr>
          <w:rFonts w:hint="default" w:ascii="Times New Roman" w:hAnsi="Times New Roman" w:eastAsia="仿宋" w:cs="Times New Roman"/>
          <w:b w:val="0"/>
          <w:bCs/>
          <w:color w:val="auto"/>
          <w:kern w:val="2"/>
          <w:sz w:val="30"/>
          <w:szCs w:val="30"/>
          <w:vertAlign w:val="baseline"/>
          <w:lang w:val="en-US" w:eastAsia="zh-CN" w:bidi="ar-SA"/>
        </w:rPr>
        <w:t>提高重视度及配合度。</w:t>
      </w:r>
    </w:p>
    <w:p w14:paraId="6C67A7B3">
      <w:pPr>
        <w:keepNext w:val="0"/>
        <w:keepLines w:val="0"/>
        <w:widowControl/>
        <w:suppressLineNumbers w:val="0"/>
        <w:ind w:firstLine="602" w:firstLineChars="200"/>
        <w:jc w:val="left"/>
        <w:rPr>
          <w:rFonts w:hint="eastAsia" w:ascii="Times New Roman" w:hAnsi="Times New Roman" w:eastAsia="仿宋" w:cs="Times New Roman"/>
          <w:b/>
          <w:bCs/>
          <w:color w:val="auto"/>
          <w:kern w:val="0"/>
          <w:sz w:val="30"/>
          <w:szCs w:val="30"/>
          <w:lang w:val="en-US" w:eastAsia="zh-CN" w:bidi="ar"/>
        </w:rPr>
      </w:pPr>
      <w:r>
        <w:rPr>
          <w:rFonts w:hint="eastAsia" w:ascii="Times New Roman" w:hAnsi="Times New Roman" w:eastAsia="仿宋" w:cs="Times New Roman"/>
          <w:b/>
          <w:bCs/>
          <w:color w:val="auto"/>
          <w:kern w:val="0"/>
          <w:sz w:val="30"/>
          <w:szCs w:val="30"/>
          <w:lang w:val="en-US" w:eastAsia="zh-CN" w:bidi="ar"/>
        </w:rPr>
        <w:t>（二）、指导化工园区领导小组及成员单位完成如下工作：</w:t>
      </w:r>
    </w:p>
    <w:p w14:paraId="6DFC47E9">
      <w:pPr>
        <w:keepNext w:val="0"/>
        <w:keepLines w:val="0"/>
        <w:widowControl/>
        <w:suppressLineNumbers w:val="0"/>
        <w:ind w:firstLine="600" w:firstLineChars="200"/>
        <w:jc w:val="left"/>
        <w:rPr>
          <w:rFonts w:hint="eastAsia" w:ascii="Times New Roman" w:hAnsi="Times New Roman" w:eastAsia="仿宋" w:cs="Times New Roman"/>
          <w:color w:val="auto"/>
          <w:kern w:val="0"/>
          <w:sz w:val="30"/>
          <w:szCs w:val="30"/>
          <w:lang w:val="en-US" w:eastAsia="zh-CN" w:bidi="ar"/>
        </w:rPr>
      </w:pPr>
      <w:r>
        <w:rPr>
          <w:rFonts w:hint="eastAsia" w:ascii="Times New Roman" w:hAnsi="Times New Roman" w:eastAsia="仿宋" w:cs="Times New Roman"/>
          <w:color w:val="auto"/>
          <w:kern w:val="0"/>
          <w:sz w:val="30"/>
          <w:szCs w:val="30"/>
          <w:lang w:val="en-US" w:eastAsia="zh-CN" w:bidi="ar"/>
        </w:rPr>
        <w:t>1、贯彻落实政府关于化工园区评级工作的决策部署，理清发展思路和重点工作，协调上报化工园区认定工作中需上报的佐证材料，协调解决遇到的困难和问题。</w:t>
      </w:r>
    </w:p>
    <w:p w14:paraId="48FA1EE2">
      <w:pPr>
        <w:keepNext w:val="0"/>
        <w:keepLines w:val="0"/>
        <w:widowControl/>
        <w:suppressLineNumbers w:val="0"/>
        <w:ind w:firstLine="600" w:firstLineChars="200"/>
        <w:jc w:val="left"/>
        <w:rPr>
          <w:rFonts w:hint="eastAsia" w:ascii="Times New Roman" w:hAnsi="Times New Roman" w:eastAsia="仿宋" w:cs="Times New Roman"/>
          <w:color w:val="auto"/>
          <w:kern w:val="0"/>
          <w:sz w:val="30"/>
          <w:szCs w:val="30"/>
          <w:lang w:val="en-US" w:eastAsia="zh-CN" w:bidi="ar"/>
        </w:rPr>
      </w:pPr>
      <w:r>
        <w:rPr>
          <w:rFonts w:hint="eastAsia" w:ascii="Times New Roman" w:hAnsi="Times New Roman" w:eastAsia="仿宋" w:cs="Times New Roman"/>
          <w:color w:val="auto"/>
          <w:kern w:val="0"/>
          <w:sz w:val="30"/>
          <w:szCs w:val="30"/>
          <w:lang w:val="en-US" w:eastAsia="zh-CN" w:bidi="ar"/>
        </w:rPr>
        <w:t>2、协助管委会配备具有化工专业背景的负责人1人，专业安全监管人员10人。</w:t>
      </w:r>
    </w:p>
    <w:p w14:paraId="05F427DB">
      <w:pPr>
        <w:keepNext w:val="0"/>
        <w:keepLines w:val="0"/>
        <w:widowControl/>
        <w:suppressLineNumbers w:val="0"/>
        <w:ind w:firstLine="600" w:firstLineChars="200"/>
        <w:jc w:val="left"/>
        <w:rPr>
          <w:rFonts w:hint="default" w:ascii="Times New Roman" w:hAnsi="Times New Roman" w:eastAsia="仿宋" w:cs="Times New Roman"/>
          <w:color w:val="auto"/>
          <w:kern w:val="0"/>
          <w:sz w:val="30"/>
          <w:szCs w:val="30"/>
          <w:lang w:val="en-US" w:eastAsia="zh-CN" w:bidi="ar"/>
        </w:rPr>
      </w:pPr>
      <w:r>
        <w:rPr>
          <w:rFonts w:hint="eastAsia" w:ascii="Times New Roman" w:hAnsi="Times New Roman" w:eastAsia="仿宋" w:cs="Times New Roman"/>
          <w:color w:val="auto"/>
          <w:kern w:val="0"/>
          <w:sz w:val="30"/>
          <w:szCs w:val="30"/>
          <w:lang w:val="en-US" w:eastAsia="zh-CN" w:bidi="ar"/>
        </w:rPr>
        <w:t>3、牵头组织各部门（应急局、工信局、消防支队、自然资源局、卫健委、生态环境局、交通局、交警支队、气象局、管委会）建立行业监管、协同执法、应急救援联动机制，明确部门职责、工作流程，落实例会制度，形成会议纪要备检，留存行业监管及一体化联动检查文件。</w:t>
      </w:r>
    </w:p>
    <w:p w14:paraId="7C42D256">
      <w:pPr>
        <w:keepNext w:val="0"/>
        <w:keepLines w:val="0"/>
        <w:widowControl/>
        <w:suppressLineNumbers w:val="0"/>
        <w:ind w:firstLine="600" w:firstLineChars="200"/>
        <w:jc w:val="left"/>
        <w:rPr>
          <w:rFonts w:hint="eastAsia" w:ascii="Times New Roman" w:hAnsi="Times New Roman" w:eastAsia="仿宋" w:cs="Times New Roman"/>
          <w:color w:val="auto"/>
          <w:kern w:val="0"/>
          <w:sz w:val="30"/>
          <w:szCs w:val="30"/>
          <w:lang w:val="en-US" w:eastAsia="zh-CN" w:bidi="ar"/>
        </w:rPr>
      </w:pPr>
      <w:r>
        <w:rPr>
          <w:rFonts w:hint="eastAsia" w:ascii="Times New Roman" w:hAnsi="Times New Roman" w:eastAsia="仿宋" w:cs="Times New Roman"/>
          <w:color w:val="auto"/>
          <w:kern w:val="0"/>
          <w:sz w:val="30"/>
          <w:szCs w:val="30"/>
          <w:lang w:val="en-US" w:eastAsia="zh-CN" w:bidi="ar"/>
        </w:rPr>
        <w:t>4、根据化工园区总体应急预案及专项预案，制定安全生产事故应急救援演练计划，由安委会牵头或应急局牵头统一安排安全生产事故应急救援实际演练（各局协同综合演练），形成演练总结，并留有影像记录文件。（根据应急演练方案，各单位配合完成）</w:t>
      </w:r>
    </w:p>
    <w:p w14:paraId="65105ED9">
      <w:pPr>
        <w:keepNext w:val="0"/>
        <w:keepLines w:val="0"/>
        <w:widowControl/>
        <w:suppressLineNumbers w:val="0"/>
        <w:ind w:firstLine="602" w:firstLineChars="200"/>
        <w:jc w:val="left"/>
        <w:rPr>
          <w:rFonts w:hint="default" w:ascii="Times New Roman" w:hAnsi="Times New Roman" w:eastAsia="仿宋" w:cs="Times New Roman"/>
          <w:b/>
          <w:bCs/>
          <w:color w:val="auto"/>
          <w:kern w:val="0"/>
          <w:sz w:val="30"/>
          <w:szCs w:val="30"/>
          <w:lang w:val="en-US" w:eastAsia="zh-CN" w:bidi="ar"/>
        </w:rPr>
      </w:pPr>
      <w:r>
        <w:rPr>
          <w:rFonts w:hint="eastAsia" w:ascii="Times New Roman" w:hAnsi="Times New Roman" w:eastAsia="仿宋" w:cs="Times New Roman"/>
          <w:b/>
          <w:bCs/>
          <w:color w:val="auto"/>
          <w:kern w:val="0"/>
          <w:sz w:val="30"/>
          <w:szCs w:val="30"/>
          <w:lang w:val="en-US" w:eastAsia="zh-CN" w:bidi="ar"/>
        </w:rPr>
        <w:t>（三）、</w:t>
      </w:r>
      <w:r>
        <w:rPr>
          <w:rFonts w:hint="default" w:ascii="Times New Roman" w:hAnsi="Times New Roman" w:eastAsia="仿宋" w:cs="Times New Roman"/>
          <w:b/>
          <w:bCs/>
          <w:color w:val="auto"/>
          <w:kern w:val="0"/>
          <w:sz w:val="30"/>
          <w:szCs w:val="30"/>
          <w:lang w:val="en-US" w:eastAsia="zh-CN" w:bidi="ar"/>
        </w:rPr>
        <w:t>辅导挖掘每条得分要点、指导编制36本审核资料</w:t>
      </w:r>
      <w:r>
        <w:rPr>
          <w:rFonts w:hint="default" w:ascii="Times New Roman" w:hAnsi="Times New Roman" w:eastAsia="仿宋" w:cs="Times New Roman"/>
          <w:color w:val="auto"/>
          <w:kern w:val="0"/>
          <w:sz w:val="30"/>
          <w:szCs w:val="30"/>
          <w:lang w:val="en-US" w:eastAsia="zh-CN" w:bidi="ar"/>
        </w:rPr>
        <w:t>，现场审核方案制定并陪审，</w:t>
      </w:r>
      <w:r>
        <w:rPr>
          <w:rFonts w:hint="default" w:ascii="Times New Roman" w:hAnsi="Times New Roman" w:eastAsia="仿宋" w:cs="Times New Roman"/>
          <w:b/>
          <w:bCs/>
          <w:color w:val="auto"/>
          <w:kern w:val="0"/>
          <w:sz w:val="30"/>
          <w:szCs w:val="30"/>
          <w:lang w:val="en-US" w:eastAsia="zh-CN" w:bidi="ar"/>
        </w:rPr>
        <w:t>力争实现通过应急管理厅/应急管理部的D级园区复核。</w:t>
      </w:r>
    </w:p>
    <w:p w14:paraId="330D34A2">
      <w:pPr>
        <w:pStyle w:val="3"/>
        <w:numPr>
          <w:ilvl w:val="0"/>
          <w:numId w:val="0"/>
        </w:numPr>
        <w:bidi w:val="0"/>
        <w:spacing w:line="240" w:lineRule="auto"/>
        <w:rPr>
          <w:rFonts w:hint="eastAsia" w:ascii="仿宋" w:hAnsi="仿宋" w:eastAsia="仿宋" w:cs="仿宋"/>
          <w:b/>
          <w:bCs/>
          <w:color w:val="auto"/>
          <w:sz w:val="28"/>
          <w:szCs w:val="28"/>
          <w:lang w:val="en-US" w:eastAsia="zh-CN"/>
        </w:rPr>
      </w:pPr>
      <w:r>
        <w:rPr>
          <w:rFonts w:hint="eastAsia" w:ascii="仿宋" w:hAnsi="仿宋" w:eastAsia="仿宋" w:cs="仿宋"/>
          <w:b/>
          <w:bCs/>
          <w:color w:val="auto"/>
          <w:spacing w:val="-5"/>
          <w:sz w:val="28"/>
          <w:szCs w:val="28"/>
          <w:lang w:val="en-US" w:eastAsia="zh-CN"/>
        </w:rPr>
        <w:t>1</w:t>
      </w:r>
      <w:r>
        <w:rPr>
          <w:rFonts w:hint="eastAsia" w:ascii="仿宋" w:hAnsi="仿宋" w:eastAsia="仿宋" w:cs="仿宋"/>
          <w:b/>
          <w:bCs/>
          <w:color w:val="auto"/>
          <w:sz w:val="28"/>
          <w:szCs w:val="28"/>
          <w:lang w:val="en-US" w:eastAsia="zh-CN"/>
        </w:rPr>
        <w:t>、化工园区评级工作日常指导</w:t>
      </w:r>
    </w:p>
    <w:p w14:paraId="54F8DF43">
      <w:pPr>
        <w:keepNext w:val="0"/>
        <w:keepLines w:val="0"/>
        <w:widowControl/>
        <w:numPr>
          <w:ilvl w:val="0"/>
          <w:numId w:val="2"/>
        </w:numPr>
        <w:suppressLineNumbers w:val="0"/>
        <w:ind w:firstLine="560" w:firstLineChars="200"/>
        <w:jc w:val="left"/>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kern w:val="0"/>
          <w:sz w:val="28"/>
          <w:szCs w:val="28"/>
          <w:lang w:val="en-US" w:eastAsia="zh-CN" w:bidi="ar"/>
        </w:rPr>
        <w:t>依据应急部新《化工园区安全风险排查治理导则》、《化工园区安全整治提升“十有两禁”》，参照自治区安办反馈意见，结合园区实际情况，有针对性的安排7名专业/领域的专家，分别为规划管理、安全管理、企业管理、封闭化管理、基础设施、消防管理、制度管理板块专家，针对</w:t>
      </w:r>
      <w:r>
        <w:rPr>
          <w:rFonts w:hint="eastAsia" w:ascii="仿宋" w:hAnsi="仿宋" w:eastAsia="仿宋" w:cs="仿宋"/>
          <w:b w:val="0"/>
          <w:bCs w:val="0"/>
          <w:color w:val="auto"/>
          <w:sz w:val="28"/>
          <w:szCs w:val="28"/>
          <w:lang w:val="en-US" w:eastAsia="zh-CN"/>
        </w:rPr>
        <w:t>安全风险评级</w:t>
      </w:r>
      <w:r>
        <w:rPr>
          <w:rFonts w:hint="eastAsia" w:ascii="仿宋" w:hAnsi="仿宋" w:eastAsia="仿宋" w:cs="仿宋"/>
          <w:b w:val="0"/>
          <w:bCs w:val="0"/>
          <w:color w:val="auto"/>
          <w:kern w:val="0"/>
          <w:sz w:val="28"/>
          <w:szCs w:val="28"/>
          <w:lang w:val="en-US" w:eastAsia="zh-CN" w:bidi="ar"/>
        </w:rPr>
        <w:t>全过程评分标准解读和答疑，</w:t>
      </w:r>
      <w:r>
        <w:rPr>
          <w:rFonts w:hint="eastAsia" w:ascii="仿宋" w:hAnsi="仿宋" w:eastAsia="仿宋" w:cs="仿宋"/>
          <w:b w:val="0"/>
          <w:bCs w:val="0"/>
          <w:color w:val="auto"/>
          <w:sz w:val="28"/>
          <w:szCs w:val="28"/>
          <w:lang w:val="en-US" w:eastAsia="zh-CN"/>
        </w:rPr>
        <w:t>并</w:t>
      </w:r>
      <w:r>
        <w:rPr>
          <w:rFonts w:hint="eastAsia" w:ascii="仿宋" w:hAnsi="仿宋" w:eastAsia="仿宋" w:cs="仿宋"/>
          <w:b w:val="0"/>
          <w:bCs w:val="0"/>
          <w:color w:val="auto"/>
          <w:kern w:val="0"/>
          <w:sz w:val="28"/>
          <w:szCs w:val="28"/>
          <w:lang w:val="en-US" w:eastAsia="zh-CN" w:bidi="ar"/>
        </w:rPr>
        <w:t>进行一对一专业指导，梳理优化制定园区整体提升方案供园区参考。辅导挖掘每条得分要点、指导编制36本审核资料，现场审核方案制定并陪审，力争实现通过应急管理部的D级园区复核。</w:t>
      </w:r>
      <w:r>
        <w:rPr>
          <w:rFonts w:hint="default" w:ascii="Times New Roman" w:hAnsi="Times New Roman" w:eastAsia="仿宋" w:cs="Times New Roman"/>
          <w:b w:val="0"/>
          <w:bCs/>
          <w:color w:val="auto"/>
          <w:kern w:val="2"/>
          <w:sz w:val="30"/>
          <w:szCs w:val="30"/>
          <w:vertAlign w:val="baseline"/>
          <w:lang w:val="en-US" w:eastAsia="zh-CN" w:bidi="ar-SA"/>
        </w:rPr>
        <w:t>将安全风险排查治理导则评估表36项内容细化分工，将每项需要各单位配合工作明确责任及任务，</w:t>
      </w:r>
      <w:r>
        <w:rPr>
          <w:rFonts w:hint="default" w:ascii="Times New Roman" w:hAnsi="Times New Roman" w:eastAsia="仿宋" w:cs="Times New Roman"/>
          <w:b w:val="0"/>
          <w:bCs w:val="0"/>
          <w:color w:val="auto"/>
          <w:sz w:val="30"/>
          <w:szCs w:val="30"/>
          <w:lang w:val="en-US" w:eastAsia="zh-CN"/>
        </w:rPr>
        <w:t>针对园区专业监管人员配备一对一指导老师，将园区评级复核工作</w:t>
      </w:r>
      <w:r>
        <w:rPr>
          <w:rFonts w:hint="default" w:ascii="Times New Roman" w:hAnsi="Times New Roman" w:eastAsia="仿宋" w:cs="Times New Roman"/>
          <w:b/>
          <w:bCs/>
          <w:color w:val="auto"/>
          <w:sz w:val="30"/>
          <w:szCs w:val="30"/>
          <w:lang w:val="en-US" w:eastAsia="zh-CN"/>
        </w:rPr>
        <w:t>依据审核专家分工大类进行人员工作分工，并一对一指导。</w:t>
      </w:r>
      <w:r>
        <w:rPr>
          <w:rFonts w:hint="default" w:ascii="Times New Roman" w:hAnsi="Times New Roman" w:eastAsia="仿宋" w:cs="Times New Roman"/>
          <w:b w:val="0"/>
          <w:bCs w:val="0"/>
          <w:color w:val="auto"/>
          <w:sz w:val="30"/>
          <w:szCs w:val="30"/>
          <w:lang w:val="en-US" w:eastAsia="zh-CN"/>
        </w:rPr>
        <w:t>依据园区实际情况制定各项工作内容，</w:t>
      </w:r>
      <w:r>
        <w:rPr>
          <w:rFonts w:hint="default" w:ascii="Times New Roman" w:hAnsi="Times New Roman" w:eastAsia="仿宋" w:cs="Times New Roman"/>
          <w:b/>
          <w:bCs/>
          <w:color w:val="auto"/>
          <w:sz w:val="30"/>
          <w:szCs w:val="30"/>
          <w:lang w:val="en-US" w:eastAsia="zh-CN"/>
        </w:rPr>
        <w:t>指导将评级工作落实到日常管理，并针对评级迎审进行专业指导。</w:t>
      </w:r>
      <w:r>
        <w:rPr>
          <w:rFonts w:hint="default" w:ascii="Times New Roman" w:hAnsi="Times New Roman" w:eastAsia="仿宋" w:cs="Times New Roman"/>
          <w:b w:val="0"/>
          <w:bCs/>
          <w:color w:val="auto"/>
          <w:kern w:val="2"/>
          <w:sz w:val="30"/>
          <w:szCs w:val="30"/>
          <w:vertAlign w:val="baseline"/>
          <w:lang w:val="en-US" w:eastAsia="zh-CN" w:bidi="ar-SA"/>
        </w:rPr>
        <w:t>根据实际工作进度，指导园区定期组织会议调度工作进展，并将各局提供的文件、工作等具体内容的</w:t>
      </w:r>
      <w:r>
        <w:rPr>
          <w:rFonts w:hint="default" w:ascii="Times New Roman" w:hAnsi="Times New Roman" w:eastAsia="仿宋" w:cs="Times New Roman"/>
          <w:b/>
          <w:bCs w:val="0"/>
          <w:color w:val="auto"/>
          <w:kern w:val="2"/>
          <w:sz w:val="30"/>
          <w:szCs w:val="30"/>
          <w:vertAlign w:val="baseline"/>
          <w:lang w:val="en-US" w:eastAsia="zh-CN" w:bidi="ar-SA"/>
        </w:rPr>
        <w:t>完善性及准确性</w:t>
      </w:r>
      <w:r>
        <w:rPr>
          <w:rFonts w:hint="default" w:ascii="Times New Roman" w:hAnsi="Times New Roman" w:eastAsia="仿宋" w:cs="Times New Roman"/>
          <w:b w:val="0"/>
          <w:bCs/>
          <w:color w:val="auto"/>
          <w:kern w:val="2"/>
          <w:sz w:val="30"/>
          <w:szCs w:val="30"/>
          <w:vertAlign w:val="baseline"/>
          <w:lang w:val="en-US" w:eastAsia="zh-CN" w:bidi="ar-SA"/>
        </w:rPr>
        <w:t>进行</w:t>
      </w:r>
      <w:r>
        <w:rPr>
          <w:rFonts w:hint="default" w:ascii="Times New Roman" w:hAnsi="Times New Roman" w:eastAsia="仿宋" w:cs="Times New Roman"/>
          <w:b/>
          <w:bCs w:val="0"/>
          <w:color w:val="auto"/>
          <w:kern w:val="2"/>
          <w:sz w:val="30"/>
          <w:szCs w:val="30"/>
          <w:vertAlign w:val="baseline"/>
          <w:lang w:val="en-US" w:eastAsia="zh-CN" w:bidi="ar-SA"/>
        </w:rPr>
        <w:t>指导</w:t>
      </w:r>
      <w:r>
        <w:rPr>
          <w:rFonts w:hint="default" w:ascii="Times New Roman" w:hAnsi="Times New Roman" w:eastAsia="仿宋" w:cs="Times New Roman"/>
          <w:b w:val="0"/>
          <w:bCs/>
          <w:color w:val="auto"/>
          <w:kern w:val="2"/>
          <w:sz w:val="30"/>
          <w:szCs w:val="30"/>
          <w:vertAlign w:val="baseline"/>
          <w:lang w:val="en-US" w:eastAsia="zh-CN" w:bidi="ar-SA"/>
        </w:rPr>
        <w:t>，</w:t>
      </w:r>
      <w:r>
        <w:rPr>
          <w:rFonts w:hint="default" w:ascii="Times New Roman" w:hAnsi="Times New Roman" w:eastAsia="仿宋" w:cs="Times New Roman"/>
          <w:b/>
          <w:bCs w:val="0"/>
          <w:color w:val="auto"/>
          <w:kern w:val="2"/>
          <w:sz w:val="30"/>
          <w:szCs w:val="30"/>
          <w:vertAlign w:val="baseline"/>
          <w:lang w:val="en-US" w:eastAsia="zh-CN" w:bidi="ar-SA"/>
        </w:rPr>
        <w:t>相关说明文件等提供模板</w:t>
      </w:r>
      <w:r>
        <w:rPr>
          <w:rFonts w:hint="default" w:ascii="Times New Roman" w:hAnsi="Times New Roman" w:eastAsia="仿宋" w:cs="Times New Roman"/>
          <w:b w:val="0"/>
          <w:bCs/>
          <w:color w:val="auto"/>
          <w:kern w:val="2"/>
          <w:sz w:val="30"/>
          <w:szCs w:val="30"/>
          <w:vertAlign w:val="baseline"/>
          <w:lang w:val="en-US" w:eastAsia="zh-CN" w:bidi="ar-SA"/>
        </w:rPr>
        <w:t>，全面协调工作的进展。</w:t>
      </w:r>
    </w:p>
    <w:p w14:paraId="6C55B829">
      <w:pPr>
        <w:pStyle w:val="3"/>
        <w:bidi w:val="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2、制定化工园区智慧平台接入方案</w:t>
      </w:r>
    </w:p>
    <w:p w14:paraId="3851399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为园区</w:t>
      </w:r>
      <w:r>
        <w:rPr>
          <w:rFonts w:hint="eastAsia" w:ascii="仿宋" w:hAnsi="仿宋" w:eastAsia="仿宋" w:cs="仿宋"/>
          <w:b w:val="0"/>
          <w:bCs w:val="0"/>
          <w:color w:val="auto"/>
          <w:kern w:val="2"/>
          <w:sz w:val="28"/>
          <w:szCs w:val="28"/>
          <w:lang w:val="en-US" w:eastAsia="zh-CN" w:bidi="ar"/>
        </w:rPr>
        <w:t>“封闭化建设”、“安全风险监控体系建设”、“环保监测监控体系建设”、“智慧平台各模块可持续运行”、“企业监管”等</w:t>
      </w:r>
      <w:r>
        <w:rPr>
          <w:rFonts w:hint="eastAsia" w:ascii="仿宋" w:hAnsi="仿宋" w:eastAsia="仿宋" w:cs="仿宋"/>
          <w:b w:val="0"/>
          <w:bCs w:val="0"/>
          <w:color w:val="auto"/>
          <w:sz w:val="28"/>
          <w:szCs w:val="28"/>
          <w:lang w:val="en-US" w:eastAsia="zh-CN"/>
        </w:rPr>
        <w:t>提供切实可行的数据接入方案，指导实现现有园区封闭化分级管控，制定园区海斯福公司一期人、车、物等无法实现有效管控等建设管理方案及指导园区完善管理方式，企业人员定位完成与园区平台结构化对接，园区应急卡口按照封闭化管理要求实现一键开启，企业内部二道闸（核心区）管理等软、硬件提升，AI识别系统细化建设，加强园区及企业分级管理，梳理接入的监测监控数据等，确保园区平台接入满足相关要求。</w:t>
      </w:r>
    </w:p>
    <w:p w14:paraId="7316F367">
      <w:pPr>
        <w:pStyle w:val="3"/>
        <w:numPr>
          <w:ilvl w:val="0"/>
          <w:numId w:val="0"/>
        </w:numPr>
        <w:bidi w:val="0"/>
        <w:spacing w:line="240" w:lineRule="auto"/>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4、辅导建立园区管理保障体系</w:t>
      </w:r>
    </w:p>
    <w:p w14:paraId="39C7BA2D">
      <w:pPr>
        <w:keepNext w:val="0"/>
        <w:keepLines w:val="0"/>
        <w:widowControl/>
        <w:numPr>
          <w:ilvl w:val="0"/>
          <w:numId w:val="0"/>
        </w:numPr>
        <w:suppressLineNumbers w:val="0"/>
        <w:spacing w:line="360" w:lineRule="auto"/>
        <w:ind w:firstLine="560" w:firstLineChars="200"/>
        <w:jc w:val="left"/>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指导园区建立安全管理制度体系，指导建立相应的管理机构配备专业的人员，明确机构职责权限。负责组织和管理化工园区日常运行及运维等安全管理工作；</w:t>
      </w:r>
    </w:p>
    <w:p w14:paraId="2DF4019D">
      <w:pPr>
        <w:keepNext w:val="0"/>
        <w:keepLines w:val="0"/>
        <w:widowControl/>
        <w:numPr>
          <w:ilvl w:val="0"/>
          <w:numId w:val="0"/>
        </w:numPr>
        <w:suppressLineNumbers w:val="0"/>
        <w:spacing w:line="360" w:lineRule="auto"/>
        <w:ind w:firstLine="560" w:firstLineChars="200"/>
        <w:jc w:val="left"/>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指导园区实现安全管理制度建立，建立健全各项安全管理制制度；指导相关人员建立工作职责，日常工作要求及运行模版，逐步提升专业能力并规范日常管理。</w:t>
      </w:r>
    </w:p>
    <w:p w14:paraId="0B0ED6F0">
      <w:pPr>
        <w:keepNext w:val="0"/>
        <w:keepLines w:val="0"/>
        <w:widowControl/>
        <w:numPr>
          <w:ilvl w:val="0"/>
          <w:numId w:val="0"/>
        </w:numPr>
        <w:suppressLineNumbers w:val="0"/>
        <w:spacing w:line="360" w:lineRule="auto"/>
        <w:ind w:firstLine="560" w:firstLineChars="200"/>
        <w:jc w:val="left"/>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建立园区化工园区安全管理制度建设指南要求的各项安全管理制度保障体系，利用制度有效落实园区的日常管理。指导园区建立相应管理制度，动态更新管理。</w:t>
      </w:r>
    </w:p>
    <w:p w14:paraId="3B7B0985">
      <w:pPr>
        <w:pStyle w:val="3"/>
        <w:bidi w:val="0"/>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5、制定评审复核工作方案及陪审工作</w:t>
      </w:r>
    </w:p>
    <w:p w14:paraId="060A1A18">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自治区应急厅及应急部专家评级工作复核现场审核辅导现场组织预备会议、制定审核分工、流程和现场路线、全程陪审，一对一辅导答疑等。</w:t>
      </w:r>
    </w:p>
    <w:p w14:paraId="1CA26BD7">
      <w:pPr>
        <w:keepNext w:val="0"/>
        <w:keepLines w:val="0"/>
        <w:widowControl w:val="0"/>
        <w:numPr>
          <w:ilvl w:val="0"/>
          <w:numId w:val="0"/>
        </w:numPr>
        <w:suppressLineNumbers w:val="0"/>
        <w:spacing w:before="157" w:beforeLines="50" w:after="157" w:afterLines="50" w:line="360" w:lineRule="auto"/>
        <w:ind w:firstLine="600" w:firstLineChars="200"/>
        <w:jc w:val="both"/>
        <w:rPr>
          <w:rFonts w:hint="default" w:ascii="Times New Roman" w:hAnsi="Times New Roman" w:eastAsia="仿宋" w:cs="Times New Roman"/>
          <w:b w:val="0"/>
          <w:bCs/>
          <w:color w:val="auto"/>
          <w:kern w:val="2"/>
          <w:sz w:val="30"/>
          <w:szCs w:val="30"/>
          <w:vertAlign w:val="baseline"/>
          <w:lang w:val="en-US" w:eastAsia="zh-CN" w:bidi="ar-SA"/>
        </w:rPr>
      </w:pPr>
      <w:r>
        <w:rPr>
          <w:rFonts w:hint="default" w:ascii="Times New Roman" w:hAnsi="Times New Roman" w:eastAsia="仿宋" w:cs="Times New Roman"/>
          <w:b w:val="0"/>
          <w:bCs/>
          <w:color w:val="auto"/>
          <w:kern w:val="2"/>
          <w:sz w:val="30"/>
          <w:szCs w:val="30"/>
          <w:vertAlign w:val="baseline"/>
          <w:lang w:val="en-US" w:eastAsia="zh-CN" w:bidi="ar-SA"/>
        </w:rPr>
        <w:t>制定</w:t>
      </w:r>
      <w:r>
        <w:rPr>
          <w:rFonts w:hint="default" w:ascii="Times New Roman" w:hAnsi="Times New Roman" w:eastAsia="仿宋" w:cs="Times New Roman"/>
          <w:b/>
          <w:bCs w:val="0"/>
          <w:color w:val="auto"/>
          <w:kern w:val="2"/>
          <w:sz w:val="30"/>
          <w:szCs w:val="30"/>
          <w:vertAlign w:val="baseline"/>
          <w:lang w:val="en-US" w:eastAsia="zh-CN" w:bidi="ar-SA"/>
        </w:rPr>
        <w:t>整体项目时间进程表</w:t>
      </w:r>
      <w:r>
        <w:rPr>
          <w:rFonts w:hint="default" w:ascii="Times New Roman" w:hAnsi="Times New Roman" w:eastAsia="仿宋" w:cs="Times New Roman"/>
          <w:b w:val="0"/>
          <w:bCs/>
          <w:color w:val="auto"/>
          <w:kern w:val="2"/>
          <w:sz w:val="30"/>
          <w:szCs w:val="30"/>
          <w:vertAlign w:val="baseline"/>
          <w:lang w:val="en-US" w:eastAsia="zh-CN" w:bidi="ar-SA"/>
        </w:rPr>
        <w:t>。</w:t>
      </w:r>
      <w:r>
        <w:rPr>
          <w:rFonts w:hint="default" w:ascii="Times New Roman" w:hAnsi="Times New Roman" w:eastAsia="仿宋" w:cs="Times New Roman"/>
          <w:b w:val="0"/>
          <w:bCs w:val="0"/>
          <w:color w:val="auto"/>
          <w:sz w:val="30"/>
          <w:szCs w:val="30"/>
          <w:lang w:val="en-US" w:eastAsia="zh-CN"/>
        </w:rPr>
        <w:t>省应急厅及应急部专家评级工作复核现场审核辅导现场</w:t>
      </w:r>
      <w:r>
        <w:rPr>
          <w:rFonts w:hint="default" w:ascii="Times New Roman" w:hAnsi="Times New Roman" w:eastAsia="仿宋" w:cs="Times New Roman"/>
          <w:b/>
          <w:bCs/>
          <w:color w:val="auto"/>
          <w:sz w:val="30"/>
          <w:szCs w:val="30"/>
          <w:lang w:val="en-US" w:eastAsia="zh-CN"/>
        </w:rPr>
        <w:t>组织预备会议、制定审核分工、流程和现场路线、全程陪审，一对一辅导答疑等。</w:t>
      </w:r>
    </w:p>
    <w:p w14:paraId="2C6F27E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560" w:firstLineChars="200"/>
        <w:jc w:val="both"/>
        <w:textAlignment w:val="auto"/>
        <w:rPr>
          <w:rFonts w:hint="eastAsia" w:ascii="仿宋" w:hAnsi="仿宋" w:eastAsia="仿宋" w:cs="仿宋"/>
          <w:b w:val="0"/>
          <w:bCs w:val="0"/>
          <w:color w:val="auto"/>
          <w:sz w:val="28"/>
          <w:szCs w:val="28"/>
          <w:lang w:val="en-US" w:eastAsia="zh-CN"/>
        </w:rPr>
      </w:pPr>
    </w:p>
    <w:p w14:paraId="65206454">
      <w:pPr>
        <w:bidi w:val="0"/>
        <w:rPr>
          <w:rFonts w:hint="default"/>
          <w:b/>
          <w:bCs/>
          <w:sz w:val="28"/>
          <w:szCs w:val="28"/>
          <w:lang w:val="en-US" w:eastAsia="zh-CN"/>
        </w:rPr>
      </w:pPr>
      <w:bookmarkStart w:id="0" w:name="_Toc481555873"/>
      <w:bookmarkStart w:id="1" w:name="_Toc503376467"/>
      <w:bookmarkStart w:id="2" w:name="_Toc10953"/>
      <w:bookmarkStart w:id="3" w:name="_Toc1756036717"/>
      <w:bookmarkStart w:id="4" w:name="_Toc1481748384"/>
      <w:bookmarkStart w:id="5" w:name="_Toc26805"/>
      <w:bookmarkStart w:id="6" w:name="_Toc5356"/>
      <w:r>
        <w:rPr>
          <w:rFonts w:hint="eastAsia"/>
          <w:b/>
          <w:bCs/>
          <w:sz w:val="28"/>
          <w:szCs w:val="28"/>
          <w:lang w:val="en-US" w:eastAsia="zh-CN"/>
        </w:rPr>
        <w:t>（四）、</w:t>
      </w:r>
      <w:r>
        <w:rPr>
          <w:rFonts w:hint="default"/>
          <w:b/>
          <w:bCs/>
          <w:sz w:val="28"/>
          <w:szCs w:val="28"/>
          <w:lang w:val="en-US" w:eastAsia="zh-CN"/>
        </w:rPr>
        <w:t>园区安全风险排查信息化系统</w:t>
      </w:r>
      <w:bookmarkEnd w:id="0"/>
      <w:bookmarkEnd w:id="1"/>
      <w:bookmarkEnd w:id="2"/>
      <w:bookmarkEnd w:id="3"/>
      <w:bookmarkEnd w:id="4"/>
      <w:bookmarkEnd w:id="5"/>
      <w:bookmarkEnd w:id="6"/>
    </w:p>
    <w:p w14:paraId="4DBAF9F5">
      <w:pPr>
        <w:numPr>
          <w:ilvl w:val="-1"/>
          <w:numId w:val="0"/>
        </w:numPr>
        <w:ind w:firstLine="600" w:firstLineChars="200"/>
        <w:rPr>
          <w:rFonts w:hint="default" w:ascii="Times New Roman" w:hAnsi="Times New Roman" w:eastAsia="仿宋" w:cs="Times New Roman"/>
          <w:i w:val="0"/>
          <w:iCs w:val="0"/>
          <w:color w:val="auto"/>
          <w:kern w:val="0"/>
          <w:sz w:val="30"/>
          <w:szCs w:val="30"/>
          <w:u w:val="none"/>
          <w:lang w:val="en-US" w:eastAsia="zh-CN" w:bidi="ar"/>
        </w:rPr>
      </w:pPr>
      <w:r>
        <w:rPr>
          <w:rFonts w:hint="default" w:ascii="Times New Roman" w:hAnsi="Times New Roman" w:eastAsia="仿宋" w:cs="Times New Roman"/>
          <w:i w:val="0"/>
          <w:iCs w:val="0"/>
          <w:color w:val="auto"/>
          <w:kern w:val="0"/>
          <w:sz w:val="30"/>
          <w:szCs w:val="30"/>
          <w:u w:val="none"/>
          <w:lang w:val="en-US" w:eastAsia="zh-CN" w:bidi="ar"/>
        </w:rPr>
        <w:t>为加强化工园区评级工作的持续长期有效化动态管理，提供化工园区安全风险排查信息化系统，根据每年政策变化，审查要求的深入等，</w:t>
      </w:r>
      <w:r>
        <w:rPr>
          <w:rFonts w:hint="default" w:ascii="Times New Roman" w:hAnsi="Times New Roman" w:eastAsia="仿宋" w:cs="Times New Roman"/>
          <w:b/>
          <w:bCs/>
          <w:i w:val="0"/>
          <w:iCs w:val="0"/>
          <w:color w:val="auto"/>
          <w:kern w:val="0"/>
          <w:sz w:val="30"/>
          <w:szCs w:val="30"/>
          <w:u w:val="none"/>
          <w:lang w:val="en-US" w:eastAsia="zh-CN" w:bidi="ar"/>
        </w:rPr>
        <w:t>将评级36条评审实现条目化的管理，逐条明确上传迎审资料内容。</w:t>
      </w:r>
    </w:p>
    <w:p w14:paraId="6692AB48">
      <w:pPr>
        <w:numPr>
          <w:ilvl w:val="-1"/>
          <w:numId w:val="0"/>
        </w:numPr>
        <w:ind w:firstLine="602" w:firstLineChars="200"/>
        <w:rPr>
          <w:rFonts w:hint="default" w:ascii="Times New Roman" w:hAnsi="Times New Roman" w:eastAsia="仿宋" w:cs="Times New Roman"/>
          <w:i w:val="0"/>
          <w:iCs w:val="0"/>
          <w:color w:val="auto"/>
          <w:kern w:val="0"/>
          <w:sz w:val="30"/>
          <w:szCs w:val="30"/>
          <w:u w:val="none"/>
          <w:lang w:val="en-US" w:eastAsia="zh-CN" w:bidi="ar"/>
        </w:rPr>
      </w:pPr>
      <w:r>
        <w:rPr>
          <w:rFonts w:hint="default" w:ascii="Times New Roman" w:hAnsi="Times New Roman" w:eastAsia="仿宋" w:cs="Times New Roman"/>
          <w:b/>
          <w:bCs/>
          <w:color w:val="auto"/>
          <w:kern w:val="0"/>
          <w:sz w:val="30"/>
          <w:szCs w:val="30"/>
          <w:lang w:val="en-US" w:eastAsia="zh-CN" w:bidi="ar"/>
        </w:rPr>
        <w:t>指导园区专业监管人员及平台运维人员</w:t>
      </w:r>
      <w:r>
        <w:rPr>
          <w:rFonts w:hint="default" w:ascii="Times New Roman" w:hAnsi="Times New Roman" w:eastAsia="仿宋" w:cs="Times New Roman"/>
          <w:color w:val="auto"/>
          <w:kern w:val="0"/>
          <w:sz w:val="30"/>
          <w:szCs w:val="30"/>
          <w:lang w:val="en-US" w:eastAsia="zh-CN" w:bidi="ar"/>
        </w:rPr>
        <w:t>，将评级36条建立管理功能模块，逐条上传，</w:t>
      </w:r>
      <w:r>
        <w:rPr>
          <w:rFonts w:hint="default" w:ascii="Times New Roman" w:hAnsi="Times New Roman" w:eastAsia="仿宋" w:cs="Times New Roman"/>
          <w:i w:val="0"/>
          <w:iCs w:val="0"/>
          <w:color w:val="auto"/>
          <w:kern w:val="0"/>
          <w:sz w:val="30"/>
          <w:szCs w:val="30"/>
          <w:u w:val="none"/>
          <w:lang w:val="en-US" w:eastAsia="zh-CN" w:bidi="ar"/>
        </w:rPr>
        <w:t>专业老师利用系统实时完成上传资料的审查</w:t>
      </w:r>
      <w:r>
        <w:rPr>
          <w:rFonts w:hint="default" w:ascii="Times New Roman" w:hAnsi="Times New Roman" w:eastAsia="仿宋" w:cs="Times New Roman"/>
          <w:color w:val="auto"/>
          <w:kern w:val="0"/>
          <w:sz w:val="30"/>
          <w:szCs w:val="30"/>
          <w:lang w:val="en-US" w:eastAsia="zh-CN" w:bidi="ar"/>
        </w:rPr>
        <w:t>。</w:t>
      </w:r>
      <w:r>
        <w:rPr>
          <w:rFonts w:hint="default" w:ascii="Times New Roman" w:hAnsi="Times New Roman" w:eastAsia="仿宋" w:cs="Times New Roman"/>
          <w:bCs/>
          <w:color w:val="auto"/>
          <w:kern w:val="2"/>
          <w:sz w:val="30"/>
          <w:szCs w:val="30"/>
          <w:lang w:val="en-US" w:eastAsia="zh-CN" w:bidi="ar"/>
        </w:rPr>
        <w:t>将园区及企业与评级相关的文本、资料归档，更新等，实现</w:t>
      </w:r>
      <w:r>
        <w:rPr>
          <w:rFonts w:hint="default" w:ascii="Times New Roman" w:hAnsi="Times New Roman" w:eastAsia="仿宋" w:cs="Times New Roman"/>
          <w:color w:val="auto"/>
          <w:kern w:val="0"/>
          <w:sz w:val="30"/>
          <w:szCs w:val="30"/>
          <w:lang w:val="en-US" w:eastAsia="zh-CN" w:bidi="ar"/>
        </w:rPr>
        <w:t>各个板块数据的逐步完善并持续有效运行，</w:t>
      </w:r>
      <w:r>
        <w:rPr>
          <w:rFonts w:hint="default" w:ascii="Times New Roman" w:hAnsi="Times New Roman" w:eastAsia="仿宋" w:cs="Times New Roman"/>
          <w:bCs/>
          <w:color w:val="auto"/>
          <w:kern w:val="2"/>
          <w:sz w:val="30"/>
          <w:szCs w:val="30"/>
          <w:lang w:val="en-US" w:eastAsia="zh-CN" w:bidi="ar"/>
        </w:rPr>
        <w:t>动态管理</w:t>
      </w:r>
      <w:r>
        <w:rPr>
          <w:rFonts w:hint="default" w:ascii="Times New Roman" w:hAnsi="Times New Roman" w:eastAsia="仿宋" w:cs="Times New Roman"/>
          <w:color w:val="auto"/>
          <w:kern w:val="0"/>
          <w:sz w:val="30"/>
          <w:szCs w:val="30"/>
          <w:lang w:val="en-US" w:eastAsia="zh-CN" w:bidi="ar"/>
        </w:rPr>
        <w:t>。</w:t>
      </w:r>
      <w:r>
        <w:rPr>
          <w:rFonts w:hint="default" w:ascii="Times New Roman" w:hAnsi="Times New Roman" w:eastAsia="仿宋" w:cs="Times New Roman"/>
          <w:i w:val="0"/>
          <w:iCs w:val="0"/>
          <w:color w:val="auto"/>
          <w:kern w:val="0"/>
          <w:sz w:val="30"/>
          <w:szCs w:val="30"/>
          <w:u w:val="none"/>
          <w:lang w:val="en-US" w:eastAsia="zh-CN" w:bidi="ar"/>
        </w:rPr>
        <w:t>每年系统自动归档当年资料，避免人员变动、时间较长等原因造成资料丢失。</w:t>
      </w:r>
    </w:p>
    <w:p w14:paraId="7B82CECB">
      <w:pPr>
        <w:numPr>
          <w:ilvl w:val="-1"/>
          <w:numId w:val="0"/>
        </w:numPr>
        <w:jc w:val="center"/>
        <w:rPr>
          <w:rFonts w:hint="default" w:ascii="Times New Roman" w:hAnsi="Times New Roman" w:cs="Times New Roman"/>
          <w:color w:val="auto"/>
        </w:rPr>
      </w:pPr>
      <w:r>
        <w:rPr>
          <w:rFonts w:hint="default" w:ascii="Times New Roman" w:hAnsi="Times New Roman" w:cs="Times New Roman"/>
          <w:color w:val="auto"/>
        </w:rPr>
        <w:drawing>
          <wp:inline distT="0" distB="0" distL="114300" distR="114300">
            <wp:extent cx="5267960" cy="2724785"/>
            <wp:effectExtent l="12700" t="12700" r="27940" b="3111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5"/>
                    <a:stretch>
                      <a:fillRect/>
                    </a:stretch>
                  </pic:blipFill>
                  <pic:spPr>
                    <a:xfrm>
                      <a:off x="0" y="0"/>
                      <a:ext cx="5267960" cy="2724785"/>
                    </a:xfrm>
                    <a:prstGeom prst="rect">
                      <a:avLst/>
                    </a:prstGeom>
                    <a:noFill/>
                    <a:ln>
                      <a:solidFill>
                        <a:srgbClr val="0000FF"/>
                      </a:solidFill>
                    </a:ln>
                  </pic:spPr>
                </pic:pic>
              </a:graphicData>
            </a:graphic>
          </wp:inline>
        </w:drawing>
      </w:r>
    </w:p>
    <w:p w14:paraId="1B912D77">
      <w:pPr>
        <w:numPr>
          <w:ilvl w:val="-1"/>
          <w:numId w:val="0"/>
        </w:numPr>
        <w:jc w:val="center"/>
        <w:rPr>
          <w:rFonts w:hint="default" w:ascii="Times New Roman" w:hAnsi="Times New Roman" w:eastAsia="仿宋" w:cs="Times New Roman"/>
          <w:b/>
          <w:bCs/>
          <w:i w:val="0"/>
          <w:iCs w:val="0"/>
          <w:color w:val="auto"/>
          <w:kern w:val="0"/>
          <w:sz w:val="22"/>
          <w:szCs w:val="22"/>
          <w:u w:val="single"/>
          <w:lang w:val="en-US" w:eastAsia="zh-CN" w:bidi="ar"/>
        </w:rPr>
      </w:pPr>
      <w:r>
        <w:rPr>
          <w:rFonts w:hint="default" w:ascii="Times New Roman" w:hAnsi="Times New Roman" w:eastAsia="仿宋" w:cs="Times New Roman"/>
          <w:b/>
          <w:bCs/>
          <w:i w:val="0"/>
          <w:iCs w:val="0"/>
          <w:color w:val="auto"/>
          <w:kern w:val="0"/>
          <w:sz w:val="22"/>
          <w:szCs w:val="22"/>
          <w:u w:val="single"/>
          <w:lang w:val="en-US" w:eastAsia="zh-CN" w:bidi="ar"/>
        </w:rPr>
        <w:t>图1.2-1园区安全风险排查信息化系统截图</w:t>
      </w:r>
    </w:p>
    <w:p w14:paraId="1468266F">
      <w:pPr>
        <w:numPr>
          <w:ilvl w:val="-1"/>
          <w:numId w:val="0"/>
        </w:numPr>
        <w:ind w:firstLine="442" w:firstLineChars="200"/>
        <w:jc w:val="center"/>
        <w:rPr>
          <w:rFonts w:hint="default" w:ascii="Times New Roman" w:hAnsi="Times New Roman" w:eastAsia="仿宋" w:cs="Times New Roman"/>
          <w:b/>
          <w:bCs/>
          <w:color w:val="auto"/>
          <w:kern w:val="0"/>
          <w:sz w:val="22"/>
          <w:szCs w:val="22"/>
          <w:u w:val="single"/>
          <w:lang w:val="en-US" w:bidi="ar"/>
        </w:rPr>
      </w:pPr>
    </w:p>
    <w:p w14:paraId="75D60DEC">
      <w:pPr>
        <w:numPr>
          <w:ilvl w:val="-1"/>
          <w:numId w:val="0"/>
        </w:numPr>
        <w:rPr>
          <w:rFonts w:hint="default" w:ascii="Times New Roman" w:hAnsi="Times New Roman" w:cs="Times New Roman"/>
          <w:color w:val="auto"/>
        </w:rPr>
      </w:pPr>
      <w:r>
        <w:rPr>
          <w:rFonts w:hint="default" w:ascii="Times New Roman" w:hAnsi="Times New Roman" w:cs="Times New Roman"/>
          <w:color w:val="auto"/>
        </w:rPr>
        <w:drawing>
          <wp:inline distT="0" distB="0" distL="114300" distR="114300">
            <wp:extent cx="5270500" cy="2632075"/>
            <wp:effectExtent l="12700" t="12700" r="25400" b="2222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6"/>
                    <a:stretch>
                      <a:fillRect/>
                    </a:stretch>
                  </pic:blipFill>
                  <pic:spPr>
                    <a:xfrm>
                      <a:off x="0" y="0"/>
                      <a:ext cx="5270500" cy="2632075"/>
                    </a:xfrm>
                    <a:prstGeom prst="rect">
                      <a:avLst/>
                    </a:prstGeom>
                    <a:noFill/>
                    <a:ln>
                      <a:solidFill>
                        <a:srgbClr val="0000FF"/>
                      </a:solidFill>
                    </a:ln>
                  </pic:spPr>
                </pic:pic>
              </a:graphicData>
            </a:graphic>
          </wp:inline>
        </w:drawing>
      </w:r>
    </w:p>
    <w:p w14:paraId="710B29B8">
      <w:pPr>
        <w:numPr>
          <w:ilvl w:val="-1"/>
          <w:numId w:val="0"/>
        </w:numPr>
        <w:jc w:val="center"/>
        <w:rPr>
          <w:rFonts w:hint="default" w:ascii="Times New Roman" w:hAnsi="Times New Roman" w:cs="Times New Roman"/>
          <w:b/>
          <w:bCs/>
          <w:color w:val="auto"/>
          <w:sz w:val="16"/>
          <w:szCs w:val="20"/>
          <w:u w:val="single"/>
          <w:lang w:val="en-US"/>
        </w:rPr>
      </w:pPr>
      <w:r>
        <w:rPr>
          <w:rFonts w:hint="default" w:ascii="Times New Roman" w:hAnsi="Times New Roman" w:eastAsia="仿宋" w:cs="Times New Roman"/>
          <w:b/>
          <w:bCs/>
          <w:i w:val="0"/>
          <w:iCs w:val="0"/>
          <w:color w:val="auto"/>
          <w:kern w:val="0"/>
          <w:sz w:val="22"/>
          <w:szCs w:val="22"/>
          <w:u w:val="single"/>
          <w:lang w:val="en-US" w:eastAsia="zh-CN" w:bidi="ar"/>
        </w:rPr>
        <w:t>图1.2-2园区安全风险排查信息化系统截图</w:t>
      </w:r>
    </w:p>
    <w:p w14:paraId="70EFEAB6">
      <w:pPr>
        <w:numPr>
          <w:ilvl w:val="-1"/>
          <w:numId w:val="0"/>
        </w:numPr>
        <w:ind w:firstLine="420" w:firstLineChars="200"/>
        <w:rPr>
          <w:rFonts w:hint="default" w:ascii="Times New Roman" w:hAnsi="Times New Roman" w:cs="Times New Roman"/>
          <w:color w:val="auto"/>
        </w:rPr>
      </w:pPr>
    </w:p>
    <w:p w14:paraId="2467385C">
      <w:pPr>
        <w:numPr>
          <w:ilvl w:val="-1"/>
          <w:numId w:val="0"/>
        </w:numPr>
        <w:rPr>
          <w:rFonts w:hint="default" w:ascii="Times New Roman" w:hAnsi="Times New Roman" w:cs="Times New Roman"/>
          <w:color w:val="auto"/>
        </w:rPr>
      </w:pPr>
      <w:r>
        <w:rPr>
          <w:rFonts w:hint="default" w:ascii="Times New Roman" w:hAnsi="Times New Roman" w:cs="Times New Roman"/>
          <w:color w:val="auto"/>
        </w:rPr>
        <w:drawing>
          <wp:inline distT="0" distB="0" distL="114300" distR="114300">
            <wp:extent cx="5273675" cy="2754630"/>
            <wp:effectExtent l="12700" t="12700" r="22225" b="2667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7"/>
                    <a:stretch>
                      <a:fillRect/>
                    </a:stretch>
                  </pic:blipFill>
                  <pic:spPr>
                    <a:xfrm>
                      <a:off x="0" y="0"/>
                      <a:ext cx="5273675" cy="2754630"/>
                    </a:xfrm>
                    <a:prstGeom prst="rect">
                      <a:avLst/>
                    </a:prstGeom>
                    <a:noFill/>
                    <a:ln>
                      <a:solidFill>
                        <a:srgbClr val="0000FF"/>
                      </a:solidFill>
                    </a:ln>
                  </pic:spPr>
                </pic:pic>
              </a:graphicData>
            </a:graphic>
          </wp:inline>
        </w:drawing>
      </w:r>
    </w:p>
    <w:p w14:paraId="312D94D4">
      <w:pPr>
        <w:numPr>
          <w:ilvl w:val="-1"/>
          <w:numId w:val="0"/>
        </w:numPr>
        <w:jc w:val="center"/>
        <w:rPr>
          <w:rFonts w:hint="default" w:ascii="Times New Roman" w:hAnsi="Times New Roman" w:eastAsia="仿宋" w:cs="Times New Roman"/>
          <w:b/>
          <w:bCs/>
          <w:i w:val="0"/>
          <w:iCs w:val="0"/>
          <w:color w:val="auto"/>
          <w:kern w:val="0"/>
          <w:sz w:val="22"/>
          <w:szCs w:val="22"/>
          <w:u w:val="single"/>
          <w:lang w:val="en-US" w:eastAsia="zh-CN" w:bidi="ar"/>
        </w:rPr>
      </w:pPr>
      <w:r>
        <w:rPr>
          <w:rFonts w:hint="default" w:ascii="Times New Roman" w:hAnsi="Times New Roman" w:eastAsia="仿宋" w:cs="Times New Roman"/>
          <w:b/>
          <w:bCs/>
          <w:i w:val="0"/>
          <w:iCs w:val="0"/>
          <w:color w:val="auto"/>
          <w:kern w:val="0"/>
          <w:sz w:val="22"/>
          <w:szCs w:val="22"/>
          <w:u w:val="single"/>
          <w:lang w:val="en-US" w:eastAsia="zh-CN" w:bidi="ar"/>
        </w:rPr>
        <w:t>图1.2-3园区安全风险排查信息化系统截图</w:t>
      </w:r>
    </w:p>
    <w:p w14:paraId="38BE83C7">
      <w:pPr>
        <w:numPr>
          <w:ilvl w:val="-1"/>
          <w:numId w:val="0"/>
        </w:numPr>
        <w:jc w:val="center"/>
        <w:rPr>
          <w:rFonts w:hint="default" w:ascii="Times New Roman" w:hAnsi="Times New Roman" w:eastAsia="仿宋" w:cs="Times New Roman"/>
          <w:b/>
          <w:bCs/>
          <w:i w:val="0"/>
          <w:iCs w:val="0"/>
          <w:color w:val="auto"/>
          <w:kern w:val="0"/>
          <w:sz w:val="22"/>
          <w:szCs w:val="22"/>
          <w:u w:val="single"/>
          <w:lang w:val="en-US" w:eastAsia="zh-CN" w:bidi="ar"/>
        </w:rPr>
      </w:pPr>
    </w:p>
    <w:p w14:paraId="5B665D47">
      <w:pPr>
        <w:bidi w:val="0"/>
        <w:rPr>
          <w:rFonts w:hint="default"/>
          <w:b/>
          <w:bCs/>
          <w:sz w:val="28"/>
          <w:szCs w:val="28"/>
          <w:lang w:val="en-US" w:eastAsia="zh-CN"/>
        </w:rPr>
      </w:pPr>
      <w:r>
        <w:rPr>
          <w:rFonts w:hint="eastAsia"/>
          <w:b/>
          <w:bCs/>
          <w:sz w:val="28"/>
          <w:szCs w:val="28"/>
          <w:lang w:val="en-US" w:eastAsia="zh-CN"/>
        </w:rPr>
        <w:t>（五）安全风险智能化管控平台运行诊断及指导</w:t>
      </w:r>
    </w:p>
    <w:p w14:paraId="1C2D49BB">
      <w:pPr>
        <w:keepNext w:val="0"/>
        <w:keepLines w:val="0"/>
        <w:pageBreakBefore w:val="0"/>
        <w:widowControl w:val="0"/>
        <w:numPr>
          <w:ilvl w:val="0"/>
          <w:numId w:val="0"/>
        </w:numPr>
        <w:kinsoku/>
        <w:wordWrap/>
        <w:overflowPunct/>
        <w:topLinePunct w:val="0"/>
        <w:autoSpaceDE/>
        <w:autoSpaceDN/>
        <w:bidi w:val="0"/>
        <w:adjustRightInd/>
        <w:spacing w:before="157" w:beforeLines="50" w:after="157" w:afterLines="50" w:line="360" w:lineRule="auto"/>
        <w:ind w:firstLine="600" w:firstLineChars="200"/>
        <w:jc w:val="both"/>
        <w:textAlignment w:val="auto"/>
        <w:rPr>
          <w:rFonts w:ascii="Times New Roman" w:hAnsi="Times New Roman" w:eastAsia="仿宋" w:cs="Times New Roman"/>
          <w:color w:val="000000" w:themeColor="text1"/>
          <w:kern w:val="0"/>
          <w:sz w:val="30"/>
          <w:szCs w:val="30"/>
          <w:lang w:bidi="ar"/>
          <w14:textFill>
            <w14:solidFill>
              <w14:schemeClr w14:val="tx1"/>
            </w14:solidFill>
          </w14:textFill>
        </w:rPr>
      </w:pPr>
      <w:r>
        <w:rPr>
          <w:rFonts w:ascii="Times New Roman" w:hAnsi="Times New Roman" w:eastAsia="仿宋" w:cs="Times New Roman"/>
          <w:color w:val="000000" w:themeColor="text1"/>
          <w:kern w:val="0"/>
          <w:sz w:val="30"/>
          <w:szCs w:val="30"/>
          <w:lang w:bidi="ar"/>
          <w14:textFill>
            <w14:solidFill>
              <w14:schemeClr w14:val="tx1"/>
            </w14:solidFill>
          </w14:textFill>
        </w:rPr>
        <w:t>1）针对安全风险智能化管控等信息化平台的运营：安排6个功能模块6名专家开展平台运行问题诊断、编制诊断报告及提升方案，协助制定平台运行机制，配备6名专业板块老师指导园区利用现有安全风险智能化管控平台使用，包含安全基础管理、重大危险源管理、封闭化管理、特殊作业管理、双重预防机制管理、敏捷应急管理六大功能板块，并配备六名专业指导老师，针对园区平台功能的完善性、平台的录入及持续管理进行专业性指导。专家团队将深入分析园区安全风险，提供定制化的解决方案，确保园区安全风险智能化管控平台能够高效运行，同时，专业板块老师将通过定期培训和现场指导，帮助园区工作人员熟练掌握平台操作，提升园区整体的安全管理水平。</w:t>
      </w:r>
    </w:p>
    <w:p w14:paraId="4A97CD4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560" w:firstLineChars="200"/>
        <w:jc w:val="both"/>
        <w:textAlignment w:val="auto"/>
        <w:rPr>
          <w:rFonts w:ascii="Times New Roman" w:hAnsi="Times New Roman" w:eastAsia="仿宋" w:cs="Times New Roman"/>
          <w:color w:val="000000" w:themeColor="text1"/>
          <w:kern w:val="0"/>
          <w:sz w:val="30"/>
          <w:szCs w:val="30"/>
          <w:lang w:bidi="ar"/>
          <w14:textFill>
            <w14:solidFill>
              <w14:schemeClr w14:val="tx1"/>
            </w14:solidFill>
          </w14:textFill>
        </w:rPr>
      </w:pPr>
      <w:r>
        <w:rPr>
          <w:rFonts w:hint="eastAsia" w:ascii="仿宋" w:hAnsi="仿宋" w:eastAsia="仿宋" w:cs="仿宋"/>
          <w:b w:val="0"/>
          <w:bCs w:val="0"/>
          <w:color w:val="auto"/>
          <w:kern w:val="0"/>
          <w:sz w:val="28"/>
          <w:szCs w:val="28"/>
          <w:lang w:val="en-US" w:eastAsia="zh-CN" w:bidi="ar"/>
        </w:rPr>
        <w:t>为解决园区现有平台存在功能不完善的情况，根据化工园区安全风险智能化管控平台建设要求，服务期间指导建设满足要求的安全风险智能化管控平台使用，包含安全基础管理、重大危险源管理、封闭化管理、特殊作业管理、双重预防机制管理、敏捷应急管理六大功能板块，并配备六名专业指导老师，平台包含园区端及企业端两个层面，平台可对接园区公共管廊相关数据，实现数据接入预警管理，具有危险化学品专用停车场，针对园区平台功能的完善性、平台的录入及持续管理进行专业性指导，指导园区专业监管人员及平台运维人员，</w:t>
      </w:r>
      <w:r>
        <w:rPr>
          <w:rFonts w:hint="eastAsia" w:ascii="仿宋" w:hAnsi="仿宋" w:eastAsia="仿宋" w:cs="仿宋"/>
          <w:b w:val="0"/>
          <w:bCs w:val="0"/>
          <w:color w:val="auto"/>
          <w:kern w:val="2"/>
          <w:sz w:val="28"/>
          <w:szCs w:val="28"/>
          <w:lang w:val="en-US" w:eastAsia="zh-CN" w:bidi="ar"/>
        </w:rPr>
        <w:t>将园区及企业与评级和认定相关的文本、资料归档，更新、到期提醒等，实现</w:t>
      </w:r>
      <w:r>
        <w:rPr>
          <w:rFonts w:hint="eastAsia" w:ascii="仿宋" w:hAnsi="仿宋" w:eastAsia="仿宋" w:cs="仿宋"/>
          <w:b w:val="0"/>
          <w:bCs w:val="0"/>
          <w:color w:val="auto"/>
          <w:kern w:val="0"/>
          <w:sz w:val="28"/>
          <w:szCs w:val="28"/>
          <w:lang w:val="en-US" w:eastAsia="zh-CN" w:bidi="ar"/>
        </w:rPr>
        <w:t>各个板块数据的逐步完善并持续有效运行，</w:t>
      </w:r>
      <w:r>
        <w:rPr>
          <w:rFonts w:hint="eastAsia" w:ascii="仿宋" w:hAnsi="仿宋" w:eastAsia="仿宋" w:cs="仿宋"/>
          <w:b w:val="0"/>
          <w:bCs w:val="0"/>
          <w:color w:val="auto"/>
          <w:kern w:val="2"/>
          <w:sz w:val="28"/>
          <w:szCs w:val="28"/>
          <w:lang w:val="en-US" w:eastAsia="zh-CN" w:bidi="ar"/>
        </w:rPr>
        <w:t>动态管理</w:t>
      </w:r>
      <w:r>
        <w:rPr>
          <w:rFonts w:hint="eastAsia" w:ascii="仿宋" w:hAnsi="仿宋" w:eastAsia="仿宋" w:cs="仿宋"/>
          <w:b w:val="0"/>
          <w:bCs w:val="0"/>
          <w:color w:val="auto"/>
          <w:kern w:val="0"/>
          <w:sz w:val="28"/>
          <w:szCs w:val="28"/>
          <w:lang w:val="en-US" w:eastAsia="zh-CN" w:bidi="ar"/>
        </w:rPr>
        <w:t>。</w:t>
      </w:r>
    </w:p>
    <w:p w14:paraId="66946F36">
      <w:pPr>
        <w:keepNext w:val="0"/>
        <w:keepLines w:val="0"/>
        <w:pageBreakBefore w:val="0"/>
        <w:widowControl w:val="0"/>
        <w:numPr>
          <w:ilvl w:val="0"/>
          <w:numId w:val="0"/>
        </w:numPr>
        <w:kinsoku/>
        <w:wordWrap/>
        <w:overflowPunct/>
        <w:topLinePunct w:val="0"/>
        <w:autoSpaceDE/>
        <w:autoSpaceDN/>
        <w:bidi w:val="0"/>
        <w:adjustRightInd/>
        <w:spacing w:before="157" w:beforeLines="50" w:after="157" w:afterLines="50" w:line="360" w:lineRule="auto"/>
        <w:ind w:firstLine="600" w:firstLineChars="200"/>
        <w:jc w:val="both"/>
        <w:textAlignment w:val="auto"/>
        <w:rPr>
          <w:rFonts w:ascii="Times New Roman" w:hAnsi="Times New Roman" w:eastAsia="仿宋" w:cs="Times New Roman"/>
          <w:color w:val="000000" w:themeColor="text1"/>
          <w:kern w:val="0"/>
          <w:sz w:val="30"/>
          <w:szCs w:val="30"/>
          <w:lang w:bidi="ar"/>
          <w14:textFill>
            <w14:solidFill>
              <w14:schemeClr w14:val="tx1"/>
            </w14:solidFill>
          </w14:textFill>
        </w:rPr>
      </w:pPr>
      <w:r>
        <w:rPr>
          <w:rFonts w:ascii="Times New Roman" w:hAnsi="Times New Roman" w:eastAsia="仿宋" w:cs="Times New Roman"/>
          <w:color w:val="000000" w:themeColor="text1"/>
          <w:kern w:val="0"/>
          <w:sz w:val="30"/>
          <w:szCs w:val="30"/>
          <w:lang w:bidi="ar"/>
          <w14:textFill>
            <w14:solidFill>
              <w14:schemeClr w14:val="tx1"/>
            </w14:solidFill>
          </w14:textFill>
        </w:rPr>
        <w:t>2）明确使用人员、运维人员分工，并开展一对一指导服务，定期对园区平台运行开展合规培训及专业化提升指导服务，一对一专业指导，入场后为园区“封闭化建设”、“安全风险监控体系建设”、“环保监测监控体系建设—重点危废管理板块”、“园区安全风险智能化管控平台各模块可持续运行”、“企业监管”等提供平台运行问题诊断、调整方案并开展指导服务；专家团队将根据园区的实际情况，制定个性化的培训计划，确保每位使用人员和运维人员都能够充分理解并正确操作平台，同时，通过一对一的指导服务，专家能够及时发现并解决使用过程中的问题，确保平台的稳定运行和持续改进。</w:t>
      </w:r>
    </w:p>
    <w:p w14:paraId="60DC5263">
      <w:pPr>
        <w:keepNext w:val="0"/>
        <w:keepLines w:val="0"/>
        <w:widowControl/>
        <w:bidi w:val="0"/>
        <w:spacing w:line="360" w:lineRule="auto"/>
        <w:ind w:firstLine="600" w:firstLineChars="200"/>
        <w:jc w:val="left"/>
        <w:rPr>
          <w:rFonts w:ascii="Times New Roman" w:hAnsi="Times New Roman" w:eastAsia="仿宋" w:cs="Times New Roman"/>
          <w:color w:val="000000" w:themeColor="text1"/>
          <w:kern w:val="0"/>
          <w:sz w:val="30"/>
          <w:szCs w:val="30"/>
          <w:lang w:bidi="ar"/>
          <w14:textFill>
            <w14:solidFill>
              <w14:schemeClr w14:val="tx1"/>
            </w14:solidFill>
          </w14:textFill>
        </w:rPr>
      </w:pPr>
      <w:r>
        <w:rPr>
          <w:rFonts w:ascii="Times New Roman" w:hAnsi="Times New Roman" w:eastAsia="仿宋" w:cs="Times New Roman"/>
          <w:color w:val="000000" w:themeColor="text1"/>
          <w:kern w:val="0"/>
          <w:sz w:val="30"/>
          <w:szCs w:val="30"/>
          <w:lang w:bidi="ar"/>
          <w14:textFill>
            <w14:solidFill>
              <w14:schemeClr w14:val="tx1"/>
            </w14:solidFill>
          </w14:textFill>
        </w:rPr>
        <w:t>3）通过平台指导园区安全风险评估保持或提升相应的分值44.7分（利用安全风险智能化管控平台要求的安全基础管理板块，涉及导则的8项共计36分内容，针对平台的重大危险源管理板块，涉及导则的1项共8分内容；针对平台的双重预防机制板块，涉及导则2项共8分内容；针对平台的特殊作业管理板块，涉及导则2项共5分内容；针对平台封闭化管理板块，涉及导则3项共12分内容；针对平台敏捷应急管理板块，涉及导则4项共7分，共计76分折合百分制为44.7分）。专家团队将通过平台的智能分析功能，对园区的安全风险进行实时监控和评估，及时发现潜在的安全隐患，并提供针对性的改进建议，帮助园区提升安全风险评估的分值，确保园区的安全稳定运行。</w:t>
      </w:r>
    </w:p>
    <w:p w14:paraId="59AAB621">
      <w:pPr>
        <w:keepNext w:val="0"/>
        <w:keepLines w:val="0"/>
        <w:widowControl/>
        <w:numPr>
          <w:ilvl w:val="0"/>
          <w:numId w:val="0"/>
        </w:numPr>
        <w:suppressLineNumbers w:val="0"/>
        <w:spacing w:line="240" w:lineRule="auto"/>
        <w:jc w:val="both"/>
        <w:rPr>
          <w:rFonts w:ascii="Times New Roman" w:hAnsi="Times New Roman" w:eastAsia="仿宋" w:cs="Times New Roman"/>
          <w:b/>
          <w:bCs/>
          <w:color w:val="000000"/>
          <w:kern w:val="0"/>
          <w:sz w:val="22"/>
          <w:szCs w:val="22"/>
          <w:u w:val="single"/>
          <w:lang w:bidi="ar"/>
        </w:rPr>
      </w:pPr>
      <w:r>
        <w:rPr>
          <w:rFonts w:hint="default" w:ascii="Times New Roman" w:hAnsi="Times New Roman" w:eastAsia="仿宋" w:cs="Times New Roman"/>
          <w:sz w:val="30"/>
          <w:szCs w:val="30"/>
        </w:rPr>
        <w:drawing>
          <wp:inline distT="0" distB="0" distL="114300" distR="114300">
            <wp:extent cx="5327650" cy="2433320"/>
            <wp:effectExtent l="12700" t="12700" r="1905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327650" cy="2433320"/>
                    </a:xfrm>
                    <a:prstGeom prst="rect">
                      <a:avLst/>
                    </a:prstGeom>
                    <a:noFill/>
                    <a:ln>
                      <a:solidFill>
                        <a:srgbClr val="0000FF"/>
                      </a:solidFill>
                    </a:ln>
                  </pic:spPr>
                </pic:pic>
              </a:graphicData>
            </a:graphic>
          </wp:inline>
        </w:drawing>
      </w:r>
    </w:p>
    <w:p w14:paraId="515C2709">
      <w:pPr>
        <w:keepNext w:val="0"/>
        <w:keepLines w:val="0"/>
        <w:widowControl/>
        <w:numPr>
          <w:ilvl w:val="0"/>
          <w:numId w:val="0"/>
        </w:numPr>
        <w:bidi w:val="0"/>
        <w:spacing w:line="240" w:lineRule="auto"/>
        <w:jc w:val="center"/>
        <w:rPr>
          <w:rFonts w:ascii="Times New Roman" w:hAnsi="Times New Roman" w:eastAsia="仿宋" w:cs="Times New Roman"/>
          <w:b/>
          <w:bCs/>
          <w:color w:val="000000"/>
          <w:kern w:val="0"/>
          <w:sz w:val="22"/>
          <w:szCs w:val="22"/>
          <w:u w:val="single"/>
          <w:lang w:bidi="ar"/>
        </w:rPr>
      </w:pPr>
      <w:r>
        <w:rPr>
          <w:rFonts w:ascii="Times New Roman" w:hAnsi="Times New Roman" w:eastAsia="仿宋" w:cs="Times New Roman"/>
          <w:b/>
          <w:bCs/>
          <w:color w:val="000000"/>
          <w:kern w:val="0"/>
          <w:sz w:val="22"/>
          <w:szCs w:val="22"/>
          <w:u w:val="single"/>
          <w:lang w:bidi="ar"/>
        </w:rPr>
        <w:t>图2.1-1园区安全风险评估保持或提升相应的分值44.7分示意图</w:t>
      </w:r>
    </w:p>
    <w:p w14:paraId="66EF6149">
      <w:pPr>
        <w:keepNext w:val="0"/>
        <w:keepLines w:val="0"/>
        <w:widowControl/>
        <w:numPr>
          <w:ilvl w:val="0"/>
          <w:numId w:val="3"/>
        </w:numPr>
        <w:bidi w:val="0"/>
        <w:spacing w:line="360" w:lineRule="auto"/>
        <w:ind w:firstLine="600" w:firstLineChars="200"/>
        <w:jc w:val="left"/>
        <w:rPr>
          <w:rFonts w:hint="default" w:ascii="Times New Roman" w:hAnsi="Times New Roman" w:eastAsia="仿宋" w:cs="Times New Roman"/>
          <w:color w:val="000000" w:themeColor="text1"/>
          <w:kern w:val="0"/>
          <w:sz w:val="30"/>
          <w:szCs w:val="30"/>
          <w:lang w:val="en-US" w:eastAsia="zh-CN" w:bidi="ar"/>
          <w14:textFill>
            <w14:solidFill>
              <w14:schemeClr w14:val="tx1"/>
            </w14:solidFill>
          </w14:textFill>
        </w:rPr>
      </w:pPr>
      <w:r>
        <w:rPr>
          <w:rFonts w:ascii="Times New Roman" w:hAnsi="Times New Roman" w:eastAsia="仿宋" w:cs="Times New Roman"/>
          <w:color w:val="000000" w:themeColor="text1"/>
          <w:kern w:val="0"/>
          <w:sz w:val="30"/>
          <w:szCs w:val="30"/>
          <w:lang w:bidi="ar"/>
          <w14:textFill>
            <w14:solidFill>
              <w14:schemeClr w14:val="tx1"/>
            </w14:solidFill>
          </w14:textFill>
        </w:rPr>
        <w:t>建立平台运行保障体系，指导园区建立平台组织保障体系，指导建立相应的管理机构配备专业的人员，明确机构职责权限。负责组织和管理安全风险智能化管控平台的应用、运行及运维等工作；指导园区实现平台人员保障系统，建立健全平台运营使用团队、建立明确的平台运维团队；指导相关人员建立工作职责，日常工作要求及运行模板，逐步提升专业能力并规范日常管理。建立园区安全风险智能化管控平台运行及管理制度保障体系，利用制度有效落实园区的日常管理。指导园区建立相应管理制度，动态更新管理。专家团队将协助园区建立完善的平台运行保障体系，确保平台的稳定运行和持续改进，同时，通过建立明确的管理制度和运行模板，提升园区工作人员的专业能力，规范日常管理，确保园区的安全风险智能化管控平台能够高效、稳定地运行。</w:t>
      </w:r>
    </w:p>
    <w:p w14:paraId="265F8DB2">
      <w:pPr>
        <w:numPr>
          <w:ilvl w:val="-1"/>
          <w:numId w:val="0"/>
        </w:numPr>
        <w:jc w:val="both"/>
        <w:rPr>
          <w:rFonts w:hint="default" w:ascii="Times New Roman" w:hAnsi="Times New Roman" w:eastAsia="仿宋" w:cs="Times New Roman"/>
          <w:b/>
          <w:bCs/>
          <w:i w:val="0"/>
          <w:iCs w:val="0"/>
          <w:color w:val="auto"/>
          <w:kern w:val="0"/>
          <w:sz w:val="22"/>
          <w:szCs w:val="22"/>
          <w:u w:val="single"/>
          <w:lang w:val="en-US" w:eastAsia="zh-CN" w:bidi="ar"/>
        </w:rPr>
      </w:pPr>
    </w:p>
    <w:p w14:paraId="30FE4D7F">
      <w:pPr>
        <w:bidi w:val="0"/>
        <w:rPr>
          <w:rFonts w:hint="default"/>
          <w:b/>
          <w:bCs/>
          <w:sz w:val="28"/>
          <w:szCs w:val="28"/>
          <w:lang w:val="en-US" w:eastAsia="zh-CN"/>
        </w:rPr>
      </w:pPr>
      <w:r>
        <w:rPr>
          <w:rFonts w:hint="eastAsia"/>
          <w:b/>
          <w:bCs/>
          <w:sz w:val="28"/>
          <w:szCs w:val="28"/>
          <w:lang w:val="en-US" w:eastAsia="zh-CN"/>
        </w:rPr>
        <w:t>（六）评级专家指导及报告编制</w:t>
      </w:r>
    </w:p>
    <w:p w14:paraId="327B999D">
      <w:pPr>
        <w:numPr>
          <w:ilvl w:val="-1"/>
          <w:numId w:val="0"/>
        </w:numPr>
        <w:ind w:firstLine="600" w:firstLineChars="200"/>
        <w:jc w:val="both"/>
        <w:rPr>
          <w:rFonts w:hint="default" w:ascii="Times New Roman" w:hAnsi="Times New Roman" w:eastAsia="仿宋" w:cs="Times New Roman"/>
          <w:i w:val="0"/>
          <w:iCs w:val="0"/>
          <w:color w:val="auto"/>
          <w:kern w:val="0"/>
          <w:sz w:val="30"/>
          <w:szCs w:val="30"/>
          <w:u w:val="none"/>
          <w:lang w:val="en-US" w:eastAsia="zh-CN" w:bidi="ar"/>
        </w:rPr>
      </w:pPr>
      <w:r>
        <w:rPr>
          <w:rFonts w:hint="default" w:ascii="Times New Roman" w:hAnsi="Times New Roman" w:eastAsia="仿宋" w:cs="Times New Roman"/>
          <w:color w:val="auto"/>
          <w:kern w:val="0"/>
          <w:sz w:val="30"/>
          <w:szCs w:val="30"/>
          <w:lang w:val="en-US" w:eastAsia="zh-CN" w:bidi="ar"/>
        </w:rPr>
        <w:t>针对园区实际情况，按照评级工作进行梳理，聘请专业老师及专业团队编制</w:t>
      </w:r>
      <w:r>
        <w:rPr>
          <w:rFonts w:hint="default" w:ascii="Times New Roman" w:hAnsi="Times New Roman" w:eastAsia="仿宋" w:cs="Times New Roman"/>
          <w:i w:val="0"/>
          <w:iCs w:val="0"/>
          <w:color w:val="auto"/>
          <w:kern w:val="0"/>
          <w:sz w:val="30"/>
          <w:szCs w:val="30"/>
          <w:u w:val="none"/>
          <w:lang w:val="en-US" w:eastAsia="zh-CN" w:bidi="ar"/>
        </w:rPr>
        <w:t>公共管廊需求论证分析报告、对外货物安全风险积聚论证报告</w:t>
      </w:r>
      <w:r>
        <w:rPr>
          <w:rFonts w:hint="eastAsia" w:ascii="Times New Roman" w:hAnsi="Times New Roman" w:eastAsia="仿宋" w:cs="Times New Roman"/>
          <w:i w:val="0"/>
          <w:iCs w:val="0"/>
          <w:color w:val="auto"/>
          <w:kern w:val="0"/>
          <w:sz w:val="30"/>
          <w:szCs w:val="30"/>
          <w:u w:val="none"/>
          <w:lang w:val="en-US" w:eastAsia="zh-CN" w:bidi="ar"/>
        </w:rPr>
        <w:t>、道路运输等专项预案等</w:t>
      </w:r>
      <w:r>
        <w:rPr>
          <w:rFonts w:hint="default" w:ascii="Times New Roman" w:hAnsi="Times New Roman" w:eastAsia="仿宋" w:cs="Times New Roman"/>
          <w:i w:val="0"/>
          <w:iCs w:val="0"/>
          <w:color w:val="auto"/>
          <w:kern w:val="0"/>
          <w:sz w:val="30"/>
          <w:szCs w:val="30"/>
          <w:u w:val="none"/>
          <w:lang w:val="en-US" w:eastAsia="zh-CN" w:bidi="ar"/>
        </w:rPr>
        <w:t>，按照相关标准，结合园区实际情况及需求，编制满足评级相关要求的报告，取得相应评级分数</w:t>
      </w:r>
      <w:r>
        <w:rPr>
          <w:rFonts w:hint="eastAsia" w:ascii="Times New Roman" w:hAnsi="Times New Roman" w:eastAsia="仿宋" w:cs="Times New Roman"/>
          <w:i w:val="0"/>
          <w:iCs w:val="0"/>
          <w:color w:val="auto"/>
          <w:kern w:val="0"/>
          <w:sz w:val="30"/>
          <w:szCs w:val="30"/>
          <w:u w:val="none"/>
          <w:lang w:val="en-US" w:eastAsia="zh-CN" w:bidi="ar"/>
        </w:rPr>
        <w:t>。</w:t>
      </w:r>
      <w:bookmarkStart w:id="7" w:name="_GoBack"/>
      <w:bookmarkEnd w:id="7"/>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FFC4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22C68D">
                          <w:pPr>
                            <w:pStyle w:val="4"/>
                          </w:pPr>
                          <w:r>
                            <w:t xml:space="preserve">第 </w:t>
                          </w:r>
                          <w:r>
                            <w:fldChar w:fldCharType="begin"/>
                          </w:r>
                          <w:r>
                            <w:instrText xml:space="preserve"> PAGE  \* MERGEFORMAT </w:instrText>
                          </w:r>
                          <w:r>
                            <w:fldChar w:fldCharType="separate"/>
                          </w:r>
                          <w:r>
                            <w:t>一</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A22C68D">
                    <w:pPr>
                      <w:pStyle w:val="4"/>
                    </w:pPr>
                    <w:r>
                      <w:t xml:space="preserve">第 </w:t>
                    </w:r>
                    <w:r>
                      <w:fldChar w:fldCharType="begin"/>
                    </w:r>
                    <w:r>
                      <w:instrText xml:space="preserve"> PAGE  \* MERGEFORMAT </w:instrText>
                    </w:r>
                    <w:r>
                      <w:fldChar w:fldCharType="separate"/>
                    </w:r>
                    <w:r>
                      <w:t>一</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FF01F8"/>
    <w:multiLevelType w:val="singleLevel"/>
    <w:tmpl w:val="D6FF01F8"/>
    <w:lvl w:ilvl="0" w:tentative="0">
      <w:start w:val="4"/>
      <w:numFmt w:val="decimal"/>
      <w:suff w:val="nothing"/>
      <w:lvlText w:val="%1）"/>
      <w:lvlJc w:val="left"/>
    </w:lvl>
  </w:abstractNum>
  <w:abstractNum w:abstractNumId="1">
    <w:nsid w:val="DEBEA211"/>
    <w:multiLevelType w:val="singleLevel"/>
    <w:tmpl w:val="DEBEA211"/>
    <w:lvl w:ilvl="0" w:tentative="0">
      <w:start w:val="1"/>
      <w:numFmt w:val="chineseCounting"/>
      <w:suff w:val="nothing"/>
      <w:lvlText w:val="（%1）"/>
      <w:lvlJc w:val="left"/>
      <w:rPr>
        <w:rFonts w:hint="eastAsia"/>
      </w:rPr>
    </w:lvl>
  </w:abstractNum>
  <w:abstractNum w:abstractNumId="2">
    <w:nsid w:val="EF3F38D0"/>
    <w:multiLevelType w:val="singleLevel"/>
    <w:tmpl w:val="EF3F38D0"/>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569550"/>
    <w:rsid w:val="2FE21B6A"/>
    <w:rsid w:val="3C9B9CFF"/>
    <w:rsid w:val="3FCF3A99"/>
    <w:rsid w:val="3FFBFAAC"/>
    <w:rsid w:val="7D77E346"/>
    <w:rsid w:val="BD7D26F5"/>
    <w:rsid w:val="BFFDE188"/>
    <w:rsid w:val="F7569550"/>
    <w:rsid w:val="FF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4021</Words>
  <Characters>4068</Characters>
  <Lines>0</Lines>
  <Paragraphs>0</Paragraphs>
  <TotalTime>0</TotalTime>
  <ScaleCrop>false</ScaleCrop>
  <LinksUpToDate>false</LinksUpToDate>
  <CharactersWithSpaces>4068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2025-07-17T14:14:00Z</dcterms:created>
  <dc:creator>白小白</dc:creator>
  <cp:lastModifiedBy>Administrator</cp:lastModifiedBy>
  <dcterms:modified xsi:type="dcterms:W3CDTF">2026-04-17T08:38:59Z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C3D1C86264ED770EA3E88A68549093F5_43</vt:lpwstr>
  </property>
  <property fmtid="{D5CDD505-2E9C-101B-9397-08002B2CF9AE}" pid="4" name="KSOTemplateDocerSaveRecord">
    <vt:lpwstr>eyJoZGlkIjoiYjQ2NTAyNzVlZDFhNTI3YjE2ZWNmOGIyN2Y5YzhkMDYiLCJ1c2VySWQiOiI2MDczOTIwOTMifQ==</vt:lpwstr>
  </property>
</Properties>
</file>