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W w:w="5153" w:type="pct"/>
        <w:tblInd w:w="0" w:type="dxa"/>
        <w:tblLayout w:type="fixed"/>
        <w:tblCellMar>
          <w:top w:w="0" w:type="dxa"/>
          <w:left w:w="108" w:type="dxa"/>
          <w:bottom w:w="0" w:type="dxa"/>
          <w:right w:w="108" w:type="dxa"/>
        </w:tblCellMar>
      </w:tblPr>
      <w:tblGrid>
        <w:gridCol w:w="738"/>
        <w:gridCol w:w="833"/>
        <w:gridCol w:w="468"/>
        <w:gridCol w:w="749"/>
        <w:gridCol w:w="728"/>
        <w:gridCol w:w="5720"/>
        <w:gridCol w:w="1031"/>
      </w:tblGrid>
      <w:tr w14:paraId="3A2986E1">
        <w:tblPrEx>
          <w:tblCellMar>
            <w:top w:w="0" w:type="dxa"/>
            <w:left w:w="108" w:type="dxa"/>
            <w:bottom w:w="0" w:type="dxa"/>
            <w:right w:w="108" w:type="dxa"/>
          </w:tblCellMar>
        </w:tblPrEx>
        <w:trPr>
          <w:trHeight w:val="707" w:hRule="atLeast"/>
        </w:trPr>
        <w:tc>
          <w:tcPr>
            <w:tcW w:w="5000" w:type="pct"/>
            <w:gridSpan w:val="7"/>
            <w:tcBorders>
              <w:top w:val="nil"/>
              <w:left w:val="nil"/>
              <w:bottom w:val="nil"/>
              <w:right w:val="nil"/>
            </w:tcBorders>
            <w:noWrap/>
            <w:vAlign w:val="center"/>
          </w:tcPr>
          <w:tbl>
            <w:tblPr>
              <w:tblStyle w:val="5"/>
              <w:tblW w:w="16515" w:type="dxa"/>
              <w:tblInd w:w="0" w:type="dxa"/>
              <w:tblLayout w:type="fixed"/>
              <w:tblCellMar>
                <w:top w:w="0" w:type="dxa"/>
                <w:left w:w="108" w:type="dxa"/>
                <w:bottom w:w="0" w:type="dxa"/>
                <w:right w:w="108" w:type="dxa"/>
              </w:tblCellMar>
            </w:tblPr>
            <w:tblGrid>
              <w:gridCol w:w="16515"/>
            </w:tblGrid>
            <w:tr w14:paraId="6EFC57BD">
              <w:trPr>
                <w:trHeight w:val="1020" w:hRule="atLeast"/>
              </w:trPr>
              <w:tc>
                <w:tcPr>
                  <w:tcW w:w="16524" w:type="dxa"/>
                  <w:tcBorders>
                    <w:top w:val="nil"/>
                    <w:left w:val="nil"/>
                    <w:bottom w:val="nil"/>
                    <w:right w:val="nil"/>
                  </w:tcBorders>
                  <w:noWrap/>
                  <w:vAlign w:val="center"/>
                </w:tcPr>
                <w:p w14:paraId="66291EFE">
                  <w:pPr>
                    <w:widowControl/>
                    <w:jc w:val="both"/>
                    <w:textAlignment w:val="center"/>
                    <w:rPr>
                      <w:rFonts w:hint="eastAsia" w:ascii="宋体" w:hAnsi="宋体" w:eastAsia="宋体" w:cs="方正小标宋简体"/>
                      <w:color w:val="auto"/>
                      <w:sz w:val="24"/>
                      <w:highlight w:val="none"/>
                    </w:rPr>
                  </w:pPr>
                  <w:r>
                    <w:rPr>
                      <w:rFonts w:hint="eastAsia" w:ascii="宋体" w:hAnsi="宋体" w:eastAsia="宋体" w:cs="方正小标宋简体"/>
                      <w:color w:val="auto"/>
                      <w:kern w:val="0"/>
                      <w:sz w:val="24"/>
                      <w:highlight w:val="none"/>
                      <w:lang w:bidi="ar"/>
                    </w:rPr>
                    <w:t>高职（100万）电力系统继电综合保护实训室</w:t>
                  </w:r>
                </w:p>
              </w:tc>
            </w:tr>
          </w:tbl>
          <w:p w14:paraId="0AD11C45">
            <w:pPr>
              <w:widowControl/>
              <w:jc w:val="center"/>
              <w:textAlignment w:val="center"/>
              <w:rPr>
                <w:rFonts w:hint="eastAsia" w:ascii="宋体" w:hAnsi="宋体" w:eastAsia="宋体" w:cs="方正小标宋简体"/>
                <w:color w:val="auto"/>
                <w:sz w:val="24"/>
                <w:highlight w:val="none"/>
              </w:rPr>
            </w:pPr>
          </w:p>
        </w:tc>
      </w:tr>
      <w:tr w14:paraId="1800F8C3">
        <w:tblPrEx>
          <w:tblCellMar>
            <w:top w:w="0" w:type="dxa"/>
            <w:left w:w="108" w:type="dxa"/>
            <w:bottom w:w="0" w:type="dxa"/>
            <w:right w:w="108" w:type="dxa"/>
          </w:tblCellMar>
        </w:tblPrEx>
        <w:trPr>
          <w:trHeight w:val="615" w:hRule="atLeast"/>
        </w:trPr>
        <w:tc>
          <w:tcPr>
            <w:tcW w:w="359" w:type="pct"/>
            <w:tcBorders>
              <w:top w:val="single" w:color="000000" w:sz="4" w:space="0"/>
              <w:left w:val="single" w:color="000000" w:sz="4" w:space="0"/>
              <w:bottom w:val="single" w:color="000000" w:sz="4" w:space="0"/>
              <w:right w:val="single" w:color="000000" w:sz="4" w:space="0"/>
            </w:tcBorders>
            <w:noWrap/>
            <w:vAlign w:val="center"/>
          </w:tcPr>
          <w:p w14:paraId="184A378A">
            <w:pPr>
              <w:widowControl/>
              <w:jc w:val="center"/>
              <w:textAlignment w:val="center"/>
              <w:rPr>
                <w:rFonts w:hint="eastAsia" w:ascii="宋体" w:hAnsi="宋体" w:eastAsia="宋体" w:cs="仿宋_GB2312"/>
                <w:b/>
                <w:bCs/>
                <w:color w:val="auto"/>
                <w:sz w:val="24"/>
                <w:highlight w:val="none"/>
              </w:rPr>
            </w:pPr>
            <w:r>
              <w:rPr>
                <w:rFonts w:hint="eastAsia" w:ascii="宋体" w:hAnsi="宋体" w:eastAsia="宋体" w:cs="仿宋_GB2312"/>
                <w:b/>
                <w:bCs/>
                <w:color w:val="auto"/>
                <w:kern w:val="0"/>
                <w:sz w:val="24"/>
                <w:highlight w:val="none"/>
                <w:lang w:bidi="ar"/>
              </w:rPr>
              <w:t>采购目录编码</w:t>
            </w:r>
          </w:p>
        </w:tc>
        <w:tc>
          <w:tcPr>
            <w:tcW w:w="405" w:type="pct"/>
            <w:tcBorders>
              <w:top w:val="single" w:color="000000" w:sz="4" w:space="0"/>
              <w:left w:val="single" w:color="000000" w:sz="4" w:space="0"/>
              <w:bottom w:val="single" w:color="000000" w:sz="4" w:space="0"/>
              <w:right w:val="single" w:color="000000" w:sz="4" w:space="0"/>
            </w:tcBorders>
            <w:noWrap/>
            <w:vAlign w:val="center"/>
          </w:tcPr>
          <w:p w14:paraId="5849ADE2">
            <w:pPr>
              <w:widowControl/>
              <w:jc w:val="center"/>
              <w:textAlignment w:val="center"/>
              <w:rPr>
                <w:rFonts w:hint="eastAsia" w:ascii="宋体" w:hAnsi="宋体" w:eastAsia="宋体" w:cs="仿宋_GB2312"/>
                <w:b/>
                <w:bCs/>
                <w:color w:val="auto"/>
                <w:sz w:val="24"/>
                <w:highlight w:val="none"/>
              </w:rPr>
            </w:pPr>
            <w:r>
              <w:rPr>
                <w:rFonts w:hint="eastAsia" w:ascii="宋体" w:hAnsi="宋体" w:eastAsia="宋体" w:cs="仿宋_GB2312"/>
                <w:b/>
                <w:bCs/>
                <w:color w:val="auto"/>
                <w:kern w:val="0"/>
                <w:sz w:val="24"/>
                <w:highlight w:val="none"/>
                <w:lang w:bidi="ar"/>
              </w:rPr>
              <w:t>采购标的</w:t>
            </w: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21E62A19">
            <w:pPr>
              <w:widowControl/>
              <w:jc w:val="center"/>
              <w:textAlignment w:val="center"/>
              <w:rPr>
                <w:rFonts w:hint="eastAsia" w:ascii="宋体" w:hAnsi="宋体" w:eastAsia="宋体" w:cs="仿宋_GB2312"/>
                <w:b/>
                <w:bCs/>
                <w:color w:val="auto"/>
                <w:sz w:val="24"/>
                <w:highlight w:val="none"/>
              </w:rPr>
            </w:pPr>
            <w:r>
              <w:rPr>
                <w:rFonts w:hint="eastAsia" w:ascii="宋体" w:hAnsi="宋体" w:eastAsia="宋体" w:cs="仿宋_GB2312"/>
                <w:b/>
                <w:bCs/>
                <w:color w:val="auto"/>
                <w:kern w:val="0"/>
                <w:sz w:val="24"/>
                <w:highlight w:val="none"/>
                <w:lang w:bidi="ar"/>
              </w:rPr>
              <w:t>数量</w:t>
            </w:r>
          </w:p>
        </w:tc>
        <w:tc>
          <w:tcPr>
            <w:tcW w:w="364" w:type="pct"/>
            <w:tcBorders>
              <w:top w:val="single" w:color="000000" w:sz="4" w:space="0"/>
              <w:left w:val="single" w:color="000000" w:sz="4" w:space="0"/>
              <w:bottom w:val="single" w:color="000000" w:sz="4" w:space="0"/>
              <w:right w:val="single" w:color="000000" w:sz="4" w:space="0"/>
            </w:tcBorders>
            <w:noWrap/>
            <w:vAlign w:val="center"/>
          </w:tcPr>
          <w:p w14:paraId="646BCEDA">
            <w:pPr>
              <w:widowControl/>
              <w:jc w:val="center"/>
              <w:textAlignment w:val="center"/>
              <w:rPr>
                <w:rFonts w:hint="eastAsia" w:ascii="宋体" w:hAnsi="宋体" w:eastAsia="宋体" w:cs="仿宋_GB2312"/>
                <w:b/>
                <w:bCs/>
                <w:color w:val="auto"/>
                <w:kern w:val="0"/>
                <w:sz w:val="24"/>
                <w:highlight w:val="none"/>
                <w:lang w:bidi="ar"/>
              </w:rPr>
            </w:pPr>
            <w:r>
              <w:rPr>
                <w:rFonts w:hint="eastAsia" w:ascii="宋体" w:hAnsi="宋体" w:eastAsia="宋体" w:cs="仿宋_GB2312"/>
                <w:b/>
                <w:bCs/>
                <w:color w:val="auto"/>
                <w:kern w:val="0"/>
                <w:sz w:val="24"/>
                <w:highlight w:val="none"/>
                <w:lang w:bidi="ar"/>
              </w:rPr>
              <w:t>单价</w:t>
            </w:r>
          </w:p>
          <w:p w14:paraId="2EA2EDB3">
            <w:pPr>
              <w:widowControl/>
              <w:jc w:val="center"/>
              <w:textAlignment w:val="center"/>
              <w:rPr>
                <w:rFonts w:hint="eastAsia" w:ascii="宋体" w:hAnsi="宋体" w:eastAsia="宋体" w:cs="仿宋_GB2312"/>
                <w:b/>
                <w:bCs/>
                <w:color w:val="auto"/>
                <w:sz w:val="24"/>
                <w:highlight w:val="none"/>
              </w:rPr>
            </w:pPr>
            <w:r>
              <w:rPr>
                <w:rFonts w:hint="eastAsia" w:ascii="宋体" w:hAnsi="宋体" w:eastAsia="宋体" w:cs="仿宋_GB2312"/>
                <w:b/>
                <w:bCs/>
                <w:color w:val="auto"/>
                <w:kern w:val="0"/>
                <w:sz w:val="24"/>
                <w:highlight w:val="none"/>
                <w:lang w:bidi="ar"/>
              </w:rPr>
              <w:t>（万元）</w:t>
            </w:r>
          </w:p>
        </w:tc>
        <w:tc>
          <w:tcPr>
            <w:tcW w:w="354" w:type="pct"/>
            <w:tcBorders>
              <w:top w:val="single" w:color="000000" w:sz="4" w:space="0"/>
              <w:left w:val="single" w:color="000000" w:sz="4" w:space="0"/>
              <w:bottom w:val="single" w:color="000000" w:sz="4" w:space="0"/>
              <w:right w:val="single" w:color="000000" w:sz="4" w:space="0"/>
            </w:tcBorders>
            <w:vAlign w:val="center"/>
          </w:tcPr>
          <w:p w14:paraId="529AD48B">
            <w:pPr>
              <w:widowControl/>
              <w:jc w:val="center"/>
              <w:textAlignment w:val="center"/>
              <w:rPr>
                <w:rFonts w:hint="eastAsia" w:ascii="宋体" w:hAnsi="宋体" w:eastAsia="宋体" w:cs="仿宋_GB2312"/>
                <w:b/>
                <w:bCs/>
                <w:color w:val="auto"/>
                <w:kern w:val="0"/>
                <w:sz w:val="24"/>
                <w:highlight w:val="none"/>
                <w:lang w:bidi="ar"/>
              </w:rPr>
            </w:pPr>
            <w:r>
              <w:rPr>
                <w:rFonts w:hint="eastAsia" w:ascii="宋体" w:hAnsi="宋体" w:eastAsia="宋体" w:cs="仿宋_GB2312"/>
                <w:b/>
                <w:bCs/>
                <w:color w:val="auto"/>
                <w:kern w:val="0"/>
                <w:sz w:val="24"/>
                <w:highlight w:val="none"/>
                <w:lang w:bidi="ar"/>
              </w:rPr>
              <w:t>总价</w:t>
            </w:r>
          </w:p>
          <w:p w14:paraId="21830E25">
            <w:pPr>
              <w:widowControl/>
              <w:jc w:val="center"/>
              <w:textAlignment w:val="center"/>
              <w:rPr>
                <w:rFonts w:hint="eastAsia" w:ascii="宋体" w:hAnsi="宋体" w:eastAsia="宋体" w:cs="仿宋_GB2312"/>
                <w:b/>
                <w:bCs/>
                <w:color w:val="auto"/>
                <w:sz w:val="24"/>
                <w:highlight w:val="none"/>
              </w:rPr>
            </w:pPr>
            <w:r>
              <w:rPr>
                <w:rFonts w:hint="eastAsia" w:ascii="宋体" w:hAnsi="宋体" w:eastAsia="宋体" w:cs="仿宋_GB2312"/>
                <w:b/>
                <w:bCs/>
                <w:color w:val="auto"/>
                <w:kern w:val="0"/>
                <w:sz w:val="24"/>
                <w:highlight w:val="none"/>
                <w:lang w:bidi="ar"/>
              </w:rPr>
              <w:t>（万元）</w:t>
            </w:r>
          </w:p>
        </w:tc>
        <w:tc>
          <w:tcPr>
            <w:tcW w:w="2785" w:type="pct"/>
            <w:tcBorders>
              <w:top w:val="single" w:color="000000" w:sz="4" w:space="0"/>
              <w:left w:val="single" w:color="000000" w:sz="4" w:space="0"/>
              <w:bottom w:val="single" w:color="000000" w:sz="4" w:space="0"/>
              <w:right w:val="single" w:color="000000" w:sz="4" w:space="0"/>
            </w:tcBorders>
            <w:noWrap/>
            <w:vAlign w:val="center"/>
          </w:tcPr>
          <w:p w14:paraId="70F8CBC4">
            <w:pPr>
              <w:widowControl/>
              <w:jc w:val="center"/>
              <w:textAlignment w:val="center"/>
              <w:rPr>
                <w:rFonts w:hint="eastAsia" w:ascii="宋体" w:hAnsi="宋体" w:eastAsia="宋体" w:cs="仿宋_GB2312"/>
                <w:b/>
                <w:bCs/>
                <w:color w:val="auto"/>
                <w:sz w:val="24"/>
                <w:highlight w:val="none"/>
              </w:rPr>
            </w:pPr>
            <w:r>
              <w:rPr>
                <w:rFonts w:hint="eastAsia" w:ascii="宋体" w:hAnsi="宋体" w:eastAsia="宋体" w:cs="仿宋_GB2312"/>
                <w:b/>
                <w:bCs/>
                <w:color w:val="auto"/>
                <w:kern w:val="0"/>
                <w:sz w:val="24"/>
                <w:highlight w:val="none"/>
                <w:lang w:bidi="ar"/>
              </w:rPr>
              <w:t>技术规格、服务及验收要求</w:t>
            </w:r>
            <w:bookmarkStart w:id="0" w:name="_GoBack"/>
            <w:bookmarkEnd w:id="0"/>
          </w:p>
        </w:tc>
        <w:tc>
          <w:tcPr>
            <w:tcW w:w="502" w:type="pct"/>
            <w:tcBorders>
              <w:top w:val="single" w:color="000000" w:sz="4" w:space="0"/>
              <w:left w:val="single" w:color="000000" w:sz="4" w:space="0"/>
              <w:bottom w:val="single" w:color="000000" w:sz="4" w:space="0"/>
              <w:right w:val="single" w:color="000000" w:sz="4" w:space="0"/>
            </w:tcBorders>
            <w:noWrap/>
            <w:vAlign w:val="center"/>
          </w:tcPr>
          <w:p w14:paraId="36D25D41">
            <w:pPr>
              <w:widowControl/>
              <w:jc w:val="center"/>
              <w:textAlignment w:val="center"/>
              <w:rPr>
                <w:rFonts w:hint="eastAsia" w:ascii="宋体" w:hAnsi="宋体" w:eastAsia="宋体" w:cs="仿宋_GB2312"/>
                <w:b/>
                <w:bCs/>
                <w:color w:val="auto"/>
                <w:sz w:val="24"/>
                <w:highlight w:val="none"/>
              </w:rPr>
            </w:pPr>
            <w:r>
              <w:rPr>
                <w:rFonts w:hint="eastAsia" w:ascii="宋体" w:hAnsi="宋体" w:eastAsia="宋体" w:cs="仿宋_GB2312"/>
                <w:b/>
                <w:bCs/>
                <w:color w:val="auto"/>
                <w:kern w:val="0"/>
                <w:sz w:val="24"/>
                <w:highlight w:val="none"/>
                <w:lang w:bidi="ar"/>
              </w:rPr>
              <w:t>计量单位</w:t>
            </w:r>
          </w:p>
        </w:tc>
      </w:tr>
      <w:tr w14:paraId="2D2A14E6">
        <w:tblPrEx>
          <w:tblCellMar>
            <w:top w:w="0" w:type="dxa"/>
            <w:left w:w="108" w:type="dxa"/>
            <w:bottom w:w="0" w:type="dxa"/>
            <w:right w:w="108" w:type="dxa"/>
          </w:tblCellMar>
        </w:tblPrEx>
        <w:trPr>
          <w:trHeight w:val="90" w:hRule="atLeast"/>
        </w:trPr>
        <w:tc>
          <w:tcPr>
            <w:tcW w:w="359" w:type="pct"/>
            <w:vMerge w:val="restart"/>
            <w:tcBorders>
              <w:top w:val="single" w:color="000000" w:sz="4" w:space="0"/>
              <w:left w:val="single" w:color="000000" w:sz="4" w:space="0"/>
              <w:bottom w:val="single" w:color="000000" w:sz="4" w:space="0"/>
              <w:right w:val="single" w:color="000000" w:sz="4" w:space="0"/>
            </w:tcBorders>
            <w:noWrap/>
            <w:vAlign w:val="center"/>
          </w:tcPr>
          <w:p w14:paraId="167DEDC7">
            <w:pPr>
              <w:jc w:val="center"/>
              <w:rPr>
                <w:rFonts w:hint="eastAsia" w:ascii="宋体" w:hAnsi="宋体" w:eastAsia="宋体" w:cs="仿宋_GB2312"/>
                <w:color w:val="auto"/>
                <w:sz w:val="24"/>
                <w:highlight w:val="none"/>
              </w:rPr>
            </w:pPr>
          </w:p>
        </w:tc>
        <w:tc>
          <w:tcPr>
            <w:tcW w:w="405" w:type="pct"/>
            <w:tcBorders>
              <w:top w:val="single" w:color="000000" w:sz="4" w:space="0"/>
              <w:left w:val="single" w:color="000000" w:sz="4" w:space="0"/>
              <w:bottom w:val="single" w:color="000000" w:sz="4" w:space="0"/>
              <w:right w:val="single" w:color="000000" w:sz="4" w:space="0"/>
            </w:tcBorders>
            <w:vAlign w:val="center"/>
          </w:tcPr>
          <w:p w14:paraId="3EA6E6BE">
            <w:pPr>
              <w:widowControl/>
              <w:jc w:val="center"/>
              <w:textAlignment w:val="center"/>
              <w:rPr>
                <w:rFonts w:hint="eastAsia" w:ascii="宋体" w:hAnsi="宋体" w:eastAsia="宋体" w:cs="仿宋_GB2312"/>
                <w:color w:val="auto"/>
                <w:sz w:val="24"/>
                <w:highlight w:val="none"/>
              </w:rPr>
            </w:pPr>
            <w:r>
              <w:rPr>
                <w:rFonts w:hint="eastAsia" w:ascii="宋体" w:hAnsi="宋体" w:eastAsia="宋体" w:cs="仿宋_GB2312"/>
                <w:color w:val="auto"/>
                <w:kern w:val="0"/>
                <w:sz w:val="24"/>
                <w:highlight w:val="none"/>
                <w:lang w:bidi="ar"/>
              </w:rPr>
              <w:t>电力系统微机保护综合实训装置</w:t>
            </w: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61EFC194">
            <w:pPr>
              <w:widowControl/>
              <w:jc w:val="center"/>
              <w:textAlignment w:val="center"/>
              <w:rPr>
                <w:rFonts w:hint="eastAsia" w:ascii="宋体" w:hAnsi="宋体" w:eastAsia="宋体" w:cs="仿宋_GB2312"/>
                <w:color w:val="auto"/>
                <w:sz w:val="24"/>
                <w:highlight w:val="none"/>
              </w:rPr>
            </w:pPr>
            <w:r>
              <w:rPr>
                <w:rFonts w:hint="eastAsia" w:ascii="宋体" w:hAnsi="宋体" w:eastAsia="宋体" w:cs="仿宋_GB2312"/>
                <w:color w:val="auto"/>
                <w:kern w:val="0"/>
                <w:sz w:val="24"/>
                <w:highlight w:val="none"/>
                <w:lang w:bidi="ar"/>
              </w:rPr>
              <w:t>10</w:t>
            </w:r>
          </w:p>
        </w:tc>
        <w:tc>
          <w:tcPr>
            <w:tcW w:w="364" w:type="pct"/>
            <w:tcBorders>
              <w:top w:val="single" w:color="000000" w:sz="4" w:space="0"/>
              <w:left w:val="single" w:color="000000" w:sz="4" w:space="0"/>
              <w:bottom w:val="single" w:color="000000" w:sz="4" w:space="0"/>
              <w:right w:val="single" w:color="000000" w:sz="4" w:space="0"/>
            </w:tcBorders>
            <w:noWrap/>
            <w:vAlign w:val="center"/>
          </w:tcPr>
          <w:p w14:paraId="5FFCEE66">
            <w:pPr>
              <w:widowControl/>
              <w:jc w:val="center"/>
              <w:textAlignment w:val="center"/>
              <w:rPr>
                <w:rFonts w:hint="eastAsia" w:ascii="宋体" w:hAnsi="宋体" w:eastAsia="宋体" w:cs="仿宋_GB2312"/>
                <w:color w:val="auto"/>
                <w:sz w:val="24"/>
                <w:highlight w:val="none"/>
              </w:rPr>
            </w:pPr>
            <w:r>
              <w:rPr>
                <w:rFonts w:hint="eastAsia" w:ascii="宋体" w:hAnsi="宋体" w:eastAsia="宋体" w:cs="仿宋_GB2312"/>
                <w:color w:val="auto"/>
                <w:kern w:val="0"/>
                <w:sz w:val="24"/>
                <w:highlight w:val="none"/>
                <w:lang w:bidi="ar"/>
              </w:rPr>
              <w:t>9.5676</w:t>
            </w:r>
          </w:p>
        </w:tc>
        <w:tc>
          <w:tcPr>
            <w:tcW w:w="354" w:type="pct"/>
            <w:tcBorders>
              <w:top w:val="single" w:color="000000" w:sz="4" w:space="0"/>
              <w:left w:val="single" w:color="000000" w:sz="4" w:space="0"/>
              <w:bottom w:val="single" w:color="000000" w:sz="4" w:space="0"/>
              <w:right w:val="single" w:color="000000" w:sz="4" w:space="0"/>
            </w:tcBorders>
            <w:vAlign w:val="center"/>
          </w:tcPr>
          <w:p w14:paraId="27137337">
            <w:pPr>
              <w:widowControl/>
              <w:jc w:val="center"/>
              <w:textAlignment w:val="center"/>
              <w:rPr>
                <w:rFonts w:hint="eastAsia" w:ascii="宋体" w:hAnsi="宋体" w:eastAsia="宋体" w:cs="仿宋_GB2312"/>
                <w:color w:val="auto"/>
                <w:sz w:val="24"/>
                <w:highlight w:val="none"/>
              </w:rPr>
            </w:pPr>
            <w:r>
              <w:rPr>
                <w:rFonts w:hint="eastAsia" w:ascii="宋体" w:hAnsi="宋体" w:eastAsia="宋体" w:cs="仿宋_GB2312"/>
                <w:color w:val="auto"/>
                <w:kern w:val="0"/>
                <w:sz w:val="24"/>
                <w:highlight w:val="none"/>
                <w:lang w:bidi="ar"/>
              </w:rPr>
              <w:t>95.676</w:t>
            </w:r>
          </w:p>
        </w:tc>
        <w:tc>
          <w:tcPr>
            <w:tcW w:w="2785" w:type="pct"/>
            <w:tcBorders>
              <w:top w:val="single" w:color="000000" w:sz="4" w:space="0"/>
              <w:left w:val="single" w:color="000000" w:sz="4" w:space="0"/>
              <w:bottom w:val="single" w:color="000000" w:sz="4" w:space="0"/>
              <w:right w:val="single" w:color="000000" w:sz="4" w:space="0"/>
            </w:tcBorders>
            <w:vAlign w:val="center"/>
          </w:tcPr>
          <w:p w14:paraId="4DCB14DF">
            <w:pPr>
              <w:pStyle w:val="4"/>
              <w:keepNext w:val="0"/>
              <w:keepLines w:val="0"/>
              <w:widowControl/>
              <w:suppressLineNumbers w:val="0"/>
              <w:shd w:val="clear"/>
              <w:spacing w:before="160" w:beforeAutospacing="0" w:after="160" w:afterAutospacing="0"/>
              <w:ind w:left="0" w:right="0" w:firstLine="0"/>
              <w:rPr>
                <w:rFonts w:hint="eastAsia" w:ascii="宋体" w:hAnsi="宋体" w:eastAsia="宋体" w:cs="仿宋_GB2312"/>
                <w:color w:val="auto"/>
                <w:kern w:val="0"/>
                <w:sz w:val="24"/>
                <w:highlight w:val="none"/>
                <w:lang w:bidi="ar"/>
              </w:rPr>
            </w:pPr>
            <w:r>
              <w:rPr>
                <w:rFonts w:hint="eastAsia" w:ascii="宋体" w:hAnsi="宋体" w:eastAsia="宋体" w:cs="仿宋_GB2312"/>
                <w:color w:val="auto"/>
                <w:kern w:val="0"/>
                <w:sz w:val="24"/>
                <w:highlight w:val="none"/>
                <w:lang w:bidi="ar"/>
              </w:rPr>
              <w:t>1、电力系统微机保护综合实训装置</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一、技术性能</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1.额定电压：三相五线～380V±10%  50Hz</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2.工作环境：环境温度范围为-5℃～+40℃  相对湿度＜85%（25℃）</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3.额定容量：3.0kVA</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4.外形尺寸（参考尺寸）：1240mm×500mm×2000mm</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二、系统组成</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（一）系统保护功能</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1、提供完善的人身安全保护功能</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1）配有漏电保护，过压保护和过流保护等。</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2）实验导线采用全封闭塑料导线，所有超过24V的场合，实验导线、插头和插座都不允许外露金属体，符合安全保护要求，确保学生操作安全。</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3）控制屏有总电源的空气开关，并配置1个三相16A插座和1个双联单相插座。均受实验台的总开关控制。</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2、设备自身的保护功能</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1）电源进线，开关，配有短路保护</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3、结构按照实际工程设计</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1）线路保护微机和距离保护微机均为现场插件式结构设计，方便维护。</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2）中文液晶菜单显示，操作方便。</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（二）系统组成</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包括：控制屏、无穷大系统、导线架。</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控制屏</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控制屏主要包括信号部分、仪表部分、微机线路保护测控装置、微机变压器保护测控装置、一次系统部分、二次系统部分、二次系统设故排故部分、二次系统实训接线部分、考核部分、查故部分。</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1、信号部分：4只光字牌，用于模拟现场光电报警信号。</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2、仪表部分：由3只指针式电流表、3只电压表构成，主要用来测量线路电流和各段母线电压。</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3、微机线路保护测控装置：该微机线路保护测控装置适用于110KV及以下系统馈电线路的保护、测量及控制。具备以下主要功能：</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1）三段式相间过流保护：定时限/反时限特性，方向元件闭锁，低电压元件闭锁</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2）三段式零序过流保护：定时限/反时限特性，零序方向元件闭锁，零序电压元件闭锁</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3）独立的加速保护：相电流加速，零序电流加速</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4）低频减载：滑差闭锁，低电压闭锁</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5）低压减载</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6）过负荷保护</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7）三相一次重合闸：重合闸充电指示，非同期/检同期/检无压方式，检同期时母线电压自动适应线路侧电压，勿需整定电压相别</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8）接地选线：接地告警3U0/3I0，集中/分散选线</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 xml:space="preserve">9）采集和显示电流、电压、有功、无功、功率因数、频率；4路脉冲量； </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10）16路遥信量</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11）遥控分合、闭锁及远方定值修改</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12）保护投入/退出，远方定值区切换</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4、变压器综合保护测控装置：</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1）差动速断保护</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2）比率差动保护（二次谐波制动）</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3）差流越限告警</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4）电流Ⅰ段保护</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5）电流II段保护</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6）电流反时限保护</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7）零序过流保护（告警/跳闸）</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8）过负荷保护（告警/跳闸）</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9）CT断线检测和闭锁功能</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 xml:space="preserve">10）本体保护 </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11）遥控分合、闭锁及远方定值修改</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12）保护投入/退出，远方定值区切换</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5、一次系统部分：由1只3kVA 的三相自耦调压器、0.8KVA两卷变压器和负载构成，线性度好，能全面真实地反映电力系统输电线路的特性。</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6、二次系统部分：由11只电流互感器、3只电压互感器和两套断路器操作机构等构成。</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7、一次系统设故部分：由自锁按钮构成，主要用于设置一次系统的故障，模拟线路故障和变压器故障。</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8、二次系统设故排故部分：微机型，带有智能人机界面，液晶显示，中文菜单操作，联网型或单机型可选。</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9、二次系统实训接线部分：装置已经把二次设备（含微机）的接线端子引至面板，学生可以根据提供的图纸进行接线。</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10、考核部分：由智能设故排故实训系统软件功能实现，教师通过权限和密码的设置，可以对学生进行定时考核。</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11、查故部分：由探测孔构成，主要用于学生检测二次回路的故障位置。</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12、无穷大系统：采用自耦调压器模拟无穷大系统， 副边0-430V可调。</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13、导线架：ABS工程塑料导线架，用于悬挂和实验专用连接导线，设有五个万向轮，造型美观大方。</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14、</w:t>
            </w:r>
            <w:r>
              <w:rPr>
                <w:rFonts w:hint="eastAsia" w:ascii="宋体" w:hAnsi="宋体" w:eastAsia="宋体" w:cs="仿宋_GB2312"/>
                <w:color w:val="auto"/>
                <w:kern w:val="0"/>
                <w:sz w:val="24"/>
                <w:highlight w:val="none"/>
                <w:lang w:val="en-US" w:eastAsia="zh-CN" w:bidi="ar"/>
              </w:rPr>
              <w:t>配套工控机</w:t>
            </w:r>
            <w:r>
              <w:rPr>
                <w:rFonts w:hint="eastAsia" w:ascii="宋体" w:hAnsi="宋体" w:eastAsia="宋体" w:cs="仿宋_GB2312"/>
                <w:color w:val="auto"/>
                <w:kern w:val="0"/>
                <w:sz w:val="24"/>
                <w:highlight w:val="none"/>
                <w:lang w:bidi="ar"/>
              </w:rPr>
              <w:t>：</w:t>
            </w:r>
            <w:r>
              <w:rPr>
                <w:rFonts w:hint="eastAsia" w:ascii="宋体" w:hAnsi="宋体" w:eastAsia="宋体" w:cs="仿宋_GB2312"/>
                <w:color w:val="auto"/>
                <w:kern w:val="0"/>
                <w:sz w:val="24"/>
                <w:highlight w:val="none"/>
                <w:lang w:bidi="ar"/>
              </w:rPr>
              <w:br w:type="textWrapping"/>
            </w:r>
            <w:r>
              <w:rPr>
                <w:rFonts w:hint="default" w:ascii="宋体" w:hAnsi="宋体" w:eastAsia="宋体" w:cs="仿宋_GB2312"/>
                <w:color w:val="auto"/>
                <w:kern w:val="0"/>
                <w:sz w:val="24"/>
                <w:highlight w:val="none"/>
                <w:lang w:bidi="ar"/>
              </w:rPr>
              <w:t>用于实训装置的核心控制、专用软件运行与数据采集处理。配置要求：</w:t>
            </w:r>
          </w:p>
          <w:p w14:paraId="59AF07B9">
            <w:pPr>
              <w:pStyle w:val="4"/>
              <w:keepNext w:val="0"/>
              <w:keepLines w:val="0"/>
              <w:widowControl/>
              <w:suppressLineNumbers w:val="0"/>
              <w:shd w:val="clear"/>
              <w:spacing w:before="160" w:beforeAutospacing="0" w:after="160" w:afterAutospacing="0"/>
              <w:ind w:left="0" w:right="0" w:firstLine="0"/>
              <w:rPr>
                <w:rFonts w:hint="eastAsia" w:ascii="宋体" w:hAnsi="宋体" w:eastAsia="宋体" w:cs="仿宋_GB2312"/>
                <w:color w:val="auto"/>
                <w:kern w:val="0"/>
                <w:sz w:val="24"/>
                <w:highlight w:val="none"/>
                <w:lang w:bidi="ar"/>
              </w:rPr>
            </w:pPr>
            <w:r>
              <w:rPr>
                <w:rFonts w:hint="default" w:ascii="宋体" w:hAnsi="宋体" w:eastAsia="宋体" w:cs="仿宋_GB2312"/>
                <w:color w:val="auto"/>
                <w:kern w:val="0"/>
                <w:sz w:val="24"/>
                <w:highlight w:val="none"/>
                <w:lang w:bidi="ar"/>
              </w:rPr>
              <w:t>CPU：≥4核8线程，主频≥2.0GHz</w:t>
            </w:r>
          </w:p>
          <w:p w14:paraId="2CD37ACA">
            <w:pPr>
              <w:pStyle w:val="4"/>
              <w:keepNext w:val="0"/>
              <w:keepLines w:val="0"/>
              <w:widowControl/>
              <w:suppressLineNumbers w:val="0"/>
              <w:shd w:val="clear"/>
              <w:spacing w:before="160" w:beforeAutospacing="0" w:after="160" w:afterAutospacing="0"/>
              <w:ind w:left="0" w:right="0" w:firstLine="0"/>
              <w:rPr>
                <w:rFonts w:hint="eastAsia" w:ascii="宋体" w:hAnsi="宋体" w:eastAsia="宋体" w:cs="仿宋_GB2312"/>
                <w:color w:val="auto"/>
                <w:kern w:val="0"/>
                <w:sz w:val="24"/>
                <w:highlight w:val="none"/>
                <w:lang w:bidi="ar"/>
              </w:rPr>
            </w:pPr>
            <w:r>
              <w:rPr>
                <w:rFonts w:hint="default" w:ascii="宋体" w:hAnsi="宋体" w:eastAsia="宋体" w:cs="仿宋_GB2312"/>
                <w:color w:val="auto"/>
                <w:kern w:val="0"/>
                <w:sz w:val="24"/>
                <w:highlight w:val="none"/>
                <w:lang w:bidi="ar"/>
              </w:rPr>
              <w:t>内存：≥16GB</w:t>
            </w:r>
          </w:p>
          <w:p w14:paraId="07F82625">
            <w:pPr>
              <w:pStyle w:val="4"/>
              <w:keepNext w:val="0"/>
              <w:keepLines w:val="0"/>
              <w:widowControl/>
              <w:suppressLineNumbers w:val="0"/>
              <w:shd w:val="clear"/>
              <w:spacing w:before="160" w:beforeAutospacing="0" w:after="160" w:afterAutospacing="0"/>
              <w:ind w:left="0" w:right="0" w:firstLine="0"/>
              <w:rPr>
                <w:rFonts w:hint="eastAsia" w:ascii="宋体" w:hAnsi="宋体" w:eastAsia="宋体" w:cs="仿宋_GB2312"/>
                <w:color w:val="auto"/>
                <w:kern w:val="0"/>
                <w:sz w:val="24"/>
                <w:highlight w:val="none"/>
                <w:lang w:bidi="ar"/>
              </w:rPr>
            </w:pPr>
            <w:r>
              <w:rPr>
                <w:rFonts w:hint="default" w:ascii="宋体" w:hAnsi="宋体" w:eastAsia="宋体" w:cs="仿宋_GB2312"/>
                <w:color w:val="auto"/>
                <w:kern w:val="0"/>
                <w:sz w:val="24"/>
                <w:highlight w:val="none"/>
                <w:lang w:bidi="ar"/>
              </w:rPr>
              <w:t>固态硬盘：≥512GB</w:t>
            </w:r>
          </w:p>
          <w:p w14:paraId="540F5A8C">
            <w:pPr>
              <w:pStyle w:val="4"/>
              <w:keepNext w:val="0"/>
              <w:keepLines w:val="0"/>
              <w:widowControl/>
              <w:suppressLineNumbers w:val="0"/>
              <w:shd w:val="clear"/>
              <w:spacing w:before="160" w:beforeAutospacing="0" w:after="160" w:afterAutospacing="0"/>
              <w:ind w:left="0" w:right="0" w:firstLine="0"/>
              <w:rPr>
                <w:rFonts w:hint="eastAsia" w:ascii="宋体" w:hAnsi="宋体" w:eastAsia="宋体" w:cs="仿宋_GB2312"/>
                <w:color w:val="auto"/>
                <w:kern w:val="0"/>
                <w:sz w:val="24"/>
                <w:highlight w:val="none"/>
                <w:lang w:bidi="ar"/>
              </w:rPr>
            </w:pPr>
            <w:r>
              <w:rPr>
                <w:rFonts w:hint="default" w:ascii="宋体" w:hAnsi="宋体" w:eastAsia="宋体" w:cs="仿宋_GB2312"/>
                <w:color w:val="auto"/>
                <w:kern w:val="0"/>
                <w:sz w:val="24"/>
                <w:highlight w:val="none"/>
                <w:lang w:bidi="ar"/>
              </w:rPr>
              <w:t>显示器：≥23.8英寸液晶显示器</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15、型材电脑桌：</w:t>
            </w:r>
            <w:r>
              <w:rPr>
                <w:rFonts w:hint="eastAsia" w:ascii="宋体" w:hAnsi="宋体" w:eastAsia="宋体" w:cs="仿宋_GB2312"/>
                <w:color w:val="auto"/>
                <w:kern w:val="0"/>
                <w:sz w:val="24"/>
                <w:highlight w:val="none"/>
                <w:lang w:bidi="ar"/>
              </w:rPr>
              <w:br w:type="textWrapping"/>
            </w:r>
            <w:r>
              <w:rPr>
                <w:rFonts w:hint="eastAsia" w:ascii="宋体" w:hAnsi="宋体" w:eastAsia="宋体" w:cs="宋体"/>
                <w:color w:val="auto"/>
                <w:kern w:val="0"/>
                <w:sz w:val="24"/>
                <w:highlight w:val="none"/>
              </w:rPr>
              <w:t>1）外形尺寸（参考尺寸）：长×宽×高</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rPr>
              <w:t>62</w:t>
            </w:r>
            <w:r>
              <w:rPr>
                <w:rFonts w:hint="eastAsia" w:ascii="宋体" w:hAnsi="宋体" w:eastAsia="宋体" w:cs="宋体"/>
                <w:color w:val="auto"/>
                <w:kern w:val="0"/>
                <w:sz w:val="24"/>
                <w:highlight w:val="none"/>
                <w:lang w:val="en-US" w:eastAsia="zh-CN"/>
              </w:rPr>
              <w:t>0</w:t>
            </w:r>
            <w:r>
              <w:rPr>
                <w:rFonts w:hint="eastAsia" w:ascii="宋体" w:hAnsi="宋体" w:eastAsia="宋体" w:cs="宋体"/>
                <w:color w:val="auto"/>
                <w:kern w:val="0"/>
                <w:sz w:val="24"/>
                <w:highlight w:val="none"/>
              </w:rPr>
              <w:t>mm×600mm×104</w:t>
            </w:r>
            <w:r>
              <w:rPr>
                <w:rFonts w:hint="eastAsia" w:ascii="宋体" w:hAnsi="宋体" w:eastAsia="宋体" w:cs="宋体"/>
                <w:color w:val="auto"/>
                <w:kern w:val="0"/>
                <w:sz w:val="24"/>
                <w:highlight w:val="none"/>
                <w:lang w:val="en-US" w:eastAsia="zh-CN"/>
              </w:rPr>
              <w:t>0</w:t>
            </w:r>
            <w:r>
              <w:rPr>
                <w:rFonts w:hint="eastAsia" w:ascii="宋体" w:hAnsi="宋体" w:eastAsia="宋体" w:cs="宋体"/>
                <w:color w:val="auto"/>
                <w:kern w:val="0"/>
                <w:sz w:val="24"/>
                <w:highlight w:val="none"/>
              </w:rPr>
              <w:t>mm（允许</w:t>
            </w:r>
            <w:r>
              <w:rPr>
                <w:rFonts w:hint="eastAsia" w:ascii="宋体" w:hAnsi="宋体" w:eastAsia="宋体" w:cs="宋体"/>
                <w:color w:val="auto"/>
                <w:kern w:val="0"/>
                <w:sz w:val="24"/>
                <w:highlight w:val="none"/>
                <w:lang w:val="en-US" w:eastAsia="zh-CN"/>
              </w:rPr>
              <w:t>偏差</w:t>
            </w:r>
            <w:r>
              <w:rPr>
                <w:rFonts w:hint="eastAsia" w:ascii="宋体" w:hAnsi="宋体" w:eastAsia="宋体" w:cs="宋体"/>
                <w:color w:val="auto"/>
                <w:kern w:val="0"/>
                <w:sz w:val="24"/>
                <w:highlight w:val="none"/>
              </w:rPr>
              <w:t>±5mm）。</w:t>
            </w:r>
            <w:r>
              <w:rPr>
                <w:rFonts w:hint="eastAsia" w:ascii="宋体" w:hAnsi="宋体" w:eastAsia="宋体" w:cs="宋体"/>
                <w:color w:val="auto"/>
                <w:kern w:val="0"/>
                <w:sz w:val="24"/>
                <w:highlight w:val="none"/>
              </w:rPr>
              <w:br w:type="textWrapping"/>
            </w:r>
            <w:r>
              <w:rPr>
                <w:rFonts w:hint="eastAsia" w:ascii="宋体" w:hAnsi="宋体" w:eastAsia="宋体" w:cs="宋体"/>
                <w:color w:val="auto"/>
                <w:kern w:val="0"/>
                <w:sz w:val="24"/>
                <w:highlight w:val="none"/>
              </w:rPr>
              <w:t>2）立柱采用优质铝型材、底盘框架采用优质铝型材设计，简洁大方，外形美观。</w:t>
            </w:r>
            <w:r>
              <w:rPr>
                <w:rFonts w:hint="eastAsia" w:ascii="宋体" w:hAnsi="宋体" w:eastAsia="宋体" w:cs="宋体"/>
                <w:color w:val="auto"/>
                <w:kern w:val="0"/>
                <w:sz w:val="24"/>
                <w:highlight w:val="none"/>
              </w:rPr>
              <w:br w:type="textWrapping"/>
            </w:r>
            <w:r>
              <w:rPr>
                <w:rFonts w:hint="eastAsia" w:ascii="宋体" w:hAnsi="宋体" w:eastAsia="宋体" w:cs="宋体"/>
                <w:color w:val="auto"/>
                <w:kern w:val="0"/>
                <w:sz w:val="24"/>
                <w:highlight w:val="none"/>
                <w:lang w:val="en-US" w:eastAsia="zh-CN"/>
              </w:rPr>
              <w:t>3</w:t>
            </w:r>
            <w:r>
              <w:rPr>
                <w:rFonts w:hint="eastAsia" w:ascii="宋体" w:hAnsi="宋体" w:eastAsia="宋体" w:cs="宋体"/>
                <w:color w:val="auto"/>
                <w:kern w:val="0"/>
                <w:sz w:val="24"/>
                <w:highlight w:val="none"/>
              </w:rPr>
              <w:t>）配键盘抽屉，采用静音导轨，坚固可靠，推拉顺畅。</w:t>
            </w:r>
            <w:r>
              <w:rPr>
                <w:rFonts w:hint="eastAsia" w:ascii="宋体" w:hAnsi="宋体" w:eastAsia="宋体" w:cs="宋体"/>
                <w:color w:val="auto"/>
                <w:kern w:val="0"/>
                <w:sz w:val="24"/>
                <w:highlight w:val="none"/>
              </w:rPr>
              <w:br w:type="textWrapping"/>
            </w:r>
            <w:r>
              <w:rPr>
                <w:rFonts w:hint="eastAsia" w:ascii="宋体" w:hAnsi="宋体" w:eastAsia="宋体" w:cs="宋体"/>
                <w:color w:val="auto"/>
                <w:kern w:val="0"/>
                <w:sz w:val="24"/>
                <w:highlight w:val="none"/>
                <w:lang w:val="en-US" w:eastAsia="zh-CN"/>
              </w:rPr>
              <w:t>4</w:t>
            </w:r>
            <w:r>
              <w:rPr>
                <w:rFonts w:hint="eastAsia" w:ascii="宋体" w:hAnsi="宋体" w:eastAsia="宋体" w:cs="宋体"/>
                <w:color w:val="auto"/>
                <w:kern w:val="0"/>
                <w:sz w:val="24"/>
                <w:highlight w:val="none"/>
              </w:rPr>
              <w:t>）配四只刹车万向脚轮，移动方便。</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val="en-US" w:eastAsia="zh-CN" w:bidi="ar"/>
              </w:rPr>
              <w:t>5</w:t>
            </w:r>
            <w:r>
              <w:rPr>
                <w:rFonts w:hint="eastAsia" w:ascii="宋体" w:hAnsi="宋体" w:eastAsia="宋体" w:cs="仿宋_GB2312"/>
                <w:color w:val="auto"/>
                <w:kern w:val="0"/>
                <w:sz w:val="24"/>
                <w:highlight w:val="none"/>
                <w:lang w:bidi="ar"/>
              </w:rPr>
              <w:t>）桌面板后面和底板后面带防护板，防止电脑显示器和主机掉落。</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16、钢木方椅：</w:t>
            </w:r>
            <w:r>
              <w:rPr>
                <w:rFonts w:hint="eastAsia" w:ascii="宋体" w:hAnsi="宋体" w:eastAsia="宋体" w:cs="仿宋_GB2312"/>
                <w:color w:val="auto"/>
                <w:kern w:val="0"/>
                <w:sz w:val="24"/>
                <w:highlight w:val="none"/>
                <w:lang w:bidi="ar"/>
              </w:rPr>
              <w:br w:type="textWrapping"/>
            </w:r>
            <w:r>
              <w:rPr>
                <w:rFonts w:hint="eastAsia" w:ascii="宋体" w:hAnsi="宋体" w:eastAsia="宋体" w:cs="宋体"/>
                <w:color w:val="auto"/>
                <w:kern w:val="0"/>
                <w:sz w:val="24"/>
                <w:highlight w:val="none"/>
              </w:rPr>
              <w:t>1）外形尺寸（参考尺寸）：长×宽×高</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rPr>
              <w:t>39</w:t>
            </w:r>
            <w:r>
              <w:rPr>
                <w:rFonts w:hint="eastAsia" w:ascii="宋体" w:hAnsi="宋体" w:eastAsia="宋体" w:cs="宋体"/>
                <w:color w:val="auto"/>
                <w:kern w:val="0"/>
                <w:sz w:val="24"/>
                <w:highlight w:val="none"/>
                <w:lang w:val="en-US" w:eastAsia="zh-CN"/>
              </w:rPr>
              <w:t>0</w:t>
            </w:r>
            <w:r>
              <w:rPr>
                <w:rFonts w:hint="eastAsia" w:ascii="宋体" w:hAnsi="宋体" w:eastAsia="宋体" w:cs="宋体"/>
                <w:color w:val="auto"/>
                <w:kern w:val="0"/>
                <w:sz w:val="24"/>
                <w:highlight w:val="none"/>
              </w:rPr>
              <w:t>mm× 470mm× 850mm（允许</w:t>
            </w:r>
            <w:r>
              <w:rPr>
                <w:rFonts w:hint="eastAsia" w:ascii="宋体" w:hAnsi="宋体" w:eastAsia="宋体" w:cs="宋体"/>
                <w:color w:val="auto"/>
                <w:kern w:val="0"/>
                <w:sz w:val="24"/>
                <w:highlight w:val="none"/>
                <w:lang w:val="en-US" w:eastAsia="zh-CN"/>
              </w:rPr>
              <w:t>偏差</w:t>
            </w:r>
            <w:r>
              <w:rPr>
                <w:rFonts w:hint="eastAsia" w:ascii="宋体" w:hAnsi="宋体" w:eastAsia="宋体" w:cs="宋体"/>
                <w:color w:val="auto"/>
                <w:kern w:val="0"/>
                <w:sz w:val="24"/>
                <w:highlight w:val="none"/>
              </w:rPr>
              <w:t>±5mm）。</w:t>
            </w:r>
            <w:r>
              <w:rPr>
                <w:rFonts w:hint="eastAsia" w:ascii="宋体" w:hAnsi="宋体" w:eastAsia="宋体" w:cs="宋体"/>
                <w:color w:val="auto"/>
                <w:kern w:val="0"/>
                <w:sz w:val="24"/>
                <w:highlight w:val="none"/>
              </w:rPr>
              <w:br w:type="textWrapping"/>
            </w:r>
            <w:r>
              <w:rPr>
                <w:rFonts w:hint="eastAsia" w:ascii="宋体" w:hAnsi="宋体" w:eastAsia="宋体" w:cs="宋体"/>
                <w:color w:val="auto"/>
                <w:kern w:val="0"/>
                <w:sz w:val="24"/>
                <w:highlight w:val="none"/>
              </w:rPr>
              <w:t>2）框架采用优质方钢管和优质冷轧钢板焊接而成，坚固耐用。</w:t>
            </w:r>
            <w:r>
              <w:rPr>
                <w:rFonts w:hint="eastAsia" w:ascii="宋体" w:hAnsi="宋体" w:eastAsia="宋体" w:cs="宋体"/>
                <w:color w:val="auto"/>
                <w:kern w:val="0"/>
                <w:sz w:val="24"/>
                <w:highlight w:val="none"/>
              </w:rPr>
              <w:br w:type="textWrapping"/>
            </w:r>
            <w:r>
              <w:rPr>
                <w:rFonts w:hint="eastAsia" w:ascii="宋体" w:hAnsi="宋体" w:eastAsia="宋体" w:cs="仿宋_GB2312"/>
                <w:color w:val="auto"/>
                <w:kern w:val="0"/>
                <w:sz w:val="24"/>
                <w:highlight w:val="none"/>
                <w:lang w:bidi="ar"/>
              </w:rPr>
              <w:t>17、钢木方凳</w:t>
            </w:r>
            <w:r>
              <w:rPr>
                <w:rFonts w:hint="eastAsia" w:ascii="宋体" w:hAnsi="宋体" w:eastAsia="宋体" w:cs="仿宋_GB2312"/>
                <w:color w:val="auto"/>
                <w:kern w:val="0"/>
                <w:sz w:val="24"/>
                <w:highlight w:val="none"/>
                <w:lang w:bidi="ar"/>
              </w:rPr>
              <w:br w:type="textWrapping"/>
            </w:r>
            <w:r>
              <w:rPr>
                <w:rFonts w:hint="eastAsia" w:ascii="宋体" w:hAnsi="宋体" w:eastAsia="宋体" w:cs="宋体"/>
                <w:color w:val="auto"/>
                <w:kern w:val="0"/>
                <w:sz w:val="24"/>
                <w:highlight w:val="none"/>
              </w:rPr>
              <w:t>1）外形尺寸（参考尺寸）：长×宽×高</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rPr>
              <w:t>360mm×260mm×450mm（允许</w:t>
            </w:r>
            <w:r>
              <w:rPr>
                <w:rFonts w:hint="eastAsia" w:ascii="宋体" w:hAnsi="宋体" w:eastAsia="宋体" w:cs="宋体"/>
                <w:color w:val="auto"/>
                <w:kern w:val="0"/>
                <w:sz w:val="24"/>
                <w:highlight w:val="none"/>
                <w:lang w:val="en-US" w:eastAsia="zh-CN"/>
              </w:rPr>
              <w:t>偏差</w:t>
            </w:r>
            <w:r>
              <w:rPr>
                <w:rFonts w:hint="eastAsia" w:ascii="宋体" w:hAnsi="宋体" w:eastAsia="宋体" w:cs="宋体"/>
                <w:color w:val="auto"/>
                <w:kern w:val="0"/>
                <w:sz w:val="24"/>
                <w:highlight w:val="none"/>
              </w:rPr>
              <w:t>±5mm）。</w:t>
            </w:r>
            <w:r>
              <w:rPr>
                <w:rFonts w:hint="eastAsia" w:ascii="宋体" w:hAnsi="宋体" w:eastAsia="宋体" w:cs="宋体"/>
                <w:color w:val="auto"/>
                <w:kern w:val="0"/>
                <w:sz w:val="24"/>
                <w:highlight w:val="none"/>
              </w:rPr>
              <w:br w:type="textWrapping"/>
            </w:r>
            <w:r>
              <w:rPr>
                <w:rFonts w:hint="eastAsia" w:ascii="宋体" w:hAnsi="宋体" w:eastAsia="宋体" w:cs="宋体"/>
                <w:color w:val="auto"/>
                <w:kern w:val="0"/>
                <w:sz w:val="24"/>
                <w:highlight w:val="none"/>
              </w:rPr>
              <w:t>2）凳框采用优质方钢管和优质冷轧钢板焊接而成，坚固耐用。</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val="en-US" w:eastAsia="zh-CN" w:bidi="ar"/>
              </w:rPr>
              <w:t>3</w:t>
            </w:r>
            <w:r>
              <w:rPr>
                <w:rFonts w:hint="eastAsia" w:ascii="宋体" w:hAnsi="宋体" w:eastAsia="宋体" w:cs="仿宋_GB2312"/>
                <w:color w:val="auto"/>
                <w:kern w:val="0"/>
                <w:sz w:val="24"/>
                <w:highlight w:val="none"/>
                <w:lang w:bidi="ar"/>
              </w:rPr>
              <w:t>）凳脚安装高分子树脂脚套，防滑耐磨损，保护地面。</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18、</w:t>
            </w:r>
            <w:r>
              <w:rPr>
                <w:rFonts w:hint="eastAsia" w:ascii="宋体" w:hAnsi="宋体" w:eastAsia="宋体" w:cs="宋体"/>
                <w:color w:val="auto"/>
                <w:kern w:val="0"/>
                <w:sz w:val="24"/>
                <w:highlight w:val="none"/>
              </w:rPr>
              <w:t>工具柜</w:t>
            </w:r>
            <w:r>
              <w:rPr>
                <w:rFonts w:hint="eastAsia" w:ascii="宋体" w:hAnsi="宋体" w:eastAsia="宋体" w:cs="宋体"/>
                <w:color w:val="auto"/>
                <w:kern w:val="0"/>
                <w:sz w:val="24"/>
                <w:highlight w:val="none"/>
              </w:rPr>
              <w:br w:type="textWrapping"/>
            </w:r>
            <w:r>
              <w:rPr>
                <w:rFonts w:hint="eastAsia" w:ascii="宋体" w:hAnsi="宋体" w:eastAsia="宋体" w:cs="宋体"/>
                <w:color w:val="auto"/>
                <w:kern w:val="0"/>
                <w:sz w:val="24"/>
                <w:highlight w:val="none"/>
              </w:rPr>
              <w:t>1）外形尺寸（参考尺寸）：长×宽×高</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rPr>
              <w:t>9</w:t>
            </w:r>
            <w:r>
              <w:rPr>
                <w:rFonts w:hint="eastAsia" w:ascii="宋体" w:hAnsi="宋体" w:eastAsia="宋体" w:cs="宋体"/>
                <w:color w:val="auto"/>
                <w:kern w:val="0"/>
                <w:sz w:val="24"/>
                <w:highlight w:val="none"/>
                <w:lang w:val="en-US" w:eastAsia="zh-CN"/>
              </w:rPr>
              <w:t>0</w:t>
            </w:r>
            <w:r>
              <w:rPr>
                <w:rFonts w:hint="eastAsia" w:ascii="宋体" w:hAnsi="宋体" w:eastAsia="宋体" w:cs="宋体"/>
                <w:color w:val="auto"/>
                <w:kern w:val="0"/>
                <w:sz w:val="24"/>
                <w:highlight w:val="none"/>
              </w:rPr>
              <w:t>0mm×4</w:t>
            </w:r>
            <w:r>
              <w:rPr>
                <w:rFonts w:hint="eastAsia" w:ascii="宋体" w:hAnsi="宋体" w:eastAsia="宋体" w:cs="宋体"/>
                <w:color w:val="auto"/>
                <w:kern w:val="0"/>
                <w:sz w:val="24"/>
                <w:highlight w:val="none"/>
                <w:lang w:val="en-US" w:eastAsia="zh-CN"/>
              </w:rPr>
              <w:t>0</w:t>
            </w:r>
            <w:r>
              <w:rPr>
                <w:rFonts w:hint="eastAsia" w:ascii="宋体" w:hAnsi="宋体" w:eastAsia="宋体" w:cs="宋体"/>
                <w:color w:val="auto"/>
                <w:kern w:val="0"/>
                <w:sz w:val="24"/>
                <w:highlight w:val="none"/>
              </w:rPr>
              <w:t>0mm×1850mm</w:t>
            </w:r>
            <w:r>
              <w:rPr>
                <w:rFonts w:hint="eastAsia" w:ascii="宋体" w:hAnsi="宋体" w:eastAsia="宋体" w:cs="宋体"/>
                <w:color w:val="auto"/>
                <w:kern w:val="0"/>
                <w:sz w:val="24"/>
                <w:highlight w:val="none"/>
                <w:lang w:eastAsia="zh-CN"/>
              </w:rPr>
              <w:t>（允许</w:t>
            </w:r>
            <w:r>
              <w:rPr>
                <w:rFonts w:hint="eastAsia" w:ascii="宋体" w:hAnsi="宋体" w:eastAsia="宋体" w:cs="宋体"/>
                <w:color w:val="auto"/>
                <w:kern w:val="0"/>
                <w:sz w:val="24"/>
                <w:highlight w:val="none"/>
                <w:lang w:val="en-US" w:eastAsia="zh-CN"/>
              </w:rPr>
              <w:t>偏差</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lang w:val="en-US" w:eastAsia="zh-CN"/>
              </w:rPr>
              <w:t>10</w:t>
            </w:r>
            <w:r>
              <w:rPr>
                <w:rFonts w:hint="eastAsia" w:ascii="宋体" w:hAnsi="宋体" w:eastAsia="宋体" w:cs="宋体"/>
                <w:color w:val="auto"/>
                <w:kern w:val="0"/>
                <w:sz w:val="24"/>
                <w:highlight w:val="none"/>
                <w:lang w:eastAsia="zh-CN"/>
              </w:rPr>
              <w:t>mm）</w:t>
            </w: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rPr>
              <w:br w:type="textWrapping"/>
            </w:r>
            <w:r>
              <w:rPr>
                <w:rFonts w:hint="eastAsia" w:ascii="宋体" w:hAnsi="宋体" w:eastAsia="宋体" w:cs="宋体"/>
                <w:color w:val="auto"/>
                <w:kern w:val="0"/>
                <w:sz w:val="24"/>
                <w:highlight w:val="none"/>
              </w:rPr>
              <w:t>2）采用优质冷轧钢板焊接组装而成，储存空间宽敞，坚固耐用。</w:t>
            </w:r>
            <w:r>
              <w:rPr>
                <w:rFonts w:hint="eastAsia" w:ascii="宋体" w:hAnsi="宋体" w:eastAsia="宋体" w:cs="宋体"/>
                <w:color w:val="auto"/>
                <w:kern w:val="0"/>
                <w:sz w:val="24"/>
                <w:highlight w:val="none"/>
              </w:rPr>
              <w:br w:type="textWrapping"/>
            </w:r>
            <w:r>
              <w:rPr>
                <w:rFonts w:hint="eastAsia" w:ascii="宋体" w:hAnsi="宋体" w:eastAsia="宋体" w:cs="仿宋_GB2312"/>
                <w:color w:val="auto"/>
                <w:kern w:val="0"/>
                <w:sz w:val="24"/>
                <w:highlight w:val="none"/>
                <w:lang w:bidi="ar"/>
              </w:rPr>
              <w:t>三、教学软件</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（一）▲电力系统继电特性及继电保护类仿真实训软件</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1、软件至少包括仪表及电源各种功能模块，具体如下：</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1）调压器: 软件中含有虚拟调压器模块。</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2）输电线路： 软件中含有虚拟输电线路，该装置的线路保护实验配置有A段线路、B段线路，通过电压互感器和电流互感器把一次回路和二次回路彻底分开。</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3）变压器保护组件：软件中含有虚拟变压器保护线路，该装置有三绕组变压器，变压器故障设置按钮。</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4）交流电压表、交流电流表：软件中含有虚拟两组交流电压表、两组交流电流表表模块。</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5）直流电压表、直流电流表：软件中含有虚拟直流电压表、直流电流表模块</w:t>
            </w:r>
            <w:r>
              <w:rPr>
                <w:rFonts w:hint="eastAsia" w:ascii="宋体" w:hAnsi="宋体" w:eastAsia="宋体" w:cs="仿宋_GB2312"/>
                <w:color w:val="auto"/>
                <w:kern w:val="0"/>
                <w:sz w:val="24"/>
                <w:highlight w:val="none"/>
                <w:lang w:eastAsia="zh-CN" w:bidi="ar"/>
              </w:rPr>
              <w:t>。</w:t>
            </w:r>
            <w:r>
              <w:rPr>
                <w:rFonts w:hint="eastAsia" w:ascii="宋体" w:hAnsi="宋体" w:eastAsia="宋体" w:cs="仿宋_GB2312"/>
                <w:color w:val="auto"/>
                <w:kern w:val="0"/>
                <w:sz w:val="24"/>
                <w:highlight w:val="none"/>
                <w:lang w:bidi="ar"/>
              </w:rPr>
              <w:t xml:space="preserve">    </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6）电秒表及相位仪：软件中含有虚拟电秒表和相位仪，电秒表有秒量程和毫秒量程两档，相位仪有数码显示，有电压输入和电流输入组成。</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7）光示牌及信号指示：软件中含有虚拟的四组光示牌，三组指示灯，一组蜂鸣器。</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8）各类继电器：要求软件中含有虚拟的电流继电器、电压继电器、中间继电器、时间继电器、信号继电器、功率方向继电器、差动继电器、自动重合闸继电器组件。</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2、软件至少可完成的实训项目如下：</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2.1电力系统继电特性实验</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1）电流继电器实验</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 xml:space="preserve">2）电压继电器实验       </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3）电磁型时间继电器实验</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4）信号继电器实验</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5）中间继电器实验</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7）冲击继电器特性实验</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8）差动继电器特性实验</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9）反时限过流继电器特性实验</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10）三相一次重合闸装置实验</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2.2电力系统继电特性及继电保护虚拟仿真实验</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1）实验台特性及线路保护实验装置使用说明</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2）电流继电器和电压继电器</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3）电磁型时间继电器实验</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4）信号继电器实验</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5）中间继电器实验</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6）功率方向继电器实验</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 xml:space="preserve">7）三相一次重合闸实验  </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8）反时限过流继电器特性实验</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9）闪光继电器构成的闪光装置实验</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10）微机无时限电流速断保护</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11）6-10KV 线路过流保护实验</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12）电流闭锁电压速断保护实验</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13）单辐射式输电线路阶段式电流保护实验</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14）自动重合闸前加速保护实验</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15）Y△-11双绕组变压器差动保护实验</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（二）▲供配电运行类仿真软件</w:t>
            </w:r>
          </w:p>
          <w:p w14:paraId="105B233C">
            <w:pPr>
              <w:pStyle w:val="4"/>
              <w:keepNext w:val="0"/>
              <w:keepLines w:val="0"/>
              <w:widowControl/>
              <w:suppressLineNumbers w:val="0"/>
              <w:shd w:val="clear"/>
              <w:spacing w:before="160" w:beforeAutospacing="0" w:after="160" w:afterAutospacing="0"/>
              <w:ind w:left="0" w:right="0" w:firstLine="0"/>
              <w:rPr>
                <w:rFonts w:hint="eastAsia" w:ascii="宋体" w:hAnsi="宋体" w:eastAsia="宋体" w:cs="仿宋_GB2312"/>
                <w:color w:val="auto"/>
                <w:kern w:val="0"/>
                <w:sz w:val="24"/>
                <w:highlight w:val="none"/>
                <w:lang w:eastAsia="zh-CN" w:bidi="ar"/>
              </w:rPr>
            </w:pPr>
            <w:r>
              <w:rPr>
                <w:rFonts w:hint="eastAsia" w:ascii="宋体" w:hAnsi="宋体" w:eastAsia="宋体" w:cs="仿宋_GB2312"/>
                <w:color w:val="auto"/>
                <w:kern w:val="0"/>
                <w:sz w:val="24"/>
                <w:highlight w:val="none"/>
                <w:lang w:bidi="ar"/>
              </w:rPr>
              <w:t>软件采用交互式动画技术与3D虚拟仿真技术相结合的方式</w:t>
            </w:r>
            <w:r>
              <w:rPr>
                <w:rFonts w:hint="eastAsia" w:ascii="宋体" w:hAnsi="宋体" w:eastAsia="宋体" w:cs="仿宋_GB2312"/>
                <w:color w:val="auto"/>
                <w:kern w:val="0"/>
                <w:sz w:val="24"/>
                <w:highlight w:val="none"/>
                <w:lang w:eastAsia="zh-CN" w:bidi="ar"/>
              </w:rPr>
              <w:t>，</w:t>
            </w:r>
            <w:r>
              <w:rPr>
                <w:rFonts w:hint="eastAsia" w:ascii="宋体" w:hAnsi="宋体" w:eastAsia="宋体" w:cs="仿宋_GB2312"/>
                <w:color w:val="auto"/>
                <w:kern w:val="0"/>
                <w:sz w:val="24"/>
                <w:highlight w:val="none"/>
                <w:lang w:bidi="ar"/>
              </w:rPr>
              <w:t>软件可实现以下功能：</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1）虚拟配电房：支持漫游功能</w:t>
            </w:r>
            <w:r>
              <w:rPr>
                <w:rFonts w:hint="eastAsia" w:ascii="宋体" w:hAnsi="宋体" w:eastAsia="宋体" w:cs="仿宋_GB2312"/>
                <w:color w:val="auto"/>
                <w:kern w:val="0"/>
                <w:sz w:val="24"/>
                <w:highlight w:val="none"/>
                <w:lang w:val="en-US" w:eastAsia="zh-CN" w:bidi="ar"/>
              </w:rPr>
              <w:t>及</w:t>
            </w:r>
            <w:r>
              <w:rPr>
                <w:rFonts w:hint="eastAsia" w:ascii="宋体" w:hAnsi="宋体" w:eastAsia="宋体" w:cs="仿宋_GB2312"/>
                <w:color w:val="auto"/>
                <w:kern w:val="0"/>
                <w:sz w:val="24"/>
                <w:highlight w:val="none"/>
                <w:lang w:bidi="ar"/>
              </w:rPr>
              <w:t>3D虚拟</w:t>
            </w:r>
            <w:r>
              <w:rPr>
                <w:rFonts w:hint="eastAsia" w:ascii="宋体" w:hAnsi="宋体" w:eastAsia="宋体" w:cs="仿宋_GB2312"/>
                <w:color w:val="auto"/>
                <w:kern w:val="0"/>
                <w:sz w:val="24"/>
                <w:highlight w:val="none"/>
                <w:lang w:val="en-US" w:eastAsia="zh-CN" w:bidi="ar"/>
              </w:rPr>
              <w:t>场景</w:t>
            </w:r>
            <w:r>
              <w:rPr>
                <w:rFonts w:hint="eastAsia" w:ascii="宋体" w:hAnsi="宋体" w:eastAsia="宋体" w:cs="仿宋_GB2312"/>
                <w:color w:val="auto"/>
                <w:kern w:val="0"/>
                <w:sz w:val="24"/>
                <w:highlight w:val="none"/>
                <w:lang w:bidi="ar"/>
              </w:rPr>
              <w:t>，主要元件的介绍及三维结构展示，以及开关柜和低压开关柜的停送电操作及维护操作，高、低压开关柜的停送电操作完全模拟真实现场环境。</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虚拟配电房环境，支持任意视角漫游等。</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2）三维结构展示覆盖常见高、低压配电元器件，支持基本的旋转、缩放查看功能。。</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3）日常巡视：完成高低压电缆线路和桥架、变压器、低压配电柜、电容补偿柜、配电房环境的日常巡视任务仿真。</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 xml:space="preserve">4）供配电设备运行与操作：本单元主要有4种供电模式，通过不同的供电模式分别进入不同的供电环境.，通过选择不同的操作工具来完成高压送电、低压送电、高压停电、低压停电等操作步骤，其操作步骤是完全按照真实设备进行操作，各个按钮均可以进行合分闸操作，高、低压开关柜的停送电操作完全模拟真实现场环境，有相应的灯光、仪表指示，让学生有身临于真实配电房的训练环境。 </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电气部分：包含高低压配电网的接线方式和供配电一次主接线认知与考核部分，及供配电二次回路的接线和工艺。</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5）高低压配电网的接线方式：包含高压配电网的接线方式和低压配电网的接线方式的原理介绍并带有语音讲解功能。</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6）一次主接线：至少包含常见的桥形接线、双母线、单母线分段等典型接线方式。</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7）二次回路的接线和工艺：接线工艺及工具介绍，以及电流、电压测量回路和断路器控制</w:t>
            </w:r>
            <w:r>
              <w:rPr>
                <w:rFonts w:hint="eastAsia" w:ascii="宋体" w:hAnsi="宋体" w:eastAsia="宋体" w:cs="仿宋_GB2312"/>
                <w:color w:val="auto"/>
                <w:kern w:val="0"/>
                <w:sz w:val="24"/>
                <w:highlight w:val="none"/>
                <w:lang w:eastAsia="zh-CN" w:bidi="ar"/>
              </w:rPr>
              <w:t>。</w:t>
            </w:r>
          </w:p>
          <w:p w14:paraId="6161D89E">
            <w:pPr>
              <w:pStyle w:val="4"/>
              <w:keepNext w:val="0"/>
              <w:keepLines w:val="0"/>
              <w:widowControl/>
              <w:suppressLineNumbers w:val="0"/>
              <w:shd w:val="clear"/>
              <w:spacing w:before="160" w:beforeAutospacing="0" w:after="160" w:afterAutospacing="0"/>
              <w:ind w:left="0" w:right="0" w:firstLine="0"/>
              <w:rPr>
                <w:rFonts w:hint="eastAsia" w:ascii="宋体" w:hAnsi="宋体" w:eastAsia="宋体" w:cs="仿宋_GB2312"/>
                <w:color w:val="auto"/>
                <w:kern w:val="0"/>
                <w:sz w:val="24"/>
                <w:highlight w:val="none"/>
                <w:lang w:bidi="ar"/>
              </w:rPr>
            </w:pPr>
            <w:r>
              <w:rPr>
                <w:rFonts w:hint="eastAsia" w:ascii="宋体" w:hAnsi="宋体" w:eastAsia="宋体" w:cs="仿宋_GB2312"/>
                <w:color w:val="auto"/>
                <w:kern w:val="0"/>
                <w:sz w:val="24"/>
                <w:highlight w:val="none"/>
                <w:lang w:val="en-US" w:eastAsia="zh-CN" w:bidi="ar"/>
              </w:rPr>
              <w:t>备注：</w:t>
            </w:r>
            <w:r>
              <w:rPr>
                <w:rFonts w:hint="eastAsia" w:ascii="宋体" w:hAnsi="宋体" w:eastAsia="宋体" w:cs="仿宋_GB2312"/>
                <w:color w:val="auto"/>
                <w:kern w:val="0"/>
                <w:sz w:val="24"/>
                <w:highlight w:val="none"/>
                <w:lang w:bidi="ar"/>
              </w:rPr>
              <w:t>软件须交付正版产品，投标仅需出具正版承诺；项目终验前，中标方提供每款软件软著或原厂正版授权（二选一），版权侵权责任由供方全部承担。</w:t>
            </w:r>
          </w:p>
          <w:p w14:paraId="0643C3D5">
            <w:pPr>
              <w:pStyle w:val="4"/>
              <w:keepNext w:val="0"/>
              <w:keepLines w:val="0"/>
              <w:widowControl/>
              <w:suppressLineNumbers w:val="0"/>
              <w:shd w:val="clear"/>
              <w:spacing w:before="160" w:beforeAutospacing="0" w:after="160" w:afterAutospacing="0"/>
              <w:ind w:left="0" w:right="0" w:firstLine="0"/>
              <w:rPr>
                <w:rFonts w:hint="eastAsia" w:ascii="宋体" w:hAnsi="宋体" w:eastAsia="宋体" w:cs="仿宋_GB2312"/>
                <w:color w:val="auto"/>
                <w:sz w:val="24"/>
                <w:highlight w:val="none"/>
              </w:rPr>
            </w:pPr>
            <w:r>
              <w:rPr>
                <w:rFonts w:hint="eastAsia" w:ascii="宋体" w:hAnsi="宋体" w:eastAsia="宋体" w:cs="仿宋_GB2312"/>
                <w:color w:val="auto"/>
                <w:kern w:val="0"/>
                <w:sz w:val="24"/>
                <w:highlight w:val="none"/>
                <w:lang w:bidi="ar"/>
              </w:rPr>
              <w:t>四、实训项目</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（一）微机线路保护实训</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模拟电力系统正常、最大、最小运行方式</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模拟系统短路</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微机定时限过流保护</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微机带时限电流速断保护</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微机无时限电流速断保护</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阶段式过电流保护</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运行方式对保护灵敏度的影响及灵敏度校验</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电流电压连锁保护</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反时限电流保护</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阶段式过电流保护与自动重合闸前加速</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阶段式过电流保护与自动重合闸后加速</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其它线路保护形式</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（二）微机变压器保护实训</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系统正常运行及不平衡电流的测量</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模拟变压器瓦斯保护</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变压器差动保护</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变压器过电流保护</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变压器反时限过电流</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变压器过负荷保护</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变压器零序过电流保护</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（三）回路故障排除</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微机线路故障排除</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微机变压器故障排除</w:t>
            </w:r>
          </w:p>
        </w:tc>
        <w:tc>
          <w:tcPr>
            <w:tcW w:w="502" w:type="pct"/>
            <w:tcBorders>
              <w:top w:val="single" w:color="000000" w:sz="4" w:space="0"/>
              <w:left w:val="single" w:color="000000" w:sz="4" w:space="0"/>
              <w:bottom w:val="single" w:color="000000" w:sz="4" w:space="0"/>
              <w:right w:val="single" w:color="000000" w:sz="4" w:space="0"/>
            </w:tcBorders>
            <w:vAlign w:val="center"/>
          </w:tcPr>
          <w:p w14:paraId="161B1320">
            <w:pPr>
              <w:widowControl/>
              <w:jc w:val="center"/>
              <w:textAlignment w:val="center"/>
              <w:rPr>
                <w:rFonts w:hint="eastAsia" w:ascii="宋体" w:hAnsi="宋体" w:eastAsia="宋体" w:cs="仿宋_GB2312"/>
                <w:color w:val="auto"/>
                <w:sz w:val="24"/>
                <w:highlight w:val="none"/>
              </w:rPr>
            </w:pPr>
            <w:r>
              <w:rPr>
                <w:rFonts w:hint="eastAsia" w:ascii="宋体" w:hAnsi="宋体" w:eastAsia="宋体" w:cs="仿宋_GB2312"/>
                <w:color w:val="auto"/>
                <w:kern w:val="0"/>
                <w:sz w:val="24"/>
                <w:highlight w:val="none"/>
                <w:lang w:bidi="ar"/>
              </w:rPr>
              <w:t>套</w:t>
            </w:r>
          </w:p>
        </w:tc>
      </w:tr>
      <w:tr w14:paraId="792EA351">
        <w:tblPrEx>
          <w:tblCellMar>
            <w:top w:w="0" w:type="dxa"/>
            <w:left w:w="108" w:type="dxa"/>
            <w:bottom w:w="0" w:type="dxa"/>
            <w:right w:w="108" w:type="dxa"/>
          </w:tblCellMar>
        </w:tblPrEx>
        <w:trPr>
          <w:trHeight w:val="1196" w:hRule="atLeast"/>
        </w:trPr>
        <w:tc>
          <w:tcPr>
            <w:tcW w:w="359" w:type="pct"/>
            <w:vMerge w:val="continue"/>
            <w:tcBorders>
              <w:top w:val="single" w:color="000000" w:sz="4" w:space="0"/>
              <w:left w:val="single" w:color="000000" w:sz="4" w:space="0"/>
              <w:bottom w:val="single" w:color="000000" w:sz="4" w:space="0"/>
              <w:right w:val="single" w:color="000000" w:sz="4" w:space="0"/>
            </w:tcBorders>
            <w:noWrap/>
            <w:vAlign w:val="center"/>
          </w:tcPr>
          <w:p w14:paraId="2FC27A68">
            <w:pPr>
              <w:jc w:val="center"/>
              <w:rPr>
                <w:rFonts w:hint="eastAsia" w:ascii="宋体" w:hAnsi="宋体" w:eastAsia="宋体" w:cs="宋体"/>
                <w:color w:val="auto"/>
                <w:sz w:val="24"/>
                <w:highlight w:val="none"/>
              </w:rPr>
            </w:pPr>
          </w:p>
        </w:tc>
        <w:tc>
          <w:tcPr>
            <w:tcW w:w="405" w:type="pct"/>
            <w:tcBorders>
              <w:top w:val="single" w:color="000000" w:sz="4" w:space="0"/>
              <w:left w:val="single" w:color="000000" w:sz="4" w:space="0"/>
              <w:bottom w:val="single" w:color="000000" w:sz="4" w:space="0"/>
              <w:right w:val="single" w:color="000000" w:sz="4" w:space="0"/>
            </w:tcBorders>
            <w:vAlign w:val="center"/>
          </w:tcPr>
          <w:p w14:paraId="30EB4926">
            <w:pPr>
              <w:widowControl/>
              <w:jc w:val="center"/>
              <w:textAlignment w:val="center"/>
              <w:rPr>
                <w:rFonts w:hint="eastAsia" w:ascii="宋体" w:hAnsi="宋体" w:eastAsia="宋体" w:cs="仿宋_GB2312"/>
                <w:color w:val="auto"/>
                <w:kern w:val="0"/>
                <w:sz w:val="24"/>
                <w:highlight w:val="none"/>
                <w:lang w:bidi="ar"/>
              </w:rPr>
            </w:pPr>
            <w:r>
              <w:rPr>
                <w:rFonts w:hint="eastAsia" w:ascii="宋体" w:hAnsi="宋体" w:eastAsia="宋体" w:cs="仿宋_GB2312"/>
                <w:color w:val="auto"/>
                <w:kern w:val="0"/>
                <w:sz w:val="24"/>
                <w:highlight w:val="none"/>
                <w:lang w:bidi="ar"/>
              </w:rPr>
              <w:t>智慧黑板</w:t>
            </w: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5F45532E">
            <w:pPr>
              <w:widowControl/>
              <w:jc w:val="center"/>
              <w:textAlignment w:val="center"/>
              <w:rPr>
                <w:rFonts w:hint="eastAsia" w:ascii="宋体" w:hAnsi="宋体" w:eastAsia="宋体" w:cs="仿宋_GB2312"/>
                <w:color w:val="auto"/>
                <w:sz w:val="24"/>
                <w:highlight w:val="none"/>
              </w:rPr>
            </w:pPr>
            <w:r>
              <w:rPr>
                <w:rFonts w:hint="eastAsia" w:ascii="宋体" w:hAnsi="宋体" w:eastAsia="宋体" w:cs="仿宋_GB2312"/>
                <w:color w:val="auto"/>
                <w:kern w:val="0"/>
                <w:sz w:val="24"/>
                <w:highlight w:val="none"/>
                <w:lang w:bidi="ar"/>
              </w:rPr>
              <w:t>1</w:t>
            </w:r>
          </w:p>
        </w:tc>
        <w:tc>
          <w:tcPr>
            <w:tcW w:w="364" w:type="pct"/>
            <w:tcBorders>
              <w:top w:val="single" w:color="000000" w:sz="4" w:space="0"/>
              <w:left w:val="single" w:color="000000" w:sz="4" w:space="0"/>
              <w:bottom w:val="single" w:color="000000" w:sz="4" w:space="0"/>
              <w:right w:val="single" w:color="000000" w:sz="4" w:space="0"/>
            </w:tcBorders>
            <w:noWrap/>
            <w:vAlign w:val="center"/>
          </w:tcPr>
          <w:p w14:paraId="2AA7FF27">
            <w:pPr>
              <w:widowControl/>
              <w:jc w:val="center"/>
              <w:textAlignment w:val="center"/>
              <w:rPr>
                <w:rFonts w:hint="eastAsia" w:ascii="宋体" w:hAnsi="宋体" w:eastAsia="宋体" w:cs="仿宋_GB2312"/>
                <w:color w:val="auto"/>
                <w:sz w:val="24"/>
                <w:highlight w:val="none"/>
              </w:rPr>
            </w:pPr>
            <w:r>
              <w:rPr>
                <w:rFonts w:hint="eastAsia" w:ascii="宋体" w:hAnsi="宋体" w:eastAsia="宋体" w:cs="仿宋_GB2312"/>
                <w:color w:val="auto"/>
                <w:kern w:val="0"/>
                <w:sz w:val="24"/>
                <w:highlight w:val="none"/>
                <w:lang w:bidi="ar"/>
              </w:rPr>
              <w:t>2.3</w:t>
            </w:r>
          </w:p>
        </w:tc>
        <w:tc>
          <w:tcPr>
            <w:tcW w:w="354" w:type="pct"/>
            <w:tcBorders>
              <w:top w:val="single" w:color="000000" w:sz="4" w:space="0"/>
              <w:left w:val="single" w:color="000000" w:sz="4" w:space="0"/>
              <w:bottom w:val="single" w:color="000000" w:sz="4" w:space="0"/>
              <w:right w:val="single" w:color="000000" w:sz="4" w:space="0"/>
            </w:tcBorders>
            <w:vAlign w:val="center"/>
          </w:tcPr>
          <w:p w14:paraId="364D84A2">
            <w:pPr>
              <w:widowControl/>
              <w:jc w:val="center"/>
              <w:textAlignment w:val="center"/>
              <w:rPr>
                <w:rFonts w:hint="eastAsia" w:ascii="宋体" w:hAnsi="宋体" w:eastAsia="宋体" w:cs="仿宋_GB2312"/>
                <w:color w:val="auto"/>
                <w:sz w:val="24"/>
                <w:highlight w:val="none"/>
              </w:rPr>
            </w:pPr>
            <w:r>
              <w:rPr>
                <w:rFonts w:hint="eastAsia" w:ascii="宋体" w:hAnsi="宋体" w:eastAsia="宋体" w:cs="仿宋_GB2312"/>
                <w:color w:val="auto"/>
                <w:kern w:val="0"/>
                <w:sz w:val="24"/>
                <w:highlight w:val="none"/>
                <w:lang w:bidi="ar"/>
              </w:rPr>
              <w:t>2.3</w:t>
            </w:r>
          </w:p>
        </w:tc>
        <w:tc>
          <w:tcPr>
            <w:tcW w:w="2785" w:type="pct"/>
            <w:tcBorders>
              <w:top w:val="single" w:color="000000" w:sz="4" w:space="0"/>
              <w:left w:val="single" w:color="000000" w:sz="4" w:space="0"/>
              <w:bottom w:val="single" w:color="000000" w:sz="4" w:space="0"/>
              <w:right w:val="single" w:color="000000" w:sz="4" w:space="0"/>
            </w:tcBorders>
            <w:vAlign w:val="center"/>
          </w:tcPr>
          <w:p w14:paraId="62083A62">
            <w:pPr>
              <w:widowControl/>
              <w:numPr>
                <w:ilvl w:val="0"/>
                <w:numId w:val="1"/>
              </w:numPr>
              <w:jc w:val="left"/>
              <w:textAlignment w:val="center"/>
              <w:rPr>
                <w:rFonts w:hint="eastAsia" w:ascii="宋体" w:hAnsi="宋体" w:eastAsia="宋体" w:cs="仿宋_GB2312"/>
                <w:color w:val="auto"/>
                <w:kern w:val="0"/>
                <w:sz w:val="24"/>
                <w:highlight w:val="none"/>
                <w:lang w:bidi="ar"/>
              </w:rPr>
            </w:pPr>
            <w:r>
              <w:rPr>
                <w:rFonts w:hint="eastAsia" w:ascii="宋体" w:hAnsi="宋体" w:eastAsia="宋体" w:cs="仿宋_GB2312"/>
                <w:color w:val="auto"/>
                <w:kern w:val="0"/>
                <w:sz w:val="24"/>
                <w:highlight w:val="none"/>
                <w:lang w:bidi="ar"/>
              </w:rPr>
              <w:t>整机采用全金属外壳，三拼接平面一体化设计，宽≥4200mm，高≥1200mm，厚≤113mm。</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2.屏幕采用86寸超</w:t>
            </w:r>
            <w:r>
              <w:rPr>
                <w:rFonts w:hint="eastAsia" w:ascii="微软雅黑" w:hAnsi="微软雅黑" w:eastAsia="微软雅黑" w:cs="微软雅黑"/>
                <w:color w:val="auto"/>
                <w:kern w:val="0"/>
                <w:sz w:val="24"/>
                <w:highlight w:val="none"/>
                <w:lang w:bidi="ar"/>
              </w:rPr>
              <w:t>⾼</w:t>
            </w:r>
            <w:r>
              <w:rPr>
                <w:rFonts w:hint="eastAsia" w:ascii="宋体" w:hAnsi="宋体" w:eastAsia="宋体" w:cs="宋体"/>
                <w:color w:val="auto"/>
                <w:kern w:val="0"/>
                <w:sz w:val="24"/>
                <w:highlight w:val="none"/>
                <w:lang w:bidi="ar"/>
              </w:rPr>
              <w:t>清</w:t>
            </w:r>
            <w:r>
              <w:rPr>
                <w:rFonts w:hint="eastAsia" w:ascii="宋体" w:hAnsi="宋体" w:eastAsia="宋体" w:cs="仿宋_GB2312"/>
                <w:color w:val="auto"/>
                <w:kern w:val="0"/>
                <w:sz w:val="24"/>
                <w:highlight w:val="none"/>
                <w:lang w:bidi="ar"/>
              </w:rPr>
              <w:t>LED液晶屏，屏幕支持防眩光功能，两侧副屏支持磁吸附功能。</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3.整机显示分辨率3840*2160，可视</w:t>
            </w:r>
            <w:r>
              <w:rPr>
                <w:rFonts w:hint="eastAsia" w:ascii="微软雅黑" w:hAnsi="微软雅黑" w:eastAsia="微软雅黑" w:cs="微软雅黑"/>
                <w:color w:val="auto"/>
                <w:kern w:val="0"/>
                <w:sz w:val="24"/>
                <w:highlight w:val="none"/>
                <w:lang w:bidi="ar"/>
              </w:rPr>
              <w:t>⻆</w:t>
            </w:r>
            <w:r>
              <w:rPr>
                <w:rFonts w:hint="eastAsia" w:ascii="宋体" w:hAnsi="宋体" w:eastAsia="宋体" w:cs="宋体"/>
                <w:color w:val="auto"/>
                <w:kern w:val="0"/>
                <w:sz w:val="24"/>
                <w:highlight w:val="none"/>
                <w:lang w:bidi="ar"/>
              </w:rPr>
              <w:t>度≥</w:t>
            </w:r>
            <w:r>
              <w:rPr>
                <w:rFonts w:hint="eastAsia" w:ascii="宋体" w:hAnsi="宋体" w:eastAsia="宋体" w:cs="仿宋_GB2312"/>
                <w:color w:val="auto"/>
                <w:kern w:val="0"/>
                <w:sz w:val="24"/>
                <w:highlight w:val="none"/>
                <w:lang w:bidi="ar"/>
              </w:rPr>
              <w:t>178°。</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4.整机嵌入式系统版本≥Android 15，主频≥1.6GHz，内存≥2GB，存储空间≥32GB。</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5.整机CPU芯片，WIFI与蓝牙芯片、摄像头图像处理芯片、均采用国产自主芯片。</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6.整机扬声器无需打开背板即可单独拆卸。</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7.整机设备内置2.2声道扬声器，最大功率≥84W，听力模式下具备AI人声语言增强功能，支持三挡强弱调节。（提供检测报告复印件）</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8.整机双系统下均支持≥50点触控，书写触控延迟≤25ms。</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9.整机内置非独立外扩展的4阵列麦克风，麦克风拾音距离≥12米。</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10.整机上边框内置非独立摄像头，采用一体化集成设计，</w:t>
            </w:r>
            <w:r>
              <w:rPr>
                <w:rFonts w:hint="eastAsia" w:ascii="微软雅黑" w:hAnsi="微软雅黑" w:eastAsia="微软雅黑" w:cs="微软雅黑"/>
                <w:color w:val="auto"/>
                <w:kern w:val="0"/>
                <w:sz w:val="24"/>
                <w:highlight w:val="none"/>
                <w:lang w:bidi="ar"/>
              </w:rPr>
              <w:t>⽀</w:t>
            </w:r>
            <w:r>
              <w:rPr>
                <w:rFonts w:hint="eastAsia" w:ascii="宋体" w:hAnsi="宋体" w:eastAsia="宋体" w:cs="宋体"/>
                <w:color w:val="auto"/>
                <w:kern w:val="0"/>
                <w:sz w:val="24"/>
                <w:highlight w:val="none"/>
                <w:lang w:bidi="ar"/>
              </w:rPr>
              <w:t>持输出</w:t>
            </w:r>
            <w:r>
              <w:rPr>
                <w:rFonts w:hint="eastAsia" w:ascii="宋体" w:hAnsi="宋体" w:eastAsia="宋体" w:cs="仿宋_GB2312"/>
                <w:color w:val="auto"/>
                <w:kern w:val="0"/>
                <w:sz w:val="24"/>
                <w:highlight w:val="none"/>
                <w:lang w:bidi="ar"/>
              </w:rPr>
              <w:t>4:3、16:9</w:t>
            </w:r>
            <w:r>
              <w:rPr>
                <w:rFonts w:hint="eastAsia" w:ascii="微软雅黑" w:hAnsi="微软雅黑" w:eastAsia="微软雅黑" w:cs="微软雅黑"/>
                <w:color w:val="auto"/>
                <w:kern w:val="0"/>
                <w:sz w:val="24"/>
                <w:highlight w:val="none"/>
                <w:lang w:bidi="ar"/>
              </w:rPr>
              <w:t>⽐</w:t>
            </w:r>
            <w:r>
              <w:rPr>
                <w:rFonts w:hint="eastAsia" w:ascii="宋体" w:hAnsi="宋体" w:eastAsia="宋体" w:cs="宋体"/>
                <w:color w:val="auto"/>
                <w:kern w:val="0"/>
                <w:sz w:val="24"/>
                <w:highlight w:val="none"/>
                <w:lang w:bidi="ar"/>
              </w:rPr>
              <w:t>例的图</w:t>
            </w:r>
            <w:r>
              <w:rPr>
                <w:rFonts w:hint="eastAsia" w:ascii="微软雅黑" w:hAnsi="微软雅黑" w:eastAsia="微软雅黑" w:cs="微软雅黑"/>
                <w:color w:val="auto"/>
                <w:kern w:val="0"/>
                <w:sz w:val="24"/>
                <w:highlight w:val="none"/>
                <w:lang w:bidi="ar"/>
              </w:rPr>
              <w:t>⽚</w:t>
            </w:r>
            <w:r>
              <w:rPr>
                <w:rFonts w:hint="eastAsia" w:ascii="宋体" w:hAnsi="宋体" w:eastAsia="宋体" w:cs="宋体"/>
                <w:color w:val="auto"/>
                <w:kern w:val="0"/>
                <w:sz w:val="24"/>
                <w:highlight w:val="none"/>
                <w:lang w:bidi="ar"/>
              </w:rPr>
              <w:t>和视频，支持拍摄＞</w:t>
            </w:r>
            <w:r>
              <w:rPr>
                <w:rFonts w:hint="eastAsia" w:ascii="宋体" w:hAnsi="宋体" w:eastAsia="宋体" w:cs="仿宋_GB2312"/>
                <w:color w:val="auto"/>
                <w:kern w:val="0"/>
                <w:sz w:val="24"/>
                <w:highlight w:val="none"/>
                <w:lang w:bidi="ar"/>
              </w:rPr>
              <w:t>1600 万像素数的照片和视频，支持输出 4k 分辨率的视频。</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11.整机支持智能熄屏，当涉笔处于黑暗环境中并无人操作，一分钟后整机将可以自动进入熄屏模式。</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12.整机可通过Type-C接口U盘进行文件传输，兼容Type-C接口手机充电。</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13.整机侧边栏内置应用管理，可查看全部应用列表，并可点击其中应用进行快捷打开。</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14.整机侧边栏内置自习工具，通过整机麦克风监测教室中学生音量大小，当学生音量大于阈值时，屏幕自动弹窗提醒进行自习纪律干预。</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15.整机侧边栏内置智能语音转文字工具，支持实时拾取整机系统播放的音视频源内容并进行文字转译，以悬浮字幕形式将文字显示在屏幕上。</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16.整机无需外接无线网卡，在Windows系统下可实现Wi-Fi无线上网连接、AP无线热点发射和BT蓝牙连接功能。</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17.整机无线模块采用独立模块化设计，无需拆卸整机后壳即可独立拆装。</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18.整机内置欢迎词应用，可自定义欢迎词或选择使用默认模板。</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19.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w:t>
            </w:r>
          </w:p>
          <w:p w14:paraId="2DA15316">
            <w:pPr>
              <w:widowControl/>
              <w:numPr>
                <w:ilvl w:val="0"/>
                <w:numId w:val="2"/>
              </w:numPr>
              <w:jc w:val="left"/>
              <w:textAlignment w:val="center"/>
              <w:rPr>
                <w:rFonts w:hint="eastAsia" w:ascii="宋体" w:hAnsi="宋体" w:eastAsia="宋体" w:cs="仿宋_GB2312"/>
                <w:color w:val="auto"/>
                <w:kern w:val="0"/>
                <w:sz w:val="24"/>
                <w:highlight w:val="none"/>
                <w:lang w:bidi="ar"/>
              </w:rPr>
            </w:pPr>
            <w:r>
              <w:rPr>
                <w:rFonts w:hint="eastAsia" w:ascii="宋体" w:hAnsi="宋体" w:eastAsia="宋体" w:cs="仿宋_GB2312"/>
                <w:color w:val="auto"/>
                <w:kern w:val="0"/>
                <w:sz w:val="24"/>
                <w:highlight w:val="none"/>
                <w:lang w:bidi="ar"/>
              </w:rPr>
              <w:t>整机具备前置物理按键数量≧6个，且前置接口与按键在设备同一侧。</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21.整机支持纸质护眼模式，纸质护眼模式下，显示画面各像素点灰度不规则，减少背景干扰。</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22.整机无线模块（Wi-Fi和蓝牙）采用独立模块化设计，无需拆卸整机后壳即可独立拆装。</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23.整机支持蓝牙Bluetooth 5.2标准。</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24.整机支持发出频率为18kHz-22kHz超声波信号，智能手机和笔记本电脑接收超声波信号后可以自动识别附近投屏设备，点击对应设备即可完成投屏操作。</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25.整机配套教学应用APP可通过wifi直连技术，基于统一身份认证机制可实现其他教学软件免登录操作。</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26.整机具备班级视力检测功能，学</w:t>
            </w:r>
            <w:r>
              <w:rPr>
                <w:rFonts w:hint="eastAsia" w:ascii="微软雅黑" w:hAnsi="微软雅黑" w:eastAsia="微软雅黑" w:cs="微软雅黑"/>
                <w:color w:val="auto"/>
                <w:kern w:val="0"/>
                <w:sz w:val="24"/>
                <w:highlight w:val="none"/>
                <w:lang w:bidi="ar"/>
              </w:rPr>
              <w:t>⽣</w:t>
            </w:r>
            <w:r>
              <w:rPr>
                <w:rFonts w:hint="eastAsia" w:ascii="宋体" w:hAnsi="宋体" w:eastAsia="宋体" w:cs="宋体"/>
                <w:color w:val="auto"/>
                <w:kern w:val="0"/>
                <w:sz w:val="24"/>
                <w:highlight w:val="none"/>
                <w:lang w:bidi="ar"/>
              </w:rPr>
              <w:t>站在距离屏幕前</w:t>
            </w:r>
            <w:r>
              <w:rPr>
                <w:rFonts w:hint="eastAsia" w:ascii="宋体" w:hAnsi="宋体" w:eastAsia="宋体" w:cs="仿宋_GB2312"/>
                <w:color w:val="auto"/>
                <w:kern w:val="0"/>
                <w:sz w:val="24"/>
                <w:highlight w:val="none"/>
                <w:lang w:bidi="ar"/>
              </w:rPr>
              <w:t>5m处，可通过</w:t>
            </w:r>
            <w:r>
              <w:rPr>
                <w:rFonts w:hint="eastAsia" w:ascii="微软雅黑" w:hAnsi="微软雅黑" w:eastAsia="微软雅黑" w:cs="微软雅黑"/>
                <w:color w:val="auto"/>
                <w:kern w:val="0"/>
                <w:sz w:val="24"/>
                <w:highlight w:val="none"/>
                <w:lang w:bidi="ar"/>
              </w:rPr>
              <w:t>⼿</w:t>
            </w:r>
            <w:r>
              <w:rPr>
                <w:rFonts w:hint="eastAsia" w:ascii="宋体" w:hAnsi="宋体" w:eastAsia="宋体" w:cs="宋体"/>
                <w:color w:val="auto"/>
                <w:kern w:val="0"/>
                <w:sz w:val="24"/>
                <w:highlight w:val="none"/>
                <w:lang w:bidi="ar"/>
              </w:rPr>
              <w:t>势识别方式来标识方向进行视力测试。</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27.内置AI作文批改工具，能够从作文的词汇词组、语法句子、内容连贯性多个维度进行分析和评价。对于存在的语法错误和错别字，能够指出并提供修改建议。</w:t>
            </w:r>
          </w:p>
          <w:p w14:paraId="0073C5ED">
            <w:pPr>
              <w:widowControl/>
              <w:numPr>
                <w:ilvl w:val="0"/>
                <w:numId w:val="3"/>
              </w:numPr>
              <w:jc w:val="left"/>
              <w:textAlignment w:val="center"/>
              <w:rPr>
                <w:rFonts w:hint="eastAsia" w:ascii="宋体" w:hAnsi="宋体" w:eastAsia="宋体" w:cs="仿宋_GB2312"/>
                <w:color w:val="auto"/>
                <w:kern w:val="0"/>
                <w:sz w:val="24"/>
                <w:highlight w:val="none"/>
                <w:lang w:bidi="ar"/>
              </w:rPr>
            </w:pPr>
            <w:r>
              <w:rPr>
                <w:rFonts w:hint="eastAsia" w:ascii="宋体" w:hAnsi="宋体" w:eastAsia="宋体" w:cs="仿宋_GB2312"/>
                <w:color w:val="auto"/>
                <w:kern w:val="0"/>
                <w:sz w:val="24"/>
                <w:highlight w:val="none"/>
                <w:lang w:bidi="ar"/>
              </w:rPr>
              <w:t>OPS模块：</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（1）CPU：主频≥2.0Ghz，处理器核数≥8核，≥12线程。</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（2）内存：8GB DDR4笔记本内存或以上配置。</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（3）硬盘：256GB或以上SSD固态硬盘。</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教学软件：</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1.软件采用备授课一体化设计，具有备课模式及授课模式。</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2.支持为教师提供可扩展至100TB的云存储空间，教师可在个人云空间上传存储互动课件、云教案和其他教学资源。</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3.交互式白板软件支持手写笔迹的智能编辑，支持通过手绘置换符快速置换前后文字语序，支持手动涂抹笔迹对象进行快速删除，支持圈选笔迹对象进行手写笔迹缩放，支持文字间手绘竖线进行文字间距的快速调整。</w:t>
            </w:r>
          </w:p>
          <w:p w14:paraId="37715160">
            <w:pPr>
              <w:widowControl/>
              <w:numPr>
                <w:ilvl w:val="0"/>
                <w:numId w:val="4"/>
              </w:numPr>
              <w:jc w:val="left"/>
              <w:textAlignment w:val="center"/>
              <w:rPr>
                <w:rFonts w:hint="eastAsia" w:ascii="宋体" w:hAnsi="宋体" w:eastAsia="宋体" w:cs="仿宋_GB2312"/>
                <w:color w:val="auto"/>
                <w:kern w:val="0"/>
                <w:sz w:val="24"/>
                <w:highlight w:val="none"/>
                <w:lang w:bidi="ar"/>
              </w:rPr>
            </w:pPr>
            <w:r>
              <w:rPr>
                <w:rFonts w:hint="eastAsia" w:ascii="宋体" w:hAnsi="宋体" w:eastAsia="宋体" w:cs="仿宋_GB2312"/>
                <w:color w:val="auto"/>
                <w:kern w:val="0"/>
                <w:sz w:val="24"/>
                <w:highlight w:val="none"/>
                <w:lang w:bidi="ar"/>
              </w:rPr>
              <w:t>支持PPT的原生解析，教师可将pptx课件转化为互动教学课件，支持单份导入和批量文件夹导入两种导入方式。</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5.具有互动式教学课件资源，包含学科教育各学段各地区教材版本不少于150个；具有互动式教学课件资源，包含学科教育各学段教材版本全部教学章节、专题教育多个主题教育、特殊教育3大分类的不少于十六万份的互动课件。</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6.软件内置的AI智能语义分析模块，可对输入的英文文本的拼写、句型、语法进行错误检查，并支持一键纠错。</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7.配置英语学科听写工具，覆盖小初高不少于8000个英语单词，支持自定义选择单词。</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8.整机内置交互式白板软件支持课件多人在线协同编辑，支持以链接的形式进行课件分享、邀请协作，支持查看当前在线用户，针对邀请协同的用户可设置可编辑、可阅读权限，支持将PPT课件转化为交互式课件进行协同编辑。</w:t>
            </w:r>
          </w:p>
          <w:p w14:paraId="0546035E">
            <w:pPr>
              <w:widowControl/>
              <w:numPr>
                <w:ilvl w:val="0"/>
                <w:numId w:val="5"/>
              </w:numPr>
              <w:jc w:val="left"/>
              <w:textAlignment w:val="center"/>
              <w:rPr>
                <w:rFonts w:hint="eastAsia" w:ascii="宋体" w:hAnsi="宋体" w:eastAsia="宋体" w:cs="仿宋_GB2312"/>
                <w:color w:val="auto"/>
                <w:kern w:val="0"/>
                <w:sz w:val="24"/>
                <w:highlight w:val="none"/>
                <w:lang w:bidi="ar"/>
              </w:rPr>
            </w:pPr>
            <w:r>
              <w:rPr>
                <w:rFonts w:hint="eastAsia" w:ascii="宋体" w:hAnsi="宋体" w:eastAsia="宋体" w:cs="仿宋_GB2312"/>
                <w:color w:val="auto"/>
                <w:kern w:val="0"/>
                <w:sz w:val="24"/>
                <w:highlight w:val="none"/>
                <w:lang w:bidi="ar"/>
              </w:rPr>
              <w:t>内嵌学科思维导图功能，提供思维导图、鱼骨图及组织结构图等知识结构化工具，思维导图支持自定义连接线、节点样式。</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10.提供预置教案模板不少于7个，云教案与云课件可一对多关联绑定。</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11.课堂互动游戏支持云储存，编辑完成的活动可一键存储至教师云空间，便于在不同课件中直接调用，无需反复编辑。</w:t>
            </w:r>
          </w:p>
          <w:p w14:paraId="5D272331">
            <w:pPr>
              <w:widowControl/>
              <w:numPr>
                <w:ilvl w:val="0"/>
                <w:numId w:val="6"/>
              </w:numPr>
              <w:jc w:val="left"/>
              <w:textAlignment w:val="center"/>
              <w:rPr>
                <w:rFonts w:hint="eastAsia" w:ascii="宋体" w:hAnsi="宋体" w:eastAsia="宋体" w:cs="仿宋_GB2312"/>
                <w:color w:val="auto"/>
                <w:kern w:val="0"/>
                <w:sz w:val="24"/>
                <w:highlight w:val="none"/>
                <w:lang w:bidi="ar"/>
              </w:rPr>
            </w:pPr>
            <w:r>
              <w:rPr>
                <w:rFonts w:hint="eastAsia" w:ascii="宋体" w:hAnsi="宋体" w:eastAsia="宋体" w:cs="仿宋_GB2312"/>
                <w:color w:val="auto"/>
                <w:kern w:val="0"/>
                <w:sz w:val="24"/>
                <w:highlight w:val="none"/>
                <w:lang w:bidi="ar"/>
              </w:rPr>
              <w:t>提供覆盖初中、高中的古诗词、古文教学资源。</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13.可自由绘制长方体、立方体、圆柱体、圆锥等几何图形。任意调节几何体的大小尺寸，支持几何图形按比例放大缩小和通过单独调整长宽高（半径/高）改变几何体大小。支持为长方体、圆柱体、圆锥等几何体的各面、棱分别填涂颜色，并且可通过360°旋转观察涂色面与未涂色面；几何体支持平面展开，预置长方体、立方体“141、132、222、33”型展开方式，展开后可对涂色面进行查看，有助于学生的空间想象。</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14.整机白板软件支持智能图表绘制，可将手绘表格转化为智能表格，形成表格对象后表格中书写区域可根据书写内容自适应调整大小，支持将表格外书写内容一键拖动到表格中。</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15.提供化学方程式快速编辑工具，当输入一个化学元素时，软件界面将自动显示出和该元素相关的多个常用化学反应方程式，可直接选择使用。</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16.内置图片处理功能，无需借助专业图片处理软件即可对课件内的图片进行快速抠图。</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17.为便于校园党建文化宣传，提供99节党建微课视频，包含革命篇、建设篇、改革篇、复兴篇4个篇章。</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18.提供三维立体星球模型，内含太阳系全览模型、行星模型、卫星模型，支持360°自由旋转、缩放。太阳系全览模型、行星、卫星使用模型嵌套设计，无需切换界面，可从太阳系逐层定位至卫星；提供丰富的地理教学图集，可查看行星的详细数据信息（包括名称、赤道直径、质量、自转周期、日心轨道周期、表面重力、温度等）和内部结构信息（地壳、地幔、外核、内核等），支持地球模型直接进行平面/立体转换，清晰展现地球表面的六大板块、降水分布、气温分布、气候分布、人口分布、表层洋流、陆地自然带、海平面等压线等内容，方便教学，星球模型不接受flash或其他动画形式。</w:t>
            </w:r>
          </w:p>
          <w:p w14:paraId="7904E30D">
            <w:pPr>
              <w:widowControl/>
              <w:numPr>
                <w:ilvl w:val="0"/>
                <w:numId w:val="0"/>
              </w:numPr>
              <w:jc w:val="left"/>
              <w:textAlignment w:val="center"/>
              <w:rPr>
                <w:rFonts w:hint="eastAsia" w:ascii="宋体" w:hAnsi="宋体" w:eastAsia="宋体" w:cs="仿宋_GB2312"/>
                <w:color w:val="auto"/>
                <w:kern w:val="0"/>
                <w:sz w:val="24"/>
                <w:highlight w:val="none"/>
                <w:lang w:bidi="ar"/>
              </w:rPr>
            </w:pPr>
            <w:r>
              <w:rPr>
                <w:rFonts w:hint="eastAsia" w:ascii="宋体" w:hAnsi="宋体" w:eastAsia="宋体" w:cs="仿宋_GB2312"/>
                <w:color w:val="auto"/>
                <w:kern w:val="0"/>
                <w:sz w:val="24"/>
                <w:highlight w:val="none"/>
                <w:lang w:bidi="ar"/>
              </w:rPr>
              <w:t>19.具有课堂活动智能填写功能，支持选词填空、判断对错和趣味选择三大课堂活动；输入文本后可以一键解析，自动将文本内容结构化填充至题干和正确选项，完成课堂活动的制作。</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20.▲为便于校本资源的建立，软件具备校本资源库，支持教师实现校本资源共建共享。支持课件、教案</w:t>
            </w:r>
            <w:r>
              <w:rPr>
                <w:rFonts w:hint="eastAsia" w:ascii="宋体" w:hAnsi="宋体" w:eastAsia="宋体" w:cs="仿宋_GB2312"/>
                <w:color w:val="auto"/>
                <w:kern w:val="0"/>
                <w:sz w:val="24"/>
                <w:highlight w:val="none"/>
                <w:lang w:val="en-US" w:eastAsia="zh-CN" w:bidi="ar"/>
              </w:rPr>
              <w:t>等</w:t>
            </w:r>
            <w:r>
              <w:rPr>
                <w:rFonts w:hint="eastAsia" w:ascii="宋体" w:hAnsi="宋体" w:eastAsia="宋体" w:cs="仿宋_GB2312"/>
                <w:color w:val="auto"/>
                <w:kern w:val="0"/>
                <w:sz w:val="24"/>
                <w:highlight w:val="none"/>
                <w:lang w:bidi="ar"/>
              </w:rPr>
              <w:t>以文件夹的形式批量上传，支持树形结构目录，可进行资源分类及查找，支持全局资源搜索，按年级、学科筛选资源，支持查找资源后定位到当前资源文件夹，支持获取校本多媒体资源到本地查看，也可选择插入校本资源库中的多媒体资源，实现校内资源的共建共享。</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21.空中课堂功能内置于交互式备授课软件中，无需额外安装部署直播软件，可实现语音直播、课件同步、互动工具等远程教学功能。</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22.支持创建教研组，在电脑端进入备课组空间实现组内备课资源共享，集体备课共研，支持选择教材和对应的章节目录，添加课件/教案/多媒体文件/集体备课项目到组内一起研讨，支持同步到校本资源库，支持查看不同时间/教材下的小组成员的备课资源和集备数据，支持对数据进行排序查看。</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23.支持报名参与学校发起的线上研修活动，查看课程相关的视频、教案、课件的资源文件，完成线上活动签到、发表评论的操作，实现在线学习研讨。</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24.整机白板软件支持智能图表绘制，可将手绘表格转化为智能表格，形成表格对象后表格中书写区域可根据书写内容自适应调整大小，支持将表格外书写内容一键拖动到表格中。</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25.软件支持集体备课混合教研，在授课模式下，使用交互式智能平板快速发起集体备课，开展即时的线下交流研讨，支持在线完成活动签到、资源共享，对整个线下研讨的过程进行记录，通过集体备课列表，在已发起的集备项目中支持大屏模式，开启线下研讨，支持分享二维码，现场或线上的老师可进入集备查看资源并参与研讨批注。</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智能笔：</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1.笔身造型采用圆润一体化笔型设计，表面采用手感漆工艺便于握持；笔身长度≤17cm,笔身直径≤13mm，笔身重量≤18g；</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2.笔身配置不少于五个按键，具备上下翻页，智能语音，远程聚光灯/放大，书写颜色切换，兼顾触摸书写以及远程操控的握持姿态；</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3.采用锥型笔尖设计，直径≤3mm；同时支持电容，红外触控设备书写，书写最小精度2mm；</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4.短按上下翻页按键，可实现白板软件/ppt/pdf等文档上下翻页；长按上下翻页按键3s，可实现ppt播放/退出；</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5.内置麦克风，支持按键唤醒语音识别功能，避免杂音造成误唤醒；</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6.支持唤醒语音识别时，可直接通过语音打开已安装的应用，可直接通过语音调用网络搜索引擎搜索查询相应资料，可进行语音转写输入，支持语音控制屏幕黑屏、亮屏，音量大小调整，返回桌面，截屏，关机等操作</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7.支持白板软件内，通过语音控制：切换书写、擦除、选择模式，最小化返回桌面，打开板中板，清空书写批注等操作；</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8.支持按键调起批注功能，可通过按键实现批注颜色切换，长按按键可实现橡皮擦功能</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9.无线dongle&amp;蓝牙连接距离≥12m，上下翻页/语音控制/远程批注实现距离≥12m，覆盖标准教室；</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10.内置锂电池，支持type-c充电，待机时间≥60h,连续书写时间≥8h，从无电到满电的充电时长≤1小时；</w:t>
            </w:r>
            <w:r>
              <w:rPr>
                <w:rFonts w:hint="eastAsia" w:ascii="宋体" w:hAnsi="宋体" w:eastAsia="宋体" w:cs="仿宋_GB2312"/>
                <w:color w:val="auto"/>
                <w:kern w:val="0"/>
                <w:sz w:val="24"/>
                <w:highlight w:val="none"/>
                <w:lang w:bidi="ar"/>
              </w:rPr>
              <w:br w:type="textWrapping"/>
            </w:r>
            <w:r>
              <w:rPr>
                <w:rFonts w:hint="eastAsia" w:ascii="宋体" w:hAnsi="宋体" w:eastAsia="宋体" w:cs="仿宋_GB2312"/>
                <w:color w:val="auto"/>
                <w:kern w:val="0"/>
                <w:sz w:val="24"/>
                <w:highlight w:val="none"/>
                <w:lang w:bidi="ar"/>
              </w:rPr>
              <w:t>11.支持智能休眠节电，当设备&gt;5min无人操作时，设备自动进入休眠节电模式；</w:t>
            </w:r>
          </w:p>
        </w:tc>
        <w:tc>
          <w:tcPr>
            <w:tcW w:w="502" w:type="pct"/>
            <w:tcBorders>
              <w:top w:val="single" w:color="000000" w:sz="4" w:space="0"/>
              <w:left w:val="single" w:color="000000" w:sz="4" w:space="0"/>
              <w:bottom w:val="single" w:color="000000" w:sz="4" w:space="0"/>
              <w:right w:val="single" w:color="000000" w:sz="4" w:space="0"/>
            </w:tcBorders>
            <w:vAlign w:val="center"/>
          </w:tcPr>
          <w:p w14:paraId="31416EB3">
            <w:pPr>
              <w:widowControl/>
              <w:jc w:val="center"/>
              <w:textAlignment w:val="center"/>
              <w:rPr>
                <w:rFonts w:hint="eastAsia" w:ascii="宋体" w:hAnsi="宋体" w:eastAsia="宋体" w:cs="仿宋_GB2312"/>
                <w:color w:val="auto"/>
                <w:sz w:val="24"/>
                <w:highlight w:val="none"/>
              </w:rPr>
            </w:pPr>
            <w:r>
              <w:rPr>
                <w:rFonts w:hint="eastAsia" w:ascii="宋体" w:hAnsi="宋体" w:eastAsia="宋体" w:cs="仿宋_GB2312"/>
                <w:color w:val="auto"/>
                <w:kern w:val="0"/>
                <w:sz w:val="24"/>
                <w:highlight w:val="none"/>
                <w:lang w:bidi="ar"/>
              </w:rPr>
              <w:t>块</w:t>
            </w:r>
          </w:p>
        </w:tc>
      </w:tr>
      <w:tr w14:paraId="3F3D6559">
        <w:tblPrEx>
          <w:tblCellMar>
            <w:top w:w="0" w:type="dxa"/>
            <w:left w:w="108" w:type="dxa"/>
            <w:bottom w:w="0" w:type="dxa"/>
            <w:right w:w="108" w:type="dxa"/>
          </w:tblCellMar>
        </w:tblPrEx>
        <w:trPr>
          <w:trHeight w:val="2395" w:hRule="atLeast"/>
        </w:trPr>
        <w:tc>
          <w:tcPr>
            <w:tcW w:w="359" w:type="pct"/>
            <w:vMerge w:val="continue"/>
            <w:tcBorders>
              <w:top w:val="single" w:color="000000" w:sz="4" w:space="0"/>
              <w:left w:val="single" w:color="000000" w:sz="4" w:space="0"/>
              <w:bottom w:val="single" w:color="000000" w:sz="4" w:space="0"/>
              <w:right w:val="single" w:color="000000" w:sz="4" w:space="0"/>
            </w:tcBorders>
            <w:noWrap/>
            <w:vAlign w:val="center"/>
          </w:tcPr>
          <w:p w14:paraId="5563F6D9">
            <w:pPr>
              <w:jc w:val="center"/>
              <w:rPr>
                <w:rFonts w:hint="eastAsia" w:ascii="宋体" w:hAnsi="宋体" w:eastAsia="宋体" w:cs="宋体"/>
                <w:color w:val="auto"/>
                <w:sz w:val="24"/>
                <w:highlight w:val="none"/>
              </w:rPr>
            </w:pPr>
          </w:p>
        </w:tc>
        <w:tc>
          <w:tcPr>
            <w:tcW w:w="405" w:type="pct"/>
            <w:tcBorders>
              <w:top w:val="single" w:color="000000" w:sz="4" w:space="0"/>
              <w:left w:val="single" w:color="000000" w:sz="4" w:space="0"/>
              <w:bottom w:val="single" w:color="000000" w:sz="4" w:space="0"/>
              <w:right w:val="single" w:color="000000" w:sz="4" w:space="0"/>
            </w:tcBorders>
            <w:vAlign w:val="center"/>
          </w:tcPr>
          <w:p w14:paraId="2245F0D4">
            <w:pPr>
              <w:widowControl/>
              <w:jc w:val="center"/>
              <w:textAlignment w:val="center"/>
              <w:rPr>
                <w:rFonts w:hint="eastAsia" w:ascii="宋体" w:hAnsi="宋体" w:eastAsia="宋体" w:cs="仿宋_GB2312"/>
                <w:color w:val="auto"/>
                <w:sz w:val="24"/>
                <w:highlight w:val="none"/>
              </w:rPr>
            </w:pPr>
            <w:r>
              <w:rPr>
                <w:rFonts w:hint="eastAsia" w:ascii="宋体" w:hAnsi="宋体" w:eastAsia="宋体" w:cs="仿宋_GB2312"/>
                <w:color w:val="auto"/>
                <w:kern w:val="0"/>
                <w:sz w:val="24"/>
                <w:highlight w:val="none"/>
                <w:lang w:bidi="ar"/>
              </w:rPr>
              <w:t>多媒体讲台</w:t>
            </w: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4C484BD1">
            <w:pPr>
              <w:widowControl/>
              <w:jc w:val="center"/>
              <w:textAlignment w:val="center"/>
              <w:rPr>
                <w:rFonts w:hint="eastAsia" w:ascii="宋体" w:hAnsi="宋体" w:eastAsia="宋体" w:cs="仿宋_GB2312"/>
                <w:color w:val="auto"/>
                <w:sz w:val="24"/>
                <w:highlight w:val="none"/>
              </w:rPr>
            </w:pPr>
            <w:r>
              <w:rPr>
                <w:rFonts w:hint="eastAsia" w:ascii="宋体" w:hAnsi="宋体" w:eastAsia="宋体" w:cs="仿宋_GB2312"/>
                <w:color w:val="auto"/>
                <w:kern w:val="0"/>
                <w:sz w:val="24"/>
                <w:highlight w:val="none"/>
                <w:lang w:bidi="ar"/>
              </w:rPr>
              <w:t>1</w:t>
            </w:r>
          </w:p>
        </w:tc>
        <w:tc>
          <w:tcPr>
            <w:tcW w:w="364" w:type="pct"/>
            <w:tcBorders>
              <w:top w:val="single" w:color="000000" w:sz="4" w:space="0"/>
              <w:left w:val="single" w:color="000000" w:sz="4" w:space="0"/>
              <w:bottom w:val="single" w:color="000000" w:sz="4" w:space="0"/>
              <w:right w:val="single" w:color="000000" w:sz="4" w:space="0"/>
            </w:tcBorders>
            <w:noWrap/>
            <w:vAlign w:val="center"/>
          </w:tcPr>
          <w:p w14:paraId="3FF0B2CA">
            <w:pPr>
              <w:widowControl/>
              <w:jc w:val="center"/>
              <w:textAlignment w:val="center"/>
              <w:rPr>
                <w:rFonts w:hint="eastAsia" w:ascii="宋体" w:hAnsi="宋体" w:eastAsia="宋体" w:cs="仿宋_GB2312"/>
                <w:color w:val="auto"/>
                <w:sz w:val="24"/>
                <w:highlight w:val="none"/>
              </w:rPr>
            </w:pPr>
            <w:r>
              <w:rPr>
                <w:rFonts w:hint="eastAsia" w:ascii="宋体" w:hAnsi="宋体" w:eastAsia="宋体" w:cs="仿宋_GB2312"/>
                <w:color w:val="auto"/>
                <w:kern w:val="0"/>
                <w:sz w:val="24"/>
                <w:highlight w:val="none"/>
                <w:lang w:bidi="ar"/>
              </w:rPr>
              <w:t>0.2</w:t>
            </w:r>
          </w:p>
        </w:tc>
        <w:tc>
          <w:tcPr>
            <w:tcW w:w="354" w:type="pct"/>
            <w:tcBorders>
              <w:top w:val="single" w:color="000000" w:sz="4" w:space="0"/>
              <w:left w:val="single" w:color="000000" w:sz="4" w:space="0"/>
              <w:bottom w:val="single" w:color="000000" w:sz="4" w:space="0"/>
              <w:right w:val="single" w:color="000000" w:sz="4" w:space="0"/>
            </w:tcBorders>
            <w:vAlign w:val="center"/>
          </w:tcPr>
          <w:p w14:paraId="2E91F3FE">
            <w:pPr>
              <w:widowControl/>
              <w:jc w:val="center"/>
              <w:textAlignment w:val="center"/>
              <w:rPr>
                <w:rFonts w:hint="eastAsia" w:ascii="宋体" w:hAnsi="宋体" w:eastAsia="宋体" w:cs="仿宋_GB2312"/>
                <w:color w:val="auto"/>
                <w:sz w:val="24"/>
                <w:highlight w:val="none"/>
              </w:rPr>
            </w:pPr>
            <w:r>
              <w:rPr>
                <w:rFonts w:hint="eastAsia" w:ascii="宋体" w:hAnsi="宋体" w:eastAsia="宋体" w:cs="仿宋_GB2312"/>
                <w:color w:val="auto"/>
                <w:kern w:val="0"/>
                <w:sz w:val="24"/>
                <w:highlight w:val="none"/>
                <w:lang w:bidi="ar"/>
              </w:rPr>
              <w:t>0.2</w:t>
            </w:r>
          </w:p>
        </w:tc>
        <w:tc>
          <w:tcPr>
            <w:tcW w:w="2785" w:type="pct"/>
            <w:tcBorders>
              <w:top w:val="single" w:color="000000" w:sz="4" w:space="0"/>
              <w:left w:val="single" w:color="000000" w:sz="4" w:space="0"/>
              <w:bottom w:val="single" w:color="000000" w:sz="4" w:space="0"/>
              <w:right w:val="single" w:color="000000" w:sz="4" w:space="0"/>
            </w:tcBorders>
            <w:vAlign w:val="center"/>
          </w:tcPr>
          <w:p w14:paraId="4CF678F9">
            <w:pPr>
              <w:widowControl/>
              <w:jc w:val="left"/>
              <w:textAlignment w:val="center"/>
              <w:rPr>
                <w:rFonts w:hint="eastAsia" w:ascii="宋体" w:hAnsi="宋体" w:eastAsia="宋体" w:cs="仿宋_GB2312"/>
                <w:color w:val="auto"/>
                <w:sz w:val="24"/>
                <w:highlight w:val="none"/>
              </w:rPr>
            </w:pPr>
            <w:r>
              <w:rPr>
                <w:rFonts w:hint="eastAsia" w:ascii="宋体" w:hAnsi="宋体" w:eastAsia="宋体" w:cs="仿宋_GB2312"/>
                <w:color w:val="auto"/>
                <w:kern w:val="0"/>
                <w:sz w:val="24"/>
                <w:highlight w:val="none"/>
                <w:lang w:bidi="ar"/>
              </w:rPr>
              <w:t>1. 外形尺寸（参考尺寸）：长×宽×高=1200mm×800mm×1000mm；2. 台体采用三段式装配设计，造型别致美观；3. 整体采用1.3mm厚冷轧钢板焊接组装而成，结实可靠。 表面全自动脱脂、双面静电喷塑处理，防锈性能好，环保健康；4. 底座采用平光亚光带雪花深咖啡色喷塑，桌身采用平光亮光乳白色喷塑，门板和抽屉采用平光亮光橘黄色喷塑，配色新颖档次高；5. 桌面板采用16mm厚的高密度复合板材，尖角圆弧过渡处理，表面和边缘高温热压同色防火PVC，安全环保，坚固耐用；6. 两侧扶手和后侧装饰板采用实木材质，高端大气，典雅美观；7. 桌面配有翻转装置，可隐藏显示器、键盘和鼠标；</w:t>
            </w:r>
            <w:r>
              <w:rPr>
                <w:rFonts w:hint="eastAsia" w:ascii="宋体" w:hAnsi="宋体" w:eastAsia="宋体" w:cs="仿宋_GB2312"/>
                <w:color w:val="auto"/>
                <w:kern w:val="0"/>
                <w:sz w:val="24"/>
                <w:highlight w:val="none"/>
                <w:lang w:val="en-US" w:eastAsia="zh-CN" w:bidi="ar"/>
              </w:rPr>
              <w:t>8</w:t>
            </w:r>
            <w:r>
              <w:rPr>
                <w:rFonts w:hint="eastAsia" w:ascii="宋体" w:hAnsi="宋体" w:eastAsia="宋体" w:cs="仿宋_GB2312"/>
                <w:color w:val="auto"/>
                <w:kern w:val="0"/>
                <w:sz w:val="24"/>
                <w:highlight w:val="none"/>
                <w:lang w:bidi="ar"/>
              </w:rPr>
              <w:t>. 翻转装置内配有中控安装位置；</w:t>
            </w:r>
            <w:r>
              <w:rPr>
                <w:rFonts w:hint="eastAsia" w:ascii="宋体" w:hAnsi="宋体" w:eastAsia="宋体" w:cs="仿宋_GB2312"/>
                <w:color w:val="auto"/>
                <w:kern w:val="0"/>
                <w:sz w:val="24"/>
                <w:highlight w:val="none"/>
                <w:lang w:val="en-US" w:eastAsia="zh-CN" w:bidi="ar"/>
              </w:rPr>
              <w:t>9</w:t>
            </w:r>
            <w:r>
              <w:rPr>
                <w:rFonts w:hint="eastAsia" w:ascii="宋体" w:hAnsi="宋体" w:eastAsia="宋体" w:cs="仿宋_GB2312"/>
                <w:color w:val="auto"/>
                <w:kern w:val="0"/>
                <w:sz w:val="24"/>
                <w:highlight w:val="none"/>
                <w:lang w:bidi="ar"/>
              </w:rPr>
              <w:t>.讲台右侧配有抽屉，配三节静音导轨和优质铝合金内挖拉手，造型美观。</w:t>
            </w:r>
          </w:p>
        </w:tc>
        <w:tc>
          <w:tcPr>
            <w:tcW w:w="502" w:type="pct"/>
            <w:tcBorders>
              <w:top w:val="single" w:color="000000" w:sz="4" w:space="0"/>
              <w:left w:val="single" w:color="000000" w:sz="4" w:space="0"/>
              <w:bottom w:val="single" w:color="000000" w:sz="4" w:space="0"/>
              <w:right w:val="single" w:color="000000" w:sz="4" w:space="0"/>
            </w:tcBorders>
            <w:vAlign w:val="center"/>
          </w:tcPr>
          <w:p w14:paraId="70BD4078">
            <w:pPr>
              <w:widowControl/>
              <w:jc w:val="center"/>
              <w:textAlignment w:val="center"/>
              <w:rPr>
                <w:rFonts w:hint="eastAsia" w:ascii="宋体" w:hAnsi="宋体" w:eastAsia="宋体" w:cs="仿宋_GB2312"/>
                <w:color w:val="auto"/>
                <w:sz w:val="24"/>
                <w:highlight w:val="none"/>
              </w:rPr>
            </w:pPr>
            <w:r>
              <w:rPr>
                <w:rFonts w:hint="eastAsia" w:ascii="宋体" w:hAnsi="宋体" w:eastAsia="宋体" w:cs="仿宋_GB2312"/>
                <w:color w:val="auto"/>
                <w:kern w:val="0"/>
                <w:sz w:val="24"/>
                <w:highlight w:val="none"/>
                <w:lang w:bidi="ar"/>
              </w:rPr>
              <w:t>个</w:t>
            </w:r>
          </w:p>
        </w:tc>
      </w:tr>
      <w:tr w14:paraId="404C46F4">
        <w:tblPrEx>
          <w:tblCellMar>
            <w:top w:w="0" w:type="dxa"/>
            <w:left w:w="108" w:type="dxa"/>
            <w:bottom w:w="0" w:type="dxa"/>
            <w:right w:w="108" w:type="dxa"/>
          </w:tblCellMar>
        </w:tblPrEx>
        <w:trPr>
          <w:trHeight w:val="540" w:hRule="atLeast"/>
        </w:trPr>
        <w:tc>
          <w:tcPr>
            <w:tcW w:w="359" w:type="pct"/>
            <w:vMerge w:val="continue"/>
            <w:tcBorders>
              <w:top w:val="single" w:color="000000" w:sz="4" w:space="0"/>
              <w:left w:val="single" w:color="000000" w:sz="4" w:space="0"/>
              <w:bottom w:val="single" w:color="000000" w:sz="4" w:space="0"/>
              <w:right w:val="single" w:color="000000" w:sz="4" w:space="0"/>
            </w:tcBorders>
            <w:noWrap/>
            <w:vAlign w:val="center"/>
          </w:tcPr>
          <w:p w14:paraId="2BCE3F03">
            <w:pPr>
              <w:jc w:val="center"/>
              <w:rPr>
                <w:rFonts w:hint="eastAsia" w:ascii="宋体" w:hAnsi="宋体" w:eastAsia="宋体" w:cs="宋体"/>
                <w:color w:val="auto"/>
                <w:sz w:val="24"/>
                <w:highlight w:val="none"/>
              </w:rPr>
            </w:pPr>
          </w:p>
        </w:tc>
        <w:tc>
          <w:tcPr>
            <w:tcW w:w="405" w:type="pct"/>
            <w:tcBorders>
              <w:top w:val="single" w:color="000000" w:sz="4" w:space="0"/>
              <w:left w:val="single" w:color="000000" w:sz="4" w:space="0"/>
              <w:bottom w:val="single" w:color="000000" w:sz="4" w:space="0"/>
              <w:right w:val="single" w:color="000000" w:sz="4" w:space="0"/>
            </w:tcBorders>
            <w:vAlign w:val="center"/>
          </w:tcPr>
          <w:p w14:paraId="0B355F58">
            <w:pPr>
              <w:widowControl/>
              <w:jc w:val="left"/>
              <w:textAlignment w:val="center"/>
              <w:rPr>
                <w:rFonts w:hint="eastAsia" w:ascii="宋体" w:hAnsi="宋体" w:eastAsia="宋体" w:cs="仿宋_GB2312"/>
                <w:color w:val="auto"/>
                <w:sz w:val="24"/>
                <w:highlight w:val="none"/>
              </w:rPr>
            </w:pPr>
            <w:r>
              <w:rPr>
                <w:rFonts w:hint="eastAsia" w:ascii="宋体" w:hAnsi="宋体" w:eastAsia="宋体" w:cs="仿宋_GB2312"/>
                <w:color w:val="auto"/>
                <w:kern w:val="0"/>
                <w:sz w:val="24"/>
                <w:highlight w:val="none"/>
                <w:lang w:bidi="ar"/>
              </w:rPr>
              <w:t>售后服务</w:t>
            </w: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78EC96D0">
            <w:pPr>
              <w:rPr>
                <w:rFonts w:hint="eastAsia" w:ascii="宋体" w:hAnsi="宋体" w:eastAsia="宋体" w:cs="仿宋_GB2312"/>
                <w:color w:val="auto"/>
                <w:sz w:val="24"/>
                <w:highlight w:val="none"/>
              </w:rPr>
            </w:pPr>
          </w:p>
        </w:tc>
        <w:tc>
          <w:tcPr>
            <w:tcW w:w="364" w:type="pct"/>
            <w:tcBorders>
              <w:top w:val="single" w:color="000000" w:sz="4" w:space="0"/>
              <w:left w:val="single" w:color="000000" w:sz="4" w:space="0"/>
              <w:bottom w:val="single" w:color="000000" w:sz="4" w:space="0"/>
              <w:right w:val="single" w:color="000000" w:sz="4" w:space="0"/>
            </w:tcBorders>
            <w:noWrap/>
            <w:vAlign w:val="center"/>
          </w:tcPr>
          <w:p w14:paraId="03755507">
            <w:pPr>
              <w:jc w:val="center"/>
              <w:rPr>
                <w:rFonts w:hint="eastAsia" w:ascii="宋体" w:hAnsi="宋体" w:eastAsia="宋体" w:cs="仿宋_GB2312"/>
                <w:color w:val="auto"/>
                <w:sz w:val="24"/>
                <w:highlight w:val="none"/>
              </w:rPr>
            </w:pPr>
          </w:p>
        </w:tc>
        <w:tc>
          <w:tcPr>
            <w:tcW w:w="354" w:type="pct"/>
            <w:tcBorders>
              <w:top w:val="single" w:color="000000" w:sz="4" w:space="0"/>
              <w:left w:val="single" w:color="000000" w:sz="4" w:space="0"/>
              <w:bottom w:val="single" w:color="000000" w:sz="4" w:space="0"/>
              <w:right w:val="single" w:color="000000" w:sz="4" w:space="0"/>
            </w:tcBorders>
            <w:vAlign w:val="center"/>
          </w:tcPr>
          <w:p w14:paraId="1E787E0F">
            <w:pPr>
              <w:rPr>
                <w:rFonts w:hint="eastAsia" w:ascii="宋体" w:hAnsi="宋体" w:eastAsia="宋体" w:cs="仿宋_GB2312"/>
                <w:color w:val="auto"/>
                <w:kern w:val="0"/>
                <w:sz w:val="24"/>
                <w:highlight w:val="none"/>
                <w:lang w:bidi="ar"/>
              </w:rPr>
            </w:pPr>
          </w:p>
        </w:tc>
        <w:tc>
          <w:tcPr>
            <w:tcW w:w="2785" w:type="pct"/>
            <w:tcBorders>
              <w:top w:val="single" w:color="000000" w:sz="4" w:space="0"/>
              <w:left w:val="single" w:color="000000" w:sz="4" w:space="0"/>
              <w:bottom w:val="single" w:color="000000" w:sz="4" w:space="0"/>
              <w:right w:val="single" w:color="000000" w:sz="4" w:space="0"/>
            </w:tcBorders>
            <w:vAlign w:val="center"/>
          </w:tcPr>
          <w:p w14:paraId="7000F6B7">
            <w:pPr>
              <w:widowControl/>
              <w:jc w:val="left"/>
              <w:textAlignment w:val="center"/>
              <w:rPr>
                <w:rFonts w:hint="eastAsia" w:ascii="宋体" w:hAnsi="宋体" w:eastAsia="宋体" w:cs="仿宋_GB2312"/>
                <w:color w:val="auto"/>
                <w:kern w:val="0"/>
                <w:sz w:val="24"/>
                <w:highlight w:val="none"/>
                <w:lang w:bidi="ar"/>
              </w:rPr>
            </w:pPr>
            <w:r>
              <w:rPr>
                <w:rFonts w:hint="eastAsia" w:ascii="宋体" w:hAnsi="宋体" w:eastAsia="宋体" w:cs="仿宋_GB2312"/>
                <w:color w:val="auto"/>
                <w:kern w:val="0"/>
                <w:sz w:val="24"/>
                <w:highlight w:val="none"/>
                <w:lang w:bidi="ar"/>
              </w:rPr>
              <w:t>1、专业建设，校企协作完善人才培养方案。</w:t>
            </w:r>
          </w:p>
          <w:p w14:paraId="21729C9B">
            <w:pPr>
              <w:widowControl/>
              <w:jc w:val="left"/>
              <w:textAlignment w:val="center"/>
              <w:rPr>
                <w:rFonts w:hint="eastAsia" w:ascii="宋体" w:hAnsi="宋体" w:eastAsia="宋体" w:cs="仿宋_GB2312"/>
                <w:color w:val="auto"/>
                <w:kern w:val="0"/>
                <w:sz w:val="24"/>
                <w:highlight w:val="none"/>
                <w:lang w:bidi="ar"/>
              </w:rPr>
            </w:pPr>
            <w:r>
              <w:rPr>
                <w:rFonts w:hint="eastAsia" w:ascii="宋体" w:hAnsi="宋体" w:eastAsia="宋体" w:cs="仿宋_GB2312"/>
                <w:color w:val="auto"/>
                <w:kern w:val="0"/>
                <w:sz w:val="24"/>
                <w:highlight w:val="none"/>
                <w:lang w:bidi="ar"/>
              </w:rPr>
              <w:t>2、校企协作共同打造精品课程。</w:t>
            </w:r>
          </w:p>
          <w:p w14:paraId="007783AE">
            <w:pPr>
              <w:widowControl/>
              <w:jc w:val="left"/>
              <w:textAlignment w:val="center"/>
              <w:rPr>
                <w:rFonts w:hint="eastAsia" w:ascii="宋体" w:hAnsi="宋体" w:eastAsia="宋体" w:cs="仿宋_GB2312"/>
                <w:color w:val="auto"/>
                <w:kern w:val="0"/>
                <w:sz w:val="24"/>
                <w:highlight w:val="none"/>
                <w:lang w:bidi="ar"/>
              </w:rPr>
            </w:pPr>
            <w:r>
              <w:rPr>
                <w:rFonts w:hint="eastAsia" w:ascii="宋体" w:hAnsi="宋体" w:eastAsia="宋体" w:cs="仿宋_GB2312"/>
                <w:color w:val="auto"/>
                <w:kern w:val="0"/>
                <w:sz w:val="24"/>
                <w:highlight w:val="none"/>
                <w:lang w:bidi="ar"/>
              </w:rPr>
              <w:t>3、技能大赛技术支持。</w:t>
            </w:r>
          </w:p>
          <w:p w14:paraId="52E88B3C">
            <w:pPr>
              <w:widowControl/>
              <w:jc w:val="left"/>
              <w:textAlignment w:val="center"/>
              <w:rPr>
                <w:rFonts w:hint="eastAsia" w:ascii="宋体" w:hAnsi="宋体" w:eastAsia="宋体" w:cs="仿宋_GB2312"/>
                <w:color w:val="auto"/>
                <w:kern w:val="0"/>
                <w:sz w:val="24"/>
                <w:highlight w:val="none"/>
                <w:lang w:bidi="ar"/>
              </w:rPr>
            </w:pPr>
            <w:r>
              <w:rPr>
                <w:rFonts w:hint="eastAsia" w:ascii="宋体" w:hAnsi="宋体" w:eastAsia="宋体" w:cs="仿宋_GB2312"/>
                <w:color w:val="auto"/>
                <w:kern w:val="0"/>
                <w:sz w:val="24"/>
                <w:highlight w:val="none"/>
                <w:lang w:bidi="ar"/>
              </w:rPr>
              <w:t>4、与行业企业建立校企合作关系、企业官方授权挂牌共建实训基地，并提供学生实习就业。</w:t>
            </w:r>
          </w:p>
          <w:p w14:paraId="06C6A217">
            <w:pPr>
              <w:widowControl/>
              <w:jc w:val="left"/>
              <w:textAlignment w:val="center"/>
              <w:rPr>
                <w:rFonts w:hint="eastAsia" w:ascii="宋体" w:hAnsi="宋体" w:eastAsia="宋体" w:cs="仿宋_GB2312"/>
                <w:color w:val="auto"/>
                <w:kern w:val="0"/>
                <w:sz w:val="24"/>
                <w:highlight w:val="none"/>
                <w:lang w:bidi="ar"/>
              </w:rPr>
            </w:pPr>
            <w:r>
              <w:rPr>
                <w:rFonts w:hint="eastAsia" w:ascii="宋体" w:hAnsi="宋体" w:eastAsia="宋体" w:cs="仿宋_GB2312"/>
                <w:color w:val="auto"/>
                <w:kern w:val="0"/>
                <w:sz w:val="24"/>
                <w:highlight w:val="none"/>
                <w:lang w:bidi="ar"/>
              </w:rPr>
              <w:t>5、实训室内涵建设</w:t>
            </w:r>
          </w:p>
          <w:p w14:paraId="6F310A91">
            <w:pPr>
              <w:widowControl/>
              <w:jc w:val="left"/>
              <w:textAlignment w:val="center"/>
              <w:rPr>
                <w:rFonts w:hint="eastAsia" w:ascii="宋体" w:hAnsi="宋体" w:eastAsia="宋体" w:cs="仿宋_GB2312"/>
                <w:color w:val="auto"/>
                <w:kern w:val="0"/>
                <w:sz w:val="24"/>
                <w:highlight w:val="none"/>
                <w:lang w:bidi="ar"/>
              </w:rPr>
            </w:pPr>
            <w:r>
              <w:rPr>
                <w:rFonts w:hint="eastAsia" w:ascii="宋体" w:hAnsi="宋体" w:eastAsia="宋体" w:cs="仿宋_GB2312"/>
                <w:color w:val="auto"/>
                <w:kern w:val="0"/>
                <w:sz w:val="24"/>
                <w:highlight w:val="none"/>
                <w:lang w:bidi="ar"/>
              </w:rPr>
              <w:t>（1）要求针对本次项目涉及的实训室进行文化内涵建设，包括但不限于实训室介绍、实训仿真介绍。要求以实训室挂图或标语或喷绘等形式展现。</w:t>
            </w:r>
          </w:p>
          <w:p w14:paraId="7FE45B3B">
            <w:pPr>
              <w:widowControl/>
              <w:jc w:val="left"/>
              <w:textAlignment w:val="center"/>
              <w:rPr>
                <w:rFonts w:hint="eastAsia" w:ascii="宋体" w:hAnsi="宋体" w:eastAsia="宋体" w:cs="仿宋_GB2312"/>
                <w:color w:val="auto"/>
                <w:kern w:val="0"/>
                <w:sz w:val="24"/>
                <w:highlight w:val="none"/>
                <w:lang w:bidi="ar"/>
              </w:rPr>
            </w:pPr>
            <w:r>
              <w:rPr>
                <w:rFonts w:hint="eastAsia" w:ascii="宋体" w:hAnsi="宋体" w:eastAsia="宋体" w:cs="仿宋_GB2312"/>
                <w:color w:val="auto"/>
                <w:kern w:val="0"/>
                <w:sz w:val="24"/>
                <w:highlight w:val="none"/>
                <w:lang w:bidi="ar"/>
              </w:rPr>
              <w:t>（2）按实际情况提供实训平台安装所需的优质线缆及桥架材料。并按工程施工标准进行吊顶/地面桥架的搭建、线缆的敷设，要求设计合理、安全规范、功能满足教学设备使用要求。</w:t>
            </w:r>
          </w:p>
          <w:p w14:paraId="1CECB058">
            <w:pPr>
              <w:widowControl/>
              <w:jc w:val="left"/>
              <w:textAlignment w:val="center"/>
              <w:rPr>
                <w:rFonts w:hint="eastAsia" w:ascii="宋体" w:hAnsi="宋体" w:eastAsia="宋体" w:cs="仿宋_GB2312"/>
                <w:color w:val="auto"/>
                <w:kern w:val="0"/>
                <w:sz w:val="24"/>
                <w:highlight w:val="none"/>
                <w:lang w:bidi="ar"/>
              </w:rPr>
            </w:pPr>
            <w:r>
              <w:rPr>
                <w:rFonts w:hint="eastAsia" w:ascii="宋体" w:hAnsi="宋体" w:eastAsia="宋体" w:cs="仿宋_GB2312"/>
                <w:color w:val="auto"/>
                <w:kern w:val="0"/>
                <w:sz w:val="24"/>
                <w:highlight w:val="none"/>
                <w:lang w:bidi="ar"/>
              </w:rPr>
              <w:t>6、</w:t>
            </w:r>
            <w:r>
              <w:rPr>
                <w:rFonts w:hint="eastAsia" w:ascii="宋体" w:hAnsi="宋体" w:eastAsia="宋体" w:cs="仿宋_GB2312"/>
                <w:color w:val="auto"/>
                <w:kern w:val="0"/>
                <w:sz w:val="24"/>
                <w:highlight w:val="none"/>
                <w:lang w:val="en-US" w:eastAsia="zh-CN" w:bidi="ar"/>
              </w:rPr>
              <w:t>功能</w:t>
            </w:r>
            <w:r>
              <w:rPr>
                <w:rFonts w:hint="eastAsia" w:ascii="宋体" w:hAnsi="宋体" w:eastAsia="宋体" w:cs="仿宋_GB2312"/>
                <w:color w:val="auto"/>
                <w:kern w:val="0"/>
                <w:sz w:val="24"/>
                <w:highlight w:val="none"/>
                <w:lang w:bidi="ar"/>
              </w:rPr>
              <w:t>演示：</w:t>
            </w:r>
            <w:r>
              <w:rPr>
                <w:rFonts w:hint="eastAsia" w:ascii="宋体" w:hAnsi="宋体" w:eastAsia="宋体" w:cs="仿宋_GB2312"/>
                <w:color w:val="auto"/>
                <w:kern w:val="0"/>
                <w:sz w:val="24"/>
                <w:highlight w:val="none"/>
                <w:lang w:val="en-US" w:eastAsia="zh-CN" w:bidi="ar"/>
              </w:rPr>
              <w:t>合同签定</w:t>
            </w:r>
            <w:r>
              <w:rPr>
                <w:rFonts w:hint="eastAsia" w:ascii="宋体" w:hAnsi="宋体" w:eastAsia="宋体" w:cs="仿宋_GB2312"/>
                <w:color w:val="auto"/>
                <w:kern w:val="0"/>
                <w:sz w:val="24"/>
                <w:highlight w:val="none"/>
                <w:lang w:bidi="ar"/>
              </w:rPr>
              <w:t>后10日内需进行产品</w:t>
            </w:r>
            <w:r>
              <w:rPr>
                <w:rFonts w:hint="eastAsia" w:ascii="宋体" w:hAnsi="宋体" w:eastAsia="宋体" w:cs="仿宋_GB2312"/>
                <w:color w:val="auto"/>
                <w:kern w:val="0"/>
                <w:sz w:val="24"/>
                <w:highlight w:val="none"/>
                <w:lang w:val="en-US" w:eastAsia="zh-CN" w:bidi="ar"/>
              </w:rPr>
              <w:t>线上视频</w:t>
            </w:r>
            <w:r>
              <w:rPr>
                <w:rFonts w:hint="eastAsia" w:ascii="宋体" w:hAnsi="宋体" w:eastAsia="宋体" w:cs="仿宋_GB2312"/>
                <w:color w:val="auto"/>
                <w:kern w:val="0"/>
                <w:sz w:val="24"/>
                <w:highlight w:val="none"/>
                <w:lang w:bidi="ar"/>
              </w:rPr>
              <w:t>功能演示。</w:t>
            </w:r>
          </w:p>
          <w:p w14:paraId="6779D7DA">
            <w:pPr>
              <w:widowControl/>
              <w:jc w:val="left"/>
              <w:textAlignment w:val="center"/>
              <w:rPr>
                <w:rFonts w:hint="eastAsia" w:ascii="宋体" w:hAnsi="宋体" w:eastAsia="宋体" w:cs="仿宋_GB2312"/>
                <w:color w:val="auto"/>
                <w:kern w:val="0"/>
                <w:sz w:val="24"/>
                <w:highlight w:val="none"/>
                <w:lang w:bidi="ar"/>
              </w:rPr>
            </w:pPr>
            <w:r>
              <w:rPr>
                <w:rFonts w:hint="eastAsia" w:ascii="宋体" w:hAnsi="宋体" w:eastAsia="宋体" w:cs="仿宋_GB2312"/>
                <w:color w:val="auto"/>
                <w:kern w:val="0"/>
                <w:sz w:val="24"/>
                <w:highlight w:val="none"/>
                <w:lang w:bidi="ar"/>
              </w:rPr>
              <w:t>7、提供教师研修培训，参与企业生产现场实践。</w:t>
            </w:r>
          </w:p>
          <w:p w14:paraId="24ED2110">
            <w:pPr>
              <w:widowControl/>
              <w:jc w:val="left"/>
              <w:textAlignment w:val="center"/>
              <w:rPr>
                <w:rFonts w:hint="eastAsia" w:ascii="宋体" w:hAnsi="宋体" w:eastAsia="宋体" w:cs="仿宋_GB2312"/>
                <w:color w:val="auto"/>
                <w:sz w:val="24"/>
                <w:highlight w:val="none"/>
              </w:rPr>
            </w:pPr>
            <w:r>
              <w:rPr>
                <w:rFonts w:hint="eastAsia" w:ascii="宋体" w:hAnsi="宋体" w:eastAsia="宋体" w:cs="仿宋_GB2312"/>
                <w:color w:val="auto"/>
                <w:kern w:val="0"/>
                <w:sz w:val="24"/>
                <w:highlight w:val="none"/>
                <w:lang w:bidi="ar"/>
              </w:rPr>
              <w:t>8、双师队伍建设合作，企业专家授课：邀请企业的技术骨干和管理人员到学校担任兼职教师，为学生传授实践经验和行业最新动态。教师企业锻炼：学校安排教师到企业挂职，参与企业的生产和管理，提升教师的实践能力。</w:t>
            </w:r>
          </w:p>
        </w:tc>
        <w:tc>
          <w:tcPr>
            <w:tcW w:w="502" w:type="pct"/>
            <w:tcBorders>
              <w:top w:val="single" w:color="000000" w:sz="4" w:space="0"/>
              <w:left w:val="single" w:color="000000" w:sz="4" w:space="0"/>
              <w:bottom w:val="single" w:color="000000" w:sz="4" w:space="0"/>
              <w:right w:val="single" w:color="000000" w:sz="4" w:space="0"/>
            </w:tcBorders>
            <w:noWrap/>
            <w:vAlign w:val="center"/>
          </w:tcPr>
          <w:p w14:paraId="7294E100">
            <w:pPr>
              <w:jc w:val="center"/>
              <w:rPr>
                <w:rFonts w:hint="eastAsia" w:ascii="宋体" w:hAnsi="宋体" w:eastAsia="宋体" w:cs="仿宋_GB2312"/>
                <w:color w:val="auto"/>
                <w:sz w:val="24"/>
                <w:highlight w:val="none"/>
              </w:rPr>
            </w:pPr>
          </w:p>
        </w:tc>
      </w:tr>
      <w:tr w14:paraId="3CCC0816">
        <w:tblPrEx>
          <w:tblCellMar>
            <w:top w:w="0" w:type="dxa"/>
            <w:left w:w="108" w:type="dxa"/>
            <w:bottom w:w="0" w:type="dxa"/>
            <w:right w:w="108" w:type="dxa"/>
          </w:tblCellMar>
        </w:tblPrEx>
        <w:trPr>
          <w:trHeight w:val="540" w:hRule="atLeast"/>
        </w:trPr>
        <w:tc>
          <w:tcPr>
            <w:tcW w:w="359" w:type="pct"/>
            <w:vMerge w:val="continue"/>
            <w:tcBorders>
              <w:top w:val="single" w:color="000000" w:sz="4" w:space="0"/>
              <w:left w:val="single" w:color="000000" w:sz="4" w:space="0"/>
              <w:bottom w:val="single" w:color="000000" w:sz="4" w:space="0"/>
              <w:right w:val="single" w:color="000000" w:sz="4" w:space="0"/>
            </w:tcBorders>
            <w:noWrap/>
            <w:vAlign w:val="center"/>
          </w:tcPr>
          <w:p w14:paraId="46663E4C">
            <w:pPr>
              <w:jc w:val="center"/>
              <w:rPr>
                <w:rFonts w:hint="eastAsia" w:ascii="宋体" w:hAnsi="宋体" w:eastAsia="宋体" w:cs="宋体"/>
                <w:color w:val="auto"/>
                <w:sz w:val="24"/>
                <w:highlight w:val="none"/>
              </w:rPr>
            </w:pPr>
          </w:p>
        </w:tc>
        <w:tc>
          <w:tcPr>
            <w:tcW w:w="998" w:type="pct"/>
            <w:gridSpan w:val="3"/>
            <w:tcBorders>
              <w:top w:val="single" w:color="000000" w:sz="4" w:space="0"/>
              <w:left w:val="single" w:color="000000" w:sz="4" w:space="0"/>
              <w:bottom w:val="single" w:color="000000" w:sz="4" w:space="0"/>
              <w:right w:val="single" w:color="000000" w:sz="4" w:space="0"/>
            </w:tcBorders>
            <w:vAlign w:val="center"/>
          </w:tcPr>
          <w:p w14:paraId="4AD25AB7">
            <w:pPr>
              <w:jc w:val="center"/>
              <w:rPr>
                <w:rFonts w:hint="eastAsia" w:ascii="宋体" w:hAnsi="宋体" w:eastAsia="宋体" w:cs="仿宋_GB2312"/>
                <w:color w:val="auto"/>
                <w:sz w:val="24"/>
                <w:highlight w:val="none"/>
              </w:rPr>
            </w:pPr>
            <w:r>
              <w:rPr>
                <w:rFonts w:hint="eastAsia" w:ascii="宋体" w:hAnsi="宋体" w:eastAsia="宋体" w:cs="仿宋_GB2312"/>
                <w:color w:val="auto"/>
                <w:sz w:val="24"/>
                <w:highlight w:val="none"/>
              </w:rPr>
              <w:t>合计</w:t>
            </w:r>
          </w:p>
        </w:tc>
        <w:tc>
          <w:tcPr>
            <w:tcW w:w="354" w:type="pct"/>
            <w:tcBorders>
              <w:top w:val="single" w:color="000000" w:sz="4" w:space="0"/>
              <w:left w:val="single" w:color="000000" w:sz="4" w:space="0"/>
              <w:bottom w:val="single" w:color="000000" w:sz="4" w:space="0"/>
              <w:right w:val="single" w:color="000000" w:sz="4" w:space="0"/>
            </w:tcBorders>
            <w:vAlign w:val="center"/>
          </w:tcPr>
          <w:p w14:paraId="3C1F8099">
            <w:pPr>
              <w:widowControl/>
              <w:jc w:val="right"/>
              <w:textAlignment w:val="center"/>
              <w:rPr>
                <w:rFonts w:hint="eastAsia" w:ascii="宋体" w:hAnsi="宋体" w:eastAsia="宋体" w:cs="仿宋_GB2312"/>
                <w:color w:val="auto"/>
                <w:sz w:val="24"/>
                <w:highlight w:val="none"/>
              </w:rPr>
            </w:pPr>
            <w:r>
              <w:rPr>
                <w:rFonts w:hint="eastAsia" w:ascii="宋体" w:hAnsi="宋体" w:eastAsia="宋体" w:cs="仿宋_GB2312"/>
                <w:color w:val="auto"/>
                <w:sz w:val="24"/>
                <w:highlight w:val="none"/>
              </w:rPr>
              <w:t>98.176</w:t>
            </w:r>
          </w:p>
        </w:tc>
        <w:tc>
          <w:tcPr>
            <w:tcW w:w="2785" w:type="pct"/>
            <w:tcBorders>
              <w:top w:val="single" w:color="000000" w:sz="4" w:space="0"/>
              <w:left w:val="single" w:color="000000" w:sz="4" w:space="0"/>
              <w:bottom w:val="single" w:color="000000" w:sz="4" w:space="0"/>
              <w:right w:val="single" w:color="000000" w:sz="4" w:space="0"/>
            </w:tcBorders>
            <w:vAlign w:val="center"/>
          </w:tcPr>
          <w:p w14:paraId="192F49E3">
            <w:pPr>
              <w:rPr>
                <w:rFonts w:hint="eastAsia" w:ascii="宋体" w:hAnsi="宋体" w:eastAsia="宋体" w:cs="仿宋_GB2312"/>
                <w:color w:val="auto"/>
                <w:sz w:val="24"/>
                <w:highlight w:val="none"/>
              </w:rPr>
            </w:pPr>
          </w:p>
        </w:tc>
        <w:tc>
          <w:tcPr>
            <w:tcW w:w="502" w:type="pct"/>
            <w:tcBorders>
              <w:top w:val="single" w:color="000000" w:sz="4" w:space="0"/>
              <w:left w:val="single" w:color="000000" w:sz="4" w:space="0"/>
              <w:bottom w:val="single" w:color="000000" w:sz="4" w:space="0"/>
              <w:right w:val="single" w:color="000000" w:sz="4" w:space="0"/>
            </w:tcBorders>
            <w:noWrap/>
            <w:vAlign w:val="center"/>
          </w:tcPr>
          <w:p w14:paraId="4D1B8175">
            <w:pPr>
              <w:jc w:val="center"/>
              <w:rPr>
                <w:rFonts w:hint="eastAsia" w:ascii="宋体" w:hAnsi="宋体" w:eastAsia="宋体" w:cs="仿宋_GB2312"/>
                <w:color w:val="auto"/>
                <w:sz w:val="24"/>
                <w:highlight w:val="none"/>
              </w:rPr>
            </w:pPr>
          </w:p>
        </w:tc>
      </w:tr>
    </w:tbl>
    <w:p w14:paraId="36C04E8A">
      <w:pPr>
        <w:rPr>
          <w:rFonts w:hint="eastAsia" w:ascii="宋体" w:hAnsi="宋体" w:eastAsia="宋体"/>
          <w:sz w:val="24"/>
          <w:highlight w:val="none"/>
        </w:rPr>
      </w:pPr>
    </w:p>
    <w:p w14:paraId="6D32CD96">
      <w:pPr>
        <w:rPr>
          <w:rFonts w:hint="eastAsia" w:ascii="宋体" w:hAnsi="宋体" w:eastAsia="宋体"/>
          <w:sz w:val="24"/>
          <w:highlight w:val="none"/>
        </w:rPr>
      </w:pPr>
    </w:p>
    <w:p w14:paraId="08FB5D38">
      <w:pPr>
        <w:rPr>
          <w:rFonts w:hint="eastAsia" w:ascii="宋体" w:hAnsi="宋体" w:eastAsia="宋体"/>
          <w:sz w:val="24"/>
          <w:highlight w:val="none"/>
        </w:rPr>
      </w:pPr>
    </w:p>
    <w:p w14:paraId="581D0E70">
      <w:pPr>
        <w:rPr>
          <w:rFonts w:hint="eastAsia" w:ascii="宋体" w:hAnsi="宋体" w:eastAsia="宋体"/>
          <w:sz w:val="24"/>
          <w:highlight w:val="none"/>
        </w:rPr>
      </w:pPr>
    </w:p>
    <w:p w14:paraId="49D8F5F2">
      <w:pPr>
        <w:rPr>
          <w:rFonts w:hint="eastAsia" w:ascii="宋体" w:hAnsi="宋体" w:eastAsia="宋体"/>
          <w:sz w:val="24"/>
          <w:highlight w:val="none"/>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2312">
    <w:panose1 w:val="02000000000000000000"/>
    <w:charset w:val="86"/>
    <w:family w:val="auto"/>
    <w:pitch w:val="default"/>
    <w:sig w:usb0="A00002BF" w:usb1="184F6CFA" w:usb2="00000012" w:usb3="00000000" w:csb0="00040001" w:csb1="00000000"/>
  </w:font>
  <w:font w:name="方正小标宋简体">
    <w:panose1 w:val="03000509000000000000"/>
    <w:charset w:val="86"/>
    <w:family w:val="auto"/>
    <w:pitch w:val="default"/>
    <w:sig w:usb0="00000001" w:usb1="080E0000" w:usb2="00000000" w:usb3="00000000" w:csb0="00040000" w:csb1="00000000"/>
    <w:embedRegular r:id="rId1" w:fontKey="{6F2A502D-B45F-4B3C-A81D-9BFEEB46F32F}"/>
  </w:font>
  <w:font w:name="仿宋_GB2312">
    <w:panose1 w:val="02010609030101010101"/>
    <w:charset w:val="86"/>
    <w:family w:val="modern"/>
    <w:pitch w:val="default"/>
    <w:sig w:usb0="00000001" w:usb1="080E0000" w:usb2="00000000" w:usb3="00000000" w:csb0="00040000" w:csb1="00000000"/>
    <w:embedRegular r:id="rId2" w:fontKey="{40EBB9C7-6795-4A76-83E6-5A56B5639EAD}"/>
  </w:font>
  <w:font w:name="微软雅黑">
    <w:panose1 w:val="020B0503020204020204"/>
    <w:charset w:val="86"/>
    <w:family w:val="swiss"/>
    <w:pitch w:val="default"/>
    <w:sig w:usb0="80000287" w:usb1="2ACF3C50" w:usb2="00000016" w:usb3="00000000" w:csb0="0004001F" w:csb1="00000000"/>
    <w:embedRegular r:id="rId3" w:fontKey="{052E227C-C99E-415E-B028-54D65DF36220}"/>
  </w:font>
  <w:font w:name="WPSEMBED5">
    <w:panose1 w:val="03000509000000000000"/>
    <w:charset w:val="86"/>
    <w:family w:val="auto"/>
    <w:pitch w:val="default"/>
    <w:sig w:usb0="00000001" w:usb1="080E0000" w:usb2="00000000" w:usb3="00000000" w:csb0="00040000" w:csb1="00000000"/>
  </w:font>
  <w:font w:name="WPSEMBED6">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D8094D"/>
    <w:multiLevelType w:val="singleLevel"/>
    <w:tmpl w:val="ACD8094D"/>
    <w:lvl w:ilvl="0" w:tentative="0">
      <w:start w:val="28"/>
      <w:numFmt w:val="decimal"/>
      <w:lvlText w:val="%1."/>
      <w:lvlJc w:val="left"/>
      <w:pPr>
        <w:tabs>
          <w:tab w:val="left" w:pos="312"/>
        </w:tabs>
      </w:pPr>
    </w:lvl>
  </w:abstractNum>
  <w:abstractNum w:abstractNumId="1">
    <w:nsid w:val="BCBAF4F8"/>
    <w:multiLevelType w:val="singleLevel"/>
    <w:tmpl w:val="BCBAF4F8"/>
    <w:lvl w:ilvl="0" w:tentative="0">
      <w:start w:val="20"/>
      <w:numFmt w:val="decimal"/>
      <w:lvlText w:val="%1."/>
      <w:lvlJc w:val="left"/>
      <w:pPr>
        <w:tabs>
          <w:tab w:val="left" w:pos="312"/>
        </w:tabs>
      </w:pPr>
    </w:lvl>
  </w:abstractNum>
  <w:abstractNum w:abstractNumId="2">
    <w:nsid w:val="C831826E"/>
    <w:multiLevelType w:val="singleLevel"/>
    <w:tmpl w:val="C831826E"/>
    <w:lvl w:ilvl="0" w:tentative="0">
      <w:start w:val="12"/>
      <w:numFmt w:val="decimal"/>
      <w:lvlText w:val="%1."/>
      <w:lvlJc w:val="left"/>
      <w:pPr>
        <w:tabs>
          <w:tab w:val="left" w:pos="312"/>
        </w:tabs>
      </w:pPr>
    </w:lvl>
  </w:abstractNum>
  <w:abstractNum w:abstractNumId="3">
    <w:nsid w:val="EA8218D5"/>
    <w:multiLevelType w:val="singleLevel"/>
    <w:tmpl w:val="EA8218D5"/>
    <w:lvl w:ilvl="0" w:tentative="0">
      <w:start w:val="9"/>
      <w:numFmt w:val="decimal"/>
      <w:lvlText w:val="%1."/>
      <w:lvlJc w:val="left"/>
      <w:pPr>
        <w:tabs>
          <w:tab w:val="left" w:pos="312"/>
        </w:tabs>
      </w:pPr>
    </w:lvl>
  </w:abstractNum>
  <w:abstractNum w:abstractNumId="4">
    <w:nsid w:val="6A752120"/>
    <w:multiLevelType w:val="singleLevel"/>
    <w:tmpl w:val="6A752120"/>
    <w:lvl w:ilvl="0" w:tentative="0">
      <w:start w:val="1"/>
      <w:numFmt w:val="decimal"/>
      <w:lvlText w:val="%1."/>
      <w:lvlJc w:val="left"/>
      <w:pPr>
        <w:tabs>
          <w:tab w:val="left" w:pos="312"/>
        </w:tabs>
      </w:pPr>
    </w:lvl>
  </w:abstractNum>
  <w:abstractNum w:abstractNumId="5">
    <w:nsid w:val="7CCCDA8A"/>
    <w:multiLevelType w:val="singleLevel"/>
    <w:tmpl w:val="7CCCDA8A"/>
    <w:lvl w:ilvl="0" w:tentative="0">
      <w:start w:val="4"/>
      <w:numFmt w:val="decimal"/>
      <w:lvlText w:val="%1."/>
      <w:lvlJc w:val="left"/>
      <w:pPr>
        <w:tabs>
          <w:tab w:val="left" w:pos="312"/>
        </w:tabs>
      </w:pPr>
    </w:lvl>
  </w:abstractNum>
  <w:num w:numId="1">
    <w:abstractNumId w:val="4"/>
  </w:num>
  <w:num w:numId="2">
    <w:abstractNumId w:val="1"/>
  </w:num>
  <w:num w:numId="3">
    <w:abstractNumId w:val="0"/>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8"/>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E5155B0"/>
    <w:rsid w:val="00006780"/>
    <w:rsid w:val="001760D2"/>
    <w:rsid w:val="001924FE"/>
    <w:rsid w:val="0024727E"/>
    <w:rsid w:val="00345205"/>
    <w:rsid w:val="00395167"/>
    <w:rsid w:val="003A446D"/>
    <w:rsid w:val="003B026E"/>
    <w:rsid w:val="006642E6"/>
    <w:rsid w:val="00675519"/>
    <w:rsid w:val="007E25F7"/>
    <w:rsid w:val="00907B3B"/>
    <w:rsid w:val="009F475B"/>
    <w:rsid w:val="00B00489"/>
    <w:rsid w:val="00C817BE"/>
    <w:rsid w:val="00E204F4"/>
    <w:rsid w:val="00E21E16"/>
    <w:rsid w:val="00EF6CB5"/>
    <w:rsid w:val="00F56AF1"/>
    <w:rsid w:val="00F57767"/>
    <w:rsid w:val="036068E4"/>
    <w:rsid w:val="069845E6"/>
    <w:rsid w:val="0B024724"/>
    <w:rsid w:val="0B7849E6"/>
    <w:rsid w:val="0DA25D4B"/>
    <w:rsid w:val="0EA975B6"/>
    <w:rsid w:val="10AF4E6E"/>
    <w:rsid w:val="11052878"/>
    <w:rsid w:val="12C1299D"/>
    <w:rsid w:val="194A79C2"/>
    <w:rsid w:val="199D21E8"/>
    <w:rsid w:val="1BD0039F"/>
    <w:rsid w:val="1C427EC4"/>
    <w:rsid w:val="1C52007F"/>
    <w:rsid w:val="1C904CE2"/>
    <w:rsid w:val="1CAC629E"/>
    <w:rsid w:val="1D1563DB"/>
    <w:rsid w:val="1DF03510"/>
    <w:rsid w:val="20733ECA"/>
    <w:rsid w:val="20B6706C"/>
    <w:rsid w:val="21AE2AB8"/>
    <w:rsid w:val="231057D9"/>
    <w:rsid w:val="252C4420"/>
    <w:rsid w:val="27932534"/>
    <w:rsid w:val="28EF7C3E"/>
    <w:rsid w:val="294C5091"/>
    <w:rsid w:val="29E37561"/>
    <w:rsid w:val="29FB2613"/>
    <w:rsid w:val="2A1B4A63"/>
    <w:rsid w:val="2B3013F9"/>
    <w:rsid w:val="2BD82C0B"/>
    <w:rsid w:val="2D872B3B"/>
    <w:rsid w:val="2DB80F46"/>
    <w:rsid w:val="2E5155B0"/>
    <w:rsid w:val="337A6C9E"/>
    <w:rsid w:val="34072E3C"/>
    <w:rsid w:val="394E09B1"/>
    <w:rsid w:val="39BF18AF"/>
    <w:rsid w:val="39DF5AAD"/>
    <w:rsid w:val="3AE14E1A"/>
    <w:rsid w:val="3C3D2135"/>
    <w:rsid w:val="3FC4377B"/>
    <w:rsid w:val="3FD102CA"/>
    <w:rsid w:val="42770F78"/>
    <w:rsid w:val="440958E4"/>
    <w:rsid w:val="457E261E"/>
    <w:rsid w:val="45C75D73"/>
    <w:rsid w:val="47D92074"/>
    <w:rsid w:val="482F5E51"/>
    <w:rsid w:val="489932CB"/>
    <w:rsid w:val="4981448B"/>
    <w:rsid w:val="49910E02"/>
    <w:rsid w:val="4BCD1C09"/>
    <w:rsid w:val="4CE74F4D"/>
    <w:rsid w:val="4D9C1987"/>
    <w:rsid w:val="4DF0398D"/>
    <w:rsid w:val="4F045452"/>
    <w:rsid w:val="4F851D0E"/>
    <w:rsid w:val="4F8E7901"/>
    <w:rsid w:val="516F4BE7"/>
    <w:rsid w:val="51F55A16"/>
    <w:rsid w:val="529C2335"/>
    <w:rsid w:val="52EF06B7"/>
    <w:rsid w:val="532D11DF"/>
    <w:rsid w:val="54837309"/>
    <w:rsid w:val="55F10BEA"/>
    <w:rsid w:val="56BB705A"/>
    <w:rsid w:val="57F30C49"/>
    <w:rsid w:val="59036C6A"/>
    <w:rsid w:val="5A6269F6"/>
    <w:rsid w:val="5AFD12A8"/>
    <w:rsid w:val="5D4810F0"/>
    <w:rsid w:val="5FFE63DD"/>
    <w:rsid w:val="663E3C08"/>
    <w:rsid w:val="67193AFD"/>
    <w:rsid w:val="68AA5354"/>
    <w:rsid w:val="69A27DD9"/>
    <w:rsid w:val="69E32DA1"/>
    <w:rsid w:val="6A0604CF"/>
    <w:rsid w:val="6A1011E7"/>
    <w:rsid w:val="6B1116BB"/>
    <w:rsid w:val="6B824366"/>
    <w:rsid w:val="6DFB3F5C"/>
    <w:rsid w:val="723700D8"/>
    <w:rsid w:val="75D94B83"/>
    <w:rsid w:val="765972B7"/>
    <w:rsid w:val="778B4487"/>
    <w:rsid w:val="7B474C85"/>
    <w:rsid w:val="7CB24380"/>
    <w:rsid w:val="7DDF046B"/>
    <w:rsid w:val="7DEE450A"/>
    <w:rsid w:val="7E0953EB"/>
    <w:rsid w:val="7E834226"/>
    <w:rsid w:val="7E97382D"/>
    <w:rsid w:val="7EBC3294"/>
    <w:rsid w:val="7F484B27"/>
    <w:rsid w:val="7FEF5D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1"/>
    <w:qFormat/>
    <w:uiPriority w:val="0"/>
    <w:pPr>
      <w:tabs>
        <w:tab w:val="center" w:pos="4153"/>
        <w:tab w:val="right" w:pos="8306"/>
      </w:tabs>
      <w:snapToGrid w:val="0"/>
      <w:jc w:val="left"/>
    </w:pPr>
    <w:rPr>
      <w:sz w:val="18"/>
      <w:szCs w:val="18"/>
    </w:rPr>
  </w:style>
  <w:style w:type="paragraph" w:styleId="3">
    <w:name w:val="header"/>
    <w:basedOn w:val="1"/>
    <w:link w:val="10"/>
    <w:qFormat/>
    <w:uiPriority w:val="0"/>
    <w:pPr>
      <w:tabs>
        <w:tab w:val="center" w:pos="4153"/>
        <w:tab w:val="right" w:pos="8306"/>
      </w:tabs>
      <w:snapToGrid w:val="0"/>
      <w:jc w:val="center"/>
    </w:pPr>
    <w:rPr>
      <w:sz w:val="18"/>
      <w:szCs w:val="18"/>
    </w:rPr>
  </w:style>
  <w:style w:type="paragraph" w:styleId="4">
    <w:name w:val="Normal (Web)"/>
    <w:basedOn w:val="1"/>
    <w:uiPriority w:val="0"/>
    <w:rPr>
      <w:sz w:val="24"/>
    </w:rPr>
  </w:style>
  <w:style w:type="character" w:styleId="7">
    <w:name w:val="Hyperlink"/>
    <w:basedOn w:val="6"/>
    <w:qFormat/>
    <w:uiPriority w:val="0"/>
    <w:rPr>
      <w:color w:val="0026E5" w:themeColor="hyperlink"/>
      <w:u w:val="single"/>
      <w14:textFill>
        <w14:solidFill>
          <w14:schemeClr w14:val="hlink"/>
        </w14:solidFill>
      </w14:textFill>
    </w:rPr>
  </w:style>
  <w:style w:type="character" w:customStyle="1" w:styleId="8">
    <w:name w:val="font81"/>
    <w:basedOn w:val="6"/>
    <w:qFormat/>
    <w:uiPriority w:val="0"/>
    <w:rPr>
      <w:rFonts w:hint="eastAsia" w:ascii="宋体" w:hAnsi="宋体" w:eastAsia="宋体" w:cs="宋体"/>
      <w:color w:val="000000"/>
      <w:sz w:val="20"/>
      <w:szCs w:val="20"/>
      <w:u w:val="none"/>
    </w:rPr>
  </w:style>
  <w:style w:type="character" w:customStyle="1" w:styleId="9">
    <w:name w:val="font61"/>
    <w:basedOn w:val="6"/>
    <w:qFormat/>
    <w:uiPriority w:val="0"/>
    <w:rPr>
      <w:rFonts w:hint="eastAsia" w:ascii="方正仿宋_GB2312" w:hAnsi="方正仿宋_GB2312" w:eastAsia="方正仿宋_GB2312" w:cs="方正仿宋_GB2312"/>
      <w:color w:val="000000"/>
      <w:sz w:val="20"/>
      <w:szCs w:val="20"/>
      <w:u w:val="none"/>
    </w:rPr>
  </w:style>
  <w:style w:type="character" w:customStyle="1" w:styleId="10">
    <w:name w:val="页眉 字符"/>
    <w:basedOn w:val="6"/>
    <w:link w:val="3"/>
    <w:qFormat/>
    <w:uiPriority w:val="0"/>
    <w:rPr>
      <w:rFonts w:asciiTheme="minorHAnsi" w:hAnsiTheme="minorHAnsi" w:eastAsiaTheme="minorEastAsia" w:cstheme="minorBidi"/>
      <w:kern w:val="2"/>
      <w:sz w:val="18"/>
      <w:szCs w:val="18"/>
    </w:rPr>
  </w:style>
  <w:style w:type="character" w:customStyle="1" w:styleId="11">
    <w:name w:val="页脚 字符"/>
    <w:basedOn w:val="6"/>
    <w:link w:val="2"/>
    <w:qFormat/>
    <w:uiPriority w:val="0"/>
    <w:rPr>
      <w:rFonts w:asciiTheme="minorHAnsi" w:hAnsiTheme="minorHAnsi" w:eastAsiaTheme="minorEastAsia" w:cstheme="minorBidi"/>
      <w:kern w:val="2"/>
      <w:sz w:val="18"/>
      <w:szCs w:val="18"/>
    </w:rPr>
  </w:style>
  <w:style w:type="character" w:customStyle="1" w:styleId="12">
    <w:name w:val="Unresolved Mention"/>
    <w:basedOn w:val="6"/>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8163</Words>
  <Characters>8717</Characters>
  <Lines>192</Lines>
  <Paragraphs>54</Paragraphs>
  <TotalTime>0</TotalTime>
  <ScaleCrop>false</ScaleCrop>
  <LinksUpToDate>false</LinksUpToDate>
  <CharactersWithSpaces>8759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2026-03-16T02:29:00Z</dcterms:created>
  <dc:creator>燕</dc:creator>
  <cp:lastModifiedBy>lenovo</cp:lastModifiedBy>
  <dcterms:modified xsi:type="dcterms:W3CDTF">2026-06-05T09:46:52Z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924A0231708F4E729E07276256431A67_13</vt:lpwstr>
  </property>
  <property fmtid="{D5CDD505-2E9C-101B-9397-08002B2CF9AE}" pid="4" name="KSOTemplateDocerSaveRecord">
    <vt:lpwstr>eyJoZGlkIjoiYTAxZDhjOTNkYTUxNzA2Y2VhMTJlMDdhMzZkODk4MWIiLCJ1c2VySWQiOiIyMzA5NjUzMTgifQ==</vt:lpwstr>
  </property>
</Properties>
</file>