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77BFE">
      <w:pPr>
        <w:jc w:val="center"/>
        <w:rPr>
          <w:rFonts w:hint="eastAsia" w:eastAsia="宋体"/>
          <w:b/>
          <w:bCs/>
          <w:spacing w:val="6"/>
          <w:sz w:val="31"/>
          <w:szCs w:val="31"/>
          <w:lang w:val="en-US" w:eastAsia="zh-CN"/>
        </w:rPr>
      </w:pPr>
      <w:r>
        <w:rPr>
          <w:rFonts w:hint="eastAsia" w:eastAsia="宋体"/>
          <w:b/>
          <w:bCs/>
          <w:spacing w:val="6"/>
          <w:sz w:val="31"/>
          <w:szCs w:val="31"/>
          <w:lang w:val="en-US" w:eastAsia="zh-CN"/>
        </w:rPr>
        <w:t>前旗全民健身中心游泳馆、羽乒馆、全民活动体育场</w:t>
      </w:r>
    </w:p>
    <w:p w14:paraId="03D05928">
      <w:pPr>
        <w:jc w:val="center"/>
        <w:rPr>
          <w:b/>
          <w:bCs/>
          <w:spacing w:val="6"/>
          <w:sz w:val="31"/>
          <w:szCs w:val="31"/>
        </w:rPr>
      </w:pPr>
      <w:r>
        <w:rPr>
          <w:rFonts w:hint="eastAsia" w:eastAsia="宋体"/>
          <w:b/>
          <w:bCs/>
          <w:spacing w:val="6"/>
          <w:sz w:val="31"/>
          <w:szCs w:val="31"/>
          <w:lang w:val="en-US" w:eastAsia="zh-CN"/>
        </w:rPr>
        <w:t>维修改造工程</w:t>
      </w:r>
      <w:r>
        <w:rPr>
          <w:b/>
          <w:bCs/>
          <w:spacing w:val="6"/>
          <w:sz w:val="31"/>
          <w:szCs w:val="31"/>
        </w:rPr>
        <w:t>招标工程量清单编制说明</w:t>
      </w:r>
    </w:p>
    <w:p w14:paraId="77F6DA17">
      <w:pPr>
        <w:pStyle w:val="3"/>
        <w:keepNext w:val="0"/>
        <w:keepLines w:val="0"/>
        <w:pageBreakBefore w:val="0"/>
        <w:widowControl/>
        <w:kinsoku w:val="0"/>
        <w:wordWrap/>
        <w:overflowPunct/>
        <w:topLinePunct w:val="0"/>
        <w:autoSpaceDE w:val="0"/>
        <w:autoSpaceDN w:val="0"/>
        <w:bidi w:val="0"/>
        <w:adjustRightInd w:val="0"/>
        <w:snapToGrid w:val="0"/>
        <w:spacing w:before="99" w:line="360" w:lineRule="auto"/>
        <w:textAlignment w:val="baseline"/>
        <w:outlineLvl w:val="0"/>
        <w:rPr>
          <w:rFonts w:hint="eastAsia" w:ascii="仿宋" w:hAnsi="仿宋" w:eastAsia="仿宋" w:cs="仿宋"/>
          <w:b/>
          <w:bCs/>
          <w:spacing w:val="-7"/>
          <w:sz w:val="28"/>
          <w:szCs w:val="28"/>
        </w:rPr>
      </w:pPr>
      <w:r>
        <w:rPr>
          <w:rFonts w:hint="eastAsia" w:ascii="仿宋" w:hAnsi="仿宋" w:eastAsia="仿宋" w:cs="仿宋"/>
          <w:b/>
          <w:bCs/>
          <w:spacing w:val="-7"/>
          <w:sz w:val="28"/>
          <w:szCs w:val="28"/>
        </w:rPr>
        <w:t>一、工程概况</w:t>
      </w:r>
    </w:p>
    <w:p w14:paraId="28A928E0">
      <w:pPr>
        <w:pStyle w:val="7"/>
        <w:keepNext w:val="0"/>
        <w:keepLines w:val="0"/>
        <w:pageBreakBefore w:val="0"/>
        <w:widowControl/>
        <w:wordWrap/>
        <w:overflowPunct/>
        <w:topLinePunct w:val="0"/>
        <w:autoSpaceDE w:val="0"/>
        <w:bidi w:val="0"/>
        <w:adjustRightInd w:val="0"/>
        <w:spacing w:line="360" w:lineRule="auto"/>
        <w:ind w:firstLine="584" w:firstLineChars="200"/>
        <w:rPr>
          <w:rFonts w:hint="default" w:ascii="仿宋" w:hAnsi="仿宋" w:eastAsia="仿宋" w:cs="仿宋"/>
          <w:b w:val="0"/>
          <w:bCs/>
          <w:spacing w:val="6"/>
          <w:sz w:val="28"/>
          <w:szCs w:val="28"/>
          <w:lang w:val="en-US" w:eastAsia="zh-CN"/>
        </w:rPr>
      </w:pPr>
      <w:r>
        <w:rPr>
          <w:rFonts w:hint="eastAsia" w:ascii="仿宋" w:hAnsi="仿宋" w:eastAsia="仿宋" w:cs="仿宋"/>
          <w:b w:val="0"/>
          <w:bCs/>
          <w:spacing w:val="6"/>
          <w:sz w:val="28"/>
          <w:szCs w:val="28"/>
          <w:lang w:val="en-US" w:eastAsia="zh-CN"/>
        </w:rPr>
        <w:t>本项目包含全民健身中心游泳馆、羽乒馆、全民活动体育场装饰装修、机电水暖、电气、消防、智能化、专项用房、配套设施等维修改造。</w:t>
      </w:r>
    </w:p>
    <w:p w14:paraId="1AFBD4E0">
      <w:pPr>
        <w:pStyle w:val="3"/>
        <w:keepNext w:val="0"/>
        <w:keepLines w:val="0"/>
        <w:pageBreakBefore w:val="0"/>
        <w:widowControl/>
        <w:kinsoku w:val="0"/>
        <w:wordWrap/>
        <w:overflowPunct/>
        <w:topLinePunct w:val="0"/>
        <w:autoSpaceDE w:val="0"/>
        <w:autoSpaceDN w:val="0"/>
        <w:bidi w:val="0"/>
        <w:adjustRightInd w:val="0"/>
        <w:snapToGrid w:val="0"/>
        <w:spacing w:before="99" w:line="360" w:lineRule="auto"/>
        <w:textAlignment w:val="baseline"/>
        <w:outlineLvl w:val="0"/>
        <w:rPr>
          <w:rFonts w:hint="eastAsia" w:ascii="仿宋" w:hAnsi="仿宋" w:eastAsia="仿宋" w:cs="仿宋"/>
          <w:sz w:val="28"/>
          <w:szCs w:val="28"/>
        </w:rPr>
      </w:pPr>
      <w:r>
        <w:rPr>
          <w:rFonts w:hint="eastAsia" w:ascii="仿宋" w:hAnsi="仿宋" w:eastAsia="仿宋" w:cs="仿宋"/>
          <w:b/>
          <w:bCs/>
          <w:spacing w:val="-8"/>
          <w:sz w:val="28"/>
          <w:szCs w:val="28"/>
        </w:rPr>
        <w:t>二、编制内容</w:t>
      </w:r>
    </w:p>
    <w:p w14:paraId="60F4E219">
      <w:pPr>
        <w:pStyle w:val="7"/>
        <w:keepNext w:val="0"/>
        <w:keepLines w:val="0"/>
        <w:pageBreakBefore w:val="0"/>
        <w:widowControl/>
        <w:wordWrap/>
        <w:overflowPunct/>
        <w:topLinePunct w:val="0"/>
        <w:autoSpaceDE w:val="0"/>
        <w:bidi w:val="0"/>
        <w:adjustRightInd w:val="0"/>
        <w:spacing w:line="360" w:lineRule="auto"/>
        <w:ind w:firstLine="584" w:firstLineChars="200"/>
        <w:rPr>
          <w:rFonts w:hint="eastAsia" w:ascii="仿宋" w:hAnsi="仿宋" w:eastAsia="仿宋" w:cs="仿宋"/>
          <w:b w:val="0"/>
          <w:bCs/>
          <w:spacing w:val="6"/>
          <w:sz w:val="28"/>
          <w:szCs w:val="28"/>
        </w:rPr>
      </w:pPr>
      <w:r>
        <w:rPr>
          <w:rFonts w:hint="eastAsia" w:ascii="仿宋" w:hAnsi="仿宋" w:eastAsia="仿宋" w:cs="仿宋"/>
          <w:b w:val="0"/>
          <w:bCs/>
          <w:spacing w:val="6"/>
          <w:sz w:val="28"/>
          <w:szCs w:val="28"/>
          <w:lang w:val="en-US" w:eastAsia="zh-CN"/>
        </w:rPr>
        <w:t>编制</w:t>
      </w:r>
      <w:r>
        <w:rPr>
          <w:rFonts w:hint="eastAsia" w:ascii="仿宋" w:hAnsi="仿宋" w:eastAsia="仿宋" w:cs="仿宋"/>
          <w:b w:val="0"/>
          <w:bCs/>
          <w:spacing w:val="6"/>
          <w:sz w:val="28"/>
          <w:szCs w:val="28"/>
        </w:rPr>
        <w:t>内容包括本项目图纸设计范围内的</w:t>
      </w:r>
      <w:r>
        <w:rPr>
          <w:rFonts w:hint="eastAsia" w:ascii="仿宋" w:hAnsi="仿宋" w:eastAsia="仿宋" w:cs="仿宋"/>
          <w:b w:val="0"/>
          <w:bCs/>
          <w:spacing w:val="6"/>
          <w:sz w:val="28"/>
          <w:szCs w:val="28"/>
          <w:lang w:val="en-US" w:eastAsia="zh-CN"/>
        </w:rPr>
        <w:t>墙面及道路维修改造</w:t>
      </w:r>
      <w:r>
        <w:rPr>
          <w:rFonts w:hint="eastAsia" w:ascii="仿宋" w:hAnsi="仿宋" w:eastAsia="仿宋" w:cs="仿宋"/>
          <w:b w:val="0"/>
          <w:bCs/>
          <w:spacing w:val="-2"/>
          <w:sz w:val="28"/>
          <w:szCs w:val="28"/>
        </w:rPr>
        <w:t>等全部内容。</w:t>
      </w:r>
    </w:p>
    <w:p w14:paraId="1BBCEB28">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spacing w:val="-12"/>
          <w:sz w:val="28"/>
          <w:szCs w:val="28"/>
        </w:rPr>
      </w:pPr>
      <w:r>
        <w:rPr>
          <w:rFonts w:hint="eastAsia" w:ascii="仿宋" w:hAnsi="仿宋" w:eastAsia="仿宋" w:cs="仿宋"/>
          <w:b/>
          <w:bCs/>
          <w:caps/>
          <w:snapToGrid w:val="0"/>
          <w:color w:val="000000"/>
          <w:spacing w:val="-12"/>
          <w:kern w:val="0"/>
          <w:sz w:val="28"/>
          <w:szCs w:val="28"/>
          <w:lang w:val="en-US" w:eastAsia="zh-CN" w:bidi="ar-SA"/>
        </w:rPr>
        <w:t>三</w:t>
      </w:r>
      <w:r>
        <w:rPr>
          <w:rFonts w:hint="eastAsia" w:ascii="仿宋" w:hAnsi="仿宋" w:eastAsia="仿宋" w:cs="仿宋"/>
          <w:b/>
          <w:bCs/>
          <w:caps/>
          <w:snapToGrid w:val="0"/>
          <w:color w:val="000000"/>
          <w:spacing w:val="-12"/>
          <w:kern w:val="0"/>
          <w:sz w:val="28"/>
          <w:szCs w:val="28"/>
          <w:lang w:val="en-US" w:eastAsia="en-US" w:bidi="ar-SA"/>
        </w:rPr>
        <w:t>、</w:t>
      </w:r>
      <w:r>
        <w:rPr>
          <w:rFonts w:hint="eastAsia" w:ascii="仿宋" w:hAnsi="仿宋" w:eastAsia="仿宋" w:cs="仿宋"/>
          <w:b/>
          <w:bCs/>
          <w:spacing w:val="-12"/>
          <w:sz w:val="28"/>
          <w:szCs w:val="28"/>
        </w:rPr>
        <w:t>编制依据</w:t>
      </w:r>
    </w:p>
    <w:p w14:paraId="5ED1AD24">
      <w:pPr>
        <w:pStyle w:val="3"/>
        <w:keepNext w:val="0"/>
        <w:keepLines w:val="0"/>
        <w:pageBreakBefore w:val="0"/>
        <w:widowControl/>
        <w:kinsoku w:val="0"/>
        <w:wordWrap/>
        <w:overflowPunct/>
        <w:topLinePunct w:val="0"/>
        <w:autoSpaceDE w:val="0"/>
        <w:autoSpaceDN w:val="0"/>
        <w:bidi w:val="0"/>
        <w:adjustRightInd w:val="0"/>
        <w:snapToGrid w:val="0"/>
        <w:spacing w:before="274" w:line="360" w:lineRule="auto"/>
        <w:ind w:right="31" w:firstLine="536" w:firstLineChars="200"/>
        <w:textAlignment w:val="baseline"/>
        <w:rPr>
          <w:rFonts w:hint="eastAsia" w:ascii="仿宋" w:hAnsi="仿宋" w:eastAsia="仿宋" w:cs="仿宋"/>
          <w:sz w:val="28"/>
          <w:szCs w:val="28"/>
          <w:lang w:eastAsia="zh-CN"/>
        </w:rPr>
      </w:pPr>
      <w:r>
        <w:rPr>
          <w:rFonts w:hint="eastAsia" w:cs="仿宋"/>
          <w:spacing w:val="-6"/>
          <w:sz w:val="28"/>
          <w:szCs w:val="28"/>
          <w:lang w:eastAsia="zh-CN"/>
        </w:rPr>
        <w:t>1.</w:t>
      </w:r>
      <w:r>
        <w:rPr>
          <w:rFonts w:hint="eastAsia" w:cs="仿宋"/>
          <w:spacing w:val="-6"/>
          <w:sz w:val="28"/>
          <w:szCs w:val="28"/>
          <w:lang w:val="en-US" w:eastAsia="zh-CN"/>
        </w:rPr>
        <w:t>苏邑设计集团有限公司</w:t>
      </w:r>
      <w:r>
        <w:rPr>
          <w:rFonts w:hint="eastAsia" w:ascii="仿宋" w:hAnsi="仿宋" w:eastAsia="仿宋" w:cs="仿宋"/>
          <w:spacing w:val="-6"/>
          <w:sz w:val="28"/>
          <w:szCs w:val="28"/>
        </w:rPr>
        <w:t>2026</w:t>
      </w:r>
      <w:r>
        <w:rPr>
          <w:rFonts w:hint="eastAsia" w:ascii="仿宋" w:hAnsi="仿宋" w:eastAsia="仿宋" w:cs="仿宋"/>
          <w:spacing w:val="-45"/>
          <w:sz w:val="28"/>
          <w:szCs w:val="28"/>
        </w:rPr>
        <w:t xml:space="preserve"> </w:t>
      </w:r>
      <w:r>
        <w:rPr>
          <w:rFonts w:hint="eastAsia" w:ascii="仿宋" w:hAnsi="仿宋" w:eastAsia="仿宋" w:cs="仿宋"/>
          <w:spacing w:val="-6"/>
          <w:sz w:val="28"/>
          <w:szCs w:val="28"/>
        </w:rPr>
        <w:t>年</w:t>
      </w:r>
      <w:r>
        <w:rPr>
          <w:rFonts w:hint="eastAsia" w:cs="仿宋"/>
          <w:spacing w:val="-6"/>
          <w:sz w:val="28"/>
          <w:szCs w:val="28"/>
          <w:lang w:val="en-US" w:eastAsia="zh-CN"/>
        </w:rPr>
        <w:t>6</w:t>
      </w:r>
      <w:r>
        <w:rPr>
          <w:rFonts w:hint="eastAsia" w:ascii="仿宋" w:hAnsi="仿宋" w:eastAsia="仿宋" w:cs="仿宋"/>
          <w:spacing w:val="-7"/>
          <w:sz w:val="28"/>
          <w:szCs w:val="28"/>
        </w:rPr>
        <w:t>月</w:t>
      </w:r>
      <w:r>
        <w:rPr>
          <w:rFonts w:hint="eastAsia" w:cs="仿宋"/>
          <w:spacing w:val="-38"/>
          <w:sz w:val="28"/>
          <w:szCs w:val="28"/>
          <w:lang w:val="en-US" w:eastAsia="zh-CN"/>
        </w:rPr>
        <w:t>23</w:t>
      </w:r>
      <w:r>
        <w:rPr>
          <w:rFonts w:hint="eastAsia" w:ascii="仿宋" w:hAnsi="仿宋" w:eastAsia="仿宋" w:cs="仿宋"/>
          <w:spacing w:val="-7"/>
          <w:sz w:val="28"/>
          <w:szCs w:val="28"/>
        </w:rPr>
        <w:t>日提</w:t>
      </w:r>
      <w:r>
        <w:rPr>
          <w:rFonts w:hint="eastAsia" w:ascii="仿宋" w:hAnsi="仿宋" w:eastAsia="仿宋" w:cs="仿宋"/>
          <w:spacing w:val="-2"/>
          <w:sz w:val="28"/>
          <w:szCs w:val="28"/>
        </w:rPr>
        <w:t>供的本项目设计图纸电子版</w:t>
      </w:r>
      <w:r>
        <w:rPr>
          <w:rFonts w:hint="eastAsia" w:cs="仿宋"/>
          <w:spacing w:val="-2"/>
          <w:sz w:val="28"/>
          <w:szCs w:val="28"/>
          <w:lang w:eastAsia="zh-CN"/>
        </w:rPr>
        <w:t>；</w:t>
      </w:r>
    </w:p>
    <w:p w14:paraId="3C38F29E">
      <w:pPr>
        <w:keepNext w:val="0"/>
        <w:keepLines w:val="0"/>
        <w:pageBreakBefore w:val="0"/>
        <w:widowControl/>
        <w:kinsoku w:val="0"/>
        <w:wordWrap/>
        <w:overflowPunct/>
        <w:topLinePunct w:val="0"/>
        <w:autoSpaceDE w:val="0"/>
        <w:autoSpaceDN w:val="0"/>
        <w:bidi w:val="0"/>
        <w:adjustRightInd w:val="0"/>
        <w:snapToGrid w:val="0"/>
        <w:spacing w:line="360" w:lineRule="auto"/>
        <w:ind w:firstLine="556" w:firstLineChars="200"/>
        <w:textAlignment w:val="baseline"/>
        <w:rPr>
          <w:rFonts w:hint="eastAsia" w:ascii="仿宋" w:hAnsi="仿宋" w:eastAsia="仿宋" w:cs="仿宋"/>
          <w:spacing w:val="-1"/>
          <w:sz w:val="28"/>
          <w:szCs w:val="28"/>
        </w:rPr>
      </w:pPr>
      <w:r>
        <w:rPr>
          <w:rFonts w:hint="eastAsia" w:ascii="仿宋" w:hAnsi="仿宋" w:eastAsia="仿宋" w:cs="仿宋"/>
          <w:spacing w:val="-1"/>
          <w:sz w:val="28"/>
          <w:szCs w:val="28"/>
        </w:rPr>
        <w:t>2.清单执行现行的《建设工程工程量清单计价标准》（GB/T</w:t>
      </w:r>
    </w:p>
    <w:p w14:paraId="404377D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sz w:val="28"/>
          <w:szCs w:val="28"/>
        </w:rPr>
      </w:pPr>
      <w:r>
        <w:rPr>
          <w:rFonts w:hint="eastAsia" w:ascii="仿宋" w:hAnsi="仿宋" w:eastAsia="仿宋" w:cs="仿宋"/>
          <w:spacing w:val="-1"/>
          <w:sz w:val="28"/>
          <w:szCs w:val="28"/>
        </w:rPr>
        <w:t>50500—2024）及《通用安装工程工程量计算标准》GB/T50856-2024、《市政工程工程量计算标准》GB/T50857-2024等系列工程量计算标准（以下简称“2024清单计量计价标准”），拆除工程执行《2013工程量清单计价规范》GB50500-2013；</w:t>
      </w:r>
    </w:p>
    <w:p w14:paraId="22EAC39A">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556" w:firstLineChars="200"/>
        <w:textAlignment w:val="baseline"/>
        <w:rPr>
          <w:rFonts w:hint="eastAsia" w:ascii="仿宋" w:hAnsi="仿宋" w:eastAsia="仿宋" w:cs="仿宋"/>
          <w:spacing w:val="-1"/>
          <w:sz w:val="28"/>
          <w:szCs w:val="28"/>
        </w:rPr>
      </w:pPr>
      <w:r>
        <w:rPr>
          <w:rFonts w:hint="eastAsia" w:ascii="仿宋" w:hAnsi="仿宋" w:eastAsia="仿宋" w:cs="仿宋"/>
          <w:spacing w:val="-1"/>
          <w:sz w:val="28"/>
          <w:szCs w:val="28"/>
        </w:rPr>
        <w:t>建设行政主管部门颁发的内建标函【2025】340 号</w:t>
      </w:r>
      <w:r>
        <w:rPr>
          <w:rFonts w:hint="eastAsia" w:ascii="仿宋" w:hAnsi="仿宋" w:eastAsia="仿宋" w:cs="仿宋"/>
          <w:spacing w:val="-1"/>
          <w:sz w:val="28"/>
          <w:szCs w:val="28"/>
          <w:lang w:eastAsia="zh-CN"/>
        </w:rPr>
        <w:t>；</w:t>
      </w:r>
    </w:p>
    <w:p w14:paraId="7BB2EB4F">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556" w:firstLineChars="200"/>
        <w:textAlignment w:val="baseline"/>
        <w:rPr>
          <w:rFonts w:hint="eastAsia" w:ascii="仿宋" w:hAnsi="仿宋" w:eastAsia="仿宋" w:cs="仿宋"/>
          <w:spacing w:val="-1"/>
          <w:sz w:val="28"/>
          <w:szCs w:val="28"/>
        </w:rPr>
      </w:pPr>
      <w:r>
        <w:rPr>
          <w:rFonts w:hint="eastAsia" w:ascii="仿宋" w:hAnsi="仿宋" w:eastAsia="仿宋" w:cs="仿宋"/>
          <w:spacing w:val="-1"/>
          <w:sz w:val="28"/>
          <w:szCs w:val="28"/>
        </w:rPr>
        <w:t>增值税执行内建标【2019】113 号文，税率为9%；</w:t>
      </w:r>
    </w:p>
    <w:p w14:paraId="18D9E3D6">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556" w:firstLineChars="200"/>
        <w:textAlignment w:val="baseline"/>
        <w:rPr>
          <w:rFonts w:hint="eastAsia" w:ascii="仿宋" w:hAnsi="仿宋" w:eastAsia="仿宋" w:cs="仿宋"/>
          <w:spacing w:val="-1"/>
          <w:sz w:val="28"/>
          <w:szCs w:val="28"/>
        </w:rPr>
      </w:pPr>
      <w:r>
        <w:rPr>
          <w:rFonts w:hint="eastAsia" w:ascii="仿宋" w:hAnsi="仿宋" w:eastAsia="仿宋" w:cs="仿宋"/>
          <w:spacing w:val="-1"/>
          <w:sz w:val="28"/>
          <w:szCs w:val="28"/>
          <w:lang w:val="en-US" w:eastAsia="zh-CN"/>
        </w:rPr>
        <w:t>其他项目费中的建设工程安全生产计提费详见工程量清单</w:t>
      </w:r>
    </w:p>
    <w:p w14:paraId="2C0025AE">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556" w:firstLineChars="200"/>
        <w:textAlignment w:val="baseline"/>
        <w:rPr>
          <w:rFonts w:hint="eastAsia" w:ascii="仿宋" w:hAnsi="仿宋" w:eastAsia="仿宋" w:cs="仿宋"/>
          <w:spacing w:val="-1"/>
          <w:sz w:val="28"/>
          <w:szCs w:val="28"/>
        </w:rPr>
      </w:pPr>
      <w:r>
        <w:rPr>
          <w:rFonts w:hint="eastAsia" w:ascii="仿宋" w:hAnsi="仿宋" w:eastAsia="仿宋" w:cs="仿宋"/>
          <w:spacing w:val="-1"/>
          <w:sz w:val="28"/>
          <w:szCs w:val="28"/>
        </w:rPr>
        <w:t>招标文件及其它技术标准和要求等。</w:t>
      </w:r>
    </w:p>
    <w:p w14:paraId="24D49903">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pacing w:val="-1"/>
          <w:sz w:val="28"/>
          <w:szCs w:val="28"/>
        </w:rPr>
      </w:pPr>
      <w:r>
        <w:rPr>
          <w:rFonts w:hint="eastAsia" w:ascii="仿宋" w:hAnsi="仿宋" w:eastAsia="仿宋" w:cs="仿宋"/>
          <w:strike w:val="0"/>
          <w:dstrike w:val="0"/>
          <w:sz w:val="28"/>
          <w:szCs w:val="28"/>
          <w:highlight w:val="none"/>
          <w:lang w:val="en-US" w:eastAsia="zh-CN"/>
        </w:rPr>
        <w:t>暂列金含税金额313629.33元，</w:t>
      </w:r>
      <w:r>
        <w:rPr>
          <w:rFonts w:hint="eastAsia" w:ascii="仿宋" w:hAnsi="仿宋" w:eastAsia="仿宋" w:cs="仿宋"/>
          <w:spacing w:val="-2"/>
          <w:sz w:val="28"/>
          <w:szCs w:val="28"/>
        </w:rPr>
        <w:t>招投标时不得作为竞争性费用</w:t>
      </w:r>
      <w:r>
        <w:rPr>
          <w:rFonts w:hint="eastAsia" w:ascii="仿宋" w:hAnsi="仿宋" w:eastAsia="仿宋" w:cs="仿宋"/>
          <w:spacing w:val="-1"/>
          <w:sz w:val="28"/>
          <w:szCs w:val="28"/>
          <w:lang w:eastAsia="zh-CN"/>
        </w:rPr>
        <w:t>。</w:t>
      </w:r>
    </w:p>
    <w:p w14:paraId="77F244C0">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pacing w:val="-1"/>
          <w:sz w:val="28"/>
          <w:szCs w:val="28"/>
        </w:rPr>
      </w:pPr>
      <w:r>
        <w:rPr>
          <w:rFonts w:hint="eastAsia" w:ascii="仿宋" w:hAnsi="仿宋" w:eastAsia="仿宋" w:cs="仿宋"/>
          <w:strike w:val="0"/>
          <w:dstrike w:val="0"/>
          <w:sz w:val="28"/>
          <w:szCs w:val="28"/>
          <w:highlight w:val="none"/>
          <w:lang w:val="en-US" w:eastAsia="zh-CN"/>
        </w:rPr>
        <w:t>工人实名制含税金额63111元，</w:t>
      </w:r>
      <w:r>
        <w:rPr>
          <w:rFonts w:hint="eastAsia" w:ascii="仿宋" w:hAnsi="仿宋" w:eastAsia="仿宋" w:cs="仿宋"/>
          <w:spacing w:val="-2"/>
          <w:sz w:val="28"/>
          <w:szCs w:val="28"/>
        </w:rPr>
        <w:t>招投标时不得作为竞争性费用</w:t>
      </w:r>
      <w:r>
        <w:rPr>
          <w:rFonts w:hint="eastAsia" w:ascii="仿宋" w:hAnsi="仿宋" w:eastAsia="仿宋" w:cs="仿宋"/>
          <w:strike w:val="0"/>
          <w:dstrike w:val="0"/>
          <w:sz w:val="28"/>
          <w:szCs w:val="28"/>
          <w:highlight w:val="none"/>
          <w:lang w:val="en-US" w:eastAsia="zh-CN"/>
        </w:rPr>
        <w:t>。</w:t>
      </w:r>
    </w:p>
    <w:p w14:paraId="05FE6E7B">
      <w:pPr>
        <w:pStyle w:val="3"/>
        <w:keepNext w:val="0"/>
        <w:keepLines w:val="0"/>
        <w:pageBreakBefore w:val="0"/>
        <w:widowControl/>
        <w:kinsoku w:val="0"/>
        <w:wordWrap/>
        <w:overflowPunct/>
        <w:topLinePunct w:val="0"/>
        <w:autoSpaceDE w:val="0"/>
        <w:autoSpaceDN w:val="0"/>
        <w:bidi w:val="0"/>
        <w:adjustRightInd w:val="0"/>
        <w:snapToGrid w:val="0"/>
        <w:spacing w:before="98" w:line="360" w:lineRule="auto"/>
        <w:ind w:left="38"/>
        <w:textAlignment w:val="baseline"/>
        <w:outlineLvl w:val="0"/>
        <w:rPr>
          <w:rFonts w:hint="eastAsia" w:ascii="仿宋" w:hAnsi="仿宋" w:eastAsia="仿宋" w:cs="仿宋"/>
          <w:spacing w:val="-2"/>
          <w:sz w:val="28"/>
          <w:szCs w:val="28"/>
        </w:rPr>
      </w:pPr>
      <w:r>
        <w:rPr>
          <w:rFonts w:hint="eastAsia" w:cs="仿宋"/>
          <w:b/>
          <w:bCs/>
          <w:spacing w:val="-7"/>
          <w:sz w:val="28"/>
          <w:szCs w:val="28"/>
          <w:lang w:val="en-US" w:eastAsia="zh-CN"/>
        </w:rPr>
        <w:t>四</w:t>
      </w:r>
      <w:r>
        <w:rPr>
          <w:rFonts w:hint="eastAsia" w:ascii="仿宋" w:hAnsi="仿宋" w:eastAsia="仿宋" w:cs="仿宋"/>
          <w:b/>
          <w:bCs/>
          <w:spacing w:val="-7"/>
          <w:sz w:val="28"/>
          <w:szCs w:val="28"/>
        </w:rPr>
        <w:t>、编制说明</w:t>
      </w:r>
    </w:p>
    <w:p w14:paraId="4C1BE5EC">
      <w:pPr>
        <w:keepNext w:val="0"/>
        <w:keepLines w:val="0"/>
        <w:pageBreakBefore w:val="0"/>
        <w:widowControl/>
        <w:kinsoku w:val="0"/>
        <w:wordWrap/>
        <w:overflowPunct/>
        <w:topLinePunct w:val="0"/>
        <w:autoSpaceDE w:val="0"/>
        <w:autoSpaceDN w:val="0"/>
        <w:bidi w:val="0"/>
        <w:adjustRightInd w:val="0"/>
        <w:snapToGrid w:val="0"/>
        <w:spacing w:line="360" w:lineRule="auto"/>
        <w:ind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．关于土方工程，余土外运运距及回填土堆放、回运，投标单位自行考虑。结算时不因运距而调整综合单价。清单描述已综合考虑了地质情况和土石方类别，投标人应综合报价。</w:t>
      </w:r>
    </w:p>
    <w:p w14:paraId="6B8A8634">
      <w:pPr>
        <w:pStyle w:val="3"/>
        <w:keepNext w:val="0"/>
        <w:keepLines w:val="0"/>
        <w:pageBreakBefore w:val="0"/>
        <w:widowControl/>
        <w:kinsoku w:val="0"/>
        <w:wordWrap/>
        <w:overflowPunct/>
        <w:topLinePunct w:val="0"/>
        <w:autoSpaceDE w:val="0"/>
        <w:autoSpaceDN w:val="0"/>
        <w:bidi w:val="0"/>
        <w:adjustRightInd w:val="0"/>
        <w:snapToGrid w:val="0"/>
        <w:spacing w:before="180" w:line="360" w:lineRule="auto"/>
        <w:ind w:left="0" w:leftChars="0" w:firstLine="561" w:firstLineChars="202"/>
        <w:jc w:val="both"/>
        <w:textAlignment w:val="baseline"/>
        <w:rPr>
          <w:rFonts w:hint="eastAsia" w:ascii="仿宋" w:hAnsi="仿宋" w:eastAsia="仿宋" w:cs="仿宋"/>
          <w:sz w:val="28"/>
          <w:szCs w:val="28"/>
        </w:rPr>
      </w:pPr>
      <w:r>
        <w:rPr>
          <w:rFonts w:hint="eastAsia" w:cs="仿宋"/>
          <w:spacing w:val="-1"/>
          <w:sz w:val="28"/>
          <w:szCs w:val="28"/>
          <w:lang w:val="en-US" w:eastAsia="zh-CN"/>
          <w:woUserID w:val="1"/>
        </w:rPr>
        <w:t>2</w:t>
      </w:r>
      <w:r>
        <w:rPr>
          <w:rFonts w:hint="eastAsia" w:ascii="仿宋" w:hAnsi="仿宋" w:eastAsia="仿宋" w:cs="仿宋"/>
          <w:spacing w:val="-1"/>
          <w:sz w:val="28"/>
          <w:szCs w:val="28"/>
        </w:rPr>
        <w:t>．关于措施费清单列项，投标人需结合图纸设计、施工工期、</w:t>
      </w:r>
      <w:r>
        <w:rPr>
          <w:rFonts w:hint="eastAsia" w:ascii="仿宋" w:hAnsi="仿宋" w:eastAsia="仿宋" w:cs="仿宋"/>
          <w:spacing w:val="-4"/>
          <w:sz w:val="28"/>
          <w:szCs w:val="28"/>
        </w:rPr>
        <w:t>质量要求、现场踏勘等，根据自身企业情况合理编制施工组织设计方</w:t>
      </w:r>
      <w:r>
        <w:rPr>
          <w:rFonts w:hint="eastAsia" w:ascii="仿宋" w:hAnsi="仿宋" w:eastAsia="仿宋" w:cs="仿宋"/>
          <w:spacing w:val="-10"/>
          <w:sz w:val="28"/>
          <w:szCs w:val="28"/>
        </w:rPr>
        <w:t>案进行竞争性报价，措施费总价包干。招标清单中如措施费列项不</w:t>
      </w:r>
      <w:r>
        <w:rPr>
          <w:rFonts w:hint="eastAsia" w:ascii="仿宋" w:hAnsi="仿宋" w:eastAsia="仿宋" w:cs="仿宋"/>
          <w:spacing w:val="-11"/>
          <w:sz w:val="28"/>
          <w:szCs w:val="28"/>
        </w:rPr>
        <w:t>足，</w:t>
      </w:r>
      <w:r>
        <w:rPr>
          <w:rFonts w:hint="eastAsia" w:ascii="仿宋" w:hAnsi="仿宋" w:eastAsia="仿宋" w:cs="仿宋"/>
          <w:spacing w:val="-4"/>
          <w:sz w:val="28"/>
          <w:szCs w:val="28"/>
        </w:rPr>
        <w:t>投标人可自行补充报价或将不足部分的费用考虑在其他措施费中。施</w:t>
      </w:r>
      <w:r>
        <w:rPr>
          <w:rFonts w:hint="eastAsia" w:ascii="仿宋" w:hAnsi="仿宋" w:eastAsia="仿宋" w:cs="仿宋"/>
          <w:spacing w:val="-1"/>
          <w:sz w:val="28"/>
          <w:szCs w:val="28"/>
        </w:rPr>
        <w:t>工中所有措施项目不因施工方案调整而增加费用。</w:t>
      </w:r>
    </w:p>
    <w:p w14:paraId="3A4C07C6">
      <w:pPr>
        <w:pStyle w:val="3"/>
        <w:keepNext w:val="0"/>
        <w:keepLines w:val="0"/>
        <w:pageBreakBefore w:val="0"/>
        <w:widowControl/>
        <w:kinsoku w:val="0"/>
        <w:wordWrap/>
        <w:overflowPunct/>
        <w:topLinePunct w:val="0"/>
        <w:autoSpaceDE w:val="0"/>
        <w:autoSpaceDN w:val="0"/>
        <w:bidi w:val="0"/>
        <w:adjustRightInd w:val="0"/>
        <w:snapToGrid w:val="0"/>
        <w:spacing w:before="6" w:line="360" w:lineRule="auto"/>
        <w:ind w:left="0" w:leftChars="0" w:firstLine="554"/>
        <w:textAlignment w:val="baseline"/>
        <w:rPr>
          <w:rFonts w:hint="eastAsia" w:ascii="仿宋" w:hAnsi="仿宋" w:eastAsia="仿宋" w:cs="仿宋"/>
          <w:sz w:val="28"/>
          <w:szCs w:val="28"/>
          <w:highlight w:val="none"/>
        </w:rPr>
      </w:pPr>
      <w:r>
        <w:rPr>
          <w:rFonts w:hint="eastAsia" w:cs="仿宋"/>
          <w:spacing w:val="-4"/>
          <w:sz w:val="28"/>
          <w:szCs w:val="28"/>
          <w:highlight w:val="none"/>
          <w:lang w:val="en-US" w:eastAsia="zh-CN"/>
          <w:woUserID w:val="1"/>
        </w:rPr>
        <w:t>3</w:t>
      </w:r>
      <w:r>
        <w:rPr>
          <w:rFonts w:hint="eastAsia" w:ascii="仿宋" w:hAnsi="仿宋" w:eastAsia="仿宋" w:cs="仿宋"/>
          <w:spacing w:val="-4"/>
          <w:sz w:val="28"/>
          <w:szCs w:val="28"/>
          <w:highlight w:val="none"/>
        </w:rPr>
        <w:t>．本工程内清单描述相同的项目，投标报价必须一致，如若出现不一致的情况，签约后进行的施工图清单预算编制核对过程执行低</w:t>
      </w:r>
      <w:r>
        <w:rPr>
          <w:rFonts w:hint="eastAsia" w:ascii="仿宋" w:hAnsi="仿宋" w:eastAsia="仿宋" w:cs="仿宋"/>
          <w:spacing w:val="-3"/>
          <w:sz w:val="28"/>
          <w:szCs w:val="28"/>
          <w:highlight w:val="none"/>
        </w:rPr>
        <w:t>价；施工过程中发生变更，如工程量增加则按最低的综合单价增加，</w:t>
      </w:r>
      <w:r>
        <w:rPr>
          <w:rFonts w:hint="eastAsia" w:ascii="仿宋" w:hAnsi="仿宋" w:eastAsia="仿宋" w:cs="仿宋"/>
          <w:spacing w:val="-1"/>
          <w:sz w:val="28"/>
          <w:szCs w:val="28"/>
          <w:highlight w:val="none"/>
        </w:rPr>
        <w:t>如工程量减少按最高的综合单价扣减。</w:t>
      </w:r>
    </w:p>
    <w:p w14:paraId="2AD190EA">
      <w:pPr>
        <w:pStyle w:val="3"/>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textAlignment w:val="baseline"/>
        <w:outlineLvl w:val="0"/>
        <w:rPr>
          <w:rFonts w:hint="eastAsia" w:ascii="仿宋" w:hAnsi="仿宋" w:eastAsia="仿宋" w:cs="仿宋"/>
          <w:b/>
          <w:bCs/>
          <w:spacing w:val="-7"/>
          <w:sz w:val="28"/>
          <w:szCs w:val="28"/>
        </w:rPr>
      </w:pPr>
      <w:r>
        <w:rPr>
          <w:rFonts w:hint="eastAsia" w:cs="仿宋"/>
          <w:b/>
          <w:bCs/>
          <w:spacing w:val="-7"/>
          <w:sz w:val="28"/>
          <w:szCs w:val="28"/>
          <w:lang w:val="en-US" w:eastAsia="zh-CN"/>
        </w:rPr>
        <w:t>五</w:t>
      </w:r>
      <w:r>
        <w:rPr>
          <w:rFonts w:hint="eastAsia" w:ascii="仿宋" w:hAnsi="仿宋" w:eastAsia="仿宋" w:cs="仿宋"/>
          <w:b/>
          <w:bCs/>
          <w:spacing w:val="-7"/>
          <w:sz w:val="28"/>
          <w:szCs w:val="28"/>
        </w:rPr>
        <w:t>、清单说明</w:t>
      </w:r>
    </w:p>
    <w:p w14:paraId="6052377D">
      <w:pPr>
        <w:pStyle w:val="3"/>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firstLine="556" w:firstLineChars="200"/>
        <w:textAlignment w:val="baseline"/>
        <w:outlineLvl w:val="0"/>
        <w:rPr>
          <w:rFonts w:hint="eastAsia" w:ascii="仿宋" w:hAnsi="仿宋" w:eastAsia="仿宋" w:cs="仿宋"/>
          <w:sz w:val="28"/>
          <w:szCs w:val="28"/>
          <w:highlight w:val="none"/>
        </w:rPr>
      </w:pPr>
      <w:r>
        <w:rPr>
          <w:rFonts w:hint="eastAsia" w:ascii="仿宋" w:hAnsi="仿宋" w:eastAsia="仿宋" w:cs="仿宋"/>
          <w:spacing w:val="-1"/>
          <w:sz w:val="28"/>
          <w:szCs w:val="28"/>
          <w:highlight w:val="none"/>
        </w:rPr>
        <w:t>1．投标人必须按招标工程量清单填报价格，项目编码、项</w:t>
      </w:r>
      <w:r>
        <w:rPr>
          <w:rFonts w:hint="eastAsia" w:ascii="仿宋" w:hAnsi="仿宋" w:eastAsia="仿宋" w:cs="仿宋"/>
          <w:spacing w:val="-2"/>
          <w:sz w:val="28"/>
          <w:szCs w:val="28"/>
          <w:highlight w:val="none"/>
        </w:rPr>
        <w:t>目名</w:t>
      </w:r>
      <w:r>
        <w:rPr>
          <w:rFonts w:hint="eastAsia" w:ascii="仿宋" w:hAnsi="仿宋" w:eastAsia="仿宋" w:cs="仿宋"/>
          <w:spacing w:val="-4"/>
          <w:sz w:val="28"/>
          <w:szCs w:val="28"/>
          <w:highlight w:val="none"/>
        </w:rPr>
        <w:t>称、项目特征、计量单位、工程量必须与招标工程量清单一致，如有</w:t>
      </w:r>
      <w:r>
        <w:rPr>
          <w:rFonts w:hint="eastAsia" w:ascii="仿宋" w:hAnsi="仿宋" w:eastAsia="仿宋" w:cs="仿宋"/>
          <w:spacing w:val="-2"/>
          <w:sz w:val="28"/>
          <w:szCs w:val="28"/>
          <w:highlight w:val="none"/>
        </w:rPr>
        <w:t>不一致按否决其投标处理。</w:t>
      </w:r>
    </w:p>
    <w:p w14:paraId="1B711F22">
      <w:pPr>
        <w:pStyle w:val="3"/>
        <w:keepNext w:val="0"/>
        <w:keepLines w:val="0"/>
        <w:pageBreakBefore w:val="0"/>
        <w:widowControl/>
        <w:kinsoku w:val="0"/>
        <w:wordWrap/>
        <w:overflowPunct/>
        <w:topLinePunct w:val="0"/>
        <w:autoSpaceDE w:val="0"/>
        <w:autoSpaceDN w:val="0"/>
        <w:bidi w:val="0"/>
        <w:adjustRightInd w:val="0"/>
        <w:snapToGrid w:val="0"/>
        <w:spacing w:before="5" w:line="360" w:lineRule="auto"/>
        <w:ind w:left="0" w:leftChars="0" w:right="34" w:firstLine="554"/>
        <w:textAlignment w:val="baseline"/>
        <w:rPr>
          <w:rFonts w:hint="eastAsia" w:ascii="仿宋" w:hAnsi="仿宋" w:eastAsia="仿宋" w:cs="仿宋"/>
          <w:sz w:val="28"/>
          <w:szCs w:val="28"/>
          <w:highlight w:val="none"/>
        </w:rPr>
      </w:pPr>
      <w:r>
        <w:rPr>
          <w:rFonts w:hint="eastAsia" w:ascii="仿宋" w:hAnsi="仿宋" w:eastAsia="仿宋" w:cs="仿宋"/>
          <w:spacing w:val="-1"/>
          <w:sz w:val="28"/>
          <w:szCs w:val="28"/>
          <w:highlight w:val="none"/>
        </w:rPr>
        <w:t>2．工程量清单中的每一清单项目须填入综合单价或价格，且只</w:t>
      </w:r>
      <w:r>
        <w:rPr>
          <w:rFonts w:hint="eastAsia" w:ascii="仿宋" w:hAnsi="仿宋" w:eastAsia="仿宋" w:cs="仿宋"/>
          <w:spacing w:val="-4"/>
          <w:sz w:val="28"/>
          <w:szCs w:val="28"/>
          <w:highlight w:val="none"/>
        </w:rPr>
        <w:t>允许有一个报价，已标价工程量清单中投标人没有填入综合单价或价格的清单项目，其费用视为已分摊在工程量清单中其他已标价的相关项目的综合单价或价格之中，合同清单工程量范围内即使发生也不另行计价，变更内容工程量及价格按合同约定执行无相同子目原则计</w:t>
      </w:r>
      <w:r>
        <w:rPr>
          <w:rFonts w:hint="eastAsia" w:ascii="仿宋" w:hAnsi="仿宋" w:eastAsia="仿宋" w:cs="仿宋"/>
          <w:spacing w:val="-9"/>
          <w:sz w:val="28"/>
          <w:szCs w:val="28"/>
          <w:highlight w:val="none"/>
        </w:rPr>
        <w:t>算。</w:t>
      </w:r>
    </w:p>
    <w:p w14:paraId="00387B2C">
      <w:pPr>
        <w:pStyle w:val="3"/>
        <w:keepNext w:val="0"/>
        <w:keepLines w:val="0"/>
        <w:pageBreakBefore w:val="0"/>
        <w:widowControl/>
        <w:kinsoku w:val="0"/>
        <w:wordWrap/>
        <w:overflowPunct/>
        <w:topLinePunct w:val="0"/>
        <w:autoSpaceDE w:val="0"/>
        <w:autoSpaceDN w:val="0"/>
        <w:bidi w:val="0"/>
        <w:adjustRightInd w:val="0"/>
        <w:snapToGrid w:val="0"/>
        <w:spacing w:before="92" w:line="360" w:lineRule="auto"/>
        <w:ind w:left="0" w:leftChars="0" w:firstLine="548" w:firstLineChars="200"/>
        <w:textAlignment w:val="baseline"/>
        <w:rPr>
          <w:rFonts w:hint="eastAsia" w:ascii="仿宋" w:hAnsi="仿宋" w:eastAsia="仿宋" w:cs="仿宋"/>
          <w:b w:val="0"/>
          <w:bCs w:val="0"/>
          <w:spacing w:val="-7"/>
          <w:sz w:val="28"/>
          <w:szCs w:val="28"/>
          <w:highlight w:val="none"/>
        </w:rPr>
      </w:pPr>
      <w:r>
        <w:rPr>
          <w:rFonts w:hint="eastAsia" w:cs="仿宋"/>
          <w:spacing w:val="-3"/>
          <w:sz w:val="28"/>
          <w:szCs w:val="28"/>
          <w:highlight w:val="none"/>
          <w:lang w:val="en-US" w:eastAsia="zh-CN"/>
          <w:woUserID w:val="1"/>
        </w:rPr>
        <w:t>3</w:t>
      </w:r>
      <w:r>
        <w:rPr>
          <w:rFonts w:hint="eastAsia" w:ascii="仿宋" w:hAnsi="仿宋" w:eastAsia="仿宋" w:cs="仿宋"/>
          <w:spacing w:val="-3"/>
          <w:sz w:val="28"/>
          <w:szCs w:val="28"/>
          <w:highlight w:val="none"/>
          <w:woUserID w:val="1"/>
        </w:rPr>
        <w:t>．本说明未尽事项，以“2024</w:t>
      </w:r>
      <w:r>
        <w:rPr>
          <w:rFonts w:hint="eastAsia" w:ascii="仿宋" w:hAnsi="仿宋" w:eastAsia="仿宋" w:cs="仿宋"/>
          <w:spacing w:val="-49"/>
          <w:sz w:val="28"/>
          <w:szCs w:val="28"/>
          <w:highlight w:val="none"/>
          <w:woUserID w:val="1"/>
        </w:rPr>
        <w:t xml:space="preserve"> </w:t>
      </w:r>
      <w:r>
        <w:rPr>
          <w:rFonts w:hint="eastAsia" w:ascii="仿宋" w:hAnsi="仿宋" w:eastAsia="仿宋" w:cs="仿宋"/>
          <w:spacing w:val="-3"/>
          <w:sz w:val="28"/>
          <w:szCs w:val="28"/>
          <w:highlight w:val="none"/>
          <w:woUserID w:val="1"/>
        </w:rPr>
        <w:t>清单计量计价标准</w:t>
      </w:r>
      <w:r>
        <w:rPr>
          <w:rFonts w:hint="eastAsia" w:ascii="仿宋" w:hAnsi="仿宋" w:eastAsia="仿宋" w:cs="仿宋"/>
          <w:spacing w:val="-103"/>
          <w:sz w:val="28"/>
          <w:szCs w:val="28"/>
          <w:highlight w:val="none"/>
          <w:woUserID w:val="1"/>
        </w:rPr>
        <w:t xml:space="preserve"> </w:t>
      </w:r>
      <w:r>
        <w:rPr>
          <w:rFonts w:hint="eastAsia" w:ascii="仿宋" w:hAnsi="仿宋" w:eastAsia="仿宋" w:cs="仿宋"/>
          <w:spacing w:val="-3"/>
          <w:sz w:val="28"/>
          <w:szCs w:val="28"/>
          <w:highlight w:val="none"/>
          <w:woUserID w:val="1"/>
        </w:rPr>
        <w:t>”、“</w:t>
      </w:r>
      <w:r>
        <w:rPr>
          <w:rFonts w:hint="eastAsia" w:ascii="仿宋" w:hAnsi="仿宋" w:eastAsia="仿宋" w:cs="仿宋"/>
          <w:spacing w:val="-4"/>
          <w:sz w:val="28"/>
          <w:szCs w:val="28"/>
          <w:highlight w:val="none"/>
          <w:woUserID w:val="1"/>
        </w:rPr>
        <w:t>计价管</w:t>
      </w:r>
      <w:r>
        <w:rPr>
          <w:rFonts w:hint="eastAsia" w:ascii="仿宋" w:hAnsi="仿宋" w:eastAsia="仿宋" w:cs="仿宋"/>
          <w:spacing w:val="-6"/>
          <w:sz w:val="28"/>
          <w:szCs w:val="28"/>
          <w:highlight w:val="none"/>
          <w:woUserID w:val="1"/>
        </w:rPr>
        <w:t>理办法</w:t>
      </w:r>
      <w:r>
        <w:rPr>
          <w:rFonts w:hint="eastAsia" w:ascii="仿宋" w:hAnsi="仿宋" w:eastAsia="仿宋" w:cs="仿宋"/>
          <w:spacing w:val="-103"/>
          <w:sz w:val="28"/>
          <w:szCs w:val="28"/>
          <w:highlight w:val="none"/>
          <w:woUserID w:val="1"/>
        </w:rPr>
        <w:t xml:space="preserve"> </w:t>
      </w:r>
      <w:r>
        <w:rPr>
          <w:rFonts w:hint="eastAsia" w:ascii="仿宋" w:hAnsi="仿宋" w:eastAsia="仿宋" w:cs="仿宋"/>
          <w:spacing w:val="-6"/>
          <w:sz w:val="28"/>
          <w:szCs w:val="28"/>
          <w:highlight w:val="none"/>
          <w:woUserID w:val="1"/>
        </w:rPr>
        <w:t>”、“招标文件</w:t>
      </w:r>
      <w:r>
        <w:rPr>
          <w:rFonts w:hint="eastAsia" w:ascii="仿宋" w:hAnsi="仿宋" w:eastAsia="仿宋" w:cs="仿宋"/>
          <w:spacing w:val="-103"/>
          <w:sz w:val="28"/>
          <w:szCs w:val="28"/>
          <w:highlight w:val="none"/>
          <w:woUserID w:val="1"/>
        </w:rPr>
        <w:t xml:space="preserve"> </w:t>
      </w:r>
      <w:r>
        <w:rPr>
          <w:rFonts w:hint="eastAsia" w:ascii="仿宋" w:hAnsi="仿宋" w:eastAsia="仿宋" w:cs="仿宋"/>
          <w:spacing w:val="-6"/>
          <w:sz w:val="28"/>
          <w:szCs w:val="28"/>
          <w:highlight w:val="none"/>
          <w:woUserID w:val="1"/>
        </w:rPr>
        <w:t>”以及有关的</w:t>
      </w:r>
      <w:r>
        <w:rPr>
          <w:rFonts w:hint="eastAsia" w:cs="仿宋"/>
          <w:spacing w:val="-6"/>
          <w:sz w:val="28"/>
          <w:szCs w:val="28"/>
          <w:highlight w:val="none"/>
          <w:lang w:eastAsia="zh-CN"/>
          <w:woUserID w:val="1"/>
        </w:rPr>
        <w:t>法律法规</w:t>
      </w:r>
      <w:r>
        <w:rPr>
          <w:rFonts w:hint="eastAsia" w:ascii="仿宋" w:hAnsi="仿宋" w:eastAsia="仿宋" w:cs="仿宋"/>
          <w:spacing w:val="-7"/>
          <w:sz w:val="28"/>
          <w:szCs w:val="28"/>
          <w:highlight w:val="none"/>
          <w:woUserID w:val="1"/>
        </w:rPr>
        <w:t>、建设行政主管部门</w:t>
      </w:r>
      <w:r>
        <w:rPr>
          <w:rFonts w:hint="eastAsia" w:ascii="仿宋" w:hAnsi="仿宋" w:eastAsia="仿宋" w:cs="仿宋"/>
          <w:spacing w:val="-6"/>
          <w:sz w:val="28"/>
          <w:szCs w:val="28"/>
          <w:highlight w:val="none"/>
          <w:woUserID w:val="1"/>
        </w:rPr>
        <w:t>颁发的文件为准。</w:t>
      </w:r>
    </w:p>
    <w:p w14:paraId="59039AF3">
      <w:pPr>
        <w:pStyle w:val="3"/>
        <w:keepNext w:val="0"/>
        <w:keepLines w:val="0"/>
        <w:pageBreakBefore w:val="0"/>
        <w:widowControl/>
        <w:kinsoku w:val="0"/>
        <w:wordWrap/>
        <w:overflowPunct/>
        <w:topLinePunct w:val="0"/>
        <w:autoSpaceDE w:val="0"/>
        <w:autoSpaceDN w:val="0"/>
        <w:bidi w:val="0"/>
        <w:adjustRightInd w:val="0"/>
        <w:snapToGrid w:val="0"/>
        <w:spacing w:before="92" w:line="360" w:lineRule="auto"/>
        <w:ind w:left="0" w:leftChars="0" w:firstLine="532" w:firstLineChars="200"/>
        <w:textAlignment w:val="baseline"/>
        <w:rPr>
          <w:rFonts w:hint="eastAsia" w:cs="仿宋"/>
          <w:b w:val="0"/>
          <w:bCs w:val="0"/>
          <w:spacing w:val="-7"/>
          <w:sz w:val="28"/>
          <w:szCs w:val="28"/>
          <w:highlight w:val="none"/>
          <w:lang w:val="en-US" w:eastAsia="zh-CN"/>
          <w:woUserID w:val="1"/>
        </w:rPr>
      </w:pPr>
      <w:r>
        <w:rPr>
          <w:rFonts w:hint="eastAsia" w:cs="仿宋"/>
          <w:b w:val="0"/>
          <w:bCs w:val="0"/>
          <w:spacing w:val="-7"/>
          <w:sz w:val="28"/>
          <w:szCs w:val="28"/>
          <w:highlight w:val="none"/>
          <w:lang w:val="en-US" w:eastAsia="zh-CN"/>
          <w:woUserID w:val="1"/>
        </w:rPr>
        <w:t>4</w:t>
      </w:r>
      <w:r>
        <w:rPr>
          <w:rFonts w:hint="eastAsia" w:cs="仿宋"/>
          <w:b w:val="0"/>
          <w:bCs w:val="0"/>
          <w:spacing w:val="-7"/>
          <w:sz w:val="28"/>
          <w:szCs w:val="28"/>
          <w:highlight w:val="none"/>
          <w:lang w:eastAsia="zh"/>
          <w:woUserID w:val="1"/>
        </w:rPr>
        <w:t>.项目特征描述只对图纸部分重点描述，投标人在报价时，按照招标文件、设计图纸及设计规范综合考虑后进行报</w:t>
      </w:r>
      <w:r>
        <w:rPr>
          <w:rFonts w:hint="eastAsia" w:cs="仿宋"/>
          <w:b w:val="0"/>
          <w:bCs w:val="0"/>
          <w:spacing w:val="-7"/>
          <w:sz w:val="28"/>
          <w:szCs w:val="28"/>
          <w:highlight w:val="none"/>
          <w:lang w:val="en-US" w:eastAsia="zh-CN"/>
          <w:woUserID w:val="1"/>
        </w:rPr>
        <w:t>价。</w:t>
      </w:r>
    </w:p>
    <w:p w14:paraId="07BDC1B9">
      <w:pPr>
        <w:pStyle w:val="3"/>
        <w:keepNext w:val="0"/>
        <w:keepLines w:val="0"/>
        <w:pageBreakBefore w:val="0"/>
        <w:widowControl/>
        <w:kinsoku w:val="0"/>
        <w:wordWrap/>
        <w:overflowPunct/>
        <w:topLinePunct w:val="0"/>
        <w:autoSpaceDE w:val="0"/>
        <w:autoSpaceDN w:val="0"/>
        <w:bidi w:val="0"/>
        <w:adjustRightInd w:val="0"/>
        <w:snapToGrid w:val="0"/>
        <w:spacing w:before="92" w:line="360" w:lineRule="auto"/>
        <w:ind w:left="0" w:leftChars="0" w:firstLine="532" w:firstLineChars="200"/>
        <w:textAlignment w:val="baseline"/>
        <w:rPr>
          <w:rFonts w:hint="eastAsia" w:cs="仿宋"/>
          <w:b w:val="0"/>
          <w:bCs w:val="0"/>
          <w:spacing w:val="-7"/>
          <w:sz w:val="28"/>
          <w:szCs w:val="28"/>
          <w:highlight w:val="none"/>
          <w:lang w:val="en-US" w:eastAsia="zh-CN"/>
          <w:woUserID w:val="1"/>
        </w:rPr>
      </w:pPr>
      <w:r>
        <w:rPr>
          <w:rFonts w:hint="eastAsia" w:cs="仿宋"/>
          <w:b w:val="0"/>
          <w:bCs w:val="0"/>
          <w:spacing w:val="-7"/>
          <w:sz w:val="28"/>
          <w:szCs w:val="28"/>
          <w:highlight w:val="none"/>
          <w:lang w:val="en-US" w:eastAsia="zh-CN"/>
          <w:woUserID w:val="1"/>
        </w:rPr>
        <w:t>5.本项目建筑工程实名制相关成本费用在投标限价编制阶段未予计取，竣工结算时应结合项目现场实际实施情况，遵照相关规定，现行计价管理文件据实结算调整价款。</w:t>
      </w:r>
    </w:p>
    <w:p w14:paraId="10B3174D">
      <w:pPr>
        <w:pStyle w:val="3"/>
        <w:keepNext w:val="0"/>
        <w:keepLines w:val="0"/>
        <w:pageBreakBefore w:val="0"/>
        <w:widowControl/>
        <w:kinsoku w:val="0"/>
        <w:wordWrap/>
        <w:overflowPunct/>
        <w:topLinePunct w:val="0"/>
        <w:autoSpaceDE w:val="0"/>
        <w:autoSpaceDN w:val="0"/>
        <w:bidi w:val="0"/>
        <w:adjustRightInd w:val="0"/>
        <w:snapToGrid w:val="0"/>
        <w:spacing w:before="92" w:line="360" w:lineRule="auto"/>
        <w:ind w:left="0" w:leftChars="0" w:firstLine="532" w:firstLineChars="200"/>
        <w:textAlignment w:val="baseline"/>
        <w:rPr>
          <w:rFonts w:hint="eastAsia" w:cs="仿宋"/>
          <w:b w:val="0"/>
          <w:bCs w:val="0"/>
          <w:spacing w:val="-7"/>
          <w:sz w:val="28"/>
          <w:szCs w:val="28"/>
          <w:highlight w:val="none"/>
          <w:lang w:val="en-US" w:eastAsia="zh-CN"/>
          <w:woUserID w:val="1"/>
        </w:rPr>
      </w:pPr>
      <w:r>
        <w:rPr>
          <w:rFonts w:hint="eastAsia" w:cs="仿宋"/>
          <w:b w:val="0"/>
          <w:bCs w:val="0"/>
          <w:spacing w:val="-7"/>
          <w:sz w:val="28"/>
          <w:szCs w:val="28"/>
          <w:highlight w:val="none"/>
          <w:lang w:val="en-US" w:eastAsia="zh-CN"/>
          <w:woUserID w:val="1"/>
        </w:rPr>
        <w:t>6.图纸与工程量清单内容不一致时，投标报价以清单为准。</w:t>
      </w:r>
    </w:p>
    <w:p w14:paraId="33C2564A">
      <w:pPr>
        <w:pStyle w:val="3"/>
        <w:keepNext w:val="0"/>
        <w:keepLines w:val="0"/>
        <w:pageBreakBefore w:val="0"/>
        <w:widowControl/>
        <w:kinsoku w:val="0"/>
        <w:wordWrap/>
        <w:overflowPunct/>
        <w:topLinePunct w:val="0"/>
        <w:autoSpaceDE w:val="0"/>
        <w:autoSpaceDN w:val="0"/>
        <w:bidi w:val="0"/>
        <w:adjustRightInd w:val="0"/>
        <w:snapToGrid w:val="0"/>
        <w:spacing w:before="92" w:line="360" w:lineRule="auto"/>
        <w:textAlignment w:val="baseline"/>
        <w:rPr>
          <w:rFonts w:hint="eastAsia" w:cs="仿宋"/>
          <w:b w:val="0"/>
          <w:bCs w:val="0"/>
          <w:spacing w:val="-7"/>
          <w:sz w:val="28"/>
          <w:szCs w:val="28"/>
          <w:highlight w:val="none"/>
          <w:lang w:val="en-US" w:eastAsia="zh-CN"/>
          <w:woUserID w:val="1"/>
        </w:rPr>
      </w:pPr>
      <w:r>
        <w:rPr>
          <w:rFonts w:hint="eastAsia" w:cs="仿宋"/>
          <w:b w:val="0"/>
          <w:bCs w:val="0"/>
          <w:spacing w:val="-7"/>
          <w:sz w:val="28"/>
          <w:szCs w:val="28"/>
          <w:highlight w:val="none"/>
          <w:lang w:val="en-US" w:eastAsia="zh-CN"/>
          <w:woUserID w:val="1"/>
        </w:rPr>
        <w:t>六、图纸答疑</w:t>
      </w:r>
    </w:p>
    <w:p w14:paraId="7631DF15">
      <w:pPr>
        <w:numPr>
          <w:ilvl w:val="0"/>
          <w:numId w:val="2"/>
        </w:numPr>
        <w:ind w:left="0" w:leftChars="0" w:firstLine="40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足球场围栏立柱钢管的规格图纸未明确？</w:t>
      </w:r>
    </w:p>
    <w:p w14:paraId="17DF38C1">
      <w:pPr>
        <w:numPr>
          <w:ilvl w:val="0"/>
          <w:numId w:val="0"/>
        </w:numPr>
        <w:ind w:left="400" w:left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回复：立柱规格 60mm，壁厚2.0mm，横杆48mm，壁厚1.5mm，门四周的钢管规格同横杆</w:t>
      </w:r>
    </w:p>
    <w:p w14:paraId="7B00FC60">
      <w:pPr>
        <w:numPr>
          <w:ilvl w:val="0"/>
          <w:numId w:val="2"/>
        </w:numPr>
        <w:ind w:left="0" w:leftChars="0" w:firstLine="40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排球场地、篮球场地、活动场地、羽毛球场地、乒乓球场地地面改造拆除做法是什么？</w:t>
      </w:r>
    </w:p>
    <w:p w14:paraId="10D04E39">
      <w:pPr>
        <w:numPr>
          <w:ilvl w:val="0"/>
          <w:numId w:val="0"/>
        </w:numPr>
        <w:ind w:left="400" w:left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回复：</w:t>
      </w:r>
      <w:r>
        <w:rPr>
          <w:rFonts w:hint="eastAsia" w:ascii="仿宋" w:hAnsi="仿宋" w:eastAsia="仿宋" w:cs="仿宋"/>
          <w:sz w:val="28"/>
          <w:szCs w:val="28"/>
          <w:lang w:val="en-US" w:eastAsia="zh-CN"/>
        </w:rPr>
        <w:drawing>
          <wp:inline distT="0" distB="0" distL="114300" distR="114300">
            <wp:extent cx="5288915" cy="1174750"/>
            <wp:effectExtent l="0" t="0" r="14605" b="13970"/>
            <wp:docPr id="2" name="图片 2" descr="1b916db20c903a0df873df7190bf5a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b916db20c903a0df873df7190bf5a11"/>
                    <pic:cNvPicPr>
                      <a:picLocks noChangeAspect="1"/>
                    </pic:cNvPicPr>
                  </pic:nvPicPr>
                  <pic:blipFill>
                    <a:blip r:embed="rId7"/>
                    <a:stretch>
                      <a:fillRect/>
                    </a:stretch>
                  </pic:blipFill>
                  <pic:spPr>
                    <a:xfrm>
                      <a:off x="0" y="0"/>
                      <a:ext cx="5288915" cy="1174750"/>
                    </a:xfrm>
                    <a:prstGeom prst="rect">
                      <a:avLst/>
                    </a:prstGeom>
                    <a:noFill/>
                    <a:ln>
                      <a:noFill/>
                    </a:ln>
                  </pic:spPr>
                </pic:pic>
              </a:graphicData>
            </a:graphic>
          </wp:inline>
        </w:drawing>
      </w:r>
    </w:p>
    <w:p w14:paraId="6B12C49F">
      <w:pPr>
        <w:numPr>
          <w:ilvl w:val="0"/>
          <w:numId w:val="2"/>
        </w:numPr>
        <w:ind w:left="0" w:leftChars="0" w:firstLine="40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篮球架是否计入么？</w:t>
      </w:r>
    </w:p>
    <w:p w14:paraId="6C118DF9">
      <w:pPr>
        <w:numPr>
          <w:ilvl w:val="0"/>
          <w:numId w:val="0"/>
        </w:numPr>
        <w:ind w:left="400" w:left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回复：计入</w:t>
      </w:r>
    </w:p>
    <w:p w14:paraId="2E14CA2D">
      <w:pPr>
        <w:numPr>
          <w:ilvl w:val="0"/>
          <w:numId w:val="2"/>
        </w:numPr>
        <w:ind w:left="0" w:leftChars="0" w:firstLine="40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羽毛球网架是否计入？</w:t>
      </w:r>
    </w:p>
    <w:p w14:paraId="34348AFD">
      <w:pPr>
        <w:numPr>
          <w:ilvl w:val="0"/>
          <w:numId w:val="0"/>
        </w:numPr>
        <w:ind w:left="400" w:left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回复：不计入</w:t>
      </w:r>
    </w:p>
    <w:p w14:paraId="0C93C4DC">
      <w:pPr>
        <w:numPr>
          <w:ilvl w:val="0"/>
          <w:numId w:val="2"/>
        </w:numPr>
        <w:ind w:left="0" w:leftChars="0" w:firstLine="40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乒乓球台是否计入？</w:t>
      </w:r>
    </w:p>
    <w:p w14:paraId="05193EDF">
      <w:pPr>
        <w:numPr>
          <w:ilvl w:val="0"/>
          <w:numId w:val="0"/>
        </w:numPr>
        <w:ind w:left="400" w:left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回复：计入</w:t>
      </w:r>
    </w:p>
    <w:p w14:paraId="090719F9">
      <w:pPr>
        <w:pStyle w:val="3"/>
        <w:keepNext w:val="0"/>
        <w:keepLines w:val="0"/>
        <w:pageBreakBefore w:val="0"/>
        <w:widowControl/>
        <w:numPr>
          <w:ilvl w:val="0"/>
          <w:numId w:val="2"/>
        </w:numPr>
        <w:kinsoku w:val="0"/>
        <w:wordWrap/>
        <w:overflowPunct/>
        <w:topLinePunct w:val="0"/>
        <w:autoSpaceDE w:val="0"/>
        <w:autoSpaceDN w:val="0"/>
        <w:bidi w:val="0"/>
        <w:adjustRightInd w:val="0"/>
        <w:snapToGrid w:val="0"/>
        <w:spacing w:before="92" w:line="360" w:lineRule="auto"/>
        <w:ind w:left="0" w:leftChars="0" w:firstLine="400" w:firstLineChars="0"/>
        <w:textAlignment w:val="baseline"/>
        <w:rPr>
          <w:rFonts w:hint="eastAsia" w:cs="仿宋"/>
          <w:b w:val="0"/>
          <w:bCs w:val="0"/>
          <w:spacing w:val="-7"/>
          <w:sz w:val="28"/>
          <w:szCs w:val="28"/>
          <w:highlight w:val="none"/>
          <w:lang w:val="en-US" w:eastAsia="zh-CN"/>
          <w:woUserID w:val="1"/>
        </w:rPr>
      </w:pPr>
      <w:r>
        <w:rPr>
          <w:rFonts w:hint="eastAsia" w:cs="仿宋"/>
          <w:b w:val="0"/>
          <w:bCs w:val="0"/>
          <w:spacing w:val="-7"/>
          <w:sz w:val="28"/>
          <w:szCs w:val="28"/>
          <w:highlight w:val="none"/>
          <w:lang w:val="en-US" w:eastAsia="zh-CN"/>
          <w:woUserID w:val="1"/>
        </w:rPr>
        <w:t>弱电设备参数不明确，提供参数？</w:t>
      </w:r>
    </w:p>
    <w:p w14:paraId="3A300CB3">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92" w:line="360" w:lineRule="auto"/>
        <w:ind w:left="400" w:leftChars="0"/>
        <w:textAlignment w:val="baseline"/>
        <w:rPr>
          <w:rFonts w:hint="default" w:cs="仿宋"/>
          <w:b w:val="0"/>
          <w:bCs w:val="0"/>
          <w:spacing w:val="-7"/>
          <w:sz w:val="28"/>
          <w:szCs w:val="28"/>
          <w:highlight w:val="none"/>
          <w:lang w:val="en-US" w:eastAsia="zh-CN"/>
          <w:woUserID w:val="1"/>
        </w:rPr>
      </w:pPr>
      <w:r>
        <w:rPr>
          <w:rFonts w:hint="eastAsia" w:cs="仿宋"/>
          <w:b w:val="0"/>
          <w:bCs w:val="0"/>
          <w:spacing w:val="-7"/>
          <w:sz w:val="28"/>
          <w:szCs w:val="28"/>
          <w:highlight w:val="none"/>
          <w:lang w:val="en-US" w:eastAsia="zh-CN"/>
          <w:woUserID w:val="1"/>
        </w:rPr>
        <w:t>回复：按以下参数计入</w:t>
      </w:r>
    </w:p>
    <w:tbl>
      <w:tblPr>
        <w:tblStyle w:val="10"/>
        <w:tblpPr w:leftFromText="180" w:rightFromText="180" w:vertAnchor="text" w:horzAnchor="page" w:tblpX="1883" w:tblpY="532"/>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0"/>
        <w:gridCol w:w="758"/>
        <w:gridCol w:w="6804"/>
        <w:gridCol w:w="480"/>
      </w:tblGrid>
      <w:tr w14:paraId="417B5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4"/>
            <w:vMerge w:val="restart"/>
            <w:tcBorders>
              <w:top w:val="nil"/>
              <w:left w:val="nil"/>
              <w:bottom w:val="nil"/>
              <w:right w:val="nil"/>
            </w:tcBorders>
            <w:shd w:val="clear" w:color="auto" w:fill="auto"/>
            <w:noWrap/>
            <w:vAlign w:val="center"/>
          </w:tcPr>
          <w:p w14:paraId="1E07AAB9">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配置清单</w:t>
            </w:r>
          </w:p>
        </w:tc>
      </w:tr>
      <w:tr w14:paraId="02470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4"/>
            <w:vMerge w:val="continue"/>
            <w:tcBorders>
              <w:top w:val="nil"/>
              <w:left w:val="nil"/>
              <w:bottom w:val="nil"/>
              <w:right w:val="nil"/>
            </w:tcBorders>
            <w:shd w:val="clear" w:color="auto" w:fill="auto"/>
            <w:noWrap/>
            <w:vAlign w:val="center"/>
          </w:tcPr>
          <w:p w14:paraId="44E618FF">
            <w:pPr>
              <w:jc w:val="center"/>
              <w:rPr>
                <w:rFonts w:hint="eastAsia" w:ascii="宋体" w:hAnsi="宋体" w:eastAsia="宋体" w:cs="宋体"/>
                <w:b/>
                <w:bCs/>
                <w:i w:val="0"/>
                <w:iCs w:val="0"/>
                <w:color w:val="000000"/>
                <w:sz w:val="28"/>
                <w:szCs w:val="28"/>
                <w:u w:val="none"/>
              </w:rPr>
            </w:pPr>
          </w:p>
        </w:tc>
      </w:tr>
      <w:tr w14:paraId="62C07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nil"/>
              <w:right w:val="single" w:color="000000" w:sz="4" w:space="0"/>
            </w:tcBorders>
            <w:shd w:val="clear" w:color="auto" w:fill="C00000"/>
            <w:vAlign w:val="center"/>
          </w:tcPr>
          <w:p w14:paraId="507DF47F">
            <w:pPr>
              <w:keepNext w:val="0"/>
              <w:keepLines w:val="0"/>
              <w:widowControl/>
              <w:suppressLineNumbers w:val="0"/>
              <w:jc w:val="center"/>
              <w:textAlignment w:val="center"/>
              <w:rPr>
                <w:rFonts w:ascii="微软雅黑" w:hAnsi="微软雅黑" w:eastAsia="微软雅黑" w:cs="微软雅黑"/>
                <w:b/>
                <w:bCs/>
                <w:i w:val="0"/>
                <w:iCs w:val="0"/>
                <w:color w:val="auto"/>
                <w:sz w:val="22"/>
                <w:szCs w:val="22"/>
                <w:u w:val="none"/>
              </w:rPr>
            </w:pPr>
            <w:r>
              <w:rPr>
                <w:rFonts w:hint="eastAsia" w:ascii="微软雅黑" w:hAnsi="微软雅黑" w:eastAsia="微软雅黑" w:cs="微软雅黑"/>
                <w:b/>
                <w:bCs/>
                <w:i w:val="0"/>
                <w:iCs w:val="0"/>
                <w:snapToGrid w:val="0"/>
                <w:color w:val="auto"/>
                <w:kern w:val="0"/>
                <w:sz w:val="22"/>
                <w:szCs w:val="22"/>
                <w:u w:val="none"/>
                <w:lang w:val="en-US" w:eastAsia="zh-CN" w:bidi="ar"/>
              </w:rPr>
              <w:t>序号</w:t>
            </w:r>
          </w:p>
        </w:tc>
        <w:tc>
          <w:tcPr>
            <w:tcW w:w="0" w:type="auto"/>
            <w:tcBorders>
              <w:top w:val="single" w:color="000000" w:sz="4" w:space="0"/>
              <w:left w:val="single" w:color="000000" w:sz="4" w:space="0"/>
              <w:bottom w:val="nil"/>
              <w:right w:val="single" w:color="000000" w:sz="4" w:space="0"/>
            </w:tcBorders>
            <w:shd w:val="clear" w:color="auto" w:fill="C00000"/>
            <w:vAlign w:val="center"/>
          </w:tcPr>
          <w:p w14:paraId="6CCE01EF">
            <w:pPr>
              <w:keepNext w:val="0"/>
              <w:keepLines w:val="0"/>
              <w:widowControl/>
              <w:suppressLineNumbers w:val="0"/>
              <w:jc w:val="center"/>
              <w:textAlignment w:val="center"/>
              <w:rPr>
                <w:rFonts w:hint="eastAsia" w:ascii="微软雅黑" w:hAnsi="微软雅黑" w:eastAsia="微软雅黑" w:cs="微软雅黑"/>
                <w:b/>
                <w:bCs/>
                <w:i w:val="0"/>
                <w:iCs w:val="0"/>
                <w:color w:val="auto"/>
                <w:sz w:val="22"/>
                <w:szCs w:val="22"/>
                <w:u w:val="none"/>
              </w:rPr>
            </w:pPr>
            <w:r>
              <w:rPr>
                <w:rFonts w:hint="eastAsia" w:ascii="微软雅黑" w:hAnsi="微软雅黑" w:eastAsia="微软雅黑" w:cs="微软雅黑"/>
                <w:b/>
                <w:bCs/>
                <w:i w:val="0"/>
                <w:iCs w:val="0"/>
                <w:snapToGrid w:val="0"/>
                <w:color w:val="auto"/>
                <w:kern w:val="0"/>
                <w:sz w:val="22"/>
                <w:szCs w:val="22"/>
                <w:u w:val="none"/>
                <w:lang w:val="en-US" w:eastAsia="zh-CN" w:bidi="ar"/>
              </w:rPr>
              <w:t>产品名称</w:t>
            </w:r>
          </w:p>
        </w:tc>
        <w:tc>
          <w:tcPr>
            <w:tcW w:w="0" w:type="auto"/>
            <w:tcBorders>
              <w:top w:val="single" w:color="000000" w:sz="4" w:space="0"/>
              <w:left w:val="single" w:color="000000" w:sz="4" w:space="0"/>
              <w:bottom w:val="nil"/>
              <w:right w:val="single" w:color="000000" w:sz="4" w:space="0"/>
            </w:tcBorders>
            <w:shd w:val="clear" w:color="auto" w:fill="C00000"/>
            <w:vAlign w:val="center"/>
          </w:tcPr>
          <w:p w14:paraId="23344F1C">
            <w:pPr>
              <w:keepNext w:val="0"/>
              <w:keepLines w:val="0"/>
              <w:widowControl/>
              <w:suppressLineNumbers w:val="0"/>
              <w:jc w:val="center"/>
              <w:textAlignment w:val="center"/>
              <w:rPr>
                <w:rFonts w:hint="eastAsia" w:ascii="微软雅黑" w:hAnsi="微软雅黑" w:eastAsia="微软雅黑" w:cs="微软雅黑"/>
                <w:b/>
                <w:bCs/>
                <w:i w:val="0"/>
                <w:iCs w:val="0"/>
                <w:color w:val="auto"/>
                <w:sz w:val="22"/>
                <w:szCs w:val="22"/>
                <w:u w:val="none"/>
              </w:rPr>
            </w:pPr>
            <w:r>
              <w:rPr>
                <w:rFonts w:hint="eastAsia" w:ascii="微软雅黑" w:hAnsi="微软雅黑" w:eastAsia="微软雅黑" w:cs="微软雅黑"/>
                <w:b/>
                <w:bCs/>
                <w:i w:val="0"/>
                <w:iCs w:val="0"/>
                <w:snapToGrid w:val="0"/>
                <w:color w:val="auto"/>
                <w:kern w:val="0"/>
                <w:sz w:val="22"/>
                <w:szCs w:val="22"/>
                <w:u w:val="none"/>
                <w:lang w:val="en-US" w:eastAsia="zh-CN" w:bidi="ar"/>
              </w:rPr>
              <w:t>技术规格</w:t>
            </w:r>
          </w:p>
        </w:tc>
        <w:tc>
          <w:tcPr>
            <w:tcW w:w="0" w:type="auto"/>
            <w:tcBorders>
              <w:top w:val="single" w:color="000000" w:sz="4" w:space="0"/>
              <w:left w:val="single" w:color="000000" w:sz="4" w:space="0"/>
              <w:bottom w:val="nil"/>
              <w:right w:val="single" w:color="000000" w:sz="4" w:space="0"/>
            </w:tcBorders>
            <w:shd w:val="clear" w:color="auto" w:fill="C00000"/>
            <w:vAlign w:val="center"/>
          </w:tcPr>
          <w:p w14:paraId="7875F69F">
            <w:pPr>
              <w:keepNext w:val="0"/>
              <w:keepLines w:val="0"/>
              <w:widowControl/>
              <w:suppressLineNumbers w:val="0"/>
              <w:jc w:val="center"/>
              <w:textAlignment w:val="center"/>
              <w:rPr>
                <w:rFonts w:hint="eastAsia" w:ascii="微软雅黑" w:hAnsi="微软雅黑" w:eastAsia="微软雅黑" w:cs="微软雅黑"/>
                <w:b/>
                <w:bCs/>
                <w:i w:val="0"/>
                <w:iCs w:val="0"/>
                <w:color w:val="auto"/>
                <w:sz w:val="22"/>
                <w:szCs w:val="22"/>
                <w:u w:val="none"/>
              </w:rPr>
            </w:pPr>
            <w:r>
              <w:rPr>
                <w:rFonts w:hint="eastAsia" w:ascii="微软雅黑" w:hAnsi="微软雅黑" w:eastAsia="微软雅黑" w:cs="微软雅黑"/>
                <w:b/>
                <w:bCs/>
                <w:i w:val="0"/>
                <w:iCs w:val="0"/>
                <w:snapToGrid w:val="0"/>
                <w:color w:val="auto"/>
                <w:kern w:val="0"/>
                <w:sz w:val="22"/>
                <w:szCs w:val="22"/>
                <w:u w:val="none"/>
                <w:lang w:val="en-US" w:eastAsia="zh-CN" w:bidi="ar"/>
              </w:rPr>
              <w:t>单位</w:t>
            </w:r>
          </w:p>
        </w:tc>
      </w:tr>
      <w:tr w14:paraId="420A8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014511">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08F91">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管理平台容器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AE425E">
            <w:pPr>
              <w:keepNext w:val="0"/>
              <w:keepLines w:val="0"/>
              <w:widowControl/>
              <w:suppressLineNumbers w:val="0"/>
              <w:spacing w:after="160" w:afterAutospacing="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iSecure Center综合安防管理平台，通过接入视频监控、入侵报警、一卡通、停车场、动环等系统的设备，获取边缘节点数据，实现安防信息化集成与联动。以电子地图为载体，融合各系统能力实现丰富的智能应用。该平台适用于全行业通用综合安防业务，对各系统资源进行了整合和集中管理，实现统一部署、统一配置、统一管理和统一调度。</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支持统一接入管理视频监控、视频存储、网络交换机。</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支持视频质量诊断功能</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支持智能检索，支持人脸搜图，以文搜图等智能应用。</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配置至少1台2U双路标准机架式服务器</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CPU：配置1颗intel至强6330处理器，核数≥28核，线程数≥56线程，主频≥2.0GHz</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内存：配置64G DDR4，32根内存插槽，最大支持扩展至4TB内存</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硬盘：配置2块1.2T 10K SAS硬盘；默认支持8个3.5寸/2.5寸硬盘；</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阵列卡：配置SAS_HBA卡，支持RAID 0/1/10</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PCIE扩展：单支持4个PCIE扩展插槽</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网口：配置2个千兆电口；支持选配10GbE、25GbE SFP+等多种网络接口</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其他接口：1个RJ45管理接口，后置2个USB 3.0接口，1个VGA接口。前置1个USB2.0接口，1个USB 3.0接口，1个VGA接口</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电源：标配800W（1+1）高效铂金CRPS冗余电源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5624DA">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套</w:t>
            </w:r>
          </w:p>
        </w:tc>
      </w:tr>
      <w:tr w14:paraId="0618B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AB1DF9">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E62E3">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网络视频存储服务器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2A98C6">
            <w:pPr>
              <w:keepNext w:val="0"/>
              <w:keepLines w:val="0"/>
              <w:widowControl/>
              <w:suppressLineNumbers w:val="0"/>
              <w:spacing w:after="160" w:afterAutospacing="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2U机架式8盘位嵌入式网络硬盘录像机DS-9664N-X8R，采用存算一体架构，内置高性能AI处理器，搭载1+1冗余电源</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【硬件规格】</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存储接口：8个SATA接口，支持硬盘热插拔，可满配20TB硬盘</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视频接口：2×HDMI，2×VGA</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网络接口：2×RJ45 10/100/1000Mbps自适应以太网口</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报警接口：16路报警输入，9路报警输出（其中第9路支持CTRL 12V）</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反向供电：1路DC12V 1A</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串行接口：1路RS-232接口，1路全双工RS-485接口</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USB接口：2×USB 2.0，2×USB 3.0</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扩展接口：1×eSATA</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【智能应用】</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整机搭载高性能AI处理器，搭配智能相机，支持全路数以文搜图应用</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一、以文搜图应用</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内置图文搜索引擎，支持开放式语义检索，输入文字描述即可查找人、车、非机动车及附属物等目标</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支持搜索结果按相似度排序展示，根据搜索结果，可一键关联录像片段及以图搜图</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以文搜图能力：64路</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以图搜图能力：64路</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二、目标识别应用</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目标识别：支持目标抓拍、比对报警；支持以图搜图、按姓名检索、按属性检索</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目标名单库：支持32个名单库，总库容10万张</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目标抓拍：16路视频流（2MP）</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目标比对：48路图片流</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提供不少于90天视频存储能力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BC8385">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台</w:t>
            </w:r>
          </w:p>
        </w:tc>
      </w:tr>
      <w:tr w14:paraId="36402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257C92">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46C1B">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Style w:val="15"/>
                <w:snapToGrid w:val="0"/>
                <w:color w:val="000000"/>
                <w:lang w:val="en-US" w:eastAsia="zh-CN" w:bidi="ar"/>
              </w:rPr>
              <w:t>16T硬盘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D89B2">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16TB容量，3.5英寸，SATA3.0接口，7200RPM</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氦气盘， CMR传统磁记录</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传输速率269 MB/s，流畅存储视频有效防止丢帧</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高级格式（AF）512e扇区技术，保障硬盘扇区4K对齐</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满足数据严苛的7*24小时运行可靠性、安全性的需求</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支持5年有限质保服务</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适用海拔高度范围-305m至3050m</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不少于90天视频存储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5DB514">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台</w:t>
            </w:r>
          </w:p>
        </w:tc>
      </w:tr>
      <w:tr w14:paraId="5AFC4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9DB15">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5E0F75">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人脸抓拍摄像机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10DCC4">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Style w:val="15"/>
                <w:snapToGrid w:val="0"/>
                <w:color w:val="000000"/>
                <w:lang w:val="en-US" w:eastAsia="zh-CN" w:bidi="ar"/>
              </w:rPr>
              <w:t>400W像素大模型全结构化摄像机 DS-2CD7A4AXSM-NYTS</w:t>
            </w:r>
            <w:r>
              <w:rPr>
                <w:rStyle w:val="15"/>
                <w:snapToGrid w:val="0"/>
                <w:color w:val="000000"/>
                <w:lang w:val="en-US" w:eastAsia="zh-CN" w:bidi="ar"/>
              </w:rPr>
              <w:br w:type="textWrapping"/>
            </w:r>
            <w:r>
              <w:rPr>
                <w:rStyle w:val="15"/>
                <w:snapToGrid w:val="0"/>
                <w:color w:val="000000"/>
                <w:lang w:val="en-US" w:eastAsia="zh-CN" w:bidi="ar"/>
              </w:rPr>
              <w:t>基于Transformer架构视觉大模型，通过深度建模真实场景的时空特征，实现多维语义精准分类与细粒度目标识别，显著提升人/车复杂场景下目标信息的智能解析能力</w:t>
            </w:r>
            <w:r>
              <w:rPr>
                <w:rStyle w:val="15"/>
                <w:snapToGrid w:val="0"/>
                <w:color w:val="000000"/>
                <w:lang w:val="en-US" w:eastAsia="zh-CN" w:bidi="ar"/>
              </w:rPr>
              <w:br w:type="textWrapping"/>
            </w:r>
            <w:r>
              <w:rPr>
                <w:rStyle w:val="15"/>
                <w:snapToGrid w:val="0"/>
                <w:color w:val="000000"/>
                <w:lang w:val="en-US" w:eastAsia="zh-CN" w:bidi="ar"/>
              </w:rPr>
              <w:t>搭载8T超强算力芯片，实现大于亿级参数量的大模型端侧高效部署，支持小目标的精准检出、多目标的并发实时跟踪，高效精准的分类去重，以卓越性能重新定义智能全结构化</w:t>
            </w:r>
            <w:r>
              <w:rPr>
                <w:rStyle w:val="15"/>
                <w:snapToGrid w:val="0"/>
                <w:color w:val="000000"/>
                <w:lang w:val="en-US" w:eastAsia="zh-CN" w:bidi="ar"/>
              </w:rPr>
              <w:br w:type="textWrapping"/>
            </w:r>
            <w:r>
              <w:rPr>
                <w:rStyle w:val="15"/>
                <w:snapToGrid w:val="0"/>
                <w:color w:val="000000"/>
                <w:lang w:val="en-US" w:eastAsia="zh-CN" w:bidi="ar"/>
              </w:rPr>
              <w:t>传感器类型：1/1.8" 逐行扫描 CMOS</w:t>
            </w:r>
            <w:r>
              <w:rPr>
                <w:rStyle w:val="15"/>
                <w:snapToGrid w:val="0"/>
                <w:color w:val="000000"/>
                <w:lang w:val="en-US" w:eastAsia="zh-CN" w:bidi="ar"/>
              </w:rPr>
              <w:br w:type="textWrapping"/>
            </w:r>
            <w:r>
              <w:rPr>
                <w:rStyle w:val="15"/>
                <w:snapToGrid w:val="0"/>
                <w:color w:val="000000"/>
                <w:lang w:val="en-US" w:eastAsia="zh-CN" w:bidi="ar"/>
              </w:rPr>
              <w:t>最低照度：彩色：0.0005 Lux @（F1.2，AGC ON），0 Lux with Light；</w:t>
            </w:r>
            <w:r>
              <w:rPr>
                <w:rStyle w:val="15"/>
                <w:snapToGrid w:val="0"/>
                <w:color w:val="000000"/>
                <w:lang w:val="en-US" w:eastAsia="zh-CN" w:bidi="ar"/>
              </w:rPr>
              <w:br w:type="textWrapping"/>
            </w:r>
            <w:r>
              <w:rPr>
                <w:rStyle w:val="15"/>
                <w:snapToGrid w:val="0"/>
                <w:color w:val="000000"/>
                <w:lang w:val="en-US" w:eastAsia="zh-CN" w:bidi="ar"/>
              </w:rPr>
              <w:t xml:space="preserve">黑白：0.0001 Lux @（F1.2，AGC ON），0 Lux with IR  </w:t>
            </w:r>
            <w:r>
              <w:rPr>
                <w:rStyle w:val="15"/>
                <w:snapToGrid w:val="0"/>
                <w:color w:val="000000"/>
                <w:lang w:val="en-US" w:eastAsia="zh-CN" w:bidi="ar"/>
              </w:rPr>
              <w:br w:type="textWrapping"/>
            </w:r>
            <w:r>
              <w:rPr>
                <w:rStyle w:val="15"/>
                <w:snapToGrid w:val="0"/>
                <w:color w:val="000000"/>
                <w:lang w:val="en-US" w:eastAsia="zh-CN" w:bidi="ar"/>
              </w:rPr>
              <w:t>焦距&amp;视场角：2.7~13.5 mm：水平视场角：107.4°~39.8°，垂直视场角：56°~22.4°，对角视场角：130.1°~45.7°</w:t>
            </w:r>
            <w:r>
              <w:rPr>
                <w:rStyle w:val="15"/>
                <w:snapToGrid w:val="0"/>
                <w:color w:val="000000"/>
                <w:lang w:val="en-US" w:eastAsia="zh-CN" w:bidi="ar"/>
              </w:rPr>
              <w:br w:type="textWrapping"/>
            </w:r>
            <w:r>
              <w:rPr>
                <w:rStyle w:val="15"/>
                <w:snapToGrid w:val="0"/>
                <w:color w:val="000000"/>
                <w:lang w:val="en-US" w:eastAsia="zh-CN" w:bidi="ar"/>
              </w:rPr>
              <w:t>音频：2路输入（Line in），1路输出（Line out），2个内置麦克风，1个内置扬声器；</w:t>
            </w:r>
            <w:r>
              <w:rPr>
                <w:rStyle w:val="15"/>
                <w:snapToGrid w:val="0"/>
                <w:color w:val="000000"/>
                <w:lang w:val="en-US" w:eastAsia="zh-CN" w:bidi="ar"/>
              </w:rPr>
              <w:br w:type="textWrapping"/>
            </w:r>
            <w:r>
              <w:rPr>
                <w:rStyle w:val="15"/>
                <w:snapToGrid w:val="0"/>
                <w:color w:val="000000"/>
                <w:lang w:val="en-US" w:eastAsia="zh-CN" w:bidi="ar"/>
              </w:rPr>
              <w:t>报警：3路输入，湿接点，支持3.3 V~5 V范围电位</w:t>
            </w:r>
            <w:r>
              <w:rPr>
                <w:rStyle w:val="15"/>
                <w:snapToGrid w:val="0"/>
                <w:color w:val="000000"/>
                <w:lang w:val="en-US" w:eastAsia="zh-CN" w:bidi="ar"/>
              </w:rPr>
              <w:br w:type="textWrapping"/>
            </w:r>
            <w:r>
              <w:rPr>
                <w:rStyle w:val="15"/>
                <w:snapToGrid w:val="0"/>
                <w:color w:val="000000"/>
                <w:lang w:val="en-US" w:eastAsia="zh-CN" w:bidi="ar"/>
              </w:rPr>
              <w:t>2路输出，三极管输出，电平量，湿接点，最大支持DC 12V，30 mA</w:t>
            </w:r>
            <w:r>
              <w:rPr>
                <w:rStyle w:val="15"/>
                <w:snapToGrid w:val="0"/>
                <w:color w:val="000000"/>
                <w:lang w:val="en-US" w:eastAsia="zh-CN" w:bidi="ar"/>
              </w:rPr>
              <w:br w:type="textWrapping"/>
            </w:r>
            <w:r>
              <w:rPr>
                <w:rStyle w:val="15"/>
                <w:snapToGrid w:val="0"/>
                <w:color w:val="000000"/>
                <w:lang w:val="en-US" w:eastAsia="zh-CN" w:bidi="ar"/>
              </w:rPr>
              <w:t>供电：DC12V 支持POE供电</w:t>
            </w:r>
            <w:r>
              <w:rPr>
                <w:rStyle w:val="15"/>
                <w:snapToGrid w:val="0"/>
                <w:color w:val="000000"/>
                <w:lang w:val="en-US" w:eastAsia="zh-CN" w:bidi="ar"/>
              </w:rPr>
              <w:br w:type="textWrapping"/>
            </w:r>
            <w:r>
              <w:rPr>
                <w:rStyle w:val="15"/>
                <w:snapToGrid w:val="0"/>
                <w:color w:val="000000"/>
                <w:lang w:val="en-US" w:eastAsia="zh-CN" w:bidi="ar"/>
              </w:rPr>
              <w:t>RS-485：1路RS-485接口，采用半双工模式，支持自适应HIKVISION，PELCO-P和PELCO-D协议</w:t>
            </w:r>
            <w:r>
              <w:rPr>
                <w:rStyle w:val="15"/>
                <w:snapToGrid w:val="0"/>
                <w:color w:val="000000"/>
                <w:lang w:val="en-US" w:eastAsia="zh-CN" w:bidi="ar"/>
              </w:rPr>
              <w:br w:type="textWrapping"/>
            </w:r>
            <w:r>
              <w:rPr>
                <w:rStyle w:val="15"/>
                <w:snapToGrid w:val="0"/>
                <w:color w:val="000000"/>
                <w:lang w:val="en-US" w:eastAsia="zh-CN" w:bidi="ar"/>
              </w:rPr>
              <w:t xml:space="preserve">电源输出：1路DC12V输出，最大电流100mA。备注：为保证设备正常工作，电源输出外接延长线请控制在10米以内。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6E0678">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台</w:t>
            </w:r>
          </w:p>
        </w:tc>
      </w:tr>
      <w:tr w14:paraId="3F3B8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E05087">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6DF86B">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全景枪球摄像机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90D27">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4寸400万像素全景枪球 DS-2SE4CAGW-NYC</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传感器类型：【全景】1/2.8" Progressive Scan CMOS 【细节1/2.8" Progressive Scan CMOS</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光学变倍：23倍</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焦距：【全景】4mm；【细节】4.8 mm~110 mm</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红外照射距离：【全景】：红外30 m，白光30 m</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【细节】：红外100 m，白光30 m</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水平范围：【细节】0-340°</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垂直范围：-15°-90°(自动翻转)</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水平速度：水平键控速度：0.1°-80°/s,速度可设;水平预置点速度：80°/s</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垂直速度：垂直键控速度：0.1°-80°/s,速度可设;垂直预置点速度：80°/s</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视频压缩标准：H.265,H.264,MJPEG</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内置扬声器：支持</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内置麦克风：支持双mic</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网络接口：RJ45网口;自适应10M/100M网络数据</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SD卡扩展：内置Micro SD卡插槽，支持Micro SD/Micro SDHC/Micro SDXC卡（最大支持512GB）</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报警：1路报警输入，1路报警输出</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音频：1路音频输入，音频峰值：2-2.4 V[p-p]，输入阻抗：1 kΩ±10% 1路音频输出，线性电平，阻抗：600 Ω</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电源：DC12 V±25%，PoE+(802.3at)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最大功耗：24 W（其中加热：3W，补光：6W）</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防护：IP66；抗干扰能力强，符合GB/T 17626.5 认证标准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D2532A">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台</w:t>
            </w:r>
          </w:p>
        </w:tc>
      </w:tr>
      <w:tr w14:paraId="792FF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26565">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F5A96">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核心交换机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43108">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三层千兆交换机（12千兆电，16千兆光）DS-3E3528TF</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 提供12个千兆电口，16个千兆光口</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支持策略路由、RIP、OSPF、BGP、IS-IS等三层路由协议</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支持iVMS-4200客户端和海康互联APP管理</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支持统一网络管理平台管理</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支持DHCP Server、DHCP Relay、DHCP Snooping</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支持SP、WRR、SP+WRR等队列调度方式</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支持IEEE 802.1x认证、Radius、Tacacs+认证</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支持10 kV端口防雷，在恶劣的工作环境中也能极大地降低雷击对设备的损坏率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AAF522">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台</w:t>
            </w:r>
          </w:p>
        </w:tc>
      </w:tr>
      <w:tr w14:paraId="7D20F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D2B9F">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123545">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Style w:val="15"/>
                <w:snapToGrid w:val="0"/>
                <w:color w:val="000000"/>
                <w:lang w:val="en-US" w:eastAsia="zh-CN" w:bidi="ar"/>
              </w:rPr>
              <w:t>POE交换机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755976">
            <w:pPr>
              <w:keepNext w:val="0"/>
              <w:keepLines w:val="0"/>
              <w:widowControl/>
              <w:suppressLineNumbers w:val="0"/>
              <w:spacing w:after="160" w:afterAutospacing="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轻网管千兆静音POE交换机（16千兆POE电+2千兆光）DS-3E1518P-S/Q</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提供16个千兆PoE电口和2个千兆光口。</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支持iVMS-4200 客户端和海康互联APP管理。</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支持安防网络拓扑管理、端口管理，支持远程升级。</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支持6 KV防浪涌（PoE口）。</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支持PoE输出功率管理，整机最大PoE输出功率230 W。</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千兆网络接入设计、存储转发交换方式。</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坚固式高强度金属外壳。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81CD35">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台</w:t>
            </w:r>
          </w:p>
        </w:tc>
      </w:tr>
      <w:tr w14:paraId="35659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7EA634">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DE73FE">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光模块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411602">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 xml:space="preserve">千兆10公里单模双纤模块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不分收发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TX1310nm/1.25G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RX1310nm/1.25G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LC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10km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0～70℃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SFP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发射光功率:-9～-3dBm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接收灵敏度（低值）:-21dBm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BCA8B8">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个</w:t>
            </w:r>
          </w:p>
        </w:tc>
      </w:tr>
      <w:tr w14:paraId="0BD49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21C376">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9D1038">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路由器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8D3E00">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DS-3R200-L00H路由器具备千兆业务处理能力，支持25万NAT会话数</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支持专业的安全功能，支持包过滤防火墙、状态防火墙、基于域的防火墙等安全过滤功能</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多样化的VPN技术，包括：IPsec、L2TP、GRE、ADVPN、MPLS VPN，以及多种VPN技术的叠加使用</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支持Segment Routing、VxLAN、EVPN等转发业务，可定义多种转发模型，满足不同业务组网需求</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采用无风扇静音设计，降低设备的功耗以及故障点</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内存容量：1GB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工作温度：0°C～45°C</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工作湿度：5%RH～90%RH（不结露）</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供电电源：100V AC～240V AC, 50Hz～60Hz</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整机最大功耗：24W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包转发率：0.54Mpps </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网口：1GE(电)+1GE(光)+4GE(电)(全部支持切换为WAN接口)</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USB接口：2个USB2.0，支持3G/4G-Modem扩展</w:t>
            </w:r>
            <w:r>
              <w:rPr>
                <w:rFonts w:hint="eastAsia" w:ascii="微软雅黑" w:hAnsi="微软雅黑" w:eastAsia="微软雅黑" w:cs="微软雅黑"/>
                <w:i w:val="0"/>
                <w:iCs w:val="0"/>
                <w:snapToGrid w:val="0"/>
                <w:color w:val="000000"/>
                <w:kern w:val="0"/>
                <w:sz w:val="16"/>
                <w:szCs w:val="16"/>
                <w:u w:val="none"/>
                <w:lang w:val="en-US" w:eastAsia="zh-CN" w:bidi="ar"/>
              </w:rPr>
              <w:br w:type="textWrapping"/>
            </w:r>
            <w:r>
              <w:rPr>
                <w:rFonts w:hint="eastAsia" w:ascii="微软雅黑" w:hAnsi="微软雅黑" w:eastAsia="微软雅黑" w:cs="微软雅黑"/>
                <w:i w:val="0"/>
                <w:iCs w:val="0"/>
                <w:snapToGrid w:val="0"/>
                <w:color w:val="000000"/>
                <w:kern w:val="0"/>
                <w:sz w:val="16"/>
                <w:szCs w:val="16"/>
                <w:u w:val="none"/>
                <w:lang w:val="en-US" w:eastAsia="zh-CN" w:bidi="ar"/>
              </w:rPr>
              <w:t xml:space="preserve">SD卡接口：1个存储MicroSD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5F61D4">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snapToGrid w:val="0"/>
                <w:color w:val="000000"/>
                <w:kern w:val="0"/>
                <w:sz w:val="16"/>
                <w:szCs w:val="16"/>
                <w:u w:val="none"/>
                <w:lang w:val="en-US" w:eastAsia="zh-CN" w:bidi="ar"/>
              </w:rPr>
              <w:t>台</w:t>
            </w:r>
          </w:p>
        </w:tc>
      </w:tr>
    </w:tbl>
    <w:p w14:paraId="5ADFF2E7">
      <w:pPr>
        <w:pStyle w:val="3"/>
        <w:keepNext w:val="0"/>
        <w:keepLines w:val="0"/>
        <w:pageBreakBefore w:val="0"/>
        <w:widowControl/>
        <w:kinsoku w:val="0"/>
        <w:wordWrap/>
        <w:overflowPunct/>
        <w:topLinePunct w:val="0"/>
        <w:autoSpaceDE w:val="0"/>
        <w:autoSpaceDN w:val="0"/>
        <w:bidi w:val="0"/>
        <w:adjustRightInd w:val="0"/>
        <w:snapToGrid w:val="0"/>
        <w:spacing w:before="92" w:line="360" w:lineRule="auto"/>
        <w:textAlignment w:val="baseline"/>
        <w:rPr>
          <w:rFonts w:hint="default" w:cs="仿宋"/>
          <w:b w:val="0"/>
          <w:bCs w:val="0"/>
          <w:spacing w:val="-7"/>
          <w:sz w:val="28"/>
          <w:szCs w:val="28"/>
          <w:highlight w:val="none"/>
          <w:lang w:val="en-US" w:eastAsia="zh-CN"/>
          <w:woUserID w:val="1"/>
        </w:rPr>
      </w:pPr>
      <w:bookmarkStart w:id="0" w:name="_GoBack"/>
      <w:bookmarkEnd w:id="0"/>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9D60">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2882D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2882D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361954"/>
    <w:multiLevelType w:val="singleLevel"/>
    <w:tmpl w:val="F8361954"/>
    <w:lvl w:ilvl="0" w:tentative="0">
      <w:start w:val="3"/>
      <w:numFmt w:val="decimal"/>
      <w:lvlText w:val="%1."/>
      <w:lvlJc w:val="left"/>
      <w:pPr>
        <w:tabs>
          <w:tab w:val="left" w:pos="312"/>
        </w:tabs>
      </w:pPr>
    </w:lvl>
  </w:abstractNum>
  <w:abstractNum w:abstractNumId="1">
    <w:nsid w:val="6AC2B917"/>
    <w:multiLevelType w:val="singleLevel"/>
    <w:tmpl w:val="6AC2B917"/>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612DD"/>
    <w:rsid w:val="02050761"/>
    <w:rsid w:val="09107B97"/>
    <w:rsid w:val="0BCC2E9A"/>
    <w:rsid w:val="0CE83016"/>
    <w:rsid w:val="0D2A36B7"/>
    <w:rsid w:val="12012A1C"/>
    <w:rsid w:val="160C7CF1"/>
    <w:rsid w:val="177A1C19"/>
    <w:rsid w:val="1CEE1C3F"/>
    <w:rsid w:val="1DD71D30"/>
    <w:rsid w:val="1F3179F6"/>
    <w:rsid w:val="26EE36C3"/>
    <w:rsid w:val="2CFC6E4D"/>
    <w:rsid w:val="32A94B6D"/>
    <w:rsid w:val="32D27EF9"/>
    <w:rsid w:val="347D07F4"/>
    <w:rsid w:val="37AA7580"/>
    <w:rsid w:val="3A282FB0"/>
    <w:rsid w:val="3B316CE0"/>
    <w:rsid w:val="3B341B44"/>
    <w:rsid w:val="3BEDC87F"/>
    <w:rsid w:val="409D799F"/>
    <w:rsid w:val="42F31EDA"/>
    <w:rsid w:val="443D202C"/>
    <w:rsid w:val="44BC2719"/>
    <w:rsid w:val="44C45FC6"/>
    <w:rsid w:val="463A4797"/>
    <w:rsid w:val="4D3612DD"/>
    <w:rsid w:val="4EED1BAD"/>
    <w:rsid w:val="4FFFBCD0"/>
    <w:rsid w:val="50B27620"/>
    <w:rsid w:val="50BC67BB"/>
    <w:rsid w:val="52970370"/>
    <w:rsid w:val="52A824FF"/>
    <w:rsid w:val="540F2CF4"/>
    <w:rsid w:val="5A317807"/>
    <w:rsid w:val="5B195BCF"/>
    <w:rsid w:val="5FBFB118"/>
    <w:rsid w:val="60AB6165"/>
    <w:rsid w:val="62B56442"/>
    <w:rsid w:val="64333023"/>
    <w:rsid w:val="648D1ADE"/>
    <w:rsid w:val="64CD485C"/>
    <w:rsid w:val="65181E70"/>
    <w:rsid w:val="6BD70DB7"/>
    <w:rsid w:val="71CBB11F"/>
    <w:rsid w:val="72BB3516"/>
    <w:rsid w:val="73616AA7"/>
    <w:rsid w:val="759F0F55"/>
    <w:rsid w:val="75FF4BD0"/>
    <w:rsid w:val="760322E7"/>
    <w:rsid w:val="7C573D79"/>
    <w:rsid w:val="7DBFBF69"/>
    <w:rsid w:val="7FDF806B"/>
    <w:rsid w:val="7FFFD4B7"/>
    <w:rsid w:val="9BBBA44E"/>
    <w:rsid w:val="BFFFBF25"/>
    <w:rsid w:val="D5B63FC6"/>
    <w:rsid w:val="D7F59316"/>
    <w:rsid w:val="DFBAFBF8"/>
    <w:rsid w:val="FB77993B"/>
    <w:rsid w:val="FCBDEB6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1"/>
      <w:lang w:val="en-US" w:eastAsia="zh-CN" w:bidi="ar"/>
    </w:rPr>
  </w:style>
  <w:style w:type="paragraph" w:styleId="3">
    <w:name w:val="Body Text"/>
    <w:basedOn w:val="1"/>
    <w:semiHidden/>
    <w:qFormat/>
    <w:uiPriority w:val="0"/>
    <w:rPr>
      <w:rFonts w:ascii="仿宋" w:hAnsi="仿宋" w:eastAsia="仿宋" w:cs="仿宋"/>
      <w:sz w:val="28"/>
      <w:szCs w:val="28"/>
      <w:lang w:val="en-US" w:eastAsia="en-US" w:bidi="ar-SA"/>
    </w:rPr>
  </w:style>
  <w:style w:type="paragraph" w:styleId="4">
    <w:name w:val="Body Text Indent"/>
    <w:basedOn w:val="1"/>
    <w:qFormat/>
    <w:uiPriority w:val="0"/>
    <w:pPr>
      <w:widowControl/>
      <w:snapToGrid w:val="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39"/>
    <w:pPr>
      <w:spacing w:before="120" w:after="120"/>
      <w:jc w:val="left"/>
    </w:pPr>
    <w:rPr>
      <w:b/>
      <w:caps/>
      <w:sz w:val="20"/>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2"/>
    <w:basedOn w:val="4"/>
    <w:qFormat/>
    <w:uiPriority w:val="99"/>
    <w:pPr>
      <w:widowControl w:val="0"/>
      <w:snapToGrid/>
      <w:spacing w:after="120"/>
      <w:ind w:left="420" w:leftChars="200" w:firstLine="420"/>
    </w:pPr>
    <w:rPr>
      <w:sz w:val="21"/>
      <w:szCs w:val="24"/>
    </w:rPr>
  </w:style>
  <w:style w:type="paragraph" w:customStyle="1" w:styleId="12">
    <w:name w:val="Table Text"/>
    <w:basedOn w:val="1"/>
    <w:semiHidden/>
    <w:qFormat/>
    <w:uiPriority w:val="0"/>
    <w:rPr>
      <w:rFonts w:ascii="仿宋" w:hAnsi="仿宋" w:eastAsia="仿宋" w:cs="仿宋"/>
      <w:sz w:val="24"/>
      <w:szCs w:val="24"/>
      <w:lang w:val="en-US" w:eastAsia="en-US" w:bidi="ar-SA"/>
    </w:rPr>
  </w:style>
  <w:style w:type="table" w:customStyle="1" w:styleId="13">
    <w:name w:val="Table Normal"/>
    <w:basedOn w:val="10"/>
    <w:semiHidden/>
    <w:unhideWhenUsed/>
    <w:qFormat/>
    <w:uiPriority w:val="0"/>
    <w:tblPr>
      <w:tblCellMar>
        <w:top w:w="0" w:type="dxa"/>
        <w:left w:w="0" w:type="dxa"/>
        <w:bottom w:w="0" w:type="dxa"/>
        <w:right w:w="0" w:type="dxa"/>
      </w:tblCellMar>
    </w:tblPr>
  </w:style>
  <w:style w:type="paragraph" w:customStyle="1" w:styleId="14">
    <w:name w:val="！正文Alt Z"/>
    <w:basedOn w:val="1"/>
    <w:qFormat/>
    <w:uiPriority w:val="0"/>
    <w:pPr>
      <w:keepNext w:val="0"/>
      <w:keepLines w:val="0"/>
      <w:widowControl w:val="0"/>
      <w:suppressLineNumbers w:val="0"/>
      <w:spacing w:before="0" w:beforeAutospacing="0" w:after="0" w:afterAutospacing="0" w:line="360" w:lineRule="auto"/>
      <w:ind w:left="0" w:right="0" w:firstLine="200" w:firstLineChars="200"/>
      <w:jc w:val="left"/>
    </w:pPr>
    <w:rPr>
      <w:rFonts w:hint="default" w:ascii="Calibri" w:hAnsi="Calibri" w:cs="Calibri"/>
      <w:kern w:val="2"/>
      <w:sz w:val="24"/>
      <w:szCs w:val="24"/>
      <w:lang w:val="en-US" w:eastAsia="zh-CN" w:bidi="ar"/>
    </w:rPr>
  </w:style>
  <w:style w:type="character" w:customStyle="1" w:styleId="15">
    <w:name w:val="font51"/>
    <w:basedOn w:val="11"/>
    <w:uiPriority w:val="0"/>
    <w:rPr>
      <w:rFonts w:hint="eastAsia" w:ascii="微软雅黑" w:hAnsi="微软雅黑" w:eastAsia="微软雅黑" w:cs="微软雅黑"/>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b8fd9594-1d0d-4efd-8ebe-44f6c2ea0a3d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52B24F8</paraID>
      <start>0</start>
      <end>2</end>
      <status>unmodified</status>
      <modifiedWord/>
      <trackRevisions>false</trackRevisions>
    </reviewItem>
    <reviewItem>
      <errorID>e7ee10b1-a9f5-458d-b9cf-5b116ab9f165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68EFD1BF</paraID>
      <start>0</start>
      <end>2</end>
      <status>unmodified</status>
      <modifiedWord/>
      <trackRevisions>false</trackRevisions>
    </reviewItem>
    <reviewItem>
      <errorID>56f2c7ea-faf4-4332-bcdb-ff4f70b0bba0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5FE6E7B</paraID>
      <start>0</start>
      <end>2</end>
      <status>unmodified</status>
      <modifiedWord/>
      <trackRevisions>false</trackRevisions>
    </reviewItem>
    <reviewItem>
      <errorID>6be8c631-cc90-4a1c-9151-b7c1e80523ee</errorID>
      <errorWord>,</errorWord>
      <group>L1_Format</group>
      <groupName>格式问题</groupName>
      <ability>L2_HalfPunc_CN</ability>
      <abilityName>全半角问题</abilityName>
      <candidateList>
        <item>，</item>
      </candidateList>
      <explain>文本全半角错误。</explain>
      <paraID> 5FE6E7B</paraID>
      <start>60</start>
      <end>61</end>
      <status>modified</status>
      <modifiedWord>，</modifiedWord>
      <trackRevisions>false</trackRevisions>
    </reviewItem>
    <reviewItem>
      <errorID>a4682065-d7eb-4139-94a8-ae8c45c27a84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4C1BE5EC</paraID>
      <start>0</start>
      <end>2</end>
      <status>unmodified</status>
      <modifiedWord/>
      <trackRevisions>false</trackRevisions>
    </reviewItem>
    <reviewItem>
      <errorID>d763400e-abf5-428c-899a-787f36e78734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6B8A8634</paraID>
      <start>0</start>
      <end>2</end>
      <status>unmodified</status>
      <modifiedWord/>
      <trackRevisions>false</trackRevisions>
    </reviewItem>
    <reviewItem>
      <errorID>877ab01c-24dc-4600-8fb5-fec8fc2d916e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3A4C07C6</paraID>
      <start>0</start>
      <end>2</end>
      <status>unmodified</status>
      <modifiedWord/>
      <trackRevisions>false</trackRevisions>
    </reviewItem>
    <reviewItem>
      <errorID>0d87b43c-eefb-43e8-9783-5a20f26675e7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6052377D</paraID>
      <start>0</start>
      <end>2</end>
      <status>unmodified</status>
      <modifiedWord/>
      <trackRevisions>false</trackRevisions>
    </reviewItem>
    <reviewItem>
      <errorID>ef1f5aaa-9f68-4854-807d-bdbaa36d0519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1B711F22</paraID>
      <start>0</start>
      <end>2</end>
      <status>unmodified</status>
      <modifiedWord/>
      <trackRevisions>false</trackRevisions>
    </reviewItem>
    <reviewItem>
      <errorID>ccb070a9-a3bc-4bac-9be6-1a48b1a51825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40088900</paraID>
      <start>0</start>
      <end>2</end>
      <status>unmodified</status>
      <modifiedWord/>
      <trackRevisions>false</trackRevisions>
    </reviewItem>
    <reviewItem>
      <errorID>768aaf0b-bb89-4243-b984-4047077d87fd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387B2C</paraID>
      <start>0</start>
      <end>2</end>
      <status>unmodified</status>
      <modifiedWord/>
      <trackRevisions>false</trackRevisions>
    </reviewItem>
    <reviewItem>
      <errorID>c4b0a84e-0ae5-4d39-9c48-f4ccb9dafad5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387B2C</paraID>
      <start>36</start>
      <end>39</end>
      <status>unmodified</status>
      <modifiedWord/>
      <trackRevisions>false</trackRevisions>
    </reviewItem>
    <reviewItem>
      <errorID>d922916f-1bf6-458e-b025-6c5f2e1e05db</errorID>
      <errorWord>法律、法规</errorWord>
      <group>L1_Word</group>
      <groupName>字词问题</groupName>
      <ability>L2_Typo</ability>
      <abilityName>字词错误</abilityName>
      <candidateList>
        <item>法律法规</item>
      </candidateList>
      <explain/>
      <paraID>  387B2C</paraID>
      <start>50</start>
      <end>54</end>
      <status>modified</status>
      <modifiedWord>法律法规</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02d642-9fc3-45c3-872f-1c18d9995417}">
  <ds:schemaRefs/>
</ds:datastoreItem>
</file>

<file path=docProps/app.xml><?xml version="1.0" encoding="utf-8"?>
<Properties xmlns="http://schemas.openxmlformats.org/officeDocument/2006/extended-properties" xmlns:vt="http://schemas.openxmlformats.org/officeDocument/2006/docPropsVTypes">
  <Pages>6</Pages>
  <Words>1336</Words>
  <Characters>1438</Characters>
  <Lines>1</Lines>
  <Paragraphs>1</Paragraphs>
  <TotalTime>0</TotalTime>
  <ScaleCrop>false</ScaleCrop>
  <LinksUpToDate>false</LinksUpToDate>
  <CharactersWithSpaces>1446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2026-04-18T00:48:00Z</dcterms:created>
  <dc:creator>段宇婷</dc:creator>
  <cp:lastModifiedBy>Sohnny G</cp:lastModifiedBy>
  <dcterms:modified xsi:type="dcterms:W3CDTF">2026-07-20T03:32:29Z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F530E89E92C87EEC86EEE569B05F2194_43</vt:lpwstr>
  </property>
  <property fmtid="{D5CDD505-2E9C-101B-9397-08002B2CF9AE}" pid="4" name="KSOTemplateDocerSaveRecord">
    <vt:lpwstr>eyJoZGlkIjoiOGUwM2QxY2Y3M2MzNmJiNTFmNGMyZGRjYjVlZGMxZDciLCJ1c2VySWQiOiI1MTMxOTQ3NTcifQ==</vt:lpwstr>
  </property>
</Properties>
</file>