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10576">
      <w:pPr>
        <w:widowControl/>
        <w:jc w:val="center"/>
        <w:textAlignment w:val="center"/>
        <w:rPr>
          <w:rFonts w:hint="eastAsia" w:ascii="宋体" w:hAnsi="宋体" w:eastAsia="宋体" w:cs="宋体"/>
          <w:b/>
          <w:bCs/>
          <w:color w:val="000000"/>
          <w:kern w:val="0"/>
          <w:sz w:val="84"/>
          <w:szCs w:val="84"/>
          <w:lang w:val="en-US" w:eastAsia="zh-CN" w:bidi="ar"/>
        </w:rPr>
      </w:pPr>
    </w:p>
    <w:p w14:paraId="60AA948E">
      <w:pPr>
        <w:widowControl/>
        <w:jc w:val="center"/>
        <w:textAlignment w:val="center"/>
        <w:rPr>
          <w:rFonts w:hint="eastAsia" w:ascii="宋体" w:hAnsi="宋体" w:eastAsia="宋体" w:cs="宋体"/>
          <w:b/>
          <w:bCs/>
          <w:color w:val="000000"/>
          <w:kern w:val="0"/>
          <w:sz w:val="84"/>
          <w:szCs w:val="84"/>
          <w:lang w:val="en-US" w:eastAsia="zh-CN" w:bidi="ar"/>
        </w:rPr>
      </w:pPr>
    </w:p>
    <w:p w14:paraId="03367E93">
      <w:pPr>
        <w:widowControl/>
        <w:jc w:val="center"/>
        <w:textAlignment w:val="center"/>
        <w:rPr>
          <w:rFonts w:hint="eastAsia" w:ascii="宋体" w:hAnsi="宋体" w:eastAsia="宋体" w:cs="宋体"/>
          <w:b/>
          <w:bCs/>
          <w:color w:val="000000"/>
          <w:kern w:val="0"/>
          <w:sz w:val="84"/>
          <w:szCs w:val="84"/>
          <w:lang w:val="en-US" w:eastAsia="zh-CN" w:bidi="ar"/>
        </w:rPr>
      </w:pPr>
    </w:p>
    <w:p w14:paraId="4804D1E6">
      <w:pPr>
        <w:widowControl/>
        <w:jc w:val="center"/>
        <w:textAlignment w:val="center"/>
        <w:rPr>
          <w:rFonts w:hint="eastAsia" w:ascii="宋体" w:hAnsi="宋体" w:eastAsia="宋体" w:cs="宋体"/>
          <w:b w:val="0"/>
          <w:bCs w:val="0"/>
          <w:color w:val="000000"/>
          <w:kern w:val="0"/>
          <w:sz w:val="84"/>
          <w:szCs w:val="84"/>
          <w:lang w:val="en-US" w:eastAsia="zh-CN" w:bidi="ar"/>
        </w:rPr>
      </w:pPr>
      <w:r>
        <w:rPr>
          <w:rFonts w:hint="eastAsia" w:ascii="宋体" w:hAnsi="宋体" w:eastAsia="宋体" w:cs="宋体"/>
          <w:b w:val="0"/>
          <w:bCs w:val="0"/>
          <w:color w:val="000000"/>
          <w:kern w:val="0"/>
          <w:sz w:val="84"/>
          <w:szCs w:val="84"/>
          <w:lang w:val="en-US" w:eastAsia="zh-CN" w:bidi="ar"/>
        </w:rPr>
        <w:t>饲料加工实训</w:t>
      </w:r>
    </w:p>
    <w:p w14:paraId="00389D8E">
      <w:pPr>
        <w:widowControl/>
        <w:jc w:val="center"/>
        <w:textAlignment w:val="center"/>
        <w:rPr>
          <w:rFonts w:hint="default" w:ascii="宋体" w:hAnsi="宋体" w:eastAsia="宋体" w:cs="宋体"/>
          <w:b/>
          <w:bCs/>
          <w:color w:val="000000"/>
          <w:kern w:val="0"/>
          <w:sz w:val="84"/>
          <w:szCs w:val="84"/>
          <w:lang w:val="en-US" w:eastAsia="zh-CN" w:bidi="ar"/>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val="0"/>
          <w:bCs w:val="0"/>
          <w:color w:val="000000"/>
          <w:kern w:val="0"/>
          <w:sz w:val="84"/>
          <w:szCs w:val="84"/>
          <w:lang w:val="en-US" w:eastAsia="zh-CN" w:bidi="ar"/>
        </w:rPr>
        <w:t>设备参数</w:t>
      </w:r>
    </w:p>
    <w:p w14:paraId="60820A05">
      <w:pPr>
        <w:widowControl/>
        <w:jc w:val="center"/>
        <w:textAlignment w:val="center"/>
        <w:rPr>
          <w:rFonts w:hint="eastAsia" w:ascii="宋体" w:hAnsi="宋体" w:eastAsia="宋体"/>
          <w:sz w:val="44"/>
          <w:szCs w:val="44"/>
          <w:lang w:val="en-US" w:eastAsia="zh-CN"/>
        </w:rPr>
      </w:pPr>
      <w:r>
        <w:rPr>
          <w:rFonts w:hint="eastAsia" w:ascii="宋体" w:hAnsi="宋体" w:eastAsia="宋体"/>
          <w:sz w:val="44"/>
          <w:szCs w:val="44"/>
        </w:rPr>
        <w:t>饲料加工实训设备采购</w:t>
      </w:r>
      <w:r>
        <w:rPr>
          <w:rFonts w:hint="eastAsia" w:ascii="宋体" w:hAnsi="宋体" w:eastAsia="宋体"/>
          <w:sz w:val="44"/>
          <w:szCs w:val="44"/>
          <w:lang w:val="en-US" w:eastAsia="zh-CN"/>
        </w:rPr>
        <w:t>审核明细表</w:t>
      </w:r>
    </w:p>
    <w:p w14:paraId="73222AC7">
      <w:pPr>
        <w:pStyle w:val="2"/>
        <w:jc w:val="center"/>
        <w:rPr>
          <w:rFonts w:hint="default"/>
          <w:sz w:val="24"/>
          <w:szCs w:val="24"/>
          <w:lang w:val="en-US"/>
        </w:rPr>
      </w:pPr>
      <w:r>
        <w:rPr>
          <w:rFonts w:hint="eastAsia" w:ascii="宋体" w:hAnsi="宋体"/>
          <w:sz w:val="24"/>
          <w:szCs w:val="24"/>
          <w:lang w:val="en-US" w:eastAsia="zh-CN"/>
        </w:rPr>
        <w:t xml:space="preserve">                                                                                                     </w:t>
      </w:r>
    </w:p>
    <w:tbl>
      <w:tblPr>
        <w:tblStyle w:val="8"/>
        <w:tblW w:w="14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1637"/>
        <w:gridCol w:w="9820"/>
        <w:gridCol w:w="860"/>
        <w:gridCol w:w="960"/>
      </w:tblGrid>
      <w:tr w14:paraId="205E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60" w:type="dxa"/>
            <w:vMerge w:val="restart"/>
            <w:shd w:val="clear" w:color="auto" w:fill="FFFFFF" w:themeFill="background1"/>
            <w:noWrap/>
            <w:vAlign w:val="center"/>
          </w:tcPr>
          <w:p w14:paraId="34C9F679">
            <w:pPr>
              <w:widowControl/>
              <w:jc w:val="center"/>
              <w:textAlignment w:val="center"/>
              <w:rPr>
                <w:rFonts w:cs="宋体" w:asciiTheme="minorEastAsia" w:hAnsiTheme="minorEastAsia"/>
                <w:b/>
                <w:bCs/>
                <w:color w:val="000000"/>
                <w:sz w:val="24"/>
              </w:rPr>
            </w:pPr>
            <w:r>
              <w:rPr>
                <w:rFonts w:hint="eastAsia" w:cs="宋体" w:asciiTheme="minorEastAsia" w:hAnsiTheme="minorEastAsia"/>
                <w:b/>
                <w:bCs/>
                <w:color w:val="000000"/>
                <w:kern w:val="0"/>
                <w:sz w:val="24"/>
                <w:lang w:bidi="ar"/>
              </w:rPr>
              <w:t>序号</w:t>
            </w:r>
          </w:p>
        </w:tc>
        <w:tc>
          <w:tcPr>
            <w:tcW w:w="1637" w:type="dxa"/>
            <w:vMerge w:val="restart"/>
            <w:shd w:val="clear" w:color="auto" w:fill="FFFFFF" w:themeFill="background1"/>
            <w:noWrap/>
            <w:vAlign w:val="center"/>
          </w:tcPr>
          <w:p w14:paraId="1FB8A04C">
            <w:pPr>
              <w:widowControl/>
              <w:jc w:val="center"/>
              <w:textAlignment w:val="center"/>
              <w:rPr>
                <w:rFonts w:cs="宋体" w:asciiTheme="minorEastAsia" w:hAnsiTheme="minorEastAsia"/>
                <w:b/>
                <w:bCs/>
                <w:color w:val="000000"/>
                <w:sz w:val="24"/>
              </w:rPr>
            </w:pPr>
            <w:r>
              <w:rPr>
                <w:rFonts w:hint="eastAsia" w:cs="宋体" w:asciiTheme="minorEastAsia" w:hAnsiTheme="minorEastAsia"/>
                <w:b/>
                <w:bCs/>
                <w:color w:val="000000"/>
                <w:kern w:val="0"/>
                <w:sz w:val="24"/>
                <w:lang w:bidi="ar"/>
              </w:rPr>
              <w:t>设备名称</w:t>
            </w:r>
          </w:p>
        </w:tc>
        <w:tc>
          <w:tcPr>
            <w:tcW w:w="9820" w:type="dxa"/>
            <w:vMerge w:val="restart"/>
            <w:shd w:val="clear" w:color="auto" w:fill="FFFFFF" w:themeFill="background1"/>
            <w:vAlign w:val="center"/>
          </w:tcPr>
          <w:p w14:paraId="222F9CB8">
            <w:pPr>
              <w:widowControl/>
              <w:jc w:val="center"/>
              <w:textAlignment w:val="center"/>
              <w:rPr>
                <w:rFonts w:cs="宋体" w:asciiTheme="minorEastAsia" w:hAnsiTheme="minorEastAsia"/>
                <w:b/>
                <w:bCs/>
                <w:color w:val="000000"/>
                <w:sz w:val="24"/>
              </w:rPr>
            </w:pPr>
            <w:r>
              <w:rPr>
                <w:rFonts w:hint="eastAsia" w:cs="宋体" w:asciiTheme="minorEastAsia" w:hAnsiTheme="minorEastAsia"/>
                <w:b/>
                <w:bCs/>
                <w:color w:val="000000"/>
                <w:kern w:val="0"/>
                <w:sz w:val="24"/>
                <w:lang w:bidi="ar"/>
              </w:rPr>
              <w:t>主要技术参数</w:t>
            </w:r>
          </w:p>
        </w:tc>
        <w:tc>
          <w:tcPr>
            <w:tcW w:w="860" w:type="dxa"/>
            <w:vMerge w:val="restart"/>
            <w:shd w:val="clear" w:color="auto" w:fill="FFFFFF" w:themeFill="background1"/>
            <w:vAlign w:val="center"/>
          </w:tcPr>
          <w:p w14:paraId="4853F57D">
            <w:pPr>
              <w:widowControl/>
              <w:jc w:val="center"/>
              <w:textAlignment w:val="center"/>
              <w:rPr>
                <w:rFonts w:cs="宋体" w:asciiTheme="minorEastAsia" w:hAnsiTheme="minorEastAsia"/>
                <w:b/>
                <w:bCs/>
                <w:color w:val="000000"/>
                <w:sz w:val="24"/>
              </w:rPr>
            </w:pPr>
            <w:r>
              <w:rPr>
                <w:rFonts w:hint="eastAsia" w:cs="宋体" w:asciiTheme="minorEastAsia" w:hAnsiTheme="minorEastAsia"/>
                <w:b/>
                <w:bCs/>
                <w:color w:val="000000"/>
                <w:kern w:val="0"/>
                <w:sz w:val="24"/>
                <w:lang w:bidi="ar"/>
              </w:rPr>
              <w:t>单位</w:t>
            </w:r>
          </w:p>
        </w:tc>
        <w:tc>
          <w:tcPr>
            <w:tcW w:w="960" w:type="dxa"/>
            <w:vMerge w:val="restart"/>
            <w:shd w:val="clear" w:color="auto" w:fill="FFFFFF" w:themeFill="background1"/>
            <w:vAlign w:val="center"/>
          </w:tcPr>
          <w:p w14:paraId="5097FA79">
            <w:pPr>
              <w:widowControl/>
              <w:jc w:val="center"/>
              <w:textAlignment w:val="center"/>
              <w:rPr>
                <w:rFonts w:cs="宋体" w:asciiTheme="minorEastAsia" w:hAnsiTheme="minorEastAsia"/>
                <w:b/>
                <w:bCs/>
                <w:color w:val="000000"/>
                <w:sz w:val="24"/>
              </w:rPr>
            </w:pPr>
            <w:r>
              <w:rPr>
                <w:rFonts w:hint="eastAsia" w:cs="宋体" w:asciiTheme="minorEastAsia" w:hAnsiTheme="minorEastAsia"/>
                <w:b/>
                <w:bCs/>
                <w:color w:val="000000"/>
                <w:kern w:val="0"/>
                <w:sz w:val="24"/>
                <w:lang w:bidi="ar"/>
              </w:rPr>
              <w:t>数量</w:t>
            </w:r>
          </w:p>
        </w:tc>
      </w:tr>
      <w:tr w14:paraId="5A6B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60" w:type="dxa"/>
            <w:vMerge w:val="continue"/>
            <w:shd w:val="clear" w:color="auto" w:fill="FFFFFF" w:themeFill="background1"/>
            <w:noWrap/>
            <w:vAlign w:val="center"/>
          </w:tcPr>
          <w:p w14:paraId="71C01B6A">
            <w:pPr>
              <w:jc w:val="center"/>
              <w:rPr>
                <w:rFonts w:cs="宋体" w:asciiTheme="minorEastAsia" w:hAnsiTheme="minorEastAsia"/>
                <w:b/>
                <w:bCs/>
                <w:color w:val="000000"/>
                <w:sz w:val="24"/>
              </w:rPr>
            </w:pPr>
          </w:p>
        </w:tc>
        <w:tc>
          <w:tcPr>
            <w:tcW w:w="1637" w:type="dxa"/>
            <w:vMerge w:val="continue"/>
            <w:shd w:val="clear" w:color="auto" w:fill="FFFFFF" w:themeFill="background1"/>
            <w:noWrap/>
            <w:vAlign w:val="center"/>
          </w:tcPr>
          <w:p w14:paraId="224BBFC2">
            <w:pPr>
              <w:jc w:val="center"/>
              <w:rPr>
                <w:rFonts w:cs="宋体" w:asciiTheme="minorEastAsia" w:hAnsiTheme="minorEastAsia"/>
                <w:b/>
                <w:bCs/>
                <w:color w:val="000000"/>
                <w:sz w:val="24"/>
              </w:rPr>
            </w:pPr>
          </w:p>
        </w:tc>
        <w:tc>
          <w:tcPr>
            <w:tcW w:w="9820" w:type="dxa"/>
            <w:vMerge w:val="continue"/>
            <w:shd w:val="clear" w:color="auto" w:fill="FFFFFF" w:themeFill="background1"/>
            <w:vAlign w:val="center"/>
          </w:tcPr>
          <w:p w14:paraId="3C5D41D8">
            <w:pPr>
              <w:jc w:val="center"/>
              <w:rPr>
                <w:rFonts w:cs="宋体" w:asciiTheme="minorEastAsia" w:hAnsiTheme="minorEastAsia"/>
                <w:b/>
                <w:bCs/>
                <w:color w:val="000000"/>
                <w:sz w:val="24"/>
              </w:rPr>
            </w:pPr>
          </w:p>
        </w:tc>
        <w:tc>
          <w:tcPr>
            <w:tcW w:w="860" w:type="dxa"/>
            <w:vMerge w:val="continue"/>
            <w:shd w:val="clear" w:color="auto" w:fill="FFFFFF" w:themeFill="background1"/>
            <w:vAlign w:val="center"/>
          </w:tcPr>
          <w:p w14:paraId="06A4380D">
            <w:pPr>
              <w:jc w:val="center"/>
              <w:rPr>
                <w:rFonts w:cs="宋体" w:asciiTheme="minorEastAsia" w:hAnsiTheme="minorEastAsia"/>
                <w:b/>
                <w:bCs/>
                <w:color w:val="000000"/>
                <w:sz w:val="24"/>
              </w:rPr>
            </w:pPr>
          </w:p>
        </w:tc>
        <w:tc>
          <w:tcPr>
            <w:tcW w:w="960" w:type="dxa"/>
            <w:vMerge w:val="continue"/>
            <w:shd w:val="clear" w:color="auto" w:fill="FFFFFF" w:themeFill="background1"/>
            <w:vAlign w:val="center"/>
          </w:tcPr>
          <w:p w14:paraId="185454EA">
            <w:pPr>
              <w:jc w:val="center"/>
              <w:rPr>
                <w:rFonts w:cs="宋体" w:asciiTheme="minorEastAsia" w:hAnsiTheme="minorEastAsia"/>
                <w:b/>
                <w:bCs/>
                <w:color w:val="000000"/>
                <w:sz w:val="24"/>
              </w:rPr>
            </w:pPr>
          </w:p>
        </w:tc>
      </w:tr>
      <w:tr w14:paraId="0B18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860" w:type="dxa"/>
            <w:shd w:val="clear" w:color="auto" w:fill="auto"/>
            <w:noWrap/>
            <w:vAlign w:val="center"/>
          </w:tcPr>
          <w:p w14:paraId="6F7E8C15">
            <w:pPr>
              <w:jc w:val="center"/>
              <w:rPr>
                <w:rFonts w:cs="宋体" w:asciiTheme="minorEastAsia" w:hAnsiTheme="minorEastAsia"/>
                <w:color w:val="000000"/>
                <w:sz w:val="24"/>
              </w:rPr>
            </w:pPr>
            <w:r>
              <w:rPr>
                <w:rFonts w:hint="eastAsia" w:asciiTheme="minorEastAsia" w:hAnsiTheme="minorEastAsia"/>
                <w:color w:val="000000"/>
                <w:sz w:val="24"/>
              </w:rPr>
              <w:t>1</w:t>
            </w:r>
          </w:p>
        </w:tc>
        <w:tc>
          <w:tcPr>
            <w:tcW w:w="1637" w:type="dxa"/>
            <w:shd w:val="clear" w:color="auto" w:fill="auto"/>
            <w:noWrap/>
            <w:vAlign w:val="center"/>
          </w:tcPr>
          <w:p w14:paraId="4037233C">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螺旋提升机</w:t>
            </w:r>
          </w:p>
        </w:tc>
        <w:tc>
          <w:tcPr>
            <w:tcW w:w="9820" w:type="dxa"/>
            <w:shd w:val="clear" w:color="auto" w:fill="auto"/>
            <w:vAlign w:val="center"/>
          </w:tcPr>
          <w:p w14:paraId="27C571D7">
            <w:pPr>
              <w:widowControl/>
              <w:jc w:val="lef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承载能力大、安全可靠；适应性强、安装维修方便、寿命长； 变螺距设计，确保顺畅，快速均匀送料；进,出料口可采用法兰连接；改良外壳加工工艺，密封性良好，不渗漏。</w:t>
            </w:r>
          </w:p>
        </w:tc>
        <w:tc>
          <w:tcPr>
            <w:tcW w:w="860" w:type="dxa"/>
            <w:shd w:val="clear" w:color="auto" w:fill="auto"/>
            <w:noWrap/>
            <w:vAlign w:val="center"/>
          </w:tcPr>
          <w:p w14:paraId="1F2E519F">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0CFDF845">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4F67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7" w:hRule="atLeast"/>
        </w:trPr>
        <w:tc>
          <w:tcPr>
            <w:tcW w:w="860" w:type="dxa"/>
            <w:shd w:val="clear" w:color="auto" w:fill="auto"/>
            <w:noWrap/>
            <w:vAlign w:val="center"/>
          </w:tcPr>
          <w:p w14:paraId="732BCF44">
            <w:pPr>
              <w:jc w:val="center"/>
              <w:rPr>
                <w:rFonts w:cs="宋体" w:asciiTheme="minorEastAsia" w:hAnsiTheme="minorEastAsia"/>
                <w:color w:val="000000"/>
                <w:sz w:val="24"/>
              </w:rPr>
            </w:pPr>
            <w:r>
              <w:rPr>
                <w:rFonts w:hint="eastAsia" w:asciiTheme="minorEastAsia" w:hAnsiTheme="minorEastAsia"/>
                <w:color w:val="000000"/>
                <w:sz w:val="24"/>
              </w:rPr>
              <w:t>2</w:t>
            </w:r>
          </w:p>
        </w:tc>
        <w:tc>
          <w:tcPr>
            <w:tcW w:w="1637" w:type="dxa"/>
            <w:shd w:val="clear" w:color="auto" w:fill="auto"/>
            <w:vAlign w:val="center"/>
          </w:tcPr>
          <w:p w14:paraId="7905D9DC">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水滴粉碎机</w:t>
            </w:r>
          </w:p>
        </w:tc>
        <w:tc>
          <w:tcPr>
            <w:tcW w:w="9820" w:type="dxa"/>
            <w:shd w:val="clear" w:color="auto" w:fill="auto"/>
            <w:vAlign w:val="center"/>
          </w:tcPr>
          <w:p w14:paraId="6AA751E2">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处理能力:4-6T/H（3mm筛片），粉碎室采用先进的水滴形设计，带有二次破碎齿板、轴端进风装置，改变物料的运动方向，有效破坏环流层，使物料充分粉碎，加快小颗粒的过筛，降低粉碎室的温度，从而提高粉碎机的产量；电机座整体铣制，转子动平衡处理，使粉碎机振动更小、噪音更低，运行更平稳，效率更高；全开式操作门和安全互锁装置，以确保开门的安全性和方便性；联动式压筛机构，使筛片的更换操作更方便可靠；碳化钨等新材料应用，延长锤片、筛片等粉碎易损件的寿命；</w:t>
            </w:r>
          </w:p>
        </w:tc>
        <w:tc>
          <w:tcPr>
            <w:tcW w:w="860" w:type="dxa"/>
            <w:shd w:val="clear" w:color="auto" w:fill="auto"/>
            <w:vAlign w:val="center"/>
          </w:tcPr>
          <w:p w14:paraId="25AE96A0">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6F95D996">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228B6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860" w:type="dxa"/>
            <w:shd w:val="clear" w:color="auto" w:fill="auto"/>
            <w:noWrap/>
            <w:vAlign w:val="center"/>
          </w:tcPr>
          <w:p w14:paraId="1B096E6F">
            <w:pPr>
              <w:jc w:val="center"/>
              <w:rPr>
                <w:rFonts w:cs="宋体" w:asciiTheme="minorEastAsia" w:hAnsiTheme="minorEastAsia"/>
                <w:color w:val="000000"/>
                <w:sz w:val="24"/>
              </w:rPr>
            </w:pPr>
            <w:r>
              <w:rPr>
                <w:rFonts w:hint="eastAsia" w:asciiTheme="minorEastAsia" w:hAnsiTheme="minorEastAsia"/>
                <w:color w:val="000000"/>
                <w:sz w:val="24"/>
              </w:rPr>
              <w:t>3</w:t>
            </w:r>
          </w:p>
        </w:tc>
        <w:tc>
          <w:tcPr>
            <w:tcW w:w="1637" w:type="dxa"/>
            <w:shd w:val="clear" w:color="auto" w:fill="auto"/>
            <w:vAlign w:val="center"/>
          </w:tcPr>
          <w:p w14:paraId="5659666C">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sz w:val="24"/>
              </w:rPr>
              <w:t>负压除尘系统</w:t>
            </w:r>
          </w:p>
        </w:tc>
        <w:tc>
          <w:tcPr>
            <w:tcW w:w="9820" w:type="dxa"/>
            <w:shd w:val="clear" w:color="auto" w:fill="auto"/>
            <w:vAlign w:val="center"/>
          </w:tcPr>
          <w:p w14:paraId="436017FA">
            <w:pPr>
              <w:widowControl/>
              <w:jc w:val="left"/>
              <w:textAlignment w:val="center"/>
              <w:rPr>
                <w:rFonts w:hint="eastAsia" w:cs="宋体" w:asciiTheme="minorEastAsia" w:hAnsiTheme="minorEastAsia"/>
                <w:color w:val="000000"/>
                <w:sz w:val="24"/>
              </w:rPr>
            </w:pPr>
            <w:r>
              <w:rPr>
                <w:rFonts w:hint="eastAsia" w:cs="宋体" w:asciiTheme="minorEastAsia" w:hAnsiTheme="minorEastAsia"/>
                <w:color w:val="000000"/>
                <w:sz w:val="24"/>
              </w:rPr>
              <w:t>离心集尘器</w:t>
            </w:r>
            <w:r>
              <w:rPr>
                <w:rFonts w:hint="eastAsia" w:cs="宋体" w:asciiTheme="minorEastAsia" w:hAnsiTheme="minorEastAsia"/>
                <w:color w:val="000000"/>
                <w:sz w:val="24"/>
              </w:rPr>
              <w:tab/>
            </w:r>
            <w:r>
              <w:rPr>
                <w:rFonts w:hint="eastAsia" w:cs="宋体" w:asciiTheme="minorEastAsia" w:hAnsiTheme="minorEastAsia"/>
                <w:color w:val="000000"/>
                <w:sz w:val="24"/>
              </w:rPr>
              <w:t>55-Ф400</w:t>
            </w:r>
          </w:p>
          <w:p w14:paraId="07297C8B">
            <w:pPr>
              <w:widowControl/>
              <w:jc w:val="left"/>
              <w:textAlignment w:val="center"/>
              <w:rPr>
                <w:rFonts w:hint="eastAsia" w:cs="宋体" w:asciiTheme="minorEastAsia" w:hAnsiTheme="minorEastAsia"/>
                <w:color w:val="000000"/>
                <w:sz w:val="24"/>
              </w:rPr>
            </w:pPr>
            <w:r>
              <w:rPr>
                <w:rFonts w:hint="eastAsia" w:cs="宋体" w:asciiTheme="minorEastAsia" w:hAnsiTheme="minorEastAsia"/>
                <w:color w:val="000000"/>
                <w:sz w:val="24"/>
              </w:rPr>
              <w:t>风机</w:t>
            </w:r>
            <w:r>
              <w:rPr>
                <w:rFonts w:hint="eastAsia" w:cs="宋体" w:asciiTheme="minorEastAsia" w:hAnsiTheme="minorEastAsia"/>
                <w:color w:val="000000"/>
                <w:sz w:val="24"/>
              </w:rPr>
              <w:tab/>
            </w:r>
            <w:r>
              <w:rPr>
                <w:rFonts w:hint="eastAsia" w:cs="宋体" w:asciiTheme="minorEastAsia" w:hAnsiTheme="minorEastAsia"/>
                <w:color w:val="000000"/>
                <w:sz w:val="24"/>
              </w:rPr>
              <w:t>4-72-2.8A</w:t>
            </w:r>
          </w:p>
          <w:p w14:paraId="54590BB9">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sz w:val="24"/>
              </w:rPr>
              <w:t>风网管道</w:t>
            </w:r>
            <w:r>
              <w:rPr>
                <w:rFonts w:hint="eastAsia" w:cs="宋体" w:asciiTheme="minorEastAsia" w:hAnsiTheme="minorEastAsia"/>
                <w:color w:val="000000"/>
                <w:sz w:val="24"/>
              </w:rPr>
              <w:tab/>
            </w:r>
          </w:p>
        </w:tc>
        <w:tc>
          <w:tcPr>
            <w:tcW w:w="860" w:type="dxa"/>
            <w:shd w:val="clear" w:color="auto" w:fill="auto"/>
            <w:vAlign w:val="center"/>
          </w:tcPr>
          <w:p w14:paraId="0774B3FD">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vAlign w:val="center"/>
          </w:tcPr>
          <w:p w14:paraId="6AC3136C">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3BD8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5187BB96">
            <w:pPr>
              <w:jc w:val="center"/>
              <w:rPr>
                <w:rFonts w:cs="宋体" w:asciiTheme="minorEastAsia" w:hAnsiTheme="minorEastAsia"/>
                <w:color w:val="000000"/>
                <w:sz w:val="24"/>
              </w:rPr>
            </w:pPr>
            <w:r>
              <w:rPr>
                <w:rFonts w:hint="eastAsia" w:asciiTheme="minorEastAsia" w:hAnsiTheme="minorEastAsia"/>
                <w:color w:val="000000"/>
                <w:sz w:val="24"/>
              </w:rPr>
              <w:t>4</w:t>
            </w:r>
          </w:p>
        </w:tc>
        <w:tc>
          <w:tcPr>
            <w:tcW w:w="1637" w:type="dxa"/>
            <w:shd w:val="clear" w:color="auto" w:fill="auto"/>
            <w:vAlign w:val="center"/>
          </w:tcPr>
          <w:p w14:paraId="72167069">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粉碎机支架</w:t>
            </w:r>
          </w:p>
        </w:tc>
        <w:tc>
          <w:tcPr>
            <w:tcW w:w="9820" w:type="dxa"/>
            <w:shd w:val="clear" w:color="auto" w:fill="auto"/>
            <w:vAlign w:val="center"/>
          </w:tcPr>
          <w:p w14:paraId="6CD1A34D">
            <w:pPr>
              <w:widowControl/>
              <w:jc w:val="lef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碳钢制作</w:t>
            </w:r>
          </w:p>
        </w:tc>
        <w:tc>
          <w:tcPr>
            <w:tcW w:w="860" w:type="dxa"/>
            <w:shd w:val="clear" w:color="auto" w:fill="auto"/>
            <w:vAlign w:val="center"/>
          </w:tcPr>
          <w:p w14:paraId="4172AEF8">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67AF2C72">
            <w:pPr>
              <w:widowControl/>
              <w:jc w:val="center"/>
              <w:textAlignment w:val="center"/>
              <w:rPr>
                <w:rFonts w:cs="宋体" w:asciiTheme="minorEastAsia" w:hAnsiTheme="minorEastAsia"/>
                <w:color w:val="000000"/>
                <w:kern w:val="0"/>
                <w:sz w:val="24"/>
                <w:lang w:bidi="ar"/>
              </w:rPr>
            </w:pPr>
            <w:r>
              <w:rPr>
                <w:rFonts w:hint="eastAsia" w:asciiTheme="minorEastAsia" w:hAnsiTheme="minorEastAsia"/>
                <w:color w:val="000000"/>
                <w:sz w:val="24"/>
              </w:rPr>
              <w:t>1</w:t>
            </w:r>
          </w:p>
        </w:tc>
      </w:tr>
      <w:tr w14:paraId="57F3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860" w:type="dxa"/>
            <w:shd w:val="clear" w:color="auto" w:fill="auto"/>
            <w:noWrap/>
            <w:vAlign w:val="center"/>
          </w:tcPr>
          <w:p w14:paraId="110BCB02">
            <w:pPr>
              <w:jc w:val="center"/>
              <w:rPr>
                <w:rFonts w:cs="宋体" w:asciiTheme="minorEastAsia" w:hAnsiTheme="minorEastAsia"/>
                <w:color w:val="000000"/>
                <w:sz w:val="24"/>
              </w:rPr>
            </w:pPr>
            <w:r>
              <w:rPr>
                <w:rFonts w:hint="eastAsia" w:asciiTheme="minorEastAsia" w:hAnsiTheme="minorEastAsia"/>
                <w:color w:val="000000"/>
                <w:sz w:val="24"/>
              </w:rPr>
              <w:t>5</w:t>
            </w:r>
          </w:p>
        </w:tc>
        <w:tc>
          <w:tcPr>
            <w:tcW w:w="1637" w:type="dxa"/>
            <w:shd w:val="clear" w:color="auto" w:fill="auto"/>
            <w:noWrap/>
            <w:vAlign w:val="center"/>
          </w:tcPr>
          <w:p w14:paraId="4863B84F">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粉碎机下连接口</w:t>
            </w:r>
          </w:p>
        </w:tc>
        <w:tc>
          <w:tcPr>
            <w:tcW w:w="9820" w:type="dxa"/>
            <w:shd w:val="clear" w:color="auto" w:fill="auto"/>
            <w:vAlign w:val="center"/>
          </w:tcPr>
          <w:p w14:paraId="48D754C1">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碳钢制作</w:t>
            </w:r>
          </w:p>
        </w:tc>
        <w:tc>
          <w:tcPr>
            <w:tcW w:w="860" w:type="dxa"/>
            <w:shd w:val="clear" w:color="auto" w:fill="auto"/>
            <w:vAlign w:val="center"/>
          </w:tcPr>
          <w:p w14:paraId="3F2E9B24">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01058F93">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109B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2F59B762">
            <w:pPr>
              <w:jc w:val="center"/>
              <w:rPr>
                <w:rFonts w:cs="宋体" w:asciiTheme="minorEastAsia" w:hAnsiTheme="minorEastAsia"/>
                <w:color w:val="000000"/>
                <w:sz w:val="24"/>
              </w:rPr>
            </w:pPr>
            <w:r>
              <w:rPr>
                <w:rFonts w:hint="eastAsia" w:asciiTheme="minorEastAsia" w:hAnsiTheme="minorEastAsia"/>
                <w:color w:val="000000"/>
                <w:sz w:val="24"/>
              </w:rPr>
              <w:t>6</w:t>
            </w:r>
          </w:p>
        </w:tc>
        <w:tc>
          <w:tcPr>
            <w:tcW w:w="1637" w:type="dxa"/>
            <w:shd w:val="clear" w:color="auto" w:fill="auto"/>
            <w:noWrap/>
            <w:vAlign w:val="center"/>
          </w:tcPr>
          <w:p w14:paraId="79453C30">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螺旋提升机</w:t>
            </w:r>
          </w:p>
        </w:tc>
        <w:tc>
          <w:tcPr>
            <w:tcW w:w="9820" w:type="dxa"/>
            <w:shd w:val="clear" w:color="auto" w:fill="auto"/>
            <w:vAlign w:val="center"/>
          </w:tcPr>
          <w:p w14:paraId="5EF59D54">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承载能力大、安全可靠；适应性强、安装维修方便、寿命长； 变螺距设计，确保顺畅，快速均匀送料；进,出料口可采用法兰连接；改良外壳加工工艺，密封性良好，不渗漏。</w:t>
            </w:r>
          </w:p>
        </w:tc>
        <w:tc>
          <w:tcPr>
            <w:tcW w:w="860" w:type="dxa"/>
            <w:shd w:val="clear" w:color="auto" w:fill="auto"/>
            <w:noWrap/>
            <w:vAlign w:val="center"/>
          </w:tcPr>
          <w:p w14:paraId="3E8847BF">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5748E83E">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2</w:t>
            </w:r>
          </w:p>
        </w:tc>
      </w:tr>
      <w:tr w14:paraId="7ACA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trPr>
        <w:tc>
          <w:tcPr>
            <w:tcW w:w="860" w:type="dxa"/>
            <w:shd w:val="clear" w:color="auto" w:fill="auto"/>
            <w:noWrap/>
            <w:vAlign w:val="center"/>
          </w:tcPr>
          <w:p w14:paraId="5C3935CB">
            <w:pPr>
              <w:jc w:val="center"/>
              <w:rPr>
                <w:rFonts w:cs="宋体" w:asciiTheme="minorEastAsia" w:hAnsiTheme="minorEastAsia"/>
                <w:color w:val="000000"/>
                <w:sz w:val="24"/>
              </w:rPr>
            </w:pPr>
            <w:r>
              <w:rPr>
                <w:rFonts w:hint="eastAsia" w:asciiTheme="minorEastAsia" w:hAnsiTheme="minorEastAsia"/>
                <w:color w:val="000000"/>
                <w:sz w:val="24"/>
              </w:rPr>
              <w:t>7</w:t>
            </w:r>
          </w:p>
        </w:tc>
        <w:tc>
          <w:tcPr>
            <w:tcW w:w="1637" w:type="dxa"/>
            <w:shd w:val="clear" w:color="auto" w:fill="auto"/>
            <w:vAlign w:val="center"/>
          </w:tcPr>
          <w:p w14:paraId="6021EB61">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螺带桨叶高效混合机</w:t>
            </w:r>
          </w:p>
        </w:tc>
        <w:tc>
          <w:tcPr>
            <w:tcW w:w="9820" w:type="dxa"/>
            <w:shd w:val="clear" w:color="auto" w:fill="auto"/>
            <w:vAlign w:val="center"/>
          </w:tcPr>
          <w:p w14:paraId="798FAAFC">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独创“螺带+桨叶”新型专利转子结构，兼具螺带与桨叶的综合优势，无混合死角，混合均匀度达CV≤5%； 采用硬齿面齿轮减速机与混合机转子直连传动；结构简单、紧凑，整机安装空间小、传动平稳、效率高、可靠性更好、使用寿命长、维修成本极低； 机内装有油脂添加管道，适合添加多种液体；气动大开门放料装置，轴端及出料门采用独有的成熟密封技术，确保无泄漏。</w:t>
            </w:r>
          </w:p>
        </w:tc>
        <w:tc>
          <w:tcPr>
            <w:tcW w:w="860" w:type="dxa"/>
            <w:shd w:val="clear" w:color="auto" w:fill="auto"/>
            <w:vAlign w:val="center"/>
          </w:tcPr>
          <w:p w14:paraId="1D079086">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1BEA6F8F">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51EB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3B371417">
            <w:pPr>
              <w:jc w:val="center"/>
              <w:rPr>
                <w:rFonts w:cs="宋体" w:asciiTheme="minorEastAsia" w:hAnsiTheme="minorEastAsia"/>
                <w:color w:val="000000"/>
                <w:sz w:val="24"/>
              </w:rPr>
            </w:pPr>
            <w:r>
              <w:rPr>
                <w:rFonts w:hint="eastAsia" w:asciiTheme="minorEastAsia" w:hAnsiTheme="minorEastAsia"/>
                <w:color w:val="000000"/>
                <w:sz w:val="24"/>
              </w:rPr>
              <w:t>8</w:t>
            </w:r>
          </w:p>
        </w:tc>
        <w:tc>
          <w:tcPr>
            <w:tcW w:w="1637" w:type="dxa"/>
            <w:shd w:val="clear" w:color="auto" w:fill="auto"/>
            <w:vAlign w:val="center"/>
          </w:tcPr>
          <w:p w14:paraId="45420C63">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螺旋喂料器</w:t>
            </w:r>
          </w:p>
        </w:tc>
        <w:tc>
          <w:tcPr>
            <w:tcW w:w="9820" w:type="dxa"/>
            <w:shd w:val="clear" w:color="auto" w:fill="auto"/>
            <w:vAlign w:val="center"/>
          </w:tcPr>
          <w:p w14:paraId="1F190803">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变频控制喂料速度</w:t>
            </w:r>
          </w:p>
        </w:tc>
        <w:tc>
          <w:tcPr>
            <w:tcW w:w="860" w:type="dxa"/>
            <w:shd w:val="clear" w:color="auto" w:fill="auto"/>
            <w:vAlign w:val="center"/>
          </w:tcPr>
          <w:p w14:paraId="4CDC01A8">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6C7F740C">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647E6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860" w:type="dxa"/>
            <w:shd w:val="clear" w:color="auto" w:fill="auto"/>
            <w:noWrap/>
            <w:vAlign w:val="center"/>
          </w:tcPr>
          <w:p w14:paraId="0B1C325C">
            <w:pPr>
              <w:jc w:val="center"/>
              <w:rPr>
                <w:rFonts w:cs="宋体" w:asciiTheme="minorEastAsia" w:hAnsiTheme="minorEastAsia"/>
                <w:color w:val="000000"/>
                <w:sz w:val="24"/>
              </w:rPr>
            </w:pPr>
            <w:r>
              <w:rPr>
                <w:rFonts w:hint="eastAsia" w:asciiTheme="minorEastAsia" w:hAnsiTheme="minorEastAsia"/>
                <w:color w:val="000000"/>
                <w:sz w:val="24"/>
              </w:rPr>
              <w:t>9</w:t>
            </w:r>
          </w:p>
        </w:tc>
        <w:tc>
          <w:tcPr>
            <w:tcW w:w="1637" w:type="dxa"/>
            <w:shd w:val="clear" w:color="auto" w:fill="auto"/>
            <w:noWrap/>
            <w:vAlign w:val="center"/>
          </w:tcPr>
          <w:p w14:paraId="0AB17DD6">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颗粒机</w:t>
            </w:r>
          </w:p>
        </w:tc>
        <w:tc>
          <w:tcPr>
            <w:tcW w:w="9820" w:type="dxa"/>
            <w:shd w:val="clear" w:color="auto" w:fill="auto"/>
            <w:vAlign w:val="center"/>
          </w:tcPr>
          <w:p w14:paraId="3172FA77">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大型皮带轮的“飞轮效应”，运转更节能；加工精细、设计合理的环模，制粒效率更高；整机浇铸的机座，运行更平稳：制粒机门采用不锈钢材质制作；独特的注油装置，润滑更方便；近乎完美的结构、高标准的材料选型、超低的维护费用；配备安全互锁装置，保护人身安全。</w:t>
            </w:r>
          </w:p>
        </w:tc>
        <w:tc>
          <w:tcPr>
            <w:tcW w:w="860" w:type="dxa"/>
            <w:shd w:val="clear" w:color="auto" w:fill="auto"/>
            <w:vAlign w:val="center"/>
          </w:tcPr>
          <w:p w14:paraId="01E1FA95">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19EE3C9F">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7F92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860" w:type="dxa"/>
            <w:shd w:val="clear" w:color="auto" w:fill="auto"/>
            <w:noWrap/>
            <w:vAlign w:val="center"/>
          </w:tcPr>
          <w:p w14:paraId="6F1AE3F3">
            <w:pPr>
              <w:jc w:val="center"/>
              <w:rPr>
                <w:rFonts w:cs="宋体" w:asciiTheme="minorEastAsia" w:hAnsiTheme="minorEastAsia"/>
                <w:color w:val="000000"/>
                <w:sz w:val="24"/>
              </w:rPr>
            </w:pPr>
            <w:r>
              <w:rPr>
                <w:rFonts w:hint="eastAsia" w:asciiTheme="minorEastAsia" w:hAnsiTheme="minorEastAsia"/>
                <w:color w:val="000000"/>
                <w:sz w:val="24"/>
              </w:rPr>
              <w:t>10</w:t>
            </w:r>
          </w:p>
        </w:tc>
        <w:tc>
          <w:tcPr>
            <w:tcW w:w="1637" w:type="dxa"/>
            <w:shd w:val="clear" w:color="auto" w:fill="auto"/>
            <w:vAlign w:val="center"/>
          </w:tcPr>
          <w:p w14:paraId="3FDBCFF5">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膨化机</w:t>
            </w:r>
          </w:p>
        </w:tc>
        <w:tc>
          <w:tcPr>
            <w:tcW w:w="9820" w:type="dxa"/>
            <w:shd w:val="clear" w:color="auto" w:fill="auto"/>
            <w:vAlign w:val="center"/>
          </w:tcPr>
          <w:p w14:paraId="0E7719FD">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适用与成品饲料的膨化加工；结构简单，运行平稳、可靠、操作简便；独立的变频调速喂料器，喂料量可平稳连续调节；主轴承箱结构采用专有技术设计，确保无故障连续运行；硬质合金螺杆、气塞和内衬，具有良好的耐磨性和抗腐蚀性；可采用干法膨化和湿法膨化。</w:t>
            </w:r>
          </w:p>
        </w:tc>
        <w:tc>
          <w:tcPr>
            <w:tcW w:w="860" w:type="dxa"/>
            <w:shd w:val="clear" w:color="auto" w:fill="auto"/>
            <w:vAlign w:val="center"/>
          </w:tcPr>
          <w:p w14:paraId="538ECE9A">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74C9BB5A">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59E5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60" w:type="dxa"/>
            <w:shd w:val="clear" w:color="auto" w:fill="auto"/>
            <w:noWrap/>
            <w:vAlign w:val="center"/>
          </w:tcPr>
          <w:p w14:paraId="012791DA">
            <w:pPr>
              <w:jc w:val="center"/>
              <w:rPr>
                <w:rFonts w:cs="宋体" w:asciiTheme="minorEastAsia" w:hAnsiTheme="minorEastAsia"/>
                <w:color w:val="000000"/>
                <w:sz w:val="24"/>
              </w:rPr>
            </w:pPr>
            <w:r>
              <w:rPr>
                <w:rFonts w:hint="eastAsia" w:asciiTheme="minorEastAsia" w:hAnsiTheme="minorEastAsia"/>
                <w:color w:val="000000"/>
                <w:sz w:val="24"/>
              </w:rPr>
              <w:t>11</w:t>
            </w:r>
          </w:p>
        </w:tc>
        <w:tc>
          <w:tcPr>
            <w:tcW w:w="1637" w:type="dxa"/>
            <w:shd w:val="clear" w:color="auto" w:fill="auto"/>
            <w:noWrap/>
            <w:vAlign w:val="center"/>
          </w:tcPr>
          <w:p w14:paraId="076F05BE">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过渡斗</w:t>
            </w:r>
          </w:p>
        </w:tc>
        <w:tc>
          <w:tcPr>
            <w:tcW w:w="9820" w:type="dxa"/>
            <w:shd w:val="clear" w:color="auto" w:fill="auto"/>
            <w:vAlign w:val="center"/>
          </w:tcPr>
          <w:p w14:paraId="609D02DB">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全部材料由3mm碳钢制作,设一检修门。</w:t>
            </w:r>
            <w:r>
              <w:rPr>
                <w:rFonts w:hint="eastAsia" w:cs="宋体" w:asciiTheme="minorEastAsia" w:hAnsiTheme="minorEastAsia"/>
                <w:color w:val="000000"/>
                <w:kern w:val="0"/>
                <w:sz w:val="24"/>
                <w:lang w:val="en-US" w:eastAsia="zh-CN" w:bidi="ar"/>
              </w:rPr>
              <w:t>容积</w:t>
            </w:r>
            <w:r>
              <w:rPr>
                <w:rFonts w:hint="eastAsia" w:cs="宋体" w:asciiTheme="minorEastAsia" w:hAnsiTheme="minorEastAsia"/>
                <w:color w:val="000000"/>
                <w:kern w:val="0"/>
                <w:sz w:val="24"/>
                <w:lang w:bidi="ar"/>
              </w:rPr>
              <w:t>0.5m³</w:t>
            </w:r>
          </w:p>
        </w:tc>
        <w:tc>
          <w:tcPr>
            <w:tcW w:w="860" w:type="dxa"/>
            <w:shd w:val="clear" w:color="auto" w:fill="auto"/>
            <w:noWrap/>
            <w:vAlign w:val="center"/>
          </w:tcPr>
          <w:p w14:paraId="31CE8A4A">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只</w:t>
            </w:r>
          </w:p>
        </w:tc>
        <w:tc>
          <w:tcPr>
            <w:tcW w:w="960" w:type="dxa"/>
            <w:shd w:val="clear" w:color="auto" w:fill="auto"/>
            <w:noWrap/>
            <w:vAlign w:val="center"/>
          </w:tcPr>
          <w:p w14:paraId="7926584D">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3</w:t>
            </w:r>
          </w:p>
        </w:tc>
      </w:tr>
      <w:tr w14:paraId="7E3D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trPr>
        <w:tc>
          <w:tcPr>
            <w:tcW w:w="860" w:type="dxa"/>
            <w:shd w:val="clear" w:color="auto" w:fill="auto"/>
            <w:noWrap/>
            <w:vAlign w:val="center"/>
          </w:tcPr>
          <w:p w14:paraId="6532E215">
            <w:pPr>
              <w:jc w:val="center"/>
              <w:rPr>
                <w:rFonts w:cs="宋体" w:asciiTheme="minorEastAsia" w:hAnsiTheme="minorEastAsia"/>
                <w:color w:val="000000"/>
                <w:sz w:val="24"/>
              </w:rPr>
            </w:pPr>
            <w:r>
              <w:rPr>
                <w:rFonts w:hint="eastAsia" w:asciiTheme="minorEastAsia" w:hAnsiTheme="minorEastAsia"/>
                <w:color w:val="000000"/>
                <w:sz w:val="24"/>
              </w:rPr>
              <w:t>12</w:t>
            </w:r>
          </w:p>
        </w:tc>
        <w:tc>
          <w:tcPr>
            <w:tcW w:w="1637" w:type="dxa"/>
            <w:shd w:val="clear" w:color="auto" w:fill="auto"/>
            <w:vAlign w:val="center"/>
          </w:tcPr>
          <w:p w14:paraId="0D00617A">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冷却筛分一体机</w:t>
            </w:r>
          </w:p>
        </w:tc>
        <w:tc>
          <w:tcPr>
            <w:tcW w:w="9820" w:type="dxa"/>
            <w:shd w:val="clear" w:color="auto" w:fill="auto"/>
            <w:vAlign w:val="center"/>
          </w:tcPr>
          <w:p w14:paraId="4BD7A9C9">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 xml:space="preserve">新一代冷却机型适用于各种颗粒料的冷却；利用逆流冷却原理对高温、高湿的颗粒料进行冷却，物料自下向上逐步冷却，八角箱体，去除了冷却死角，更利于颗粒料均匀冷却处理，采用闭风器进料，杜绝进料口窜风现象，内设可调锥型散料机构，布料更均匀；滑栅式往复直线运动排料机构，柔性排料，大大减少物料损坏；出料流畅，流量可调；设备正面开设检修门，侧面和顶盖开设观察窗，易于观察设备运行状况；布料更均匀；新型冷却仓工作平稳可靠，停机不漏料。冷却物料温度≤室温3-5℃。 </w:t>
            </w:r>
          </w:p>
        </w:tc>
        <w:tc>
          <w:tcPr>
            <w:tcW w:w="860" w:type="dxa"/>
            <w:shd w:val="clear" w:color="auto" w:fill="auto"/>
            <w:vAlign w:val="center"/>
          </w:tcPr>
          <w:p w14:paraId="51C5123E">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316BFE51">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05CB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60" w:type="dxa"/>
            <w:shd w:val="clear" w:color="auto" w:fill="auto"/>
            <w:noWrap/>
            <w:vAlign w:val="center"/>
          </w:tcPr>
          <w:p w14:paraId="50F4DC27">
            <w:pPr>
              <w:jc w:val="center"/>
              <w:rPr>
                <w:rFonts w:cs="宋体" w:asciiTheme="minorEastAsia" w:hAnsiTheme="minorEastAsia"/>
                <w:color w:val="000000"/>
                <w:sz w:val="24"/>
              </w:rPr>
            </w:pPr>
            <w:r>
              <w:rPr>
                <w:rFonts w:hint="eastAsia" w:asciiTheme="minorEastAsia" w:hAnsiTheme="minorEastAsia"/>
                <w:color w:val="000000"/>
                <w:sz w:val="24"/>
              </w:rPr>
              <w:t>13</w:t>
            </w:r>
          </w:p>
        </w:tc>
        <w:tc>
          <w:tcPr>
            <w:tcW w:w="1637" w:type="dxa"/>
            <w:shd w:val="clear" w:color="auto" w:fill="auto"/>
            <w:vAlign w:val="center"/>
          </w:tcPr>
          <w:p w14:paraId="657BEB05">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风机</w:t>
            </w:r>
          </w:p>
        </w:tc>
        <w:tc>
          <w:tcPr>
            <w:tcW w:w="9820" w:type="dxa"/>
            <w:shd w:val="clear" w:color="auto" w:fill="auto"/>
            <w:vAlign w:val="center"/>
          </w:tcPr>
          <w:p w14:paraId="74B0C76D">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4-72-4.5A</w:t>
            </w:r>
          </w:p>
        </w:tc>
        <w:tc>
          <w:tcPr>
            <w:tcW w:w="860" w:type="dxa"/>
            <w:shd w:val="clear" w:color="auto" w:fill="auto"/>
            <w:vAlign w:val="center"/>
          </w:tcPr>
          <w:p w14:paraId="1096B9D0">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732DF84C">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2EE2C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6D0296BC">
            <w:pPr>
              <w:jc w:val="center"/>
              <w:rPr>
                <w:rFonts w:cs="宋体" w:asciiTheme="minorEastAsia" w:hAnsiTheme="minorEastAsia"/>
                <w:color w:val="000000"/>
                <w:sz w:val="24"/>
              </w:rPr>
            </w:pPr>
            <w:r>
              <w:rPr>
                <w:rFonts w:hint="eastAsia" w:asciiTheme="minorEastAsia" w:hAnsiTheme="minorEastAsia"/>
                <w:color w:val="000000"/>
                <w:sz w:val="24"/>
              </w:rPr>
              <w:t>14</w:t>
            </w:r>
          </w:p>
        </w:tc>
        <w:tc>
          <w:tcPr>
            <w:tcW w:w="1637" w:type="dxa"/>
            <w:shd w:val="clear" w:color="auto" w:fill="auto"/>
            <w:vAlign w:val="center"/>
          </w:tcPr>
          <w:p w14:paraId="4396C15A">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离心卸料器</w:t>
            </w:r>
          </w:p>
        </w:tc>
        <w:tc>
          <w:tcPr>
            <w:tcW w:w="9820" w:type="dxa"/>
            <w:shd w:val="clear" w:color="auto" w:fill="auto"/>
            <w:vAlign w:val="center"/>
          </w:tcPr>
          <w:p w14:paraId="27508D46">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55-Φ1000</w:t>
            </w:r>
            <w:r>
              <w:rPr>
                <w:rFonts w:hint="eastAsia" w:cs="宋体" w:asciiTheme="minorEastAsia" w:hAnsiTheme="minorEastAsia"/>
                <w:color w:val="000000"/>
                <w:kern w:val="0"/>
                <w:sz w:val="24"/>
                <w:lang w:bidi="ar"/>
              </w:rPr>
              <w:tab/>
            </w:r>
            <w:r>
              <w:rPr>
                <w:rFonts w:hint="eastAsia" w:cs="宋体" w:asciiTheme="minorEastAsia" w:hAnsiTheme="minorEastAsia"/>
                <w:color w:val="000000"/>
                <w:kern w:val="0"/>
                <w:sz w:val="24"/>
                <w:lang w:bidi="ar"/>
              </w:rPr>
              <w:t>2mm碳钢材质制作。</w:t>
            </w:r>
          </w:p>
        </w:tc>
        <w:tc>
          <w:tcPr>
            <w:tcW w:w="860" w:type="dxa"/>
            <w:shd w:val="clear" w:color="auto" w:fill="auto"/>
            <w:vAlign w:val="center"/>
          </w:tcPr>
          <w:p w14:paraId="0160FA2B">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vAlign w:val="center"/>
          </w:tcPr>
          <w:p w14:paraId="3776E048">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3B441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7054A853">
            <w:pPr>
              <w:jc w:val="center"/>
              <w:rPr>
                <w:rFonts w:cs="宋体" w:asciiTheme="minorEastAsia" w:hAnsiTheme="minorEastAsia"/>
                <w:color w:val="000000"/>
                <w:sz w:val="24"/>
              </w:rPr>
            </w:pPr>
            <w:r>
              <w:rPr>
                <w:rFonts w:hint="eastAsia" w:asciiTheme="minorEastAsia" w:hAnsiTheme="minorEastAsia"/>
                <w:color w:val="000000"/>
                <w:sz w:val="24"/>
              </w:rPr>
              <w:t>15</w:t>
            </w:r>
          </w:p>
        </w:tc>
        <w:tc>
          <w:tcPr>
            <w:tcW w:w="1637" w:type="dxa"/>
            <w:shd w:val="clear" w:color="auto" w:fill="auto"/>
            <w:vAlign w:val="center"/>
          </w:tcPr>
          <w:p w14:paraId="3E9218C2">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关风卸料器</w:t>
            </w:r>
          </w:p>
        </w:tc>
        <w:tc>
          <w:tcPr>
            <w:tcW w:w="9820" w:type="dxa"/>
            <w:shd w:val="clear" w:color="auto" w:fill="auto"/>
            <w:vAlign w:val="center"/>
          </w:tcPr>
          <w:p w14:paraId="74085B7B">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铸铁壳体，电机减速机直连传动。</w:t>
            </w:r>
          </w:p>
        </w:tc>
        <w:tc>
          <w:tcPr>
            <w:tcW w:w="860" w:type="dxa"/>
            <w:shd w:val="clear" w:color="auto" w:fill="auto"/>
            <w:vAlign w:val="center"/>
          </w:tcPr>
          <w:p w14:paraId="4E5104A6">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只</w:t>
            </w:r>
          </w:p>
        </w:tc>
        <w:tc>
          <w:tcPr>
            <w:tcW w:w="960" w:type="dxa"/>
            <w:shd w:val="clear" w:color="auto" w:fill="auto"/>
            <w:vAlign w:val="center"/>
          </w:tcPr>
          <w:p w14:paraId="3B6B3F13">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63819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62D9DE5B">
            <w:pPr>
              <w:jc w:val="center"/>
              <w:rPr>
                <w:rFonts w:cs="宋体" w:asciiTheme="minorEastAsia" w:hAnsiTheme="minorEastAsia"/>
                <w:color w:val="000000"/>
                <w:sz w:val="24"/>
              </w:rPr>
            </w:pPr>
            <w:r>
              <w:rPr>
                <w:rFonts w:hint="eastAsia" w:asciiTheme="minorEastAsia" w:hAnsiTheme="minorEastAsia"/>
                <w:color w:val="000000"/>
                <w:sz w:val="24"/>
              </w:rPr>
              <w:t>16</w:t>
            </w:r>
          </w:p>
        </w:tc>
        <w:tc>
          <w:tcPr>
            <w:tcW w:w="1637" w:type="dxa"/>
            <w:shd w:val="clear" w:color="auto" w:fill="auto"/>
            <w:vAlign w:val="center"/>
          </w:tcPr>
          <w:p w14:paraId="6A456743">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风网管道</w:t>
            </w:r>
          </w:p>
        </w:tc>
        <w:tc>
          <w:tcPr>
            <w:tcW w:w="9820" w:type="dxa"/>
            <w:shd w:val="clear" w:color="auto" w:fill="auto"/>
            <w:vAlign w:val="center"/>
          </w:tcPr>
          <w:p w14:paraId="1FD5B8AD">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风管、弯头等。</w:t>
            </w:r>
          </w:p>
        </w:tc>
        <w:tc>
          <w:tcPr>
            <w:tcW w:w="860" w:type="dxa"/>
            <w:shd w:val="clear" w:color="auto" w:fill="auto"/>
            <w:vAlign w:val="center"/>
          </w:tcPr>
          <w:p w14:paraId="49DED15E">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vAlign w:val="center"/>
          </w:tcPr>
          <w:p w14:paraId="26540991">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7936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860" w:type="dxa"/>
            <w:shd w:val="clear" w:color="auto" w:fill="auto"/>
            <w:noWrap/>
            <w:vAlign w:val="center"/>
          </w:tcPr>
          <w:p w14:paraId="0407AF5E">
            <w:pPr>
              <w:jc w:val="center"/>
              <w:rPr>
                <w:rFonts w:cs="宋体" w:asciiTheme="minorEastAsia" w:hAnsiTheme="minorEastAsia"/>
                <w:color w:val="000000"/>
                <w:sz w:val="24"/>
              </w:rPr>
            </w:pPr>
            <w:r>
              <w:rPr>
                <w:rFonts w:hint="eastAsia" w:asciiTheme="minorEastAsia" w:hAnsiTheme="minorEastAsia"/>
                <w:color w:val="000000"/>
                <w:sz w:val="24"/>
              </w:rPr>
              <w:t>17</w:t>
            </w:r>
          </w:p>
        </w:tc>
        <w:tc>
          <w:tcPr>
            <w:tcW w:w="1637" w:type="dxa"/>
            <w:shd w:val="clear" w:color="auto" w:fill="auto"/>
            <w:noWrap/>
            <w:vAlign w:val="center"/>
          </w:tcPr>
          <w:p w14:paraId="47D813B6">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无斗皮带秤</w:t>
            </w:r>
          </w:p>
        </w:tc>
        <w:tc>
          <w:tcPr>
            <w:tcW w:w="9820" w:type="dxa"/>
            <w:shd w:val="clear" w:color="auto" w:fill="auto"/>
            <w:vAlign w:val="center"/>
          </w:tcPr>
          <w:p w14:paraId="025DD146">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合适的喂料机构保证称料的快速流动；所有参数均由面板输入，快、慢进料，夹带、松袋全部自动控制；只能称重仪表能同时显示毛重和净重；自动去皮称重功能；自动检测和修正称重误差；具有累计包数显示功能，实现生产过程的定量管理；整个系统设有粉尘吸风口，改善工作环境，标配2.7m无级输送皮带。</w:t>
            </w:r>
          </w:p>
        </w:tc>
        <w:tc>
          <w:tcPr>
            <w:tcW w:w="860" w:type="dxa"/>
            <w:shd w:val="clear" w:color="auto" w:fill="auto"/>
            <w:noWrap/>
            <w:vAlign w:val="center"/>
          </w:tcPr>
          <w:p w14:paraId="0B87E335">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502E8C49">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38A3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3CEB7C39">
            <w:pPr>
              <w:jc w:val="center"/>
              <w:rPr>
                <w:rFonts w:cs="宋体" w:asciiTheme="minorEastAsia" w:hAnsiTheme="minorEastAsia"/>
                <w:color w:val="000000"/>
                <w:sz w:val="24"/>
              </w:rPr>
            </w:pPr>
            <w:r>
              <w:rPr>
                <w:rFonts w:hint="eastAsia" w:asciiTheme="minorEastAsia" w:hAnsiTheme="minorEastAsia"/>
                <w:color w:val="000000"/>
                <w:sz w:val="24"/>
              </w:rPr>
              <w:t>18</w:t>
            </w:r>
          </w:p>
        </w:tc>
        <w:tc>
          <w:tcPr>
            <w:tcW w:w="1637" w:type="dxa"/>
            <w:shd w:val="clear" w:color="auto" w:fill="auto"/>
            <w:noWrap/>
            <w:vAlign w:val="center"/>
          </w:tcPr>
          <w:p w14:paraId="343642A1">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烤箱</w:t>
            </w:r>
          </w:p>
        </w:tc>
        <w:tc>
          <w:tcPr>
            <w:tcW w:w="9820" w:type="dxa"/>
            <w:shd w:val="clear" w:color="auto" w:fill="auto"/>
            <w:vAlign w:val="center"/>
          </w:tcPr>
          <w:p w14:paraId="4B20810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外观尺寸：≥920*625*960</w:t>
            </w:r>
          </w:p>
          <w:p w14:paraId="0FD88279">
            <w:pPr>
              <w:widowControl/>
              <w:jc w:val="left"/>
              <w:textAlignment w:val="center"/>
              <w:rPr>
                <w:rFonts w:asciiTheme="minorHAnsi" w:hAnsiTheme="minorHAnsi" w:eastAsiaTheme="minorEastAsia" w:cstheme="minorBidi"/>
                <w:kern w:val="2"/>
                <w:sz w:val="21"/>
                <w:szCs w:val="24"/>
                <w:highlight w:val="none"/>
                <w:lang w:val="en-US" w:eastAsia="zh-CN" w:bidi="ar-SA"/>
              </w:rPr>
            </w:pPr>
            <w:r>
              <w:rPr>
                <w:rFonts w:hint="eastAsia" w:cs="宋体" w:asciiTheme="minorEastAsia" w:hAnsiTheme="minorEastAsia"/>
                <w:color w:val="000000"/>
                <w:kern w:val="0"/>
                <w:sz w:val="24"/>
                <w:highlight w:val="none"/>
                <w:lang w:bidi="ar"/>
              </w:rPr>
              <w:t>（≥655*520*155）炉膛尺寸</w:t>
            </w:r>
          </w:p>
        </w:tc>
        <w:tc>
          <w:tcPr>
            <w:tcW w:w="860" w:type="dxa"/>
            <w:shd w:val="clear" w:color="auto" w:fill="auto"/>
            <w:noWrap/>
            <w:vAlign w:val="center"/>
          </w:tcPr>
          <w:p w14:paraId="5633487E">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7FB4BCAE">
            <w:pPr>
              <w:widowControl/>
              <w:jc w:val="center"/>
              <w:textAlignment w:val="center"/>
              <w:rPr>
                <w:rFonts w:cs="宋体" w:asciiTheme="minorEastAsia" w:hAnsiTheme="minorEastAsia"/>
                <w:color w:val="000000"/>
                <w:kern w:val="0"/>
                <w:sz w:val="24"/>
                <w:lang w:bidi="ar"/>
              </w:rPr>
            </w:pPr>
            <w:r>
              <w:rPr>
                <w:rFonts w:hint="eastAsia" w:asciiTheme="minorEastAsia" w:hAnsiTheme="minorEastAsia"/>
                <w:color w:val="000000"/>
                <w:sz w:val="24"/>
              </w:rPr>
              <w:t>1</w:t>
            </w:r>
          </w:p>
        </w:tc>
      </w:tr>
      <w:tr w14:paraId="3D90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860" w:type="dxa"/>
            <w:shd w:val="clear" w:color="auto" w:fill="auto"/>
            <w:noWrap/>
            <w:vAlign w:val="center"/>
          </w:tcPr>
          <w:p w14:paraId="6E6440B7">
            <w:pPr>
              <w:jc w:val="center"/>
              <w:rPr>
                <w:rFonts w:cs="宋体" w:asciiTheme="minorEastAsia" w:hAnsiTheme="minorEastAsia"/>
                <w:color w:val="000000"/>
                <w:sz w:val="24"/>
              </w:rPr>
            </w:pPr>
            <w:r>
              <w:rPr>
                <w:rFonts w:hint="eastAsia" w:asciiTheme="minorEastAsia" w:hAnsiTheme="minorEastAsia"/>
                <w:color w:val="000000"/>
                <w:sz w:val="24"/>
              </w:rPr>
              <w:t>19</w:t>
            </w:r>
          </w:p>
        </w:tc>
        <w:tc>
          <w:tcPr>
            <w:tcW w:w="1637" w:type="dxa"/>
            <w:shd w:val="clear" w:color="auto" w:fill="auto"/>
            <w:noWrap/>
            <w:vAlign w:val="center"/>
          </w:tcPr>
          <w:p w14:paraId="100C9DC4">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厨师机</w:t>
            </w:r>
          </w:p>
        </w:tc>
        <w:tc>
          <w:tcPr>
            <w:tcW w:w="9820" w:type="dxa"/>
            <w:shd w:val="clear" w:color="auto" w:fill="auto"/>
            <w:vAlign w:val="center"/>
          </w:tcPr>
          <w:p w14:paraId="1C3F11C2">
            <w:pPr>
              <w:widowControl/>
              <w:jc w:val="left"/>
              <w:textAlignment w:val="center"/>
              <w:rPr>
                <w:rFonts w:cs="宋体" w:asciiTheme="minorEastAsia" w:hAnsiTheme="minorEastAsia" w:eastAsiaTheme="minorEastAsia"/>
                <w:color w:val="000000"/>
                <w:kern w:val="0"/>
                <w:sz w:val="24"/>
                <w:szCs w:val="24"/>
                <w:highlight w:val="none"/>
                <w:lang w:val="en-US" w:eastAsia="zh-CN" w:bidi="ar"/>
              </w:rPr>
            </w:pPr>
            <w:r>
              <w:rPr>
                <w:rFonts w:hint="eastAsia" w:cs="宋体" w:asciiTheme="minorEastAsia" w:hAnsiTheme="minorEastAsia"/>
                <w:color w:val="000000"/>
                <w:kern w:val="0"/>
                <w:sz w:val="24"/>
                <w:highlight w:val="none"/>
                <w:lang w:bidi="ar"/>
              </w:rPr>
              <w:t>≥1</w:t>
            </w:r>
            <w:r>
              <w:rPr>
                <w:rFonts w:cs="宋体" w:asciiTheme="minorEastAsia" w:hAnsiTheme="minorEastAsia"/>
                <w:color w:val="000000"/>
                <w:kern w:val="0"/>
                <w:sz w:val="24"/>
                <w:highlight w:val="none"/>
                <w:lang w:bidi="ar"/>
              </w:rPr>
              <w:t>6L</w:t>
            </w:r>
            <w:r>
              <w:rPr>
                <w:rFonts w:hint="eastAsia" w:cs="宋体" w:asciiTheme="minorEastAsia" w:hAnsiTheme="minorEastAsia"/>
                <w:color w:val="000000"/>
                <w:kern w:val="0"/>
                <w:sz w:val="24"/>
                <w:highlight w:val="none"/>
                <w:lang w:bidi="ar"/>
              </w:rPr>
              <w:t>双桶，功率：≥2</w:t>
            </w:r>
            <w:r>
              <w:rPr>
                <w:rFonts w:hint="eastAsia" w:cs="宋体" w:asciiTheme="minorEastAsia" w:hAnsiTheme="minorEastAsia"/>
                <w:color w:val="000000"/>
                <w:kern w:val="0"/>
                <w:sz w:val="24"/>
                <w:highlight w:val="none"/>
                <w:lang w:val="en-US" w:eastAsia="zh-CN" w:bidi="ar"/>
              </w:rPr>
              <w:t>8</w:t>
            </w:r>
            <w:r>
              <w:rPr>
                <w:rFonts w:cs="宋体" w:asciiTheme="minorEastAsia" w:hAnsiTheme="minorEastAsia"/>
                <w:color w:val="000000"/>
                <w:kern w:val="0"/>
                <w:sz w:val="24"/>
                <w:highlight w:val="none"/>
                <w:lang w:bidi="ar"/>
              </w:rPr>
              <w:t>00W</w:t>
            </w:r>
            <w:r>
              <w:rPr>
                <w:rFonts w:hint="eastAsia" w:cs="宋体" w:asciiTheme="minorEastAsia" w:hAnsiTheme="minorEastAsia"/>
                <w:color w:val="000000"/>
                <w:kern w:val="0"/>
                <w:sz w:val="24"/>
                <w:highlight w:val="none"/>
                <w:lang w:bidi="ar"/>
              </w:rPr>
              <w:t>，</w:t>
            </w:r>
            <w:r>
              <w:rPr>
                <w:rFonts w:hint="eastAsia" w:eastAsia="宋体" w:cs="宋体" w:asciiTheme="minorEastAsia" w:hAnsiTheme="minorEastAsia"/>
                <w:color w:val="000000"/>
                <w:kern w:val="0"/>
                <w:sz w:val="24"/>
                <w:highlight w:val="none"/>
                <w:lang w:val="en-US" w:eastAsia="zh-CN" w:bidi="ar"/>
              </w:rPr>
              <w:t>不低于</w:t>
            </w:r>
            <w:r>
              <w:rPr>
                <w:rFonts w:hint="eastAsia" w:cs="宋体" w:asciiTheme="minorEastAsia" w:hAnsiTheme="minorEastAsia"/>
                <w:color w:val="000000"/>
                <w:kern w:val="0"/>
                <w:sz w:val="24"/>
                <w:highlight w:val="none"/>
                <w:lang w:val="en-US" w:eastAsia="zh-CN" w:bidi="ar"/>
              </w:rPr>
              <w:t>12</w:t>
            </w:r>
            <w:r>
              <w:rPr>
                <w:rFonts w:hint="eastAsia" w:cs="宋体" w:asciiTheme="minorEastAsia" w:hAnsiTheme="minorEastAsia"/>
                <w:color w:val="000000"/>
                <w:kern w:val="0"/>
                <w:sz w:val="24"/>
                <w:highlight w:val="none"/>
                <w:lang w:bidi="ar"/>
              </w:rPr>
              <w:t>档</w:t>
            </w:r>
            <w:r>
              <w:rPr>
                <w:rFonts w:hint="eastAsia" w:cs="宋体" w:asciiTheme="minorEastAsia" w:hAnsiTheme="minorEastAsia"/>
                <w:color w:val="000000"/>
                <w:kern w:val="0"/>
                <w:sz w:val="24"/>
                <w:highlight w:val="none"/>
                <w:lang w:val="en-US" w:eastAsia="zh-CN" w:bidi="ar"/>
              </w:rPr>
              <w:t>调速</w:t>
            </w:r>
            <w:r>
              <w:rPr>
                <w:rFonts w:hint="eastAsia" w:cs="宋体" w:asciiTheme="minorEastAsia" w:hAnsiTheme="minorEastAsia"/>
                <w:color w:val="000000"/>
                <w:kern w:val="0"/>
                <w:sz w:val="24"/>
                <w:highlight w:val="none"/>
                <w:lang w:bidi="ar"/>
              </w:rPr>
              <w:t>，金属机身</w:t>
            </w:r>
          </w:p>
        </w:tc>
        <w:tc>
          <w:tcPr>
            <w:tcW w:w="860" w:type="dxa"/>
            <w:shd w:val="clear" w:color="auto" w:fill="auto"/>
            <w:noWrap/>
            <w:vAlign w:val="center"/>
          </w:tcPr>
          <w:p w14:paraId="177F2386">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0CD0AB7F">
            <w:pPr>
              <w:widowControl/>
              <w:jc w:val="center"/>
              <w:textAlignment w:val="center"/>
              <w:rPr>
                <w:rFonts w:cs="宋体" w:asciiTheme="minorEastAsia" w:hAnsiTheme="minorEastAsia"/>
                <w:color w:val="000000"/>
                <w:kern w:val="0"/>
                <w:sz w:val="24"/>
                <w:lang w:bidi="ar"/>
              </w:rPr>
            </w:pPr>
            <w:r>
              <w:rPr>
                <w:rFonts w:hint="eastAsia" w:asciiTheme="minorEastAsia" w:hAnsiTheme="minorEastAsia"/>
                <w:color w:val="000000"/>
                <w:sz w:val="24"/>
              </w:rPr>
              <w:t>1</w:t>
            </w:r>
          </w:p>
        </w:tc>
      </w:tr>
      <w:tr w14:paraId="441E0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3" w:hRule="atLeast"/>
        </w:trPr>
        <w:tc>
          <w:tcPr>
            <w:tcW w:w="860" w:type="dxa"/>
            <w:shd w:val="clear" w:color="auto" w:fill="auto"/>
            <w:noWrap/>
            <w:vAlign w:val="center"/>
          </w:tcPr>
          <w:p w14:paraId="29320F74">
            <w:pPr>
              <w:jc w:val="center"/>
              <w:rPr>
                <w:rFonts w:cs="宋体" w:asciiTheme="minorEastAsia" w:hAnsiTheme="minorEastAsia"/>
                <w:color w:val="000000"/>
                <w:sz w:val="24"/>
              </w:rPr>
            </w:pPr>
            <w:r>
              <w:rPr>
                <w:rFonts w:hint="eastAsia" w:asciiTheme="minorEastAsia" w:hAnsiTheme="minorEastAsia"/>
                <w:color w:val="000000"/>
                <w:sz w:val="24"/>
              </w:rPr>
              <w:t>20</w:t>
            </w:r>
          </w:p>
        </w:tc>
        <w:tc>
          <w:tcPr>
            <w:tcW w:w="1637" w:type="dxa"/>
            <w:shd w:val="clear" w:color="auto" w:fill="auto"/>
            <w:noWrap/>
            <w:vAlign w:val="center"/>
          </w:tcPr>
          <w:p w14:paraId="11502309">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烘干机</w:t>
            </w:r>
          </w:p>
        </w:tc>
        <w:tc>
          <w:tcPr>
            <w:tcW w:w="9820" w:type="dxa"/>
            <w:shd w:val="clear" w:color="auto" w:fill="auto"/>
            <w:vAlign w:val="center"/>
          </w:tcPr>
          <w:p w14:paraId="56932EC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智能控制面板</w:t>
            </w:r>
          </w:p>
          <w:p w14:paraId="78C215D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分段控温+除湿照明+杀菌系统</w:t>
            </w:r>
          </w:p>
          <w:p w14:paraId="46E330A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三位记忆储存</w:t>
            </w:r>
          </w:p>
          <w:p w14:paraId="0B95C41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201不锈钢机身</w:t>
            </w:r>
          </w:p>
          <w:p w14:paraId="745A906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304不锈钢网盘</w:t>
            </w:r>
          </w:p>
          <w:p w14:paraId="0EDDBDF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网盘尺寸：≥59*56cm</w:t>
            </w:r>
          </w:p>
          <w:p w14:paraId="54D4191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外形尺寸：≥93*64*169cm</w:t>
            </w:r>
          </w:p>
          <w:p w14:paraId="215DB03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电源功率：220V/4.5KW</w:t>
            </w:r>
          </w:p>
          <w:p w14:paraId="294D519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网盘间隔：≥6cm</w:t>
            </w:r>
          </w:p>
          <w:p w14:paraId="73769175">
            <w:pPr>
              <w:widowControl/>
              <w:jc w:val="left"/>
              <w:textAlignment w:val="center"/>
              <w:rPr>
                <w:rFonts w:asciiTheme="minorHAnsi" w:hAnsiTheme="minorHAnsi" w:eastAsiaTheme="minorEastAsia" w:cstheme="minorBidi"/>
                <w:kern w:val="2"/>
                <w:sz w:val="21"/>
                <w:szCs w:val="24"/>
                <w:highlight w:val="none"/>
                <w:lang w:val="en-US" w:eastAsia="zh-CN" w:bidi="ar-SA"/>
              </w:rPr>
            </w:pPr>
            <w:r>
              <w:rPr>
                <w:rFonts w:hint="eastAsia" w:cs="宋体" w:asciiTheme="minorEastAsia" w:hAnsiTheme="minorEastAsia"/>
                <w:color w:val="000000"/>
                <w:kern w:val="0"/>
                <w:sz w:val="24"/>
                <w:highlight w:val="none"/>
                <w:lang w:bidi="ar"/>
              </w:rPr>
              <w:t>内部尺寸：≥60*60*150cm</w:t>
            </w:r>
          </w:p>
        </w:tc>
        <w:tc>
          <w:tcPr>
            <w:tcW w:w="860" w:type="dxa"/>
            <w:shd w:val="clear" w:color="auto" w:fill="auto"/>
            <w:noWrap/>
            <w:vAlign w:val="center"/>
          </w:tcPr>
          <w:p w14:paraId="2BE0AD9E">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41AEC3FD">
            <w:pPr>
              <w:widowControl/>
              <w:jc w:val="center"/>
              <w:textAlignment w:val="center"/>
              <w:rPr>
                <w:rFonts w:cs="宋体" w:asciiTheme="minorEastAsia" w:hAnsiTheme="minorEastAsia"/>
                <w:color w:val="000000"/>
                <w:kern w:val="0"/>
                <w:sz w:val="24"/>
                <w:lang w:bidi="ar"/>
              </w:rPr>
            </w:pPr>
            <w:r>
              <w:rPr>
                <w:rFonts w:hint="eastAsia" w:asciiTheme="minorEastAsia" w:hAnsiTheme="minorEastAsia"/>
                <w:color w:val="000000"/>
                <w:sz w:val="24"/>
              </w:rPr>
              <w:t>1</w:t>
            </w:r>
          </w:p>
        </w:tc>
      </w:tr>
      <w:tr w14:paraId="62D2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181A03C1">
            <w:pPr>
              <w:jc w:val="center"/>
              <w:rPr>
                <w:rFonts w:cs="宋体" w:asciiTheme="minorEastAsia" w:hAnsiTheme="minorEastAsia"/>
                <w:b/>
                <w:bCs/>
                <w:color w:val="000000"/>
                <w:sz w:val="24"/>
              </w:rPr>
            </w:pPr>
            <w:r>
              <w:rPr>
                <w:rFonts w:hint="eastAsia" w:asciiTheme="minorEastAsia" w:hAnsiTheme="minorEastAsia"/>
                <w:color w:val="000000"/>
                <w:sz w:val="24"/>
              </w:rPr>
              <w:t>21</w:t>
            </w:r>
          </w:p>
        </w:tc>
        <w:tc>
          <w:tcPr>
            <w:tcW w:w="1637" w:type="dxa"/>
            <w:shd w:val="clear" w:color="auto" w:fill="auto"/>
            <w:noWrap/>
            <w:vAlign w:val="center"/>
          </w:tcPr>
          <w:p w14:paraId="240CFDC8">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电器控制柜</w:t>
            </w:r>
          </w:p>
        </w:tc>
        <w:tc>
          <w:tcPr>
            <w:tcW w:w="9820" w:type="dxa"/>
            <w:shd w:val="clear" w:color="auto" w:fill="auto"/>
            <w:vAlign w:val="center"/>
          </w:tcPr>
          <w:p w14:paraId="1FC8DEE2">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highlight w:val="none"/>
                <w:lang w:bidi="ar"/>
              </w:rPr>
              <w:t>模拟屏按钮控制，面板图示工艺流程，18.5KW以上电机采用Y/D启动，电控箱自带报警提示功能。</w:t>
            </w:r>
          </w:p>
        </w:tc>
        <w:tc>
          <w:tcPr>
            <w:tcW w:w="860" w:type="dxa"/>
            <w:shd w:val="clear" w:color="auto" w:fill="auto"/>
            <w:noWrap/>
            <w:vAlign w:val="center"/>
          </w:tcPr>
          <w:p w14:paraId="3E10F1D1">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noWrap/>
            <w:vAlign w:val="center"/>
          </w:tcPr>
          <w:p w14:paraId="36EC94EE">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6FC3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auto"/>
            <w:noWrap/>
            <w:vAlign w:val="center"/>
          </w:tcPr>
          <w:p w14:paraId="3BDA0E6B">
            <w:pPr>
              <w:jc w:val="center"/>
              <w:rPr>
                <w:rFonts w:cs="宋体" w:asciiTheme="minorEastAsia" w:hAnsiTheme="minorEastAsia"/>
                <w:b/>
                <w:bCs/>
                <w:color w:val="000000"/>
                <w:sz w:val="24"/>
              </w:rPr>
            </w:pPr>
            <w:r>
              <w:rPr>
                <w:rFonts w:hint="eastAsia" w:asciiTheme="minorEastAsia" w:hAnsiTheme="minorEastAsia"/>
                <w:color w:val="000000"/>
                <w:sz w:val="24"/>
              </w:rPr>
              <w:t>22</w:t>
            </w:r>
          </w:p>
        </w:tc>
        <w:tc>
          <w:tcPr>
            <w:tcW w:w="1637" w:type="dxa"/>
            <w:shd w:val="clear" w:color="auto" w:fill="auto"/>
            <w:noWrap/>
            <w:vAlign w:val="center"/>
          </w:tcPr>
          <w:p w14:paraId="26B61399">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电缆电线等</w:t>
            </w:r>
          </w:p>
        </w:tc>
        <w:tc>
          <w:tcPr>
            <w:tcW w:w="9820" w:type="dxa"/>
            <w:shd w:val="clear" w:color="auto" w:fill="auto"/>
            <w:vAlign w:val="center"/>
          </w:tcPr>
          <w:p w14:paraId="05D708B8">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包含：电缆、电线、桥架等。</w:t>
            </w:r>
          </w:p>
        </w:tc>
        <w:tc>
          <w:tcPr>
            <w:tcW w:w="860" w:type="dxa"/>
            <w:shd w:val="clear" w:color="auto" w:fill="auto"/>
            <w:noWrap/>
            <w:vAlign w:val="center"/>
          </w:tcPr>
          <w:p w14:paraId="5EBB5ACC">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noWrap/>
            <w:vAlign w:val="center"/>
          </w:tcPr>
          <w:p w14:paraId="561C80E1">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18AB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4" w:hRule="atLeast"/>
        </w:trPr>
        <w:tc>
          <w:tcPr>
            <w:tcW w:w="860" w:type="dxa"/>
            <w:shd w:val="clear" w:color="auto" w:fill="FFFFFF" w:themeFill="background1"/>
            <w:noWrap/>
            <w:vAlign w:val="center"/>
          </w:tcPr>
          <w:p w14:paraId="24D01F29">
            <w:pPr>
              <w:jc w:val="center"/>
              <w:rPr>
                <w:rFonts w:cs="宋体" w:asciiTheme="minorEastAsia" w:hAnsiTheme="minorEastAsia"/>
                <w:color w:val="000000"/>
                <w:sz w:val="24"/>
              </w:rPr>
            </w:pPr>
            <w:r>
              <w:rPr>
                <w:rFonts w:hint="eastAsia" w:asciiTheme="minorEastAsia" w:hAnsiTheme="minorEastAsia"/>
                <w:color w:val="000000"/>
                <w:sz w:val="24"/>
              </w:rPr>
              <w:t>23</w:t>
            </w:r>
          </w:p>
        </w:tc>
        <w:tc>
          <w:tcPr>
            <w:tcW w:w="1637" w:type="dxa"/>
            <w:shd w:val="clear" w:color="auto" w:fill="FFFFFF" w:themeFill="background1"/>
            <w:noWrap/>
            <w:vAlign w:val="center"/>
          </w:tcPr>
          <w:p w14:paraId="2C1A4BB7">
            <w:pPr>
              <w:widowControl/>
              <w:jc w:val="center"/>
              <w:textAlignment w:val="center"/>
              <w:rPr>
                <w:rFonts w:cs="宋体" w:asciiTheme="minorEastAsia" w:hAnsiTheme="minorEastAsia"/>
                <w:b/>
                <w:bCs/>
                <w:color w:val="000000"/>
                <w:kern w:val="0"/>
                <w:sz w:val="24"/>
                <w:lang w:bidi="ar"/>
              </w:rPr>
            </w:pPr>
            <w:r>
              <w:rPr>
                <w:rFonts w:hint="eastAsia" w:cs="宋体" w:asciiTheme="minorEastAsia" w:hAnsiTheme="minorEastAsia"/>
                <w:color w:val="000000"/>
                <w:kern w:val="0"/>
                <w:sz w:val="24"/>
                <w:lang w:bidi="ar"/>
              </w:rPr>
              <w:t>饲料加工工虚拟仿真实训软件</w:t>
            </w:r>
          </w:p>
        </w:tc>
        <w:tc>
          <w:tcPr>
            <w:tcW w:w="9820" w:type="dxa"/>
            <w:shd w:val="clear" w:color="auto" w:fill="FFFFFF" w:themeFill="background1"/>
            <w:vAlign w:val="center"/>
          </w:tcPr>
          <w:p w14:paraId="1C256A1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一、技术参数</w:t>
            </w:r>
          </w:p>
          <w:p w14:paraId="7CAE307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1、软件画面精度≥1K，画面帧度FPS≥72帧。</w:t>
            </w:r>
          </w:p>
          <w:p w14:paraId="404E17D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2、软件具有身临其境的真实体验，能将听讲式被动教学模式转化为沉浸式、交互式、主动探索式新型教学体验。</w:t>
            </w:r>
          </w:p>
          <w:p w14:paraId="6CC4005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3、软件支持与虚拟世界进行互动，提升整体使用体验。</w:t>
            </w:r>
          </w:p>
          <w:p w14:paraId="149CAD8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4、软件具有提示功能，操作过程中具有相关提示。</w:t>
            </w:r>
          </w:p>
          <w:p w14:paraId="76FF6DE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5、软件使用unity3d专业引擎制作功能，能够保证仿真效果。</w:t>
            </w:r>
          </w:p>
          <w:p w14:paraId="0130A14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二、软件内容</w:t>
            </w:r>
          </w:p>
          <w:p w14:paraId="5A82022F">
            <w:pPr>
              <w:widowControl/>
              <w:jc w:val="left"/>
              <w:textAlignment w:val="center"/>
              <w:rPr>
                <w:rFonts w:hint="eastAsia" w:cs="宋体" w:asciiTheme="minorEastAsia" w:hAnsiTheme="minorEastAsia"/>
                <w:color w:val="000000"/>
                <w:kern w:val="0"/>
                <w:sz w:val="24"/>
                <w:highlight w:val="none"/>
                <w:lang w:bidi="ar"/>
              </w:rPr>
            </w:pPr>
            <w:r>
              <w:rPr>
                <w:rFonts w:hint="eastAsia" w:ascii="宋体" w:hAnsi="宋体" w:eastAsia="宋体" w:cs="宋体"/>
                <w:color w:val="000000"/>
                <w:sz w:val="21"/>
                <w:szCs w:val="21"/>
                <w:highlight w:val="none"/>
              </w:rPr>
              <w:t>▲</w:t>
            </w:r>
            <w:r>
              <w:rPr>
                <w:rFonts w:hint="eastAsia" w:cs="宋体" w:asciiTheme="minorEastAsia" w:hAnsiTheme="minorEastAsia"/>
                <w:color w:val="000000"/>
                <w:kern w:val="0"/>
                <w:sz w:val="24"/>
                <w:highlight w:val="none"/>
                <w:lang w:bidi="ar"/>
              </w:rPr>
              <w:t>1.软件包含AI助教功能，AI 助教支持接入多种大语言模型如De</w:t>
            </w:r>
            <w:bookmarkStart w:id="0" w:name="_GoBack"/>
            <w:bookmarkEnd w:id="0"/>
            <w:r>
              <w:rPr>
                <w:rFonts w:hint="eastAsia" w:cs="宋体" w:asciiTheme="minorEastAsia" w:hAnsiTheme="minorEastAsia"/>
                <w:color w:val="000000"/>
                <w:kern w:val="0"/>
                <w:sz w:val="24"/>
                <w:highlight w:val="none"/>
                <w:lang w:bidi="ar"/>
              </w:rPr>
              <w:t>epseek、Qwen、Ollama，根据学生的具体问题，提供详细的实时解答反馈，帮助他们更好地理解和应用知识。</w:t>
            </w:r>
            <w:r>
              <w:rPr>
                <w:rFonts w:hint="eastAsia" w:cs="宋体" w:asciiTheme="minorEastAsia" w:hAnsiTheme="minorEastAsia"/>
                <w:b/>
                <w:bCs/>
                <w:color w:val="000000"/>
                <w:kern w:val="0"/>
                <w:sz w:val="24"/>
                <w:highlight w:val="none"/>
                <w:lang w:bidi="ar"/>
              </w:rPr>
              <w:t>（提供功能操作截图）</w:t>
            </w:r>
          </w:p>
          <w:p w14:paraId="2D18C56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2.AI 助教可在用户操作演练过程中通过语音播报、画面高亮及图文提示引导用户按步骤操作，并进行操作反馈，及时纠错，并进行知识点讲解，有效提升学生实践能力。</w:t>
            </w:r>
          </w:p>
          <w:p w14:paraId="0BBC15B0">
            <w:pPr>
              <w:widowControl/>
              <w:jc w:val="left"/>
              <w:textAlignment w:val="center"/>
              <w:rPr>
                <w:rFonts w:hint="eastAsia" w:cs="宋体" w:asciiTheme="minorEastAsia" w:hAnsiTheme="minorEastAsia"/>
                <w:b/>
                <w:bCs/>
                <w:color w:val="000000"/>
                <w:kern w:val="0"/>
                <w:sz w:val="24"/>
                <w:highlight w:val="none"/>
                <w:lang w:bidi="ar"/>
              </w:rPr>
            </w:pPr>
            <w:r>
              <w:rPr>
                <w:rFonts w:hint="eastAsia" w:ascii="宋体" w:hAnsi="宋体" w:eastAsia="宋体" w:cs="宋体"/>
                <w:color w:val="000000"/>
                <w:sz w:val="21"/>
                <w:szCs w:val="21"/>
                <w:highlight w:val="none"/>
              </w:rPr>
              <w:t>▲</w:t>
            </w:r>
            <w:r>
              <w:rPr>
                <w:rFonts w:hint="eastAsia" w:cs="宋体" w:asciiTheme="minorEastAsia" w:hAnsiTheme="minorEastAsia"/>
                <w:color w:val="000000"/>
                <w:kern w:val="0"/>
                <w:sz w:val="24"/>
                <w:highlight w:val="none"/>
                <w:lang w:bidi="ar"/>
              </w:rPr>
              <w:t>3.系统包含AI知识图谱功能，系统基于教学目标自动生成知识图谱，内容包含知识图谱、思维导图相关内容；支持重置视图。</w:t>
            </w:r>
            <w:r>
              <w:rPr>
                <w:rFonts w:hint="eastAsia" w:cs="宋体" w:asciiTheme="minorEastAsia" w:hAnsiTheme="minorEastAsia"/>
                <w:b/>
                <w:bCs/>
                <w:color w:val="000000"/>
                <w:sz w:val="24"/>
                <w:highlight w:val="none"/>
              </w:rPr>
              <w:t>（提供演示视频</w:t>
            </w:r>
            <w:r>
              <w:rPr>
                <w:rFonts w:hint="eastAsia" w:cs="宋体" w:asciiTheme="minorEastAsia" w:hAnsiTheme="minorEastAsia"/>
                <w:b/>
                <w:bCs/>
                <w:color w:val="000000"/>
                <w:sz w:val="24"/>
                <w:highlight w:val="none"/>
                <w:lang w:val="en-US" w:eastAsia="zh-CN"/>
              </w:rPr>
              <w:t>截图</w:t>
            </w:r>
            <w:r>
              <w:rPr>
                <w:rFonts w:hint="eastAsia" w:cs="宋体" w:asciiTheme="minorEastAsia" w:hAnsiTheme="minorEastAsia"/>
                <w:b/>
                <w:bCs/>
                <w:color w:val="000000"/>
                <w:sz w:val="24"/>
                <w:highlight w:val="none"/>
              </w:rPr>
              <w:t>）</w:t>
            </w:r>
          </w:p>
          <w:p w14:paraId="4DFD6C0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4.软件包含基础认知、原料接收与清理、饲料的粉碎、饲料的配料、饲料的混合、饲料的成型、包装与贮藏以及考核，共8个模块。</w:t>
            </w:r>
          </w:p>
          <w:p w14:paraId="790722F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4.1 基础认知</w:t>
            </w:r>
          </w:p>
          <w:p w14:paraId="6807526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软件通过图片、文字、语音、视频的形式，展现饲料加工的基本概念、生产工艺流程和注意事项。教师可通过管理后台更换图片、视频内容。</w:t>
            </w:r>
          </w:p>
          <w:p w14:paraId="01AF80A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4.2 原料接收与清理</w:t>
            </w:r>
          </w:p>
          <w:p w14:paraId="3F209A5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4.2.1原料接收</w:t>
            </w:r>
          </w:p>
          <w:p w14:paraId="08A1300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软件构建饲料加工厂原料接收的场景，用户作为饲料加工技术人员角色，根据语音、文字和高亮提示，进行原料接收操作，包括原料运输、质量检验、称重计量、确认接收。</w:t>
            </w:r>
          </w:p>
          <w:p w14:paraId="117A47A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4.2.2原料输送</w:t>
            </w:r>
          </w:p>
          <w:p w14:paraId="7AB85F8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系统提供常见的输送设备的三维模型，包括：刮板输送机、带式输送机、螺旋输送机、斗式提升机，用户需选择合适的设备将原料输送至加工线。</w:t>
            </w:r>
          </w:p>
          <w:p w14:paraId="4E869A6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4.2.3原料清理</w:t>
            </w:r>
          </w:p>
          <w:p w14:paraId="3D91951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用户需根据系统指引，操作原料清理设备清除原料中夹杂的杂物。</w:t>
            </w:r>
          </w:p>
          <w:p w14:paraId="699FF183">
            <w:pPr>
              <w:widowControl/>
              <w:jc w:val="left"/>
              <w:textAlignment w:val="center"/>
              <w:rPr>
                <w:rFonts w:hint="eastAsia" w:cs="宋体" w:asciiTheme="minorEastAsia" w:hAnsiTheme="minorEastAsia"/>
                <w:color w:val="000000"/>
                <w:kern w:val="0"/>
                <w:sz w:val="24"/>
                <w:highlight w:val="none"/>
                <w:lang w:bidi="ar"/>
              </w:rPr>
            </w:pPr>
            <w:r>
              <w:rPr>
                <w:rFonts w:hint="eastAsia" w:ascii="宋体" w:hAnsi="宋体" w:eastAsia="宋体" w:cs="宋体"/>
                <w:color w:val="000000"/>
                <w:sz w:val="21"/>
                <w:szCs w:val="21"/>
                <w:highlight w:val="none"/>
              </w:rPr>
              <w:t>▲</w:t>
            </w:r>
            <w:r>
              <w:rPr>
                <w:rFonts w:hint="eastAsia" w:cs="宋体" w:asciiTheme="minorEastAsia" w:hAnsiTheme="minorEastAsia"/>
                <w:color w:val="000000"/>
                <w:kern w:val="0"/>
                <w:sz w:val="24"/>
                <w:highlight w:val="none"/>
                <w:lang w:bidi="ar"/>
              </w:rPr>
              <w:t>4.3 饲料的粉碎</w:t>
            </w:r>
          </w:p>
          <w:p w14:paraId="512C1AB9">
            <w:pPr>
              <w:widowControl/>
              <w:jc w:val="left"/>
              <w:textAlignment w:val="center"/>
              <w:rPr>
                <w:rFonts w:hint="eastAsia" w:cs="宋体" w:asciiTheme="minorEastAsia" w:hAnsiTheme="minorEastAsia"/>
                <w:b/>
                <w:bCs/>
                <w:color w:val="000000"/>
                <w:kern w:val="0"/>
                <w:sz w:val="24"/>
                <w:highlight w:val="none"/>
                <w:lang w:bidi="ar"/>
              </w:rPr>
            </w:pPr>
            <w:r>
              <w:rPr>
                <w:rFonts w:hint="eastAsia" w:cs="宋体" w:asciiTheme="minorEastAsia" w:hAnsiTheme="minorEastAsia"/>
                <w:color w:val="000000"/>
                <w:kern w:val="0"/>
                <w:sz w:val="24"/>
                <w:highlight w:val="none"/>
                <w:lang w:bidi="ar"/>
              </w:rPr>
              <w:t>软件构建粉碎作业场景，还原粉碎机及原料的三维模型，用户扮演操作员角色，首先按照饲料的配方要求，确定适宜的粉碎粒度。随后根据语音、文字提示及高亮引导，操作粉碎机的启动、运行设置及停机操作。系统反馈设备状态并模拟粉碎效果，通过UI面板进行安全提示。</w:t>
            </w:r>
            <w:r>
              <w:rPr>
                <w:rFonts w:hint="eastAsia" w:cs="宋体" w:asciiTheme="minorEastAsia" w:hAnsiTheme="minorEastAsia"/>
                <w:b/>
                <w:bCs/>
                <w:color w:val="000000"/>
                <w:sz w:val="24"/>
                <w:highlight w:val="none"/>
              </w:rPr>
              <w:t>（提供演示视频</w:t>
            </w:r>
            <w:r>
              <w:rPr>
                <w:rFonts w:hint="eastAsia" w:cs="宋体" w:asciiTheme="minorEastAsia" w:hAnsiTheme="minorEastAsia"/>
                <w:b/>
                <w:bCs/>
                <w:color w:val="000000"/>
                <w:sz w:val="24"/>
                <w:highlight w:val="none"/>
                <w:lang w:val="en-US" w:eastAsia="zh-CN"/>
              </w:rPr>
              <w:t>截图</w:t>
            </w:r>
            <w:r>
              <w:rPr>
                <w:rFonts w:hint="eastAsia" w:cs="宋体" w:asciiTheme="minorEastAsia" w:hAnsiTheme="minorEastAsia"/>
                <w:b/>
                <w:bCs/>
                <w:color w:val="000000"/>
                <w:sz w:val="24"/>
                <w:highlight w:val="none"/>
              </w:rPr>
              <w:t>）</w:t>
            </w:r>
          </w:p>
          <w:p w14:paraId="1CA2DD7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4.4 饲料的配料</w:t>
            </w:r>
          </w:p>
          <w:p w14:paraId="1BEEB1D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软件构建配料车间场景，还原配料秤及原料的三维模型。用户扮演操作员角色，按照所生产饲料的配方要求，根据语音、文字引导及高亮提示，进行原料称量、比例调整的操作。</w:t>
            </w:r>
          </w:p>
          <w:p w14:paraId="7D022E7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4.5 饲料的混合</w:t>
            </w:r>
          </w:p>
          <w:p w14:paraId="0E88CA7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4.5.1 混合机操作‌</w:t>
            </w:r>
          </w:p>
          <w:p w14:paraId="2724A2F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软件构建混合车间场景，还原混合机及混合原料的三维模型，用户需根据语音及操作提示，设置混合机运行参数，系统模拟混合过程并提示设备状态。</w:t>
            </w:r>
          </w:p>
          <w:p w14:paraId="495BA06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▲4.5.2 混合均匀性检测‌</w:t>
            </w:r>
          </w:p>
          <w:p w14:paraId="718DD69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混合完成后，用户通过抽样检测混合均匀度，系统展示混合效果。</w:t>
            </w:r>
            <w:r>
              <w:rPr>
                <w:rFonts w:hint="eastAsia" w:cs="宋体" w:asciiTheme="minorEastAsia" w:hAnsiTheme="minorEastAsia"/>
                <w:b/>
                <w:bCs/>
                <w:color w:val="000000"/>
                <w:kern w:val="0"/>
                <w:sz w:val="24"/>
                <w:highlight w:val="none"/>
                <w:lang w:bidi="ar"/>
              </w:rPr>
              <w:t>（提供功能操作截图）</w:t>
            </w:r>
          </w:p>
          <w:p w14:paraId="5BEB25C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4.6 饲料的成型</w:t>
            </w:r>
          </w:p>
          <w:p w14:paraId="4F8E6C9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通过图文、视频形式对制粒工艺与膨化工艺的原理、区别与适用情况进行介绍。随后可对两种工艺分别进行学习。</w:t>
            </w:r>
          </w:p>
          <w:p w14:paraId="05DEB64C">
            <w:pPr>
              <w:widowControl/>
              <w:jc w:val="left"/>
              <w:textAlignment w:val="center"/>
              <w:rPr>
                <w:rFonts w:hint="eastAsia" w:cs="宋体" w:asciiTheme="minorEastAsia" w:hAnsiTheme="minorEastAsia"/>
                <w:color w:val="000000"/>
                <w:kern w:val="0"/>
                <w:sz w:val="24"/>
                <w:highlight w:val="none"/>
                <w:lang w:bidi="ar"/>
              </w:rPr>
            </w:pPr>
            <w:r>
              <w:rPr>
                <w:rFonts w:hint="eastAsia" w:ascii="宋体" w:hAnsi="宋体" w:eastAsia="宋体" w:cs="宋体"/>
                <w:color w:val="000000"/>
                <w:sz w:val="21"/>
                <w:szCs w:val="21"/>
                <w:highlight w:val="none"/>
              </w:rPr>
              <w:t>▲</w:t>
            </w:r>
            <w:r>
              <w:rPr>
                <w:rFonts w:hint="eastAsia" w:cs="宋体" w:asciiTheme="minorEastAsia" w:hAnsiTheme="minorEastAsia"/>
                <w:color w:val="000000"/>
                <w:kern w:val="0"/>
                <w:sz w:val="24"/>
                <w:highlight w:val="none"/>
                <w:lang w:bidi="ar"/>
              </w:rPr>
              <w:t>4.6.1 制粒工艺‌</w:t>
            </w:r>
          </w:p>
          <w:p w14:paraId="78E38DD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软件构建饲料加工车间场景，还原制粒机及成型原料的三维模型。用户需根据语音及高亮引导，设置制粒设备参数并运行设备，系统模拟颗粒成型过程。</w:t>
            </w:r>
            <w:r>
              <w:rPr>
                <w:rFonts w:hint="eastAsia" w:cs="宋体" w:asciiTheme="minorEastAsia" w:hAnsiTheme="minorEastAsia"/>
                <w:b/>
                <w:bCs/>
                <w:color w:val="000000"/>
                <w:kern w:val="0"/>
                <w:sz w:val="24"/>
                <w:highlight w:val="none"/>
                <w:lang w:bidi="ar"/>
              </w:rPr>
              <w:t>（提供功能操作截图）</w:t>
            </w:r>
          </w:p>
          <w:p w14:paraId="1762680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4.6.2 膨化工艺‌</w:t>
            </w:r>
          </w:p>
          <w:p w14:paraId="0454EF5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软件构建饲料加工车间场景，还原膨化机及成型原料的三维模型。用户需根据语音及高亮引导，进行膨化机的操作，系统通过数据面板展示膨化效果。</w:t>
            </w:r>
          </w:p>
          <w:p w14:paraId="4B0DE73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4.7 包装与贮藏</w:t>
            </w:r>
          </w:p>
          <w:p w14:paraId="261AEB6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4.7.1包装操作‌</w:t>
            </w:r>
          </w:p>
          <w:p w14:paraId="76E25A7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软件构建包装车间场景，还原包装机及成品饲料的三维模型。用户扮演操作员角色，根据语音及操作提示，设定包装规格、重量参数，系统模拟包装过程。</w:t>
            </w:r>
          </w:p>
          <w:p w14:paraId="09F7950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▲4.7.2 贮藏管理‌</w:t>
            </w:r>
          </w:p>
          <w:p w14:paraId="5AB03AD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软件构建贮藏库场景，用户根据提示设置贮藏条件（如温度、湿度），系统根据设置模拟相应贮藏效果。</w:t>
            </w:r>
            <w:r>
              <w:rPr>
                <w:rFonts w:hint="eastAsia" w:cs="宋体" w:asciiTheme="minorEastAsia" w:hAnsiTheme="minorEastAsia"/>
                <w:b/>
                <w:bCs/>
                <w:color w:val="000000"/>
                <w:kern w:val="0"/>
                <w:sz w:val="24"/>
                <w:highlight w:val="none"/>
                <w:lang w:bidi="ar"/>
              </w:rPr>
              <w:t>（提供功能操作截图）</w:t>
            </w:r>
          </w:p>
          <w:p w14:paraId="24F57EF6">
            <w:pPr>
              <w:widowControl/>
              <w:jc w:val="left"/>
              <w:textAlignment w:val="center"/>
              <w:rPr>
                <w:rFonts w:hint="eastAsia" w:cs="宋体" w:asciiTheme="minorEastAsia" w:hAnsiTheme="minorEastAsia"/>
                <w:color w:val="000000"/>
                <w:kern w:val="0"/>
                <w:sz w:val="24"/>
                <w:highlight w:val="none"/>
                <w:lang w:bidi="ar"/>
              </w:rPr>
            </w:pPr>
            <w:r>
              <w:rPr>
                <w:rFonts w:hint="eastAsia" w:ascii="宋体" w:hAnsi="宋体" w:eastAsia="宋体" w:cs="宋体"/>
                <w:color w:val="000000"/>
                <w:sz w:val="21"/>
                <w:szCs w:val="21"/>
                <w:highlight w:val="none"/>
              </w:rPr>
              <w:t>▲</w:t>
            </w:r>
            <w:r>
              <w:rPr>
                <w:rFonts w:hint="eastAsia" w:cs="宋体" w:asciiTheme="minorEastAsia" w:hAnsiTheme="minorEastAsia"/>
                <w:color w:val="000000"/>
                <w:kern w:val="0"/>
                <w:sz w:val="24"/>
                <w:highlight w:val="none"/>
                <w:lang w:bidi="ar"/>
              </w:rPr>
              <w:t>4.8 考核</w:t>
            </w:r>
          </w:p>
          <w:p w14:paraId="2EB3FAAF">
            <w:pPr>
              <w:widowControl/>
              <w:jc w:val="left"/>
              <w:textAlignment w:val="center"/>
              <w:rPr>
                <w:rFonts w:cs="宋体" w:asciiTheme="minorEastAsia" w:hAnsiTheme="minorEastAsia"/>
                <w:color w:val="000000"/>
                <w:sz w:val="24"/>
              </w:rPr>
            </w:pPr>
            <w:r>
              <w:rPr>
                <w:rFonts w:hint="eastAsia" w:cs="宋体" w:asciiTheme="minorEastAsia" w:hAnsiTheme="minorEastAsia"/>
                <w:color w:val="000000"/>
                <w:kern w:val="0"/>
                <w:sz w:val="24"/>
                <w:highlight w:val="none"/>
                <w:lang w:bidi="ar"/>
              </w:rPr>
              <w:t>系统提供知识考核，题目类型包含单选、多选、判断，系统自动判断错误并给出正确答案。AI可自动生成考核题目，教师可通过管理平台修改考核题目，题目可同步到系统中。</w:t>
            </w:r>
            <w:r>
              <w:rPr>
                <w:rFonts w:hint="eastAsia" w:cs="宋体" w:asciiTheme="minorEastAsia" w:hAnsiTheme="minorEastAsia"/>
                <w:b/>
                <w:bCs/>
                <w:color w:val="000000"/>
                <w:sz w:val="24"/>
                <w:highlight w:val="none"/>
              </w:rPr>
              <w:t>（提供演示视频</w:t>
            </w:r>
            <w:r>
              <w:rPr>
                <w:rFonts w:hint="eastAsia" w:cs="宋体" w:asciiTheme="minorEastAsia" w:hAnsiTheme="minorEastAsia"/>
                <w:b/>
                <w:bCs/>
                <w:color w:val="000000"/>
                <w:sz w:val="24"/>
                <w:highlight w:val="none"/>
                <w:lang w:val="en-US" w:eastAsia="zh-CN"/>
              </w:rPr>
              <w:t>截图</w:t>
            </w:r>
            <w:r>
              <w:rPr>
                <w:rFonts w:hint="eastAsia" w:cs="宋体" w:asciiTheme="minorEastAsia" w:hAnsiTheme="minorEastAsia"/>
                <w:b/>
                <w:bCs/>
                <w:color w:val="000000"/>
                <w:sz w:val="24"/>
                <w:highlight w:val="none"/>
              </w:rPr>
              <w:t>）</w:t>
            </w:r>
          </w:p>
        </w:tc>
        <w:tc>
          <w:tcPr>
            <w:tcW w:w="860" w:type="dxa"/>
            <w:shd w:val="clear" w:color="auto" w:fill="auto"/>
            <w:noWrap/>
            <w:vAlign w:val="center"/>
          </w:tcPr>
          <w:p w14:paraId="526EBDAC">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noWrap/>
            <w:vAlign w:val="center"/>
          </w:tcPr>
          <w:p w14:paraId="06CCBE36">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6175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2" w:hRule="atLeast"/>
        </w:trPr>
        <w:tc>
          <w:tcPr>
            <w:tcW w:w="860" w:type="dxa"/>
            <w:shd w:val="clear" w:color="auto" w:fill="FFFFFF" w:themeFill="background1"/>
            <w:noWrap/>
            <w:vAlign w:val="center"/>
          </w:tcPr>
          <w:p w14:paraId="2B4567CE">
            <w:pPr>
              <w:jc w:val="center"/>
              <w:rPr>
                <w:rFonts w:cs="宋体" w:asciiTheme="minorEastAsia" w:hAnsiTheme="minorEastAsia"/>
                <w:color w:val="000000"/>
                <w:sz w:val="24"/>
              </w:rPr>
            </w:pPr>
            <w:r>
              <w:rPr>
                <w:rFonts w:hint="eastAsia" w:asciiTheme="minorEastAsia" w:hAnsiTheme="minorEastAsia"/>
                <w:color w:val="000000"/>
                <w:sz w:val="24"/>
              </w:rPr>
              <w:t>24</w:t>
            </w:r>
          </w:p>
        </w:tc>
        <w:tc>
          <w:tcPr>
            <w:tcW w:w="1637" w:type="dxa"/>
            <w:shd w:val="clear" w:color="auto" w:fill="auto"/>
            <w:noWrap/>
            <w:vAlign w:val="center"/>
          </w:tcPr>
          <w:p w14:paraId="1BA78044">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体视显微镜</w:t>
            </w:r>
          </w:p>
        </w:tc>
        <w:tc>
          <w:tcPr>
            <w:tcW w:w="9820" w:type="dxa"/>
            <w:shd w:val="clear" w:color="auto" w:fill="auto"/>
            <w:vAlign w:val="center"/>
          </w:tcPr>
          <w:p w14:paraId="62936B94">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1、光学系统：格利诺光学系统，10°的体视会聚角；</w:t>
            </w:r>
          </w:p>
          <w:p w14:paraId="07E4D64A">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2、光学放大倍数范围≥6.2X-55X</w:t>
            </w:r>
          </w:p>
          <w:p w14:paraId="4F319152">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3、目镜：自带视度调节高眼点大视野平场目镜WF10X视野直径≥22mm；</w:t>
            </w:r>
          </w:p>
          <w:p w14:paraId="2DF7B014">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4、变倍体：变倍范围≥0.6 2X-5.5X，横轴式连续变倍,变倍比≥1:8；</w:t>
            </w:r>
          </w:p>
          <w:p w14:paraId="2A989B5C">
            <w:pPr>
              <w:rPr>
                <w:rFonts w:hint="default" w:eastAsia="宋体" w:cs="宋体" w:asciiTheme="minorEastAsia" w:hAnsiTheme="minorEastAsia"/>
                <w:b/>
                <w:bCs/>
                <w:color w:val="000000"/>
                <w:kern w:val="0"/>
                <w:sz w:val="24"/>
                <w:highlight w:val="none"/>
                <w:lang w:val="en-US" w:eastAsia="zh-CN"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w:t>
            </w:r>
            <w:r>
              <w:rPr>
                <w:rFonts w:hint="eastAsia" w:cs="宋体" w:asciiTheme="minorEastAsia" w:hAnsiTheme="minorEastAsia"/>
                <w:color w:val="000000"/>
                <w:kern w:val="0"/>
                <w:sz w:val="24"/>
                <w:highlight w:val="none"/>
                <w:lang w:bidi="ar"/>
              </w:rPr>
              <w:t>6、观察头：三目观察筒、≤45度倾斜，可360度旋转，瞳距可调，带定格定倍功能，带倍率限位功能0.62x/1x/1.5x/2x/2.5x/3x/3.5x/4x/4.5x/5x/5.5x等11个倍数定位。总放大率误差≤6.95%；成像清晰范围 上下≥74%；左右≥65%。</w:t>
            </w:r>
            <w:r>
              <w:rPr>
                <w:rFonts w:hint="eastAsia" w:eastAsia="宋体" w:cs="宋体" w:asciiTheme="minorEastAsia" w:hAnsiTheme="minorEastAsia"/>
                <w:b/>
                <w:bCs/>
                <w:color w:val="000000"/>
                <w:kern w:val="0"/>
                <w:sz w:val="24"/>
                <w:highlight w:val="none"/>
                <w:lang w:eastAsia="zh-CN" w:bidi="ar"/>
              </w:rPr>
              <w:t>（</w:t>
            </w:r>
            <w:r>
              <w:rPr>
                <w:rFonts w:hint="eastAsia" w:eastAsia="宋体" w:cs="宋体" w:asciiTheme="minorEastAsia" w:hAnsiTheme="minorEastAsia"/>
                <w:b/>
                <w:bCs/>
                <w:color w:val="000000"/>
                <w:kern w:val="0"/>
                <w:sz w:val="24"/>
                <w:highlight w:val="none"/>
                <w:lang w:val="en-US" w:eastAsia="zh-CN" w:bidi="ar"/>
              </w:rPr>
              <w:t>投标人提供技术白皮书或检测报告佐证此功能）</w:t>
            </w:r>
          </w:p>
          <w:p w14:paraId="1E9617A2">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7、工作距离：无辅助物镜时物方有效工作距离≥110mm</w:t>
            </w:r>
          </w:p>
          <w:p w14:paraId="1512983B">
            <w:pPr>
              <w:rPr>
                <w:rFonts w:hint="eastAsia" w:cs="宋体" w:asciiTheme="minorEastAsia" w:hAnsiTheme="minorEastAsia"/>
                <w:color w:val="000000"/>
                <w:kern w:val="0"/>
                <w:sz w:val="24"/>
                <w:highlight w:val="none"/>
                <w:lang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w:t>
            </w:r>
            <w:r>
              <w:rPr>
                <w:rFonts w:hint="eastAsia" w:cs="宋体" w:asciiTheme="minorEastAsia" w:hAnsiTheme="minorEastAsia"/>
                <w:color w:val="000000"/>
                <w:kern w:val="0"/>
                <w:sz w:val="24"/>
                <w:highlight w:val="none"/>
                <w:lang w:bidi="ar"/>
              </w:rPr>
              <w:t>8、底座：立柱式透射超薄底座,调焦托架齿轮齿条升降，调焦行程≥50mm，扭力矩可调。显微镜底座装有液晶显示窗，可以ECO、亮度、底光源、侧光源、电池容量等内容；</w:t>
            </w:r>
            <w:r>
              <w:rPr>
                <w:rFonts w:hint="eastAsia" w:eastAsia="宋体" w:cs="宋体" w:asciiTheme="minorEastAsia" w:hAnsiTheme="minorEastAsia"/>
                <w:b/>
                <w:bCs/>
                <w:color w:val="000000"/>
                <w:kern w:val="0"/>
                <w:sz w:val="24"/>
                <w:highlight w:val="none"/>
                <w:lang w:eastAsia="zh-CN" w:bidi="ar"/>
              </w:rPr>
              <w:t>（</w:t>
            </w:r>
            <w:r>
              <w:rPr>
                <w:rFonts w:hint="eastAsia" w:eastAsia="宋体" w:cs="宋体" w:asciiTheme="minorEastAsia" w:hAnsiTheme="minorEastAsia"/>
                <w:b/>
                <w:bCs/>
                <w:color w:val="000000"/>
                <w:kern w:val="0"/>
                <w:sz w:val="24"/>
                <w:highlight w:val="none"/>
                <w:lang w:val="en-US" w:eastAsia="zh-CN" w:bidi="ar"/>
              </w:rPr>
              <w:t>投标人提供技术白皮书或检测报告佐证此功能）</w:t>
            </w:r>
          </w:p>
          <w:p w14:paraId="6AAB97B9">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9、照明方式:上下灯源亮度独立可调，上下灯源LED,色温5700K—6500K。</w:t>
            </w:r>
          </w:p>
          <w:p w14:paraId="6F69A1FE">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10、接口：0.5XC型接口。</w:t>
            </w:r>
          </w:p>
          <w:p w14:paraId="26BB3267">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11、成像系统：≥1600万像素显示式屏相机，感光芯片≥1/3英寸，像素≥2.2*2.2μm，接口USB2.0、HDMI、USB、WIFI，windows操作系统，显示器≥10.5寸，可升级互动教室；</w:t>
            </w:r>
          </w:p>
          <w:p w14:paraId="449697E5">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12、软件功能：</w:t>
            </w:r>
          </w:p>
          <w:p w14:paraId="2A34771B">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12.1景深合成：实时景深合成，可以将因景深不足而局部模糊的标本，实时合成为全部清晰的一张图像。</w:t>
            </w:r>
          </w:p>
          <w:p w14:paraId="6B4DBD3E">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12.2大图像拼接：用户只需移动载物台即可进行实时大图自动拼接，扩展 有限的物镜视野。</w:t>
            </w:r>
          </w:p>
          <w:p w14:paraId="5788F05C">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12.3 自动白平衡，支持手动调节；</w:t>
            </w:r>
          </w:p>
          <w:p w14:paraId="6AA155FA">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12.4快捷的实验报告：一键是实验报告制作，可以从相机、图像文件直接生成实验报告，实验报告模板可根据用户要求进行编辑定制。 </w:t>
            </w:r>
          </w:p>
          <w:p w14:paraId="5D11C085">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12.5方便的图像管理功能：提供图像库管理、浏览和编辑功能。 </w:t>
            </w:r>
          </w:p>
          <w:p w14:paraId="3DE0A8D4">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12.6具有强大的图像编辑功能，可以调节亮度、对比度，还具有图像复制、剪切、旋转、滤色等多种形态学图像处理功能。 </w:t>
            </w:r>
          </w:p>
          <w:p w14:paraId="45AF6524">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12.7独特的标尺栏功能，实时显示图像的真实尺寸和叠加标尺，标尺位置、粗细、字体大小、字型、颜色等任意选择。 </w:t>
            </w:r>
          </w:p>
          <w:p w14:paraId="3380FBBB">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12.8功能强大的图像倍率设置功能，对拍摄图像按照指定倍率打印或显示。 </w:t>
            </w:r>
          </w:p>
          <w:p w14:paraId="712976C4">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可以测定两点距离、三点弧长、三点圆半径、多边形面积、三点夹角、两线夹角、周长、等各种几何参数。 </w:t>
            </w:r>
          </w:p>
          <w:p w14:paraId="60D728EB">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12.9对所测数据，可以重新点取，任意拖动位置，及时修正。也可删除测量数据，重新测定。 </w:t>
            </w:r>
          </w:p>
          <w:p w14:paraId="589B71F6">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可同时测量多幅图像的数据。各幅图像数据相互独立。 </w:t>
            </w:r>
          </w:p>
          <w:p w14:paraId="65C83A37">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12.10可任意添加或删除多个文字标注。字体、颜色、大小，随意选择 </w:t>
            </w:r>
          </w:p>
          <w:p w14:paraId="2F67040F">
            <w:pPr>
              <w:rPr>
                <w:rFonts w:cs="宋体" w:asciiTheme="minorEastAsia" w:hAnsiTheme="minorEastAsia"/>
                <w:color w:val="000000"/>
                <w:kern w:val="0"/>
                <w:sz w:val="24"/>
                <w:lang w:bidi="ar"/>
              </w:rPr>
            </w:pPr>
            <w:r>
              <w:rPr>
                <w:rFonts w:hint="eastAsia" w:cs="宋体" w:asciiTheme="minorEastAsia" w:hAnsiTheme="minorEastAsia"/>
                <w:color w:val="000000"/>
                <w:kern w:val="0"/>
                <w:sz w:val="24"/>
                <w:highlight w:val="none"/>
                <w:lang w:bidi="ar"/>
              </w:rPr>
              <w:t>12.11测量数据可以标注在图像上，也可以传到EXCEL，或直接打印输出。测量数据可自动生成统计图表。</w:t>
            </w:r>
          </w:p>
        </w:tc>
        <w:tc>
          <w:tcPr>
            <w:tcW w:w="860" w:type="dxa"/>
            <w:shd w:val="clear" w:color="auto" w:fill="auto"/>
            <w:noWrap/>
            <w:vAlign w:val="center"/>
          </w:tcPr>
          <w:p w14:paraId="170E4348">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200C1A1D">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2</w:t>
            </w:r>
          </w:p>
        </w:tc>
      </w:tr>
      <w:tr w14:paraId="2C49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860" w:type="dxa"/>
            <w:shd w:val="clear" w:color="auto" w:fill="FFFFFF" w:themeFill="background1"/>
            <w:noWrap/>
            <w:vAlign w:val="center"/>
          </w:tcPr>
          <w:p w14:paraId="6F294617">
            <w:pPr>
              <w:jc w:val="center"/>
              <w:rPr>
                <w:rFonts w:cs="宋体" w:asciiTheme="minorEastAsia" w:hAnsiTheme="minorEastAsia"/>
                <w:color w:val="000000"/>
                <w:sz w:val="24"/>
              </w:rPr>
            </w:pPr>
            <w:r>
              <w:rPr>
                <w:rFonts w:hint="eastAsia" w:asciiTheme="minorEastAsia" w:hAnsiTheme="minorEastAsia"/>
                <w:color w:val="000000"/>
                <w:sz w:val="24"/>
              </w:rPr>
              <w:t>25</w:t>
            </w:r>
          </w:p>
        </w:tc>
        <w:tc>
          <w:tcPr>
            <w:tcW w:w="1637" w:type="dxa"/>
            <w:shd w:val="clear" w:color="auto" w:fill="auto"/>
            <w:noWrap/>
            <w:vAlign w:val="center"/>
          </w:tcPr>
          <w:p w14:paraId="65E131FC">
            <w:pPr>
              <w:widowControl/>
              <w:jc w:val="center"/>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凯氏定氮仪</w:t>
            </w:r>
          </w:p>
        </w:tc>
        <w:tc>
          <w:tcPr>
            <w:tcW w:w="9820" w:type="dxa"/>
            <w:shd w:val="clear" w:color="auto" w:fill="auto"/>
            <w:vAlign w:val="center"/>
          </w:tcPr>
          <w:p w14:paraId="6EA95F6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 Android10系统</w:t>
            </w:r>
            <w:r>
              <w:rPr>
                <w:rFonts w:hint="eastAsia" w:eastAsia="宋体" w:cs="宋体" w:asciiTheme="minorEastAsia" w:hAnsiTheme="minorEastAsia"/>
                <w:color w:val="000000"/>
                <w:kern w:val="0"/>
                <w:sz w:val="24"/>
                <w:highlight w:val="none"/>
                <w:lang w:eastAsia="zh-CN" w:bidi="ar"/>
              </w:rPr>
              <w:t>、</w:t>
            </w:r>
            <w:r>
              <w:rPr>
                <w:rFonts w:hint="eastAsia" w:cs="宋体" w:asciiTheme="minorEastAsia" w:hAnsiTheme="minorEastAsia"/>
                <w:color w:val="000000"/>
                <w:kern w:val="0"/>
                <w:sz w:val="24"/>
                <w:highlight w:val="none"/>
                <w:lang w:bidi="ar"/>
              </w:rPr>
              <w:t>≥7寸触摸屏。</w:t>
            </w:r>
          </w:p>
          <w:p w14:paraId="66332CA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 自动完成加碱、加硼酸、加稀释液、加蒸馏水等加液步骤；自动完成蒸馏和吸收操作步骤。</w:t>
            </w:r>
          </w:p>
          <w:p w14:paraId="7FF8E8F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(3) 蒸发炉水位监测、防干烧保护、冷凝水流速监测、冷凝管温度检测等防护功能。</w:t>
            </w:r>
          </w:p>
          <w:p w14:paraId="62A79CE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 高容量≥16G存储容量，检测结果存储容量≥500万条。</w:t>
            </w:r>
          </w:p>
          <w:p w14:paraId="39EC796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(5) 检测结果为Excel表格，直接拷贝到U盘。</w:t>
            </w:r>
          </w:p>
          <w:p w14:paraId="2317963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(6) 检测结果可批量打印，批量上传。</w:t>
            </w:r>
          </w:p>
          <w:p w14:paraId="60732FC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(7) 高速热敏打印机，检测完成可自动打印检测报告。</w:t>
            </w:r>
          </w:p>
          <w:p w14:paraId="563C5D9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(8) 有wifi联网功能，检测结果可直接上传平台。</w:t>
            </w:r>
          </w:p>
          <w:p w14:paraId="294C250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(9) 程序控制冷凝水开启关闭，节约用水量。</w:t>
            </w:r>
          </w:p>
          <w:p w14:paraId="0E2CB36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(10) 冷凝水流速监测，低流速报警。</w:t>
            </w:r>
          </w:p>
          <w:p w14:paraId="7C24341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(11) 蒸发器水位，温度，压力等多重防护。</w:t>
            </w:r>
          </w:p>
          <w:p w14:paraId="35B6F5A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 采用强耐腐蚀器件。</w:t>
            </w:r>
          </w:p>
          <w:p w14:paraId="2AEDD37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仪器参数 ：</w:t>
            </w:r>
          </w:p>
          <w:p w14:paraId="12192F0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(1)测量范围：0.1~240.0mg氮</w:t>
            </w:r>
          </w:p>
          <w:p w14:paraId="3CCDCC5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(2)样品重量：固体≤8.0g，液体≤30.0ml</w:t>
            </w:r>
          </w:p>
          <w:p w14:paraId="3330326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w:t>
            </w:r>
            <w:r>
              <w:rPr>
                <w:rFonts w:hint="eastAsia" w:eastAsia="宋体" w:cs="宋体" w:asciiTheme="minorEastAsia" w:hAnsiTheme="minorEastAsia"/>
                <w:color w:val="000000"/>
                <w:kern w:val="0"/>
                <w:sz w:val="24"/>
                <w:highlight w:val="none"/>
                <w:lang w:val="en-US" w:eastAsia="zh-CN" w:bidi="ar"/>
              </w:rPr>
              <w:t>3</w:t>
            </w:r>
            <w:r>
              <w:rPr>
                <w:rFonts w:hint="eastAsia" w:cs="宋体" w:asciiTheme="minorEastAsia" w:hAnsiTheme="minorEastAsia"/>
                <w:color w:val="000000"/>
                <w:kern w:val="0"/>
                <w:sz w:val="24"/>
                <w:highlight w:val="none"/>
                <w:lang w:bidi="ar"/>
              </w:rPr>
              <w:t>)冷凝水消耗：1.5L/min</w:t>
            </w:r>
          </w:p>
          <w:p w14:paraId="77E82D2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(4)回 收 率：99% ~101%</w:t>
            </w:r>
          </w:p>
          <w:p w14:paraId="6AB50C1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(5)功    率：≤1500W</w:t>
            </w:r>
          </w:p>
          <w:p w14:paraId="15A853D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(6)温    度：10-35℃</w:t>
            </w:r>
          </w:p>
          <w:p w14:paraId="2BE9FB1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(7)湿    度：相对湿度不大于85%</w:t>
            </w:r>
          </w:p>
          <w:p w14:paraId="638599AF">
            <w:pPr>
              <w:pStyle w:val="2"/>
              <w:rPr>
                <w:rFonts w:hint="default" w:eastAsia="宋体"/>
                <w:highlight w:val="none"/>
                <w:lang w:val="en-US" w:eastAsia="zh-CN"/>
              </w:rPr>
            </w:pPr>
            <w:r>
              <w:rPr>
                <w:rFonts w:hint="eastAsia" w:cs="宋体" w:asciiTheme="minorEastAsia" w:hAnsiTheme="minorEastAsia"/>
                <w:color w:val="000000"/>
                <w:kern w:val="0"/>
                <w:sz w:val="24"/>
                <w:highlight w:val="none"/>
                <w:lang w:val="en-US" w:eastAsia="zh-CN" w:bidi="ar"/>
              </w:rPr>
              <w:t>消化炉参数：</w:t>
            </w:r>
          </w:p>
          <w:p w14:paraId="4A1F274F">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val="en-US" w:eastAsia="zh-CN" w:bidi="ar"/>
              </w:rPr>
              <w:t>1.屏幕规格：</w:t>
            </w:r>
            <w:r>
              <w:rPr>
                <w:rFonts w:hint="eastAsia" w:cs="宋体" w:asciiTheme="minorEastAsia" w:hAnsiTheme="minorEastAsia"/>
                <w:color w:val="000000"/>
                <w:kern w:val="0"/>
                <w:sz w:val="24"/>
                <w:highlight w:val="none"/>
                <w:lang w:bidi="ar"/>
              </w:rPr>
              <w:t>使用≥5寸彩色触摸屏进行仪器操作，配备安卓操作系统，方便快捷。</w:t>
            </w:r>
          </w:p>
          <w:p w14:paraId="203DC41F">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val="en-US" w:eastAsia="zh-CN" w:bidi="ar"/>
              </w:rPr>
              <w:t>2.升温时间：</w:t>
            </w:r>
            <w:r>
              <w:rPr>
                <w:rFonts w:hint="eastAsia" w:cs="宋体" w:asciiTheme="minorEastAsia" w:hAnsiTheme="minorEastAsia"/>
                <w:color w:val="000000"/>
                <w:kern w:val="0"/>
                <w:sz w:val="24"/>
                <w:highlight w:val="none"/>
                <w:lang w:bidi="ar"/>
              </w:rPr>
              <w:t>采用PID 控温技术，控温精度高，升温速度快, 从室温到450℃仅需50分钟。</w:t>
            </w:r>
          </w:p>
          <w:p w14:paraId="2F679E2D">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val="en-US" w:eastAsia="zh-CN" w:bidi="ar"/>
              </w:rPr>
              <w:t>3.控温分段：1～5段，</w:t>
            </w:r>
            <w:r>
              <w:rPr>
                <w:rFonts w:hint="eastAsia" w:cs="宋体" w:asciiTheme="minorEastAsia" w:hAnsiTheme="minorEastAsia"/>
                <w:color w:val="000000"/>
                <w:kern w:val="0"/>
                <w:sz w:val="24"/>
                <w:highlight w:val="none"/>
                <w:lang w:bidi="ar"/>
              </w:rPr>
              <w:t>分段控温设置，即可单段升温，也可多段升温，设置灵活，仪器将</w:t>
            </w:r>
          </w:p>
          <w:p w14:paraId="1AB58A26">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val="en-US" w:eastAsia="zh-CN" w:bidi="ar"/>
              </w:rPr>
              <w:t>4.</w:t>
            </w:r>
            <w:r>
              <w:rPr>
                <w:rFonts w:hint="eastAsia" w:cs="宋体" w:asciiTheme="minorEastAsia" w:hAnsiTheme="minorEastAsia"/>
                <w:color w:val="000000"/>
                <w:kern w:val="0"/>
                <w:sz w:val="24"/>
                <w:highlight w:val="none"/>
                <w:lang w:bidi="ar"/>
              </w:rPr>
              <w:t>自动按顺序完成。更适于易产生泡沫的样品。</w:t>
            </w:r>
          </w:p>
          <w:p w14:paraId="1262C29D">
            <w:pPr>
              <w:rPr>
                <w:rFonts w:hint="eastAsia" w:cs="宋体" w:asciiTheme="minorEastAsia" w:hAnsiTheme="minorEastAsia"/>
                <w:color w:val="000000"/>
                <w:kern w:val="0"/>
                <w:sz w:val="24"/>
                <w:highlight w:val="none"/>
                <w:lang w:val="en-US" w:eastAsia="zh-CN" w:bidi="ar"/>
              </w:rPr>
            </w:pPr>
            <w:r>
              <w:rPr>
                <w:rFonts w:hint="eastAsia" w:cs="宋体" w:asciiTheme="minorEastAsia" w:hAnsiTheme="minorEastAsia"/>
                <w:color w:val="000000"/>
                <w:kern w:val="0"/>
                <w:sz w:val="24"/>
                <w:highlight w:val="none"/>
                <w:lang w:val="en-US" w:eastAsia="zh-CN" w:bidi="ar"/>
              </w:rPr>
              <w:t>5.石墨炉孔：孔径</w:t>
            </w:r>
            <w:r>
              <w:rPr>
                <w:rFonts w:hint="eastAsia" w:cs="宋体" w:asciiTheme="minorEastAsia" w:hAnsiTheme="minorEastAsia"/>
                <w:color w:val="000000"/>
                <w:kern w:val="0"/>
                <w:sz w:val="24"/>
                <w:highlight w:val="none"/>
                <w:lang w:bidi="ar"/>
              </w:rPr>
              <w:t>≥</w:t>
            </w:r>
            <w:r>
              <w:rPr>
                <w:rFonts w:hint="eastAsia" w:cs="宋体" w:asciiTheme="minorEastAsia" w:hAnsiTheme="minorEastAsia"/>
                <w:color w:val="000000"/>
                <w:kern w:val="0"/>
                <w:sz w:val="24"/>
                <w:highlight w:val="none"/>
                <w:lang w:val="en-US" w:eastAsia="zh-CN" w:bidi="ar"/>
              </w:rPr>
              <w:t>43mm，孔深</w:t>
            </w:r>
            <w:r>
              <w:rPr>
                <w:rFonts w:hint="eastAsia" w:cs="宋体" w:asciiTheme="minorEastAsia" w:hAnsiTheme="minorEastAsia"/>
                <w:color w:val="000000"/>
                <w:kern w:val="0"/>
                <w:sz w:val="24"/>
                <w:highlight w:val="none"/>
                <w:lang w:bidi="ar"/>
              </w:rPr>
              <w:t>≥</w:t>
            </w:r>
            <w:r>
              <w:rPr>
                <w:rFonts w:hint="eastAsia" w:cs="宋体" w:asciiTheme="minorEastAsia" w:hAnsiTheme="minorEastAsia"/>
                <w:color w:val="000000"/>
                <w:kern w:val="0"/>
                <w:sz w:val="24"/>
                <w:highlight w:val="none"/>
                <w:lang w:val="en-US" w:eastAsia="zh-CN" w:bidi="ar"/>
              </w:rPr>
              <w:t>60mm，孔数2×4</w:t>
            </w:r>
          </w:p>
          <w:p w14:paraId="6D40CB7A">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val="en-US" w:eastAsia="zh-CN" w:bidi="ar"/>
              </w:rPr>
              <w:t>6.控温范围：室温～450℃</w:t>
            </w:r>
          </w:p>
          <w:p w14:paraId="0039ED74">
            <w:pP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val="en-US" w:eastAsia="zh-CN" w:bidi="ar"/>
              </w:rPr>
              <w:t>7.控温精度：±1℃</w:t>
            </w:r>
          </w:p>
          <w:p w14:paraId="2D0D4F50">
            <w:pP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highlight w:val="none"/>
                <w:lang w:val="en-US" w:eastAsia="zh-CN" w:bidi="ar"/>
              </w:rPr>
              <w:t>8.加热方式：石英加热管红外传递</w:t>
            </w:r>
          </w:p>
        </w:tc>
        <w:tc>
          <w:tcPr>
            <w:tcW w:w="860" w:type="dxa"/>
            <w:shd w:val="clear" w:color="auto" w:fill="auto"/>
            <w:noWrap/>
            <w:vAlign w:val="center"/>
          </w:tcPr>
          <w:p w14:paraId="3D64EFE0">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7B6563AC">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2</w:t>
            </w:r>
          </w:p>
        </w:tc>
      </w:tr>
      <w:tr w14:paraId="409A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4" w:hRule="atLeast"/>
        </w:trPr>
        <w:tc>
          <w:tcPr>
            <w:tcW w:w="860" w:type="dxa"/>
            <w:shd w:val="clear" w:color="auto" w:fill="FFFFFF" w:themeFill="background1"/>
            <w:noWrap/>
            <w:vAlign w:val="center"/>
          </w:tcPr>
          <w:p w14:paraId="477B1C82">
            <w:pPr>
              <w:jc w:val="center"/>
              <w:rPr>
                <w:rFonts w:cs="宋体" w:asciiTheme="minorEastAsia" w:hAnsiTheme="minorEastAsia"/>
                <w:color w:val="000000"/>
                <w:sz w:val="24"/>
              </w:rPr>
            </w:pPr>
            <w:r>
              <w:rPr>
                <w:rFonts w:hint="eastAsia" w:asciiTheme="minorEastAsia" w:hAnsiTheme="minorEastAsia"/>
                <w:color w:val="000000"/>
                <w:sz w:val="24"/>
              </w:rPr>
              <w:t>26</w:t>
            </w:r>
          </w:p>
        </w:tc>
        <w:tc>
          <w:tcPr>
            <w:tcW w:w="1637" w:type="dxa"/>
            <w:shd w:val="clear" w:color="auto" w:fill="FFFFFF" w:themeFill="background1"/>
            <w:noWrap/>
            <w:vAlign w:val="center"/>
          </w:tcPr>
          <w:p w14:paraId="15425CD6">
            <w:pPr>
              <w:widowControl/>
              <w:jc w:val="left"/>
              <w:textAlignment w:val="center"/>
              <w:rPr>
                <w:rFonts w:cs="宋体" w:asciiTheme="minorEastAsia" w:hAnsiTheme="minorEastAsia"/>
                <w:b/>
                <w:bCs/>
                <w:color w:val="000000"/>
                <w:kern w:val="0"/>
                <w:sz w:val="24"/>
                <w:lang w:bidi="ar"/>
              </w:rPr>
            </w:pPr>
            <w:r>
              <w:rPr>
                <w:rFonts w:hint="eastAsia" w:cs="宋体" w:asciiTheme="minorEastAsia" w:hAnsiTheme="minorEastAsia"/>
                <w:color w:val="000000"/>
                <w:kern w:val="0"/>
                <w:sz w:val="24"/>
                <w:lang w:bidi="ar"/>
              </w:rPr>
              <w:t>紫外可见分光光度计</w:t>
            </w:r>
          </w:p>
        </w:tc>
        <w:tc>
          <w:tcPr>
            <w:tcW w:w="9820" w:type="dxa"/>
            <w:shd w:val="clear" w:color="auto" w:fill="auto"/>
            <w:vAlign w:val="center"/>
          </w:tcPr>
          <w:p w14:paraId="688A7BE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波长范围 190～1000 nm</w:t>
            </w:r>
          </w:p>
          <w:p w14:paraId="6F9124C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波长精度 ±0.5nm</w:t>
            </w:r>
          </w:p>
          <w:p w14:paraId="75228F4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波长重复性 ≤0.2 nm</w:t>
            </w:r>
          </w:p>
          <w:p w14:paraId="50CC46A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光谱带宽 2 nm</w:t>
            </w:r>
          </w:p>
          <w:p w14:paraId="28FA08E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吸光度范围 -0.4～4.000A</w:t>
            </w:r>
          </w:p>
          <w:p w14:paraId="481F457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透射比范围 0～200%T</w:t>
            </w:r>
          </w:p>
          <w:p w14:paraId="0BFD203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浓度显示范围 0～9999</w:t>
            </w:r>
          </w:p>
          <w:p w14:paraId="7AE8D1B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透射比准确度 ±0.3%T</w:t>
            </w:r>
          </w:p>
          <w:p w14:paraId="438C11C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透射比重复性 ≤0.1%T</w:t>
            </w:r>
          </w:p>
          <w:p w14:paraId="4F47587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杂散光 ≤0.1%T</w:t>
            </w:r>
          </w:p>
          <w:p w14:paraId="7ED910F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基线直线性 ±0.004A</w:t>
            </w:r>
          </w:p>
          <w:p w14:paraId="6C7DB17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稳定性 ±0.002A/h</w:t>
            </w:r>
          </w:p>
          <w:p w14:paraId="42A9857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电源 220V 50Hz 300W</w:t>
            </w:r>
          </w:p>
          <w:p w14:paraId="1828F4D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显示 ≥8 英寸（高清触摸彩屏）</w:t>
            </w:r>
          </w:p>
          <w:p w14:paraId="44BD493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输出 USB 接口</w:t>
            </w:r>
          </w:p>
          <w:p w14:paraId="22027928">
            <w:pPr>
              <w:widowControl/>
              <w:jc w:val="lef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highlight w:val="none"/>
                <w:lang w:bidi="ar"/>
              </w:rPr>
              <w:t>外形尺寸 ≥440×370×200 mm</w:t>
            </w:r>
          </w:p>
        </w:tc>
        <w:tc>
          <w:tcPr>
            <w:tcW w:w="860" w:type="dxa"/>
            <w:shd w:val="clear" w:color="auto" w:fill="auto"/>
            <w:noWrap/>
            <w:vAlign w:val="center"/>
          </w:tcPr>
          <w:p w14:paraId="6FA1C402">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4B2A8356">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2</w:t>
            </w:r>
          </w:p>
        </w:tc>
      </w:tr>
      <w:tr w14:paraId="0600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trPr>
        <w:tc>
          <w:tcPr>
            <w:tcW w:w="860" w:type="dxa"/>
            <w:shd w:val="clear" w:color="auto" w:fill="FFFFFF" w:themeFill="background1"/>
            <w:noWrap/>
            <w:vAlign w:val="center"/>
          </w:tcPr>
          <w:p w14:paraId="26917702">
            <w:pPr>
              <w:jc w:val="center"/>
              <w:rPr>
                <w:rFonts w:cs="宋体" w:asciiTheme="minorEastAsia" w:hAnsiTheme="minorEastAsia"/>
                <w:color w:val="000000"/>
                <w:sz w:val="24"/>
              </w:rPr>
            </w:pPr>
            <w:r>
              <w:rPr>
                <w:rFonts w:hint="eastAsia" w:asciiTheme="minorEastAsia" w:hAnsiTheme="minorEastAsia"/>
                <w:color w:val="000000"/>
                <w:sz w:val="24"/>
              </w:rPr>
              <w:t>27</w:t>
            </w:r>
          </w:p>
        </w:tc>
        <w:tc>
          <w:tcPr>
            <w:tcW w:w="1637" w:type="dxa"/>
            <w:shd w:val="clear" w:color="auto" w:fill="FFFFFF" w:themeFill="background1"/>
            <w:noWrap/>
            <w:vAlign w:val="center"/>
          </w:tcPr>
          <w:p w14:paraId="2EF35C6C">
            <w:pPr>
              <w:widowControl/>
              <w:jc w:val="left"/>
              <w:textAlignment w:val="center"/>
              <w:rPr>
                <w:rFonts w:cs="宋体" w:asciiTheme="minorEastAsia" w:hAnsiTheme="minorEastAsia"/>
                <w:b/>
                <w:bCs/>
                <w:color w:val="000000"/>
                <w:kern w:val="0"/>
                <w:sz w:val="24"/>
                <w:lang w:bidi="ar"/>
              </w:rPr>
            </w:pPr>
            <w:r>
              <w:rPr>
                <w:rFonts w:hint="eastAsia" w:cs="宋体" w:asciiTheme="minorEastAsia" w:hAnsiTheme="minorEastAsia"/>
                <w:color w:val="000000"/>
                <w:kern w:val="0"/>
                <w:sz w:val="24"/>
                <w:lang w:bidi="ar"/>
              </w:rPr>
              <w:t>扩声系统</w:t>
            </w:r>
          </w:p>
        </w:tc>
        <w:tc>
          <w:tcPr>
            <w:tcW w:w="9820" w:type="dxa"/>
            <w:shd w:val="clear" w:color="auto" w:fill="auto"/>
            <w:vAlign w:val="center"/>
          </w:tcPr>
          <w:p w14:paraId="4A97D0F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1、主扩音箱 2只</w:t>
            </w:r>
          </w:p>
          <w:p w14:paraId="577DB6F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驱动单元:     LF: 12""铝盘架 (190mm) / (75mm)音圈 </w:t>
            </w:r>
          </w:p>
          <w:p w14:paraId="487FFF6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              HF: 驱动式 (65mm)喉口/ (44mm)音圈</w:t>
            </w:r>
          </w:p>
          <w:p w14:paraId="406283F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额定功率:     400W/ 8Ω (额定), 800W/ 8Ω(峰值)</w:t>
            </w:r>
          </w:p>
          <w:p w14:paraId="4DDB677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推荐功率：    400 w -800 w / 8Ω</w:t>
            </w:r>
          </w:p>
          <w:p w14:paraId="125A032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额定阻抗：    8Ω</w:t>
            </w:r>
          </w:p>
          <w:p w14:paraId="3F94275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分频频率:     2.1KHZ</w:t>
            </w:r>
          </w:p>
          <w:p w14:paraId="1780A58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频响范围:     (-10dB ) 55Hz-20KHz</w:t>
            </w:r>
          </w:p>
          <w:p w14:paraId="0878E32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频率响应:     (±3dB) 80hz-18khz</w:t>
            </w:r>
          </w:p>
          <w:p w14:paraId="00A3ED9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最大声压级:  （1m)127dB</w:t>
            </w:r>
          </w:p>
          <w:p w14:paraId="48F8E8D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指向特性(HXV): H 90˚ x V 60˚</w:t>
            </w:r>
          </w:p>
          <w:p w14:paraId="2F0FA6C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声压灵敏度:  （1W/1M) 97dB</w:t>
            </w:r>
          </w:p>
          <w:p w14:paraId="7ED2DFB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箱体材料：    15mm桦木夹板</w:t>
            </w:r>
          </w:p>
          <w:p w14:paraId="54D301C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表面处理：    黑色环保耐磨水性喷涂处理</w:t>
            </w:r>
          </w:p>
          <w:p w14:paraId="08D1263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吊装/安装：   多点吊装/支架支撑</w:t>
            </w:r>
          </w:p>
          <w:p w14:paraId="4A8C0CC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接线方式：    2xNL4 speakon</w:t>
            </w:r>
          </w:p>
          <w:p w14:paraId="63B1311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尺寸:         ≥415*宽375*高608mm</w:t>
            </w:r>
          </w:p>
          <w:p w14:paraId="03B794D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箱体背面有两个欧姆插接口，当用作舞台主扩或监听时，可保持简洁无阻的布线，而装在三脚架上时，也很方便布线。精确设计的分频器能优化功率响应。底部拥有专业支架孔可用于三脚支架或卫星扬声器的安装，角度可为垂直或-10°倾斜面向观众。</w:t>
            </w:r>
          </w:p>
          <w:p w14:paraId="175FF0C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箱体由高质量的桦木多层夹板制作，表面采用黑色耐磨喷漆处理。CNC加工的16号铁网有效地保护了整个箱体，透音防尘棉里为单元多增加了一层保护。整体外观设计极具专业风格" </w:t>
            </w:r>
          </w:p>
          <w:p w14:paraId="36BA826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2、主扩功放1台 </w:t>
            </w:r>
          </w:p>
          <w:p w14:paraId="472C711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立体双声道模式：8Ω/800Wx2   4Ω/1000Wx2</w:t>
            </w:r>
          </w:p>
          <w:p w14:paraId="165D4F9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桥接单声道模式：8Ω/1700W   4Ω/2400W   </w:t>
            </w:r>
          </w:p>
          <w:p w14:paraId="113A1CE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信噪比：&gt;105dB</w:t>
            </w:r>
          </w:p>
          <w:p w14:paraId="44A0F30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转换速度：&gt;60V/us</w:t>
            </w:r>
          </w:p>
          <w:p w14:paraId="416376E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阻尼系数：&gt;450；1(8100Hz)</w:t>
            </w:r>
          </w:p>
          <w:p w14:paraId="6EF5415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频率响应：20HZ+20KHz</w:t>
            </w:r>
          </w:p>
          <w:p w14:paraId="1321ED5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输入灵敏度：0.77V1.0V32dB</w:t>
            </w:r>
          </w:p>
          <w:p w14:paraId="75993F2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整机增益：116±0.5dB</w:t>
            </w:r>
          </w:p>
          <w:p w14:paraId="2AD3923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通道增益差：&lt;0.25dB</w:t>
            </w:r>
          </w:p>
          <w:p w14:paraId="6EAB52C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输入阻抗：10KΩ/20KΩ(不平衡/平衡)</w:t>
            </w:r>
          </w:p>
          <w:p w14:paraId="3DB2B88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体积：≥483Wx305Dx90H(mm)</w:t>
            </w:r>
          </w:p>
          <w:p w14:paraId="778A8DE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净重：≥11.5kg"</w:t>
            </w:r>
          </w:p>
          <w:p w14:paraId="71B7F04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3、辅助音箱2只 </w:t>
            </w:r>
          </w:p>
          <w:p w14:paraId="637474D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驱动单元:     LF: 10""铝盘架 (156mm) / (65mm)音圈  </w:t>
            </w:r>
          </w:p>
          <w:p w14:paraId="0C70102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              HF: 驱动式 (65mm)喉口/ (44mm)音圈</w:t>
            </w:r>
          </w:p>
          <w:p w14:paraId="06CDB84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额定功率:     300W/ 8Ω (额定), 600W/ 8Ω(峰值)</w:t>
            </w:r>
          </w:p>
          <w:p w14:paraId="548D8A8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推荐功率：    300 w -600 w / 8Ω</w:t>
            </w:r>
          </w:p>
          <w:p w14:paraId="7190207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额定阻抗：    8Ω</w:t>
            </w:r>
          </w:p>
          <w:p w14:paraId="46B6619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分频频率:     2.1KHZ</w:t>
            </w:r>
          </w:p>
          <w:p w14:paraId="05C828C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频响范围:     (-10dB ) 65Hz-18KHz</w:t>
            </w:r>
          </w:p>
          <w:p w14:paraId="69485DB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频率响应:     (±3dB) 80hz-18khz</w:t>
            </w:r>
          </w:p>
          <w:p w14:paraId="3722FA0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最大声压级:  （1m)126dB</w:t>
            </w:r>
          </w:p>
          <w:p w14:paraId="3A2F3ED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指向特性(HXV): H 70˚ x V 40˚</w:t>
            </w:r>
          </w:p>
          <w:p w14:paraId="42F0A5E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声压灵敏度:  （1W/1M)  96dB</w:t>
            </w:r>
          </w:p>
          <w:p w14:paraId="73108E0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箱体材料：    15mm桦木夹板</w:t>
            </w:r>
          </w:p>
          <w:p w14:paraId="2CA7B76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表面处理：    黑色环保耐磨水性喷涂处理</w:t>
            </w:r>
          </w:p>
          <w:p w14:paraId="318BC0E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吊装/安装：   多点吊装/支架支撑</w:t>
            </w:r>
          </w:p>
          <w:p w14:paraId="3D7C8BF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接线方式：    2xNL4 speakon</w:t>
            </w:r>
          </w:p>
          <w:p w14:paraId="7ECA65C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尺寸:         ≥深346*宽321*高520mm</w:t>
            </w:r>
          </w:p>
          <w:p w14:paraId="70A317B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箱体背面有两个NL4接口，当用作舞台主扩或监听时，可保持简洁无阻的布线，而装在三脚架上时，也很方便布线。精确设计的分频器能优化功率响应。底部拥有专业支架孔可用于三脚支架或卫星扬声器的安装，角度可为垂直或-10°倾斜面向观众。</w:t>
            </w:r>
          </w:p>
          <w:p w14:paraId="0B20F51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箱体由高质量的桦木多层夹板制作，表面采用黑色耐磨喷漆处理。CNC加工的16号铁网有效地保护了整个箱体，透音防尘棉里为单元多增加了一层保护。整体外观设计极具专业风格" </w:t>
            </w:r>
          </w:p>
          <w:p w14:paraId="27B6E69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4、辅助功放1台 </w:t>
            </w:r>
          </w:p>
          <w:p w14:paraId="134CA82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立体双声道模式：8Ω/600Wx2   4Ω/800Wx2</w:t>
            </w:r>
          </w:p>
          <w:p w14:paraId="52C44D8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桥接单声道模式：8Ω/1200W   4Ω/1800W   </w:t>
            </w:r>
          </w:p>
          <w:p w14:paraId="0420F79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信噪比：&gt;105dB</w:t>
            </w:r>
          </w:p>
          <w:p w14:paraId="350E006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转换速度：&gt;60V/us</w:t>
            </w:r>
          </w:p>
          <w:p w14:paraId="41AE185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阻尼系数：&gt;450；1(8100Hz)</w:t>
            </w:r>
          </w:p>
          <w:p w14:paraId="4AF34CE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频率响应：20HZ+20KHz</w:t>
            </w:r>
          </w:p>
          <w:p w14:paraId="3E4C2D0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输入灵敏度：0.77V1.0V32dB</w:t>
            </w:r>
          </w:p>
          <w:p w14:paraId="7A22C91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整机增益：116±0.5dB</w:t>
            </w:r>
          </w:p>
          <w:p w14:paraId="7353282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通道增益差：&lt;0.25dB</w:t>
            </w:r>
          </w:p>
          <w:p w14:paraId="33DC332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输入阻抗：10KΩ/20KΩ(不平衡/平衡)</w:t>
            </w:r>
          </w:p>
          <w:p w14:paraId="675040B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体积：≥483Wx305Dx90H(mm)</w:t>
            </w:r>
          </w:p>
          <w:p w14:paraId="61D9E17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净重：≥10kg" </w:t>
            </w:r>
          </w:p>
          <w:p w14:paraId="158A6C8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5、无线头戴话筒1套 </w:t>
            </w:r>
          </w:p>
          <w:p w14:paraId="62DC724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手动红外调频</w:t>
            </w:r>
          </w:p>
          <w:p w14:paraId="408F4EF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采用30级电子音量控制，简约搭配</w:t>
            </w:r>
          </w:p>
          <w:p w14:paraId="1F9840B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音质清晰亮丽，理想使用距离30米</w:t>
            </w:r>
          </w:p>
          <w:p w14:paraId="0EA76B6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200级可选频点、手咪通用，抗干扰能力强</w:t>
            </w:r>
          </w:p>
          <w:p w14:paraId="3294E03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发射LED显示频道和电池电量</w:t>
            </w:r>
          </w:p>
          <w:p w14:paraId="0ED69DC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适用于小舞台，会议厅等</w:t>
            </w:r>
          </w:p>
          <w:p w14:paraId="6904671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系统指标：</w:t>
            </w:r>
          </w:p>
          <w:p w14:paraId="3F1692C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频率范围：630MHZ-690MHZ</w:t>
            </w:r>
          </w:p>
          <w:p w14:paraId="02E1812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频率稳定度：±10ppm</w:t>
            </w:r>
          </w:p>
          <w:p w14:paraId="4797602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动态范围：100dB(A)</w:t>
            </w:r>
          </w:p>
          <w:p w14:paraId="7499EC5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综合信噪比：≥103dB</w:t>
            </w:r>
          </w:p>
          <w:p w14:paraId="0C88D99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综合频率响应范围：40HZ-18KHZ（3dB）</w:t>
            </w:r>
          </w:p>
          <w:p w14:paraId="66DF09B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综合失真度：≤0.3%</w:t>
            </w:r>
          </w:p>
          <w:p w14:paraId="69E1830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信道数目：2*100</w:t>
            </w:r>
          </w:p>
          <w:p w14:paraId="47EFF53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信道间距：250KHZ</w:t>
            </w:r>
          </w:p>
          <w:p w14:paraId="2C60608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使用距离：约30米（开阔工作环境）</w:t>
            </w:r>
          </w:p>
          <w:p w14:paraId="5A8B1FF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接收灵敏度：-103dBm --- -90dBm</w:t>
            </w:r>
          </w:p>
          <w:p w14:paraId="26F04E2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接收天线接口：BNC（50Ω）</w:t>
            </w:r>
          </w:p>
          <w:p w14:paraId="57BBEFF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接收音频输出：平衡输出和混合输出</w:t>
            </w:r>
          </w:p>
          <w:p w14:paraId="08B7C03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接收机电源：8V1500mA</w:t>
            </w:r>
          </w:p>
          <w:p w14:paraId="4D6C5BF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发射调制模式：FM调制（最大±75KHZ）</w:t>
            </w:r>
          </w:p>
          <w:p w14:paraId="45DF792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发射功率：≤20mW</w:t>
            </w:r>
          </w:p>
          <w:p w14:paraId="385821D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发射谐波抑制：60dB</w:t>
            </w:r>
          </w:p>
          <w:p w14:paraId="7083082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发射天线：内置或外置1/4波长天线</w:t>
            </w:r>
          </w:p>
          <w:p w14:paraId="22FD87F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发射机电源：2节1.5V（AA）电池（续用时间2-4小时</w:t>
            </w:r>
          </w:p>
          <w:p w14:paraId="2920F59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6、前级效果器1台</w:t>
            </w:r>
          </w:p>
          <w:p w14:paraId="5722214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产品性能：</w:t>
            </w:r>
          </w:p>
          <w:p w14:paraId="57F469C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具有音箱处理器功能的卡拉OK效果器，各部分功能可独立调节。</w:t>
            </w:r>
          </w:p>
          <w:p w14:paraId="7ECAD81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采用24Bit数据总线和32Bit DSP</w:t>
            </w:r>
          </w:p>
          <w:p w14:paraId="1350D81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音乐设有7段参量均衡。</w:t>
            </w:r>
          </w:p>
          <w:p w14:paraId="5FA3831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音乐到主输出高通滤波器：12dB/24dB(OHz-303Hz)</w:t>
            </w:r>
          </w:p>
          <w:p w14:paraId="3CB6813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话筒设有15段参量均衡。有麦克风压限功能</w:t>
            </w:r>
          </w:p>
          <w:p w14:paraId="066B23B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主输出设有5段参量均衡，有压缩限幅器</w:t>
            </w:r>
          </w:p>
          <w:p w14:paraId="6565C76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中置输出，后置输出及超低均设有3段参量均衡</w:t>
            </w:r>
          </w:p>
          <w:p w14:paraId="2458741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麦克风有4种反馈抑制模式：OFF  1  2  3 </w:t>
            </w:r>
          </w:p>
          <w:p w14:paraId="2E53D80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可存储16种模式</w:t>
            </w:r>
          </w:p>
          <w:p w14:paraId="04B3FBA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话筒输出，主输出，中置输出，超低音输出，后置输出均设有压限及延时功能。</w:t>
            </w:r>
          </w:p>
          <w:p w14:paraId="6D01F4E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内有管理者模式与用户模式，用户模式在调整参数后不能存储</w:t>
            </w:r>
          </w:p>
          <w:p w14:paraId="43651AE4">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本机设有全功能菜单，可通过强大的PC界面设置</w:t>
            </w:r>
          </w:p>
          <w:p w14:paraId="4D672CB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参数：</w:t>
            </w:r>
          </w:p>
          <w:p w14:paraId="6F1CEFD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最大输入电平：4V(RMS)</w:t>
            </w:r>
          </w:p>
          <w:p w14:paraId="0C7C209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最大输出电平：4V(RMS)</w:t>
            </w:r>
          </w:p>
          <w:p w14:paraId="4E7724D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音乐通道增益：MAX：12dB</w:t>
            </w:r>
          </w:p>
          <w:p w14:paraId="3905893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麦克风灵敏度：64mV（Out：4V）</w:t>
            </w:r>
          </w:p>
          <w:p w14:paraId="1ED7026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信噪比：&gt;80dB</w:t>
            </w:r>
          </w:p>
          <w:p w14:paraId="305C21D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输入电压：220V  50Hz</w:t>
            </w:r>
          </w:p>
          <w:p w14:paraId="69957B4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尺寸（长*宽*高）：≥483*225*52 mm</w:t>
            </w:r>
          </w:p>
          <w:p w14:paraId="7FF25F4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净重：≥3.7Kg</w:t>
            </w:r>
          </w:p>
          <w:p w14:paraId="76B60C5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毛重：≥4.5Kg" </w:t>
            </w:r>
          </w:p>
          <w:p w14:paraId="778FF99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7、电源时序器1台 </w:t>
            </w:r>
          </w:p>
          <w:p w14:paraId="511E533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面板颜色：铁黑色面板</w:t>
            </w:r>
          </w:p>
          <w:p w14:paraId="798F716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通道数量：8路万用插座继电器受控与1路万用插座直接输出</w:t>
            </w:r>
          </w:p>
          <w:p w14:paraId="32DF99C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功能特点：</w:t>
            </w:r>
          </w:p>
          <w:p w14:paraId="386DA5F7">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①顺序开启逆序关闭/直通开关   </w:t>
            </w:r>
          </w:p>
          <w:p w14:paraId="782B767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②精准电压显示   </w:t>
            </w:r>
          </w:p>
          <w:p w14:paraId="32B46D8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③自由通道关闭   </w:t>
            </w:r>
          </w:p>
          <w:p w14:paraId="35AC4BF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④前面板支持USB接口   </w:t>
            </w:r>
          </w:p>
          <w:p w14:paraId="3C4633F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⑤带32A空气开关   </w:t>
            </w:r>
          </w:p>
          <w:p w14:paraId="0BCCC7A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⑥滤波功能（集成滤波）</w:t>
            </w:r>
          </w:p>
          <w:p w14:paraId="2413881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电力输入条件(单相3线)：AC220-240V   50-60HZ两相（三线：零，火，地）</w:t>
            </w:r>
          </w:p>
          <w:p w14:paraId="605B77D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继电器受控输出最大承受单路功率/总功率(无功功率）：2000W/6000W最大承受无功功率</w:t>
            </w:r>
          </w:p>
          <w:p w14:paraId="3AF03C99">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输出电源插座规格：阻燃ABS材料，最大可承受13A电流磷铜材质，标准万用插座</w:t>
            </w:r>
          </w:p>
          <w:p w14:paraId="67C702B1">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每路开关间隔时间/定时时间：1.5秒；输出继电器触点电流：30A 277VAC </w:t>
            </w:r>
          </w:p>
          <w:p w14:paraId="6932751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电路板规格：双面纤维板，主电源走线二次加厚加粗处理，内置变压器更稳压</w:t>
            </w:r>
          </w:p>
          <w:p w14:paraId="7D16261C">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主电缆线规格：6平方电缆线，总长度为2米（配电源输入插头）</w:t>
            </w:r>
          </w:p>
          <w:p w14:paraId="4F12735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功能显示电压显示表类型：进口显示屏电压表；</w:t>
            </w:r>
          </w:p>
          <w:p w14:paraId="64D2C13A">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开启类型：船型开关 ；</w:t>
            </w:r>
          </w:p>
          <w:p w14:paraId="7F835E20">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 xml:space="preserve">8、辅料1批 </w:t>
            </w:r>
          </w:p>
          <w:p w14:paraId="3438CD02">
            <w:pPr>
              <w:widowControl/>
              <w:jc w:val="lef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highlight w:val="none"/>
                <w:lang w:bidi="ar"/>
              </w:rPr>
              <w:t xml:space="preserve">音箱安装吊架、音响线、设备机连接插件 </w:t>
            </w:r>
          </w:p>
        </w:tc>
        <w:tc>
          <w:tcPr>
            <w:tcW w:w="860" w:type="dxa"/>
            <w:shd w:val="clear" w:color="auto" w:fill="auto"/>
            <w:noWrap/>
            <w:vAlign w:val="center"/>
          </w:tcPr>
          <w:p w14:paraId="7B7CBCC0">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noWrap/>
            <w:vAlign w:val="center"/>
          </w:tcPr>
          <w:p w14:paraId="50E34A98">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6E40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1" w:hRule="atLeast"/>
        </w:trPr>
        <w:tc>
          <w:tcPr>
            <w:tcW w:w="860" w:type="dxa"/>
            <w:shd w:val="clear" w:color="auto" w:fill="FFFFFF" w:themeFill="background1"/>
            <w:noWrap/>
            <w:vAlign w:val="center"/>
          </w:tcPr>
          <w:p w14:paraId="5CCB1ADE">
            <w:pPr>
              <w:jc w:val="center"/>
              <w:rPr>
                <w:rFonts w:cs="宋体" w:asciiTheme="minorEastAsia" w:hAnsiTheme="minorEastAsia"/>
                <w:color w:val="000000"/>
                <w:sz w:val="24"/>
              </w:rPr>
            </w:pPr>
            <w:r>
              <w:rPr>
                <w:rFonts w:hint="eastAsia" w:asciiTheme="minorEastAsia" w:hAnsiTheme="minorEastAsia"/>
                <w:color w:val="000000"/>
                <w:sz w:val="24"/>
              </w:rPr>
              <w:t>28</w:t>
            </w:r>
          </w:p>
        </w:tc>
        <w:tc>
          <w:tcPr>
            <w:tcW w:w="1637" w:type="dxa"/>
            <w:shd w:val="clear" w:color="auto" w:fill="FFFFFF" w:themeFill="background1"/>
            <w:noWrap/>
            <w:vAlign w:val="center"/>
          </w:tcPr>
          <w:p w14:paraId="56119F64">
            <w:pPr>
              <w:widowControl/>
              <w:jc w:val="left"/>
              <w:textAlignment w:val="center"/>
              <w:rPr>
                <w:rFonts w:cs="宋体" w:asciiTheme="minorEastAsia" w:hAnsiTheme="minorEastAsia"/>
                <w:b/>
                <w:bCs/>
                <w:color w:val="000000"/>
                <w:kern w:val="0"/>
                <w:sz w:val="24"/>
                <w:lang w:bidi="ar"/>
              </w:rPr>
            </w:pPr>
            <w:r>
              <w:rPr>
                <w:rFonts w:hint="eastAsia" w:cs="宋体" w:asciiTheme="minorEastAsia" w:hAnsiTheme="minorEastAsia"/>
                <w:color w:val="000000"/>
                <w:kern w:val="0"/>
                <w:sz w:val="24"/>
                <w:lang w:bidi="ar"/>
              </w:rPr>
              <w:t>多媒体讲桌系统</w:t>
            </w:r>
          </w:p>
        </w:tc>
        <w:tc>
          <w:tcPr>
            <w:tcW w:w="9820" w:type="dxa"/>
            <w:shd w:val="clear" w:color="auto" w:fill="auto"/>
            <w:vAlign w:val="center"/>
          </w:tcPr>
          <w:p w14:paraId="462979BE">
            <w:pPr>
              <w:widowControl/>
              <w:jc w:val="left"/>
              <w:textAlignment w:val="center"/>
              <w:rPr>
                <w:rFonts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1、讲桌主体材料≥0.8mm冷轧钢板。讲桌采用钢木结合构造，桌体上部分采用圆弧设计。工艺：脱脂、磷化、静电喷塑、溜平固化，重点部位须采用一次冲压成型技术；所有钣金部分均采用激光切割加工。</w:t>
            </w:r>
          </w:p>
          <w:p w14:paraId="1E6BEDBC">
            <w:pPr>
              <w:widowControl/>
              <w:jc w:val="left"/>
              <w:textAlignment w:val="center"/>
              <w:rPr>
                <w:rFonts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2、讲桌桌面采用木黄色耐划木质材料，耐腐蚀环保台面</w:t>
            </w:r>
          </w:p>
          <w:p w14:paraId="039DC5EA">
            <w:pPr>
              <w:widowControl/>
              <w:jc w:val="left"/>
              <w:textAlignment w:val="center"/>
              <w:rPr>
                <w:rFonts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3、桌面由一把机械锁控制，桌面可配有不少于4个USB接口，1个HDMI接口，1个网线接口，1个MIC，1个VGA，2个三孔电源接口。</w:t>
            </w:r>
          </w:p>
          <w:p w14:paraId="2D1553F0">
            <w:pPr>
              <w:widowControl/>
              <w:jc w:val="left"/>
              <w:textAlignment w:val="center"/>
              <w:rPr>
                <w:rFonts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4、讲桌上下层采用分体式设计，桌面部分和桌体部分自成一体，方便进出设计比较窄的教室门。讲桌内置固定螺丝孔位，安装简单，安全防盗；独立包装，运输轻便。</w:t>
            </w:r>
          </w:p>
          <w:p w14:paraId="0D5CDCB8">
            <w:pPr>
              <w:widowControl/>
              <w:jc w:val="left"/>
              <w:textAlignment w:val="center"/>
              <w:rPr>
                <w:rFonts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5、显示器盖板和键盘、鼠标部分采用联动式设计。显示器盖板可装置23.5寸液晶宽屏显示器；安装显示器无任何螺丝结构。</w:t>
            </w:r>
          </w:p>
          <w:p w14:paraId="3D1FC747">
            <w:pPr>
              <w:widowControl/>
              <w:jc w:val="lef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highlight w:val="none"/>
                <w:lang w:bidi="ar"/>
              </w:rPr>
              <w:t>6、尺寸（可根据实际调整）：上柜尺寸≥1200*780*340mm，下柜尺寸≥810*630*660mm，桌面到地面尺寸为≥900mm高，显示器开孔为≥550mm.</w:t>
            </w:r>
          </w:p>
        </w:tc>
        <w:tc>
          <w:tcPr>
            <w:tcW w:w="860" w:type="dxa"/>
            <w:shd w:val="clear" w:color="auto" w:fill="auto"/>
            <w:noWrap/>
            <w:vAlign w:val="center"/>
          </w:tcPr>
          <w:p w14:paraId="18FBCA91">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noWrap/>
            <w:vAlign w:val="center"/>
          </w:tcPr>
          <w:p w14:paraId="18F2002D">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3542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FFFFFF" w:themeFill="background1"/>
            <w:noWrap/>
            <w:vAlign w:val="center"/>
          </w:tcPr>
          <w:p w14:paraId="7EF14ED8">
            <w:pPr>
              <w:jc w:val="center"/>
              <w:rPr>
                <w:rFonts w:cs="宋体" w:asciiTheme="minorEastAsia" w:hAnsiTheme="minorEastAsia"/>
                <w:color w:val="000000"/>
                <w:sz w:val="24"/>
              </w:rPr>
            </w:pPr>
            <w:r>
              <w:rPr>
                <w:rFonts w:hint="eastAsia" w:asciiTheme="minorEastAsia" w:hAnsiTheme="minorEastAsia"/>
                <w:color w:val="000000"/>
                <w:sz w:val="24"/>
              </w:rPr>
              <w:t>29</w:t>
            </w:r>
          </w:p>
        </w:tc>
        <w:tc>
          <w:tcPr>
            <w:tcW w:w="1637" w:type="dxa"/>
            <w:shd w:val="clear" w:color="auto" w:fill="FFFFFF" w:themeFill="background1"/>
            <w:noWrap/>
            <w:vAlign w:val="center"/>
          </w:tcPr>
          <w:p w14:paraId="698D22F9">
            <w:pPr>
              <w:widowControl/>
              <w:jc w:val="left"/>
              <w:textAlignment w:val="center"/>
              <w:rPr>
                <w:rFonts w:hint="default" w:cs="宋体" w:asciiTheme="minorEastAsia" w:hAnsiTheme="minorEastAsia" w:eastAsiaTheme="minorEastAsia"/>
                <w:color w:val="000000"/>
                <w:kern w:val="0"/>
                <w:sz w:val="24"/>
                <w:lang w:val="en-US" w:eastAsia="zh-CN" w:bidi="ar"/>
              </w:rPr>
            </w:pPr>
            <w:r>
              <w:rPr>
                <w:rFonts w:hint="eastAsia" w:cs="宋体" w:asciiTheme="minorEastAsia" w:hAnsiTheme="minorEastAsia"/>
                <w:color w:val="000000"/>
                <w:kern w:val="0"/>
                <w:sz w:val="24"/>
                <w:lang w:bidi="ar"/>
              </w:rPr>
              <w:t>教师</w:t>
            </w:r>
            <w:r>
              <w:rPr>
                <w:rFonts w:hint="eastAsia" w:cs="宋体" w:asciiTheme="minorEastAsia" w:hAnsiTheme="minorEastAsia"/>
                <w:color w:val="000000"/>
                <w:kern w:val="0"/>
                <w:sz w:val="24"/>
                <w:lang w:val="en-US" w:eastAsia="zh-CN" w:bidi="ar"/>
              </w:rPr>
              <w:t>管理终端</w:t>
            </w:r>
          </w:p>
        </w:tc>
        <w:tc>
          <w:tcPr>
            <w:tcW w:w="9820" w:type="dxa"/>
            <w:shd w:val="clear" w:color="auto" w:fill="auto"/>
            <w:vAlign w:val="center"/>
          </w:tcPr>
          <w:p w14:paraId="0E4B0EAF">
            <w:pPr>
              <w:widowControl/>
              <w:jc w:val="left"/>
              <w:textAlignment w:val="center"/>
              <w:rPr>
                <w:rFonts w:cs="宋体" w:asciiTheme="minorEastAsia" w:hAnsiTheme="minorEastAsia"/>
                <w:color w:val="000000"/>
                <w:kern w:val="0"/>
                <w:sz w:val="24"/>
                <w:lang w:bidi="ar"/>
              </w:rPr>
            </w:pPr>
            <w:r>
              <w:rPr>
                <w:rFonts w:hint="eastAsia" w:ascii="宋体" w:hAnsi="宋体" w:eastAsia="宋体" w:cs="宋体"/>
                <w:i w:val="0"/>
                <w:iCs w:val="0"/>
                <w:color w:val="000000"/>
                <w:kern w:val="0"/>
                <w:sz w:val="24"/>
                <w:szCs w:val="24"/>
                <w:u w:val="none"/>
                <w:lang w:val="en-US" w:eastAsia="zh-CN" w:bidi="ar"/>
              </w:rPr>
              <w:t xml:space="preserve">I5-14400F </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4"/>
                <w:szCs w:val="24"/>
                <w:u w:val="none"/>
                <w:lang w:val="en-US" w:eastAsia="zh-CN" w:bidi="ar"/>
              </w:rPr>
              <w:t xml:space="preserve">16G </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4"/>
                <w:szCs w:val="24"/>
                <w:u w:val="none"/>
                <w:lang w:val="en-US" w:eastAsia="zh-CN" w:bidi="ar"/>
              </w:rPr>
              <w:t xml:space="preserve">512G SSD RTX3050-6G主机 </w:t>
            </w:r>
            <w:r>
              <w:rPr>
                <w:rFonts w:hint="eastAsia" w:ascii="宋体" w:hAnsi="宋体" w:eastAsia="宋体" w:cs="宋体"/>
                <w:i w:val="0"/>
                <w:iCs w:val="0"/>
                <w:snapToGrid w:val="0"/>
                <w:color w:val="000000"/>
                <w:kern w:val="0"/>
                <w:sz w:val="24"/>
                <w:szCs w:val="24"/>
                <w:highlight w:val="none"/>
                <w:u w:val="none"/>
                <w:lang w:val="en-US" w:eastAsia="zh-CN" w:bidi="ar"/>
              </w:rPr>
              <w:t>≧</w:t>
            </w:r>
            <w:r>
              <w:rPr>
                <w:rFonts w:hint="eastAsia" w:ascii="宋体" w:hAnsi="宋体" w:eastAsia="宋体" w:cs="宋体"/>
                <w:i w:val="0"/>
                <w:iCs w:val="0"/>
                <w:color w:val="000000"/>
                <w:kern w:val="0"/>
                <w:sz w:val="24"/>
                <w:szCs w:val="24"/>
                <w:u w:val="none"/>
                <w:lang w:val="en-US" w:eastAsia="zh-CN" w:bidi="ar"/>
              </w:rPr>
              <w:t>21.5寸</w:t>
            </w:r>
          </w:p>
        </w:tc>
        <w:tc>
          <w:tcPr>
            <w:tcW w:w="860" w:type="dxa"/>
            <w:shd w:val="clear" w:color="auto" w:fill="auto"/>
            <w:noWrap/>
            <w:vAlign w:val="center"/>
          </w:tcPr>
          <w:p w14:paraId="195652D5">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noWrap/>
            <w:vAlign w:val="center"/>
          </w:tcPr>
          <w:p w14:paraId="06ABD2E4">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63A25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4" w:hRule="atLeast"/>
        </w:trPr>
        <w:tc>
          <w:tcPr>
            <w:tcW w:w="860" w:type="dxa"/>
            <w:shd w:val="clear" w:color="auto" w:fill="FFFFFF" w:themeFill="background1"/>
            <w:noWrap/>
            <w:vAlign w:val="center"/>
          </w:tcPr>
          <w:p w14:paraId="3DD15D1A">
            <w:pPr>
              <w:jc w:val="center"/>
              <w:rPr>
                <w:rFonts w:cs="宋体" w:asciiTheme="minorEastAsia" w:hAnsiTheme="minorEastAsia"/>
                <w:color w:val="000000"/>
                <w:sz w:val="24"/>
              </w:rPr>
            </w:pPr>
            <w:r>
              <w:rPr>
                <w:rFonts w:hint="eastAsia" w:asciiTheme="minorEastAsia" w:hAnsiTheme="minorEastAsia"/>
                <w:color w:val="000000"/>
                <w:sz w:val="24"/>
              </w:rPr>
              <w:t>30</w:t>
            </w:r>
          </w:p>
        </w:tc>
        <w:tc>
          <w:tcPr>
            <w:tcW w:w="1637" w:type="dxa"/>
            <w:shd w:val="clear" w:color="auto" w:fill="FFFFFF" w:themeFill="background1"/>
            <w:noWrap/>
            <w:vAlign w:val="center"/>
          </w:tcPr>
          <w:p w14:paraId="2852D06E">
            <w:pPr>
              <w:widowControl/>
              <w:jc w:val="lef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智慧教学终端</w:t>
            </w:r>
          </w:p>
        </w:tc>
        <w:tc>
          <w:tcPr>
            <w:tcW w:w="9820" w:type="dxa"/>
            <w:shd w:val="clear" w:color="auto" w:fill="auto"/>
            <w:vAlign w:val="center"/>
          </w:tcPr>
          <w:p w14:paraId="7025EA69">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一、整机性能要求：</w:t>
            </w:r>
          </w:p>
          <w:p w14:paraId="3DDCE923">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1.整机采用金属结构一体化设计，外部无可见内部功能模块的连接线，表面无尖锐边缘或突起，</w:t>
            </w:r>
          </w:p>
          <w:p w14:paraId="3122D25E">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整体设计安全，牢固，美观。</w:t>
            </w:r>
          </w:p>
          <w:p w14:paraId="1282ECC1">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2.显示尺寸：≥86英寸；显示分辨率：3840(H)×2160(V)；显示比例：16:9。</w:t>
            </w:r>
          </w:p>
          <w:p w14:paraId="1177F29E">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3.整机尺寸：长≥1945mm，高≥1160mm。</w:t>
            </w:r>
          </w:p>
          <w:p w14:paraId="2B4D2381">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4.内置扬声器，前朝向发声避免干扰，总功率≥60W。</w:t>
            </w:r>
          </w:p>
          <w:p w14:paraId="55A1C976">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5.整机内置高清摄像头，非外接摄像头不占用设备接口，外部无可见连接线，可拍摄不低于1300</w:t>
            </w:r>
          </w:p>
          <w:p w14:paraId="0A6A89E6">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万像素数的照片，对角角度≥135°。</w:t>
            </w:r>
          </w:p>
          <w:p w14:paraId="15F74D33">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6.屏幕表面采用≤3.2 mm全钢化防眩光玻璃，表面硬度≥9H，使用≥1.5kg的钢珠≥2.0米高度进行</w:t>
            </w:r>
          </w:p>
          <w:p w14:paraId="58119A05">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自由落体撞击测试，防护玻璃无损伤，功能无异常。（供应商提供由国家认可的第三方检验机构出具的有效检测报告进行佐证，检测报告的检测内容应当至少包含该项参数响应内容；检测报告须体现清晰可见的报告编号）</w:t>
            </w:r>
          </w:p>
          <w:p w14:paraId="0EC81A02">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▲7.亮度：≥350 cd/㎡；对比度：≥1000：1；可视角度：≥178°。（供应商提供由国家认可的第三方检验机构出具的有效检测报告进行佐证，检测报告的检测内容应当至少包含该项参数响应内容；检测报告须体现清晰可见的报告编号）</w:t>
            </w:r>
          </w:p>
          <w:p w14:paraId="0DA1115E">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8.采用红外多点触摸感应技术，在Windows系统可支持≥40点触摸，在Android系统可支持≥20点触摸。</w:t>
            </w:r>
          </w:p>
          <w:p w14:paraId="1B3AF9BA">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9.触摸精准度：≤1mm；光标速度：≥300点/秒；响应时间≤4ms。（供应商提供由国家认可的第三方检验机构出具的有效检测报告进行佐证，检测报告的检测内容应当至少包含该项参数响应内容；检测报告须体现清晰可见的报告编号）</w:t>
            </w:r>
          </w:p>
          <w:p w14:paraId="46E3058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10.显示颜色：10bit，1.07B Colors；透光率＞95%；色彩覆盖率：≥130%。（供应商提供由国家认可的第三方检验机构出具的有效检测报告进行佐证，检测报告的检测内容应当至少包含该项参数响应内容；检测报告须体现清晰可见的报告编号）</w:t>
            </w:r>
          </w:p>
          <w:p w14:paraId="252B2DC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11.安卓系统配置：安卓系统≥13.0，内存≥4G，存储内存≥32G。</w:t>
            </w:r>
          </w:p>
          <w:p w14:paraId="2688B90E">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12.前置≥9个物理按键，至少具备电源、主页、护眼、信号源、触控、音量+、音量-、PC、自定义等按键功能。前置按键（除电源键外）须具备文字标识，方便用户识别。（投标文件需提供整机实物照片，照片需体现以上参数要求）</w:t>
            </w:r>
          </w:p>
          <w:p w14:paraId="5E74254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▲13.前置常用外接接口：USB接口≥3路、Type-C接口≥1路、HDMI接口≥1路、Touch USB接口≥1路。前置接口须具备防撞挡板保护，且须具备文字标识，方便用户识别。（投标文件需提供整机实物照片，照片需体现以上参数要求）</w:t>
            </w:r>
          </w:p>
          <w:p w14:paraId="4172BB00">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14.整机具备前置Type-C，通过Type-C接口实现音视频输入，外接电脑设备通过标准Type-C线连接至整机Type-C口，即可把外接电脑设备画面投到整机上，同时在整机上操作画面，可实现触摸电脑的操作，无需再连接触控USB线。当教学中使用外接电脑，外接电脑的摄像头、麦克风无法满足教学需求时，外接电脑设备通过Type-C线连接至整机Type-C口，可直接调用整机内置的摄像头、麦克风、扬声器，在外接电脑可拍摄教室画面。</w:t>
            </w:r>
          </w:p>
          <w:p w14:paraId="37FAC2AC">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15.整机在振动台上频率 5-50Hz, 振动方向X、Y、Z 三个方向的上下（6 度测试）≥60分钟的振动试验，外观无损伤、破裂、部件松动，整机可正常运行。（供应商提供由国家认可的第三方检验机构出具的有效检测报告进行佐证，检测报告的检测内容应当至少包含该项参数响应内容；检测报告须体现清晰可见的报告编号）</w:t>
            </w:r>
          </w:p>
          <w:p w14:paraId="4E9A5CEA">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16.抗强光测试：触摸屏在强光（≥500K LUX）照射下，触摸、书写功能正常操作。（供应商提供由国家认可的第三方检验机构出具的有效检测报告进行佐证，检测报告的检测内容应当至少包含该项参数响应内容；检测报告须体现清晰可见的报告编号）</w:t>
            </w:r>
          </w:p>
          <w:p w14:paraId="360E3275">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▲17.整机按照ISO 9241-307:2008、ISO 9241-305:2008、ISO 9241-309:2008、GB/T 18978.307-2015、IEC62471:2006、EN 62471:2008、GB/T 20145-2006等相关规范进行测试，符合“无频闪效应”和“无蓝光危险”的要求。（供应商提供由国家认可的第三方检验机构出具的有效检测报告进行佐证，检测报告的检测内容应当至少包含该项参数响应内容；检测报告须体现清晰可见的报告编号）</w:t>
            </w:r>
          </w:p>
          <w:p w14:paraId="30DFA4F3">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▲18.整机符合IEC 62471标准，通过蓝光危害等级测试，光化紫外数值＜0.0005W·m-2，近紫外数值＜0.0001W·m-2，蓝光100 mrad FOV＜85W·m-2·sr-1，视网膜热＜410，红外辐射＜0.003W·m-2。（供应商提供由国家认可的第三方检验机构出具的有效检测报告进行佐证，检测报告的检测内容应当至少包含该项参数响应内容；检测报告须体现清晰可见的报告编号）</w:t>
            </w:r>
          </w:p>
          <w:p w14:paraId="7D42408A">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19.为了产品稳定性，所投交互式大屏平均无故障运行时间≥25万小时。（供应商提供由国家认可的第三方检验机构出具的有效检测报告进行佐证，检测报告的检测内容应当至少包含该项参数响应内容；检测报告须体现清晰可见的报告编号）</w:t>
            </w:r>
          </w:p>
          <w:p w14:paraId="22BC32A9">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二、内置电脑模块</w:t>
            </w:r>
          </w:p>
          <w:p w14:paraId="50E647C2">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1.标准的80针可拔插式电脑OPS电脑，采用模块化电脑方案，PC模块按压式插入整机，无任何裸露，无需工具即可快速拆卸电脑模块。</w:t>
            </w:r>
          </w:p>
          <w:p w14:paraId="1C622711">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2.处理器性能参考不低于：≥Intel i5十代性能相当或以上；内存：≥8GB；硬盘：≥256GB 固态硬盘；</w:t>
            </w:r>
          </w:p>
          <w:p w14:paraId="3BB0B7C9">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3.模块具有多个独立非外扩展的电脑USB接口：电脑上至少有6个USB接口（其中不少于3路USB 3.0），具有独立非外扩展的视频输出接口：≥1路HDMI，≥1路DP。</w:t>
            </w:r>
          </w:p>
          <w:p w14:paraId="6BFEA98F">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▲4.为保证产品质量及实际使用过程中维护的便利性，OPS必须通过CCC认证，且与整机为同一厂家和品牌。（投标文件需提供OPS内置电脑的CCC认证证书复印件）</w:t>
            </w:r>
          </w:p>
          <w:p w14:paraId="218AA273">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三、备授课软件</w:t>
            </w:r>
          </w:p>
          <w:p w14:paraId="131AD771">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软件采用备授课一体化框架设计，操作界面根据备课和授课使用场景不同而区别设计，可根据教学场景自由切换备课模式和授课模式，满足教室、办公室等不同教学环境需求，并提供移动端实现数据同步、移动授课等功能。</w:t>
            </w:r>
          </w:p>
          <w:p w14:paraId="1DD3B6B3">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（一）备课模式</w:t>
            </w:r>
          </w:p>
          <w:p w14:paraId="3426EF0A">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1.软件须支持使用方全体教师自行进行个人账号注册登录使用，可通过数字账号、扫描二维码、手机验证码、硬件密钥方式（如绑定U盘）等多种方式登录教师个人账号以及通过验证码修改登录密码操作。</w:t>
            </w:r>
          </w:p>
          <w:p w14:paraId="28EC0056">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2.软件为所有教师提供安全可靠的云存储空间，保证可随时存储、使用资源，无需携带U盘等硬件设备，每个账号的云端存储空间不少于50G，无需任何操作即可获取。</w:t>
            </w:r>
          </w:p>
          <w:p w14:paraId="279C473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3.软件提供事项编辑处理功能，可创建/编辑/处理/查看事项，支持添加事项名称、时间、描述及附件等信息，逾期事项有红色感叹号标识，能够提醒教师及时处理事务，更好地组织和管理教学工作，提高工作效率，确保教学任务的顺利完成。</w:t>
            </w:r>
          </w:p>
          <w:p w14:paraId="6BD2B553">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4.软件提供全部事项列表，分别显示待处理和已处理事项，方便复盘工作。</w:t>
            </w:r>
          </w:p>
          <w:p w14:paraId="20A33C90">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5.软件提供课表功能，可查看个人课表及授课班级课表，方便掌握教学安排及了解班级课程计划。</w:t>
            </w:r>
          </w:p>
          <w:p w14:paraId="1FAF5194">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6.软件提供通知功能，在接收到学校通知或其余用户分享文件时具有红点提示，可选择接收或拒绝。</w:t>
            </w:r>
          </w:p>
          <w:p w14:paraId="215E7BE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7.软件具备课程库功能，支持将备课内容同步到通用教材的章节目录之中或自建备课课程目录，并可导入课件、视频等多种格式资源，备课思路一目了然。</w:t>
            </w:r>
          </w:p>
          <w:p w14:paraId="5B177B80">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8.软件具备资源中心模块，提供便捷、高效的资源管理方案，提供个人资源以及校本资源模块，并提供国家公共资源平台的链接跳转。</w:t>
            </w:r>
          </w:p>
          <w:p w14:paraId="6DF4F990">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9.个人资源支持不少于三种分享方式：支持校本分享，可直接分享到校本资源库的指定目录；支持定向精准</w:t>
            </w:r>
          </w:p>
          <w:p w14:paraId="4B3589B7">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分享，可精准推送至指定接收方账号云空间，接收方可在云空间接收并打开分享课件；支持一对多分享，可生成分享链接和二维码，接收方可点击链接或扫描二维码，通过网页方式浏览课件并获取课件，其中课件链接可设置访问有效期以及加密。</w:t>
            </w:r>
          </w:p>
          <w:p w14:paraId="6895A88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10.可选择新建备课课件，或者直接将PPT导入到软件中进行备课，节约备课时间。</w:t>
            </w:r>
          </w:p>
          <w:p w14:paraId="5FE0581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11.备课模块采用类PPT界面，更大程度符合老师的日常使用习惯，节约学习时间。</w:t>
            </w:r>
          </w:p>
          <w:p w14:paraId="160609DD">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12.课件背景：提供不少于35个背景模板供老师选择；支持自定义更换各种纯色背景，提供不少于18种颜色选择，支持使用吸管工具吸取电脑上任意位置的颜色作为背景；支持使用图片作为课件背景，设置后支持进行主题应用，一键替换所有页面，保证课件页面的风格统一。</w:t>
            </w:r>
          </w:p>
          <w:p w14:paraId="420BE86B">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13.学科工具：提供丰富的学科工具，数量不少于15种，并至少包含以下学科工具：</w:t>
            </w:r>
          </w:p>
          <w:p w14:paraId="48BB70A5">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a)语文学科：具备汉字、拼音、古诗词、注音等学科工具；</w:t>
            </w:r>
          </w:p>
          <w:p w14:paraId="67A211C4">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b)数学学科：具备形状、几何、公式、函数、统计图表、数学画板等学科工具；</w:t>
            </w:r>
          </w:p>
          <w:p w14:paraId="38F7D5D4">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c)英文学科：具备四线三格、英汉词典等学科工具；</w:t>
            </w:r>
          </w:p>
          <w:p w14:paraId="1ED647B1">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d)物理学科：具备物理线图学科工具；</w:t>
            </w:r>
          </w:p>
          <w:p w14:paraId="7AFA485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e)化学学科：具备化学方程式、元素周期表等学科工具；</w:t>
            </w:r>
          </w:p>
          <w:p w14:paraId="779BD9E4">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f)地理学科：具备星球工具。</w:t>
            </w:r>
          </w:p>
          <w:p w14:paraId="1ACB2686">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14.仿真实验：提供初高中的物理、化学和生物的仿真实验。</w:t>
            </w:r>
          </w:p>
          <w:p w14:paraId="7F8E0471">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15.课堂活动：具备≥9种类型的课堂趣味活动，包括但不限于分类、配对、趣味选择、争分夺秒、看题填词、翻翻卡、比大小、连词成句、判断对错等，每种课堂活动类型均提供≥12种游戏模板。</w:t>
            </w:r>
          </w:p>
          <w:p w14:paraId="1E6A229C">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（二）授课部分</w:t>
            </w:r>
          </w:p>
          <w:p w14:paraId="34169556">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1.为方便老师使用，备课页面具有授课开始按键，可快速切换备授课模式；</w:t>
            </w:r>
          </w:p>
          <w:p w14:paraId="397864CD">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2.在授课模式下，支持导入PPT、图片、音频、视频等进行演示。</w:t>
            </w:r>
          </w:p>
          <w:p w14:paraId="6A67AFE2">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3.支持将授课课件及板书内容一起导出为图片。</w:t>
            </w:r>
          </w:p>
          <w:p w14:paraId="1DFF6F05">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4.画笔工具：具备不少于三种笔触类型，部分笔尖的粗细、颜色可实时进行调整。</w:t>
            </w:r>
          </w:p>
          <w:p w14:paraId="3C95D304">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5.选择工具：根据教学需要老师可以选择单一对象，或者框选多个对象进行移动、放大、缩小、旋转，也可以对选中的对象进行置顶、克隆、删除等操作。</w:t>
            </w:r>
          </w:p>
          <w:p w14:paraId="4CCB26AC">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6.擦除功能：为了满足不同擦除需要和便捷性，提供按点擦除和一键清屏功能，除了擦除画笔的笔迹，也可以支持手势擦除，同时板刷支持调整大小。</w:t>
            </w:r>
          </w:p>
          <w:p w14:paraId="1CAF63B6">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7.投屏：在授课过程中，教师可随时打开手机，通过扫描授课模式下的投屏码进行投屏，平时不使用时，投屏码隐藏在页面底端，不遮挡显示内容。</w:t>
            </w:r>
          </w:p>
          <w:p w14:paraId="694741BA">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8.通用工具：至少提供形状、放大镜、聚光灯、遮幕、板中板、计时器、截图、微课录制、计算器等通用工具。</w:t>
            </w:r>
          </w:p>
          <w:p w14:paraId="41AA8AFB">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9.学科工具：可在授课过程中调取学科工具，至少提供汉字、拼音、古诗词、函数、几何、英汉字典、画板、星球、尺规等学科工具。</w:t>
            </w:r>
          </w:p>
          <w:p w14:paraId="3553DE32">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（三）移动授课助手</w:t>
            </w:r>
          </w:p>
          <w:p w14:paraId="36240399">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1.移动授课助手需支持android、IOS系统手机使用；</w:t>
            </w:r>
          </w:p>
          <w:p w14:paraId="5A1EE962">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2.支持手机号码登录、微信登陆两种登陆方式；为方便用户使用，移动授课助手与大屏白板软件使用统一身份认证；</w:t>
            </w:r>
          </w:p>
          <w:p w14:paraId="6DDC74BB">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3.云课件：在手机上登录账号后，支持以列表的方式查看该账号里所有的云课件，并支持打开其中某份课件在线预览，预览时支持显示缩略图目录，支持通过缩略图目录跳页。可对课件进行分享、重命名、移动和删除操作；支持课件批量移动、删除。无需拷贝课件，大屏端云课件内容与手机保持一致。</w:t>
            </w:r>
          </w:p>
          <w:p w14:paraId="6B35839F">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4.课件分享：支持在手机端分享老师备课课件，可一键分享至微信、朋友圈、QQ，或使用链接进行分享；同时其他老师分享给自己的课件，也可以在云课件中进行接收和保存；通过扫码等方式获取课件后，在课件列表下拉刷新即可显示待接收课件，选择所需课件点击接收，即可将该课件接收至个人的云课件列表。</w:t>
            </w:r>
          </w:p>
          <w:p w14:paraId="4F9C2A94">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5.移动授课：可在手机端选择任意课件开始授课，支持预览课件缩略图，可在缩略图任意选择播放页面，或使用按键实现上下翻页；同时可通过手机对播放页面进行远程批注、擦除等操作，操作过程同步显示在大屏上，方便老师走动教学使用，移动授课时支持不少于6种颜色、3种笔迹批注选择。</w:t>
            </w:r>
          </w:p>
          <w:p w14:paraId="5132AB5B">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6.手机投屏：可将手机屏幕内容实时投影到电脑端。</w:t>
            </w:r>
          </w:p>
          <w:p w14:paraId="46919A7A">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7.资料夹：移动授课助手自带资料夹，可将实时拍摄照片、手机上存储的图片、音视频资源等内容存储在资料夹中，只需要登录同一账号即可下载之前保存的文件内容，即使手机丢失也不影响资料的使用。</w:t>
            </w:r>
          </w:p>
          <w:p w14:paraId="5D2920A8">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8.回收站：老师误删除的课件及其他资源，可在回收站中找到并恢复，找回期限不少于30天。</w:t>
            </w:r>
          </w:p>
          <w:p w14:paraId="7A166CC4">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四、演示助手软件</w:t>
            </w:r>
          </w:p>
          <w:p w14:paraId="36DFD7FD">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1.无需打开其他任何软件，播放PPT时即可实现书写、擦除功能，支持书写颜色自定义、全屏擦除等功能。</w:t>
            </w:r>
          </w:p>
          <w:p w14:paraId="00665ADB">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2.利用书写工具进行批注，批注后的内容能跟随文档同步移动和缩放，支持将文档内的批注保存到文档中，并存储在本地。</w:t>
            </w:r>
          </w:p>
          <w:p w14:paraId="3424B2BE">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3.无需打开其他任何软件，播放PPT时即可支持板中板功能：支持调用板中板辅助教学，可直接批注及加页，不影响课件主画面。</w:t>
            </w:r>
          </w:p>
          <w:p w14:paraId="7D4F704B">
            <w:pPr>
              <w:widowControl/>
              <w:jc w:val="left"/>
              <w:textAlignment w:val="center"/>
              <w:rPr>
                <w:rFonts w:hint="eastAsia" w:eastAsia="Arial" w:cs="宋体" w:asciiTheme="minorEastAsia" w:hAnsiTheme="minorEastAsia"/>
                <w:b w:val="0"/>
                <w:bCs w:val="0"/>
                <w:snapToGrid w:val="0"/>
                <w:color w:val="000000"/>
                <w:kern w:val="0"/>
                <w:sz w:val="24"/>
                <w:szCs w:val="21"/>
                <w:highlight w:val="none"/>
                <w:lang w:val="en-US" w:eastAsia="en-US"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4.无需打开其他任何软件，播放PPT时即可支持将课件内容直接生成二维码分享。</w:t>
            </w:r>
          </w:p>
          <w:p w14:paraId="1B5ACA59">
            <w:pPr>
              <w:widowControl/>
              <w:jc w:val="left"/>
              <w:textAlignment w:val="center"/>
              <w:rPr>
                <w:rFonts w:cs="宋体" w:asciiTheme="minorEastAsia" w:hAnsiTheme="minorEastAsia"/>
                <w:color w:val="000000"/>
                <w:kern w:val="0"/>
                <w:sz w:val="24"/>
                <w:lang w:bidi="ar"/>
              </w:rPr>
            </w:pPr>
            <w:r>
              <w:rPr>
                <w:rFonts w:hint="eastAsia" w:eastAsia="Arial" w:cs="宋体" w:asciiTheme="minorEastAsia" w:hAnsiTheme="minorEastAsia"/>
                <w:b w:val="0"/>
                <w:bCs w:val="0"/>
                <w:snapToGrid w:val="0"/>
                <w:color w:val="000000"/>
                <w:kern w:val="0"/>
                <w:sz w:val="24"/>
                <w:szCs w:val="21"/>
                <w:highlight w:val="none"/>
                <w:lang w:val="en-US" w:eastAsia="en-US" w:bidi="ar"/>
              </w:rPr>
              <w:t>无需打开其他任何软件，播放 PPT 时即可调用放大镜，并且支持在板中板上调用放大镜。</w:t>
            </w:r>
          </w:p>
        </w:tc>
        <w:tc>
          <w:tcPr>
            <w:tcW w:w="860" w:type="dxa"/>
            <w:shd w:val="clear" w:color="auto" w:fill="auto"/>
            <w:noWrap/>
            <w:vAlign w:val="center"/>
          </w:tcPr>
          <w:p w14:paraId="135D0278">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套</w:t>
            </w:r>
          </w:p>
        </w:tc>
        <w:tc>
          <w:tcPr>
            <w:tcW w:w="960" w:type="dxa"/>
            <w:shd w:val="clear" w:color="auto" w:fill="auto"/>
            <w:noWrap/>
            <w:vAlign w:val="center"/>
          </w:tcPr>
          <w:p w14:paraId="3275E65F">
            <w:pPr>
              <w:widowControl/>
              <w:jc w:val="center"/>
              <w:textAlignment w:val="center"/>
              <w:rPr>
                <w:rFonts w:cs="宋体" w:asciiTheme="minorEastAsia" w:hAnsiTheme="minorEastAsia"/>
                <w:color w:val="000000"/>
                <w:sz w:val="24"/>
              </w:rPr>
            </w:pPr>
            <w:r>
              <w:rPr>
                <w:rFonts w:hint="eastAsia" w:asciiTheme="minorEastAsia" w:hAnsiTheme="minorEastAsia"/>
                <w:color w:val="000000"/>
                <w:sz w:val="24"/>
              </w:rPr>
              <w:t>1</w:t>
            </w:r>
          </w:p>
        </w:tc>
      </w:tr>
      <w:tr w14:paraId="5601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trPr>
        <w:tc>
          <w:tcPr>
            <w:tcW w:w="860" w:type="dxa"/>
            <w:shd w:val="clear" w:color="auto" w:fill="FFFFFF" w:themeFill="background1"/>
            <w:noWrap/>
            <w:vAlign w:val="center"/>
          </w:tcPr>
          <w:p w14:paraId="695F22EB">
            <w:pPr>
              <w:jc w:val="center"/>
              <w:rPr>
                <w:rFonts w:cs="宋体" w:asciiTheme="minorEastAsia" w:hAnsiTheme="minorEastAsia"/>
                <w:color w:val="000000"/>
                <w:sz w:val="24"/>
              </w:rPr>
            </w:pPr>
            <w:r>
              <w:rPr>
                <w:rFonts w:hint="eastAsia" w:asciiTheme="minorEastAsia" w:hAnsiTheme="minorEastAsia"/>
                <w:color w:val="000000"/>
                <w:sz w:val="24"/>
              </w:rPr>
              <w:t>31</w:t>
            </w:r>
          </w:p>
        </w:tc>
        <w:tc>
          <w:tcPr>
            <w:tcW w:w="1637" w:type="dxa"/>
            <w:shd w:val="clear" w:color="auto" w:fill="FFFFFF" w:themeFill="background1"/>
            <w:noWrap/>
            <w:vAlign w:val="center"/>
          </w:tcPr>
          <w:p w14:paraId="2AE39E89">
            <w:pPr>
              <w:widowControl/>
              <w:jc w:val="center"/>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显微镜</w:t>
            </w:r>
          </w:p>
        </w:tc>
        <w:tc>
          <w:tcPr>
            <w:tcW w:w="9820" w:type="dxa"/>
            <w:shd w:val="clear" w:color="auto" w:fill="auto"/>
            <w:vAlign w:val="center"/>
          </w:tcPr>
          <w:p w14:paraId="5C007178">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1、光学系统：无限远色差校正光学系统，放大倍数≥40X-1000X。</w:t>
            </w:r>
          </w:p>
          <w:p w14:paraId="15F58519">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2、目镜：大视野广角目镜WF10X带一字测微尺,视场≥18mm,16X目镜视野直径≥13.5mm。10X目镜放大准确率（以检测报告中数据为准）≤±0.43%。</w:t>
            </w:r>
          </w:p>
          <w:p w14:paraId="6AC5EFD8">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3、观察筒：铰链双目观察镜筒，30°倾斜；瞳距调节范围不小于50-75mm，带视度调节功能，带目镜锁紧机构。</w:t>
            </w:r>
          </w:p>
          <w:p w14:paraId="46691F30">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4、转换器：内倾式4孔转换器。转换器定位稳定性（以检测报告中数据为准）≤0.003mm。</w:t>
            </w:r>
          </w:p>
          <w:p w14:paraId="30220041">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5、无限远平场物镜：4X、10X、40X（S）、100X（S、O）；</w:t>
            </w:r>
          </w:p>
          <w:p w14:paraId="51EEA134">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4倍物镜清晰圆直径（以检测报告中数据为准）≥15.6mm；</w:t>
            </w:r>
          </w:p>
          <w:p w14:paraId="6EE2E78B">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10倍物镜清晰圆直径（以检测报告中数据为准）≥15.5mm；</w:t>
            </w:r>
          </w:p>
          <w:p w14:paraId="49A3E97D">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40倍物镜清晰圆直径（以检测报告中数据为准）≥15.4mm；</w:t>
            </w:r>
          </w:p>
          <w:p w14:paraId="78791107">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100倍物镜清晰圆直径（以检测报告中数据为准）≥15.4mm。</w:t>
            </w:r>
          </w:p>
          <w:p w14:paraId="7C092A6C">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物镜放大率准确度误差范围（以检测报告中数据为准）不超过±0.49%。</w:t>
            </w:r>
          </w:p>
          <w:p w14:paraId="56860E1C">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6、调焦机构：低手位粗微调同轴调焦手轮，行程≥28mm，微调精度0.002mm，带有调节松紧装置,防止平台下滑。</w:t>
            </w:r>
          </w:p>
          <w:p w14:paraId="2E2B8F0B">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7、载物台：双层复合式机械移动载物台，移动范围70×30mm，最小读数值0.1mm，片夹带有缓冲装置。载物台侧向受5N水平方向作用力的最大位移（以检测报告中数据为准）≤0.005mm， 载物台侧向受5N水平方向作用力的不重复性（以检测报告中数据为准）≤0.002mm。</w:t>
            </w:r>
          </w:p>
          <w:p w14:paraId="5AB90BAF">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8、聚光镜：阿贝聚光镜N.A.1.25，齿轮齿条升降，带可变孔径光阑。</w:t>
            </w:r>
          </w:p>
          <w:p w14:paraId="22A04FA4">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9、照明系统：外置式宽电压变压器，单颗3W大功率高亮度LED，冷暖色可选，预定中心，亮度连续可调。</w:t>
            </w:r>
          </w:p>
          <w:p w14:paraId="2A5B5921">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10、显示模块：10.5寸液晶显示屏，触摸屏操作，摄像系统与液晶屏为一体设计；硬件分辨率：高清标准1920*1080，拍照像素：800万像素以上,录像分辨率1080P/30FPS；数据接口：HDMI高清投屏/U盘/Bluetooth蓝牙传输/Wi-Fi无线/RJ45 LAN有线网络；显微镜主体及显示屏为一体的电源，电源适配器规格：DC12V 2A；</w:t>
            </w:r>
          </w:p>
        </w:tc>
        <w:tc>
          <w:tcPr>
            <w:tcW w:w="860" w:type="dxa"/>
            <w:shd w:val="clear" w:color="auto" w:fill="auto"/>
            <w:noWrap/>
            <w:vAlign w:val="center"/>
          </w:tcPr>
          <w:p w14:paraId="0954E70D">
            <w:pPr>
              <w:widowControl/>
              <w:jc w:val="right"/>
              <w:textAlignment w:val="center"/>
              <w:rPr>
                <w:rFonts w:cs="宋体" w:asciiTheme="minorEastAsia" w:hAnsiTheme="minorEastAsia"/>
                <w:color w:val="000000"/>
                <w:sz w:val="24"/>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6D6195CE">
            <w:pPr>
              <w:widowControl/>
              <w:jc w:val="center"/>
              <w:textAlignment w:val="center"/>
              <w:rPr>
                <w:rFonts w:hint="default" w:cs="宋体" w:asciiTheme="minorEastAsia" w:hAnsiTheme="minorEastAsia" w:eastAsiaTheme="minorEastAsia"/>
                <w:color w:val="000000"/>
                <w:sz w:val="24"/>
                <w:lang w:val="en-US" w:eastAsia="zh-CN"/>
              </w:rPr>
            </w:pPr>
            <w:r>
              <w:rPr>
                <w:rFonts w:hint="eastAsia" w:asciiTheme="minorEastAsia" w:hAnsiTheme="minorEastAsia"/>
                <w:color w:val="000000"/>
                <w:sz w:val="24"/>
                <w:lang w:val="en-US" w:eastAsia="zh-CN"/>
              </w:rPr>
              <w:t>10</w:t>
            </w:r>
          </w:p>
        </w:tc>
      </w:tr>
      <w:tr w14:paraId="7260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60" w:type="dxa"/>
            <w:shd w:val="clear" w:color="auto" w:fill="FFFFFF" w:themeFill="background1"/>
            <w:noWrap/>
            <w:vAlign w:val="center"/>
          </w:tcPr>
          <w:p w14:paraId="19CE2A93">
            <w:pPr>
              <w:jc w:val="center"/>
              <w:rPr>
                <w:rFonts w:cs="宋体" w:asciiTheme="minorEastAsia" w:hAnsiTheme="minorEastAsia"/>
                <w:color w:val="000000"/>
                <w:sz w:val="24"/>
              </w:rPr>
            </w:pPr>
            <w:r>
              <w:rPr>
                <w:rFonts w:hint="eastAsia" w:asciiTheme="minorEastAsia" w:hAnsiTheme="minorEastAsia"/>
                <w:color w:val="000000"/>
                <w:sz w:val="24"/>
              </w:rPr>
              <w:t>32</w:t>
            </w:r>
          </w:p>
        </w:tc>
        <w:tc>
          <w:tcPr>
            <w:tcW w:w="1637" w:type="dxa"/>
            <w:shd w:val="clear" w:color="auto" w:fill="FFFFFF" w:themeFill="background1"/>
            <w:noWrap/>
            <w:vAlign w:val="center"/>
          </w:tcPr>
          <w:p w14:paraId="1C1D4B5B">
            <w:pPr>
              <w:widowControl/>
              <w:jc w:val="lef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生物显微镜</w:t>
            </w:r>
          </w:p>
        </w:tc>
        <w:tc>
          <w:tcPr>
            <w:tcW w:w="9820" w:type="dxa"/>
            <w:shd w:val="clear" w:color="auto" w:fill="auto"/>
            <w:vAlign w:val="center"/>
          </w:tcPr>
          <w:p w14:paraId="538E5D9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1、放大倍数：40X-1000X。</w:t>
            </w:r>
          </w:p>
          <w:p w14:paraId="54CE644F">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2、光学系统：无限远色差校正光学系统。</w:t>
            </w:r>
          </w:p>
          <w:p w14:paraId="12315F3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3、目镜：WF10X/22mm，两只目镜都可视度调节。</w:t>
            </w:r>
          </w:p>
          <w:p w14:paraId="23A1130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4、观察筒：铰链式观察筒，30°倾斜；瞳距调节范围48-76mm。具有铰链组360°旋转功能，眼点高度375-428.5mm。</w:t>
            </w:r>
          </w:p>
          <w:p w14:paraId="098C61F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5、物镜转换器：内倾式5孔物镜编码转换、能够记忆每个物镜的照明亮度、自动切换，物镜切换时，亮度自动调整，转换器稳定性：≤0.002㎜；</w:t>
            </w:r>
          </w:p>
          <w:p w14:paraId="58AB9E53">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6、聚光镜：数值孔径N.A.1.25柯拉照明聚光镜，带可变孔径光栏，带暗场、相差附件插口,带视场光阑。</w:t>
            </w:r>
          </w:p>
          <w:p w14:paraId="14FD0FF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7、载物台：双层复合机械移动平台，金属钢丝导轨平台，台面采用超硬度工艺，硬度高，耐腐蚀；载物台面积≥200mmX140mm(安装时查验)，平台行程≥70mmX50mm（安装时查验），片夹可同时夹持两块切片，方便对比观察。精度≤0.1mm，载物台无突出齿条结构，侧向受5N水平方向用力最大位移≤0.001㎜、不重复性≤0.002㎜；</w:t>
            </w:r>
            <w:r>
              <w:rPr>
                <w:rFonts w:hint="eastAsia" w:eastAsia="宋体" w:cs="宋体" w:asciiTheme="minorEastAsia" w:hAnsiTheme="minorEastAsia"/>
                <w:b/>
                <w:bCs/>
                <w:color w:val="000000"/>
                <w:kern w:val="0"/>
                <w:sz w:val="24"/>
                <w:highlight w:val="none"/>
                <w:lang w:eastAsia="zh-CN" w:bidi="ar"/>
              </w:rPr>
              <w:t>（</w:t>
            </w:r>
            <w:r>
              <w:rPr>
                <w:rFonts w:hint="eastAsia" w:eastAsia="宋体" w:cs="宋体" w:asciiTheme="minorEastAsia" w:hAnsiTheme="minorEastAsia"/>
                <w:b/>
                <w:bCs/>
                <w:color w:val="000000"/>
                <w:kern w:val="0"/>
                <w:sz w:val="24"/>
                <w:highlight w:val="none"/>
                <w:lang w:val="en-US" w:eastAsia="zh-CN" w:bidi="ar"/>
              </w:rPr>
              <w:t>投标人提供技术白皮书或检测报告佐证此功能）</w:t>
            </w:r>
          </w:p>
          <w:p w14:paraId="28AB9AAB">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8、调焦机构：低手位粗微调同轴，带松紧调节装置和上限位装置，粗调行程≥27mm。微调机构空回）：≤0.002㎜；</w:t>
            </w:r>
          </w:p>
          <w:p w14:paraId="15D3FD56">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9、物镜：</w:t>
            </w:r>
          </w:p>
          <w:p w14:paraId="29F735EE">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9.1、无限远平场消色差物镜:4X/NA≥0.1/WD≥22mm， 10X/NA≥0.25/WD≥10.8mm，20X/NA≥0.4/WD≥1.5mm，40X/NA≥0.65/WD≥0.8mm，100X/NA≥1.25/WD≥0.21mm。</w:t>
            </w:r>
          </w:p>
          <w:p w14:paraId="338F7AB5">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▲9.2、物镜清晰圆直径：4倍物镜成像清晰圆圆直径≥18.6㎜、10倍物镜成像清晰圆直径≥18.8㎜、20倍物镜成像清晰圆直径≥18.7㎜、40倍物镜成像清晰圆直径≥19㎜、100倍物镜成像清晰圆直径≥18.8㎜；</w:t>
            </w:r>
            <w:r>
              <w:rPr>
                <w:rFonts w:hint="eastAsia" w:eastAsia="宋体" w:cs="宋体" w:asciiTheme="minorEastAsia" w:hAnsiTheme="minorEastAsia"/>
                <w:b/>
                <w:bCs/>
                <w:color w:val="000000"/>
                <w:kern w:val="0"/>
                <w:sz w:val="24"/>
                <w:highlight w:val="none"/>
                <w:lang w:eastAsia="zh-CN" w:bidi="ar"/>
              </w:rPr>
              <w:t>（</w:t>
            </w:r>
            <w:r>
              <w:rPr>
                <w:rFonts w:hint="eastAsia" w:eastAsia="宋体" w:cs="宋体" w:asciiTheme="minorEastAsia" w:hAnsiTheme="minorEastAsia"/>
                <w:b/>
                <w:bCs/>
                <w:color w:val="000000"/>
                <w:kern w:val="0"/>
                <w:sz w:val="24"/>
                <w:highlight w:val="none"/>
                <w:lang w:val="en-US" w:eastAsia="zh-CN" w:bidi="ar"/>
              </w:rPr>
              <w:t>投标人提供技术白皮书或检测报告佐证此功能）</w:t>
            </w:r>
          </w:p>
          <w:p w14:paraId="317AFD5D">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10、一体化成像系统：≥10.5寸液晶显示屏与显微镜为内置一体设计，屏幕硬件分辨率：高清标准1920*1080，内置传感器像素：</w:t>
            </w:r>
            <w:r>
              <w:rPr>
                <w:rFonts w:hint="eastAsia" w:cs="宋体" w:asciiTheme="minorEastAsia" w:hAnsiTheme="minorEastAsia"/>
                <w:color w:val="000000"/>
                <w:kern w:val="0"/>
                <w:sz w:val="24"/>
                <w:highlight w:val="none"/>
                <w:lang w:val="en-US" w:eastAsia="zh-CN" w:bidi="ar"/>
              </w:rPr>
              <w:t>不低于</w:t>
            </w:r>
            <w:r>
              <w:rPr>
                <w:rFonts w:hint="eastAsia" w:cs="宋体" w:asciiTheme="minorEastAsia" w:hAnsiTheme="minorEastAsia"/>
                <w:color w:val="000000"/>
                <w:kern w:val="0"/>
                <w:sz w:val="24"/>
                <w:highlight w:val="none"/>
                <w:lang w:bidi="ar"/>
              </w:rPr>
              <w:t>1600万像素,录像分辨率1080P/30FPS，四核以上处理器，</w:t>
            </w:r>
            <w:r>
              <w:rPr>
                <w:rFonts w:hint="eastAsia" w:cs="宋体" w:asciiTheme="minorEastAsia" w:hAnsiTheme="minorEastAsia"/>
                <w:color w:val="000000"/>
                <w:kern w:val="0"/>
                <w:sz w:val="24"/>
                <w:highlight w:val="none"/>
                <w:lang w:val="en-US" w:eastAsia="zh-CN" w:bidi="ar"/>
              </w:rPr>
              <w:t>不低于</w:t>
            </w:r>
            <w:r>
              <w:rPr>
                <w:rFonts w:hint="eastAsia" w:cs="宋体" w:asciiTheme="minorEastAsia" w:hAnsiTheme="minorEastAsia"/>
                <w:color w:val="000000"/>
                <w:kern w:val="0"/>
                <w:sz w:val="24"/>
                <w:highlight w:val="none"/>
                <w:lang w:bidi="ar"/>
              </w:rPr>
              <w:t>Android 11系统，运行内存</w:t>
            </w:r>
            <w:r>
              <w:rPr>
                <w:rFonts w:hint="eastAsia" w:cs="宋体" w:asciiTheme="minorEastAsia" w:hAnsiTheme="minorEastAsia"/>
                <w:color w:val="000000"/>
                <w:kern w:val="0"/>
                <w:sz w:val="24"/>
                <w:highlight w:val="none"/>
                <w:lang w:val="en-US" w:eastAsia="zh-CN" w:bidi="ar"/>
              </w:rPr>
              <w:t>不低于</w:t>
            </w:r>
            <w:r>
              <w:rPr>
                <w:rFonts w:hint="eastAsia" w:cs="宋体" w:asciiTheme="minorEastAsia" w:hAnsiTheme="minorEastAsia"/>
                <w:color w:val="000000"/>
                <w:kern w:val="0"/>
                <w:sz w:val="24"/>
                <w:highlight w:val="none"/>
                <w:lang w:bidi="ar"/>
              </w:rPr>
              <w:t>4G，存储内存</w:t>
            </w:r>
            <w:r>
              <w:rPr>
                <w:rFonts w:hint="eastAsia" w:cs="宋体" w:asciiTheme="minorEastAsia" w:hAnsiTheme="minorEastAsia"/>
                <w:color w:val="000000"/>
                <w:kern w:val="0"/>
                <w:sz w:val="24"/>
                <w:highlight w:val="none"/>
                <w:lang w:val="en-US" w:eastAsia="zh-CN" w:bidi="ar"/>
              </w:rPr>
              <w:t>不低于</w:t>
            </w:r>
            <w:r>
              <w:rPr>
                <w:rFonts w:hint="eastAsia" w:cs="宋体" w:asciiTheme="minorEastAsia" w:hAnsiTheme="minorEastAsia"/>
                <w:color w:val="000000"/>
                <w:kern w:val="0"/>
                <w:sz w:val="24"/>
                <w:highlight w:val="none"/>
                <w:lang w:bidi="ar"/>
              </w:rPr>
              <w:t>64G；</w:t>
            </w:r>
          </w:p>
          <w:p w14:paraId="02DED66B">
            <w:pPr>
              <w:widowControl/>
              <w:jc w:val="left"/>
              <w:textAlignment w:val="center"/>
              <w:rPr>
                <w:rFonts w:hint="default" w:eastAsia="宋体" w:cs="宋体" w:asciiTheme="minorEastAsia" w:hAnsiTheme="minorEastAsia"/>
                <w:color w:val="000000"/>
                <w:kern w:val="0"/>
                <w:sz w:val="24"/>
                <w:highlight w:val="none"/>
                <w:lang w:val="en-US" w:eastAsia="zh-CN" w:bidi="ar"/>
              </w:rPr>
            </w:pPr>
            <w:r>
              <w:rPr>
                <w:rFonts w:hint="eastAsia" w:cs="宋体" w:asciiTheme="minorEastAsia" w:hAnsiTheme="minorEastAsia"/>
                <w:color w:val="000000"/>
                <w:kern w:val="0"/>
                <w:sz w:val="24"/>
                <w:highlight w:val="none"/>
                <w:lang w:bidi="ar"/>
              </w:rPr>
              <w:t>▲11、平板电脑旋转功能：水平旋转270°有限位、自锁功能；上下翻转180°；</w:t>
            </w:r>
            <w:r>
              <w:rPr>
                <w:rFonts w:hint="eastAsia" w:eastAsia="宋体" w:cs="宋体" w:asciiTheme="minorEastAsia" w:hAnsiTheme="minorEastAsia"/>
                <w:b/>
                <w:bCs/>
                <w:color w:val="000000"/>
                <w:kern w:val="0"/>
                <w:sz w:val="24"/>
                <w:highlight w:val="none"/>
                <w:lang w:eastAsia="zh-CN" w:bidi="ar"/>
              </w:rPr>
              <w:t>（</w:t>
            </w:r>
            <w:r>
              <w:rPr>
                <w:rFonts w:hint="eastAsia" w:eastAsia="宋体" w:cs="宋体" w:asciiTheme="minorEastAsia" w:hAnsiTheme="minorEastAsia"/>
                <w:b/>
                <w:bCs/>
                <w:color w:val="000000"/>
                <w:kern w:val="0"/>
                <w:sz w:val="24"/>
                <w:highlight w:val="none"/>
                <w:lang w:val="en-US" w:eastAsia="zh-CN" w:bidi="ar"/>
              </w:rPr>
              <w:t>投标人提供技术白皮书或检测报告佐证此功能）</w:t>
            </w:r>
          </w:p>
          <w:p w14:paraId="6A5C53E8">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12、数据接口：HDMI高清投屏/U盘/Bluetooth蓝牙传输/Wi-Fi无线/RJ45 LAN有线网络；为确保仪器使用的稳定性及安全性，所有数据接口以及电源接口设置在仪器底座背面；</w:t>
            </w:r>
          </w:p>
          <w:p w14:paraId="0E0294A2">
            <w:pPr>
              <w:widowControl/>
              <w:jc w:val="left"/>
              <w:textAlignment w:val="center"/>
              <w:rPr>
                <w:rFonts w:hint="eastAsia" w:cs="宋体" w:asciiTheme="minorEastAsia" w:hAnsiTheme="minorEastAsia"/>
                <w:color w:val="000000"/>
                <w:kern w:val="0"/>
                <w:sz w:val="24"/>
                <w:highlight w:val="none"/>
                <w:lang w:bidi="ar"/>
              </w:rPr>
            </w:pPr>
            <w:r>
              <w:rPr>
                <w:rFonts w:hint="eastAsia" w:cs="宋体" w:asciiTheme="minorEastAsia" w:hAnsiTheme="minorEastAsia"/>
                <w:color w:val="000000"/>
                <w:kern w:val="0"/>
                <w:sz w:val="24"/>
                <w:highlight w:val="none"/>
                <w:lang w:bidi="ar"/>
              </w:rPr>
              <w:t>13、照明系统：宽电压输入，大功率高亮度3W LED，支持充电宝供电，能够将移动电源作为显微镜电源，便于在室外或停电状态下使用（提供背部和移动电源使用的实物照片证明）。</w:t>
            </w:r>
          </w:p>
          <w:p w14:paraId="6C0DAD76">
            <w:pPr>
              <w:widowControl/>
              <w:jc w:val="lef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highlight w:val="none"/>
                <w:lang w:bidi="ar"/>
              </w:rPr>
              <w:t>14、节能和管理系统：主机带液晶显示窗口，指示当前倍率、色温可调及对应亮度（提供实物照片照明），提高工作效率，减少视觉疲劳。照明色温可调节范围达到3500K-6500K，从卤素灯泡色温（黄光）到LED色温（白光）连续可调，适合不同标本（植物/动物）需要，无需更换卤素灯、LED灯源。带亮度记忆功能，更换物镜自动更换亮度。带ECO节能工作模式，如感应到无人操作自动进入ECO模式，工作时可通过调光旋钮自动唤醒灯源，节能降耗。</w:t>
            </w:r>
          </w:p>
        </w:tc>
        <w:tc>
          <w:tcPr>
            <w:tcW w:w="860" w:type="dxa"/>
            <w:shd w:val="clear" w:color="auto" w:fill="auto"/>
            <w:noWrap/>
            <w:vAlign w:val="center"/>
          </w:tcPr>
          <w:p w14:paraId="5B32AF2E">
            <w:pPr>
              <w:widowControl/>
              <w:jc w:val="right"/>
              <w:textAlignment w:val="center"/>
              <w:rPr>
                <w:rFonts w:cs="宋体" w:asciiTheme="minorEastAsia" w:hAnsiTheme="minorEastAsia"/>
                <w:color w:val="000000"/>
                <w:kern w:val="0"/>
                <w:sz w:val="24"/>
                <w:lang w:bidi="ar"/>
              </w:rPr>
            </w:pPr>
            <w:r>
              <w:rPr>
                <w:rFonts w:hint="eastAsia" w:cs="宋体" w:asciiTheme="minorEastAsia" w:hAnsiTheme="minorEastAsia"/>
                <w:color w:val="000000"/>
                <w:kern w:val="0"/>
                <w:sz w:val="24"/>
                <w:lang w:bidi="ar"/>
              </w:rPr>
              <w:t>台</w:t>
            </w:r>
          </w:p>
        </w:tc>
        <w:tc>
          <w:tcPr>
            <w:tcW w:w="960" w:type="dxa"/>
            <w:shd w:val="clear" w:color="auto" w:fill="auto"/>
            <w:noWrap/>
            <w:vAlign w:val="center"/>
          </w:tcPr>
          <w:p w14:paraId="3357A865">
            <w:pPr>
              <w:widowControl/>
              <w:jc w:val="center"/>
              <w:textAlignment w:val="center"/>
              <w:rPr>
                <w:rFonts w:hint="default" w:cs="宋体" w:asciiTheme="minorEastAsia" w:hAnsiTheme="minorEastAsia" w:eastAsiaTheme="minorEastAsia"/>
                <w:color w:val="000000"/>
                <w:kern w:val="0"/>
                <w:sz w:val="24"/>
                <w:lang w:val="en-US" w:eastAsia="zh-CN" w:bidi="ar"/>
              </w:rPr>
            </w:pPr>
            <w:r>
              <w:rPr>
                <w:rFonts w:hint="eastAsia" w:asciiTheme="minorEastAsia" w:hAnsiTheme="minorEastAsia"/>
                <w:color w:val="000000"/>
                <w:sz w:val="24"/>
                <w:lang w:val="en-US" w:eastAsia="zh-CN"/>
              </w:rPr>
              <w:t>10</w:t>
            </w:r>
          </w:p>
        </w:tc>
      </w:tr>
      <w:tr w14:paraId="1CC7E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60" w:type="dxa"/>
            <w:shd w:val="clear" w:color="auto" w:fill="FFFFFF" w:themeFill="background1"/>
            <w:noWrap/>
            <w:vAlign w:val="center"/>
          </w:tcPr>
          <w:p w14:paraId="15CA9B09">
            <w:pPr>
              <w:jc w:val="center"/>
              <w:rPr>
                <w:rFonts w:hint="default" w:asciiTheme="minorEastAsia" w:hAnsiTheme="minorEastAsia" w:eastAsiaTheme="minorEastAsia"/>
                <w:color w:val="000000"/>
                <w:sz w:val="24"/>
                <w:lang w:val="en-US" w:eastAsia="zh-CN"/>
              </w:rPr>
            </w:pPr>
            <w:r>
              <w:rPr>
                <w:rFonts w:hint="eastAsia" w:asciiTheme="minorEastAsia" w:hAnsiTheme="minorEastAsia"/>
                <w:color w:val="000000"/>
                <w:sz w:val="24"/>
                <w:lang w:val="en-US" w:eastAsia="zh-CN"/>
              </w:rPr>
              <w:t>33</w:t>
            </w:r>
          </w:p>
        </w:tc>
        <w:tc>
          <w:tcPr>
            <w:tcW w:w="1637" w:type="dxa"/>
            <w:shd w:val="clear" w:color="auto" w:fill="FFFFFF" w:themeFill="background1"/>
            <w:noWrap/>
            <w:vAlign w:val="center"/>
          </w:tcPr>
          <w:p w14:paraId="75897F00">
            <w:pPr>
              <w:widowControl/>
              <w:jc w:val="left"/>
              <w:textAlignment w:val="center"/>
              <w:rPr>
                <w:rFonts w:hint="default" w:cs="宋体" w:asciiTheme="minorEastAsia" w:hAnsiTheme="minorEastAsia" w:eastAsiaTheme="minorEastAsia"/>
                <w:color w:val="000000"/>
                <w:kern w:val="0"/>
                <w:sz w:val="24"/>
                <w:lang w:val="en-US" w:eastAsia="zh-CN" w:bidi="ar"/>
              </w:rPr>
            </w:pPr>
            <w:r>
              <w:rPr>
                <w:rFonts w:hint="eastAsia" w:cs="宋体" w:asciiTheme="minorEastAsia" w:hAnsiTheme="minorEastAsia"/>
                <w:color w:val="000000"/>
                <w:kern w:val="0"/>
                <w:sz w:val="24"/>
                <w:lang w:val="en-US" w:eastAsia="zh-CN" w:bidi="ar"/>
              </w:rPr>
              <w:t>内含文化建设</w:t>
            </w:r>
          </w:p>
        </w:tc>
        <w:tc>
          <w:tcPr>
            <w:tcW w:w="9820" w:type="dxa"/>
            <w:shd w:val="clear" w:color="auto" w:fill="auto"/>
            <w:vAlign w:val="center"/>
          </w:tcPr>
          <w:p w14:paraId="643270B0">
            <w:pPr>
              <w:widowControl/>
              <w:jc w:val="left"/>
              <w:textAlignment w:val="center"/>
              <w:rPr>
                <w:rFonts w:hint="eastAsia" w:cs="宋体" w:asciiTheme="minorEastAsia" w:hAnsiTheme="minorEastAsia"/>
                <w:color w:val="000000"/>
                <w:kern w:val="0"/>
                <w:sz w:val="24"/>
                <w:lang w:bidi="ar"/>
              </w:rPr>
            </w:pPr>
            <w:r>
              <w:rPr>
                <w:rFonts w:hint="eastAsia" w:cs="宋体" w:asciiTheme="minorEastAsia" w:hAnsiTheme="minorEastAsia"/>
                <w:color w:val="000000"/>
                <w:kern w:val="0"/>
                <w:sz w:val="24"/>
                <w:lang w:bidi="ar"/>
              </w:rPr>
              <w:t>文化宣传墙</w:t>
            </w:r>
          </w:p>
        </w:tc>
        <w:tc>
          <w:tcPr>
            <w:tcW w:w="860" w:type="dxa"/>
            <w:shd w:val="clear" w:color="auto" w:fill="auto"/>
            <w:noWrap/>
            <w:vAlign w:val="center"/>
          </w:tcPr>
          <w:p w14:paraId="294016A6">
            <w:pPr>
              <w:widowControl/>
              <w:jc w:val="right"/>
              <w:textAlignment w:val="center"/>
              <w:rPr>
                <w:rFonts w:hint="eastAsia" w:cs="宋体" w:asciiTheme="minorEastAsia" w:hAnsiTheme="minorEastAsia" w:eastAsiaTheme="minorEastAsia"/>
                <w:color w:val="000000"/>
                <w:kern w:val="0"/>
                <w:sz w:val="24"/>
                <w:lang w:val="en-US" w:eastAsia="zh-CN" w:bidi="ar"/>
              </w:rPr>
            </w:pPr>
            <w:r>
              <w:rPr>
                <w:rFonts w:hint="eastAsia" w:cs="宋体" w:asciiTheme="minorEastAsia" w:hAnsiTheme="minorEastAsia"/>
                <w:color w:val="000000"/>
                <w:kern w:val="0"/>
                <w:sz w:val="24"/>
                <w:lang w:val="en-US" w:eastAsia="zh-CN" w:bidi="ar"/>
              </w:rPr>
              <w:t>套</w:t>
            </w:r>
          </w:p>
        </w:tc>
        <w:tc>
          <w:tcPr>
            <w:tcW w:w="960" w:type="dxa"/>
            <w:shd w:val="clear" w:color="auto" w:fill="auto"/>
            <w:noWrap/>
            <w:vAlign w:val="center"/>
          </w:tcPr>
          <w:p w14:paraId="70545BCB">
            <w:pPr>
              <w:widowControl/>
              <w:jc w:val="center"/>
              <w:textAlignment w:val="center"/>
              <w:rPr>
                <w:rFonts w:hint="default" w:asciiTheme="minorEastAsia" w:hAnsiTheme="minorEastAsia"/>
                <w:color w:val="000000"/>
                <w:sz w:val="24"/>
                <w:lang w:val="en-US" w:eastAsia="zh-CN"/>
              </w:rPr>
            </w:pPr>
            <w:r>
              <w:rPr>
                <w:rFonts w:hint="eastAsia" w:asciiTheme="minorEastAsia" w:hAnsiTheme="minorEastAsia"/>
                <w:color w:val="000000"/>
                <w:sz w:val="24"/>
                <w:lang w:val="en-US" w:eastAsia="zh-CN"/>
              </w:rPr>
              <w:t>1</w:t>
            </w:r>
          </w:p>
        </w:tc>
      </w:tr>
    </w:tbl>
    <w:p w14:paraId="53F90F2E"/>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D7E4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C0F69A6">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C0F69A6">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9F5FD">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F53F4A"/>
    <w:rsid w:val="00032F8E"/>
    <w:rsid w:val="000A3D42"/>
    <w:rsid w:val="001A0CEE"/>
    <w:rsid w:val="001C1095"/>
    <w:rsid w:val="001E39E6"/>
    <w:rsid w:val="0034377F"/>
    <w:rsid w:val="004132F4"/>
    <w:rsid w:val="0041339E"/>
    <w:rsid w:val="00490415"/>
    <w:rsid w:val="004C0C0F"/>
    <w:rsid w:val="00551213"/>
    <w:rsid w:val="00560280"/>
    <w:rsid w:val="005E30F5"/>
    <w:rsid w:val="00610351"/>
    <w:rsid w:val="008B6F05"/>
    <w:rsid w:val="00A71990"/>
    <w:rsid w:val="00B05A3F"/>
    <w:rsid w:val="00BF45B3"/>
    <w:rsid w:val="00DD1270"/>
    <w:rsid w:val="00E60CFE"/>
    <w:rsid w:val="00E9023A"/>
    <w:rsid w:val="00F07FDE"/>
    <w:rsid w:val="00F40980"/>
    <w:rsid w:val="02F237E2"/>
    <w:rsid w:val="034C1B99"/>
    <w:rsid w:val="064249C6"/>
    <w:rsid w:val="0AF02C43"/>
    <w:rsid w:val="0C9D7788"/>
    <w:rsid w:val="0ECC536B"/>
    <w:rsid w:val="109866AA"/>
    <w:rsid w:val="11472E91"/>
    <w:rsid w:val="12413D84"/>
    <w:rsid w:val="12C73BD0"/>
    <w:rsid w:val="1326226D"/>
    <w:rsid w:val="1445192C"/>
    <w:rsid w:val="153C6A85"/>
    <w:rsid w:val="17723AC7"/>
    <w:rsid w:val="17F2579C"/>
    <w:rsid w:val="1C427076"/>
    <w:rsid w:val="20002C39"/>
    <w:rsid w:val="200918C5"/>
    <w:rsid w:val="256A6EAC"/>
    <w:rsid w:val="27E74801"/>
    <w:rsid w:val="2F9A655F"/>
    <w:rsid w:val="323D03A5"/>
    <w:rsid w:val="34D66FA5"/>
    <w:rsid w:val="37740D52"/>
    <w:rsid w:val="387738BF"/>
    <w:rsid w:val="38EF5A38"/>
    <w:rsid w:val="3A8F75A2"/>
    <w:rsid w:val="3AAF547F"/>
    <w:rsid w:val="3C7F70D3"/>
    <w:rsid w:val="3D5037EE"/>
    <w:rsid w:val="3E5F22AE"/>
    <w:rsid w:val="3ECF60F0"/>
    <w:rsid w:val="40515EAA"/>
    <w:rsid w:val="41076015"/>
    <w:rsid w:val="426B401F"/>
    <w:rsid w:val="435F191E"/>
    <w:rsid w:val="47C85DD2"/>
    <w:rsid w:val="4E2C192A"/>
    <w:rsid w:val="4F300B41"/>
    <w:rsid w:val="52AF74B4"/>
    <w:rsid w:val="53110FC9"/>
    <w:rsid w:val="5473040A"/>
    <w:rsid w:val="571A5D1D"/>
    <w:rsid w:val="582C7CB7"/>
    <w:rsid w:val="5B1769FD"/>
    <w:rsid w:val="5D73702D"/>
    <w:rsid w:val="607870A6"/>
    <w:rsid w:val="63133F4E"/>
    <w:rsid w:val="69270753"/>
    <w:rsid w:val="69786A43"/>
    <w:rsid w:val="6F40665F"/>
    <w:rsid w:val="72981213"/>
    <w:rsid w:val="72A93F87"/>
    <w:rsid w:val="72CD1555"/>
    <w:rsid w:val="7479188D"/>
    <w:rsid w:val="75F53F4A"/>
    <w:rsid w:val="783A2165"/>
    <w:rsid w:val="796B643A"/>
    <w:rsid w:val="7E371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keepNext/>
      <w:keepLines/>
      <w:spacing w:line="360" w:lineRule="auto"/>
      <w:jc w:val="both"/>
      <w:outlineLvl w:val="1"/>
    </w:pPr>
    <w:rPr>
      <w:rFonts w:asciiTheme="majorHAnsi" w:hAnsiTheme="majorHAnsi"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4">
    <w:name w:val="annotation text"/>
    <w:basedOn w:val="1"/>
    <w:qFormat/>
    <w:uiPriority w:val="0"/>
    <w:pPr>
      <w:jc w:val="left"/>
    </w:p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nhideWhenUsed/>
    <w:qFormat/>
    <w:uiPriority w:val="39"/>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qFormat/>
    <w:uiPriority w:val="0"/>
    <w:rPr>
      <w:i/>
    </w:rPr>
  </w:style>
  <w:style w:type="character" w:customStyle="1" w:styleId="12">
    <w:name w:val="font21"/>
    <w:basedOn w:val="10"/>
    <w:qFormat/>
    <w:uiPriority w:val="0"/>
    <w:rPr>
      <w:rFonts w:hint="default" w:ascii="Times New Roman" w:hAnsi="Times New Roman" w:cs="Times New Roman"/>
      <w:color w:val="000000"/>
      <w:sz w:val="21"/>
      <w:szCs w:val="21"/>
      <w:u w:val="none"/>
    </w:rPr>
  </w:style>
  <w:style w:type="character" w:customStyle="1" w:styleId="13">
    <w:name w:val="font11"/>
    <w:basedOn w:val="10"/>
    <w:qFormat/>
    <w:uiPriority w:val="0"/>
    <w:rPr>
      <w:rFonts w:hint="eastAsia" w:ascii="宋体" w:hAnsi="宋体" w:eastAsia="宋体" w:cs="宋体"/>
      <w:color w:val="000000"/>
      <w:sz w:val="21"/>
      <w:szCs w:val="21"/>
      <w:u w:val="none"/>
    </w:rPr>
  </w:style>
  <w:style w:type="character" w:customStyle="1" w:styleId="14">
    <w:name w:val="font41"/>
    <w:basedOn w:val="10"/>
    <w:qFormat/>
    <w:uiPriority w:val="0"/>
    <w:rPr>
      <w:rFonts w:ascii="Calibri" w:hAnsi="Calibri" w:cs="Calibri"/>
      <w:color w:val="000000"/>
      <w:sz w:val="21"/>
      <w:szCs w:val="21"/>
      <w:u w:val="none"/>
    </w:rPr>
  </w:style>
  <w:style w:type="character" w:customStyle="1" w:styleId="15">
    <w:name w:val="font31"/>
    <w:basedOn w:val="10"/>
    <w:qFormat/>
    <w:uiPriority w:val="0"/>
    <w:rPr>
      <w:rFonts w:hint="eastAsia" w:ascii="宋体" w:hAnsi="宋体" w:eastAsia="宋体" w:cs="宋体"/>
      <w:color w:val="000000"/>
      <w:sz w:val="21"/>
      <w:szCs w:val="21"/>
      <w:u w:val="none"/>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11570</Words>
  <Characters>13657</Characters>
  <Lines>140</Lines>
  <Paragraphs>39</Paragraphs>
  <TotalTime>51</TotalTime>
  <ScaleCrop>false</ScaleCrop>
  <LinksUpToDate>false</LinksUpToDate>
  <CharactersWithSpaces>14147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2025-11-19T03:28:00Z</dcterms:created>
  <dc:creator>行天下，势不可挡</dc:creator>
  <cp:lastModifiedBy>胡定发</cp:lastModifiedBy>
  <dcterms:modified xsi:type="dcterms:W3CDTF">2026-06-23T04:47:59Z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B189CBA3F0EE44209A1EA8AEBD9FC131_13</vt:lpwstr>
  </property>
  <property fmtid="{D5CDD505-2E9C-101B-9397-08002B2CF9AE}" pid="4" name="KSOTemplateDocerSaveRecord">
    <vt:lpwstr>eyJoZGlkIjoiZjliODBjZThjNWE1ZmJmYTY2ODhiYjNjZTA1NWY2ZGUiLCJ1c2VySWQiOiI0NDYzNjQ0NzAifQ==</vt:lpwstr>
  </property>
</Properties>
</file>