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8E115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7" w:afterLines="50" w:afterAutospacing="0" w:line="360" w:lineRule="atLeast"/>
        <w:ind w:left="0" w:right="0"/>
        <w:jc w:val="center"/>
        <w:textAlignment w:val="auto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信息化项目运维业务考核表</w:t>
      </w:r>
    </w:p>
    <w:p w14:paraId="60820C2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/>
        <w:jc w:val="left"/>
        <w:textAlignment w:val="auto"/>
        <w:rPr>
          <w:rStyle w:val="8"/>
          <w:rFonts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考核周期：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□月度 □季度 □年度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 w:bidi="ar"/>
        </w:rPr>
        <w:t xml:space="preserve">     </w:t>
      </w: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考核期间：</w:t>
      </w:r>
      <w:r>
        <w:rPr>
          <w:rStyle w:val="8"/>
          <w:rFonts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年____月 —年____月</w:t>
      </w:r>
      <w:bookmarkStart w:id="0" w:name="_GoBack"/>
      <w:bookmarkEnd w:id="0"/>
    </w:p>
    <w:p w14:paraId="41B13E8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7" w:afterLines="50" w:afterAutospacing="0" w:line="500" w:lineRule="exact"/>
        <w:ind w:left="0" w:right="0"/>
        <w:jc w:val="left"/>
        <w:textAlignment w:val="auto"/>
        <w:rPr>
          <w:color w:val="000000"/>
          <w:sz w:val="24"/>
          <w:szCs w:val="24"/>
        </w:rPr>
      </w:pPr>
      <w:r>
        <w:rPr>
          <w:rStyle w:val="8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项目名称：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_________________________</w:t>
      </w: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运维厂商：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_____________________</w:t>
      </w:r>
    </w:p>
    <w:tbl>
      <w:tblPr>
        <w:tblStyle w:val="6"/>
        <w:tblpPr w:leftFromText="180" w:rightFromText="180" w:vertAnchor="text" w:horzAnchor="page" w:tblpX="1929" w:tblpY="22"/>
        <w:tblOverlap w:val="never"/>
        <w:tblW w:w="0" w:type="auto"/>
        <w:jc w:val="center"/>
        <w:tblCellSpacing w:w="15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69"/>
        <w:gridCol w:w="1555"/>
        <w:gridCol w:w="4177"/>
        <w:gridCol w:w="690"/>
        <w:gridCol w:w="652"/>
        <w:gridCol w:w="533"/>
      </w:tblGrid>
      <w:tr w14:paraId="330FA3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tblCellSpacing w:w="15" w:type="dxa"/>
          <w:jc w:val="center"/>
        </w:trPr>
        <w:tc>
          <w:tcPr>
            <w:tcW w:w="724" w:type="dxa"/>
            <w:tcBorders>
              <w:tl2br w:val="nil"/>
              <w:tr2bl w:val="nil"/>
            </w:tcBorders>
            <w:noWrap w:val="0"/>
            <w:vAlign w:val="center"/>
          </w:tcPr>
          <w:p w14:paraId="3566541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考核</w:t>
            </w:r>
          </w:p>
          <w:p w14:paraId="10262EB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类别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noWrap w:val="0"/>
            <w:vAlign w:val="center"/>
          </w:tcPr>
          <w:p w14:paraId="1072339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考核项目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5E4FA9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考核标准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F4C143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标准分值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77B790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扣分原因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BA36FA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实得分</w:t>
            </w:r>
          </w:p>
        </w:tc>
      </w:tr>
      <w:tr w14:paraId="565230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  <w:jc w:val="center"/>
        </w:trPr>
        <w:tc>
          <w:tcPr>
            <w:tcW w:w="724" w:type="dxa"/>
            <w:tcBorders>
              <w:tl2br w:val="nil"/>
              <w:tr2bl w:val="nil"/>
            </w:tcBorders>
            <w:noWrap w:val="0"/>
            <w:vAlign w:val="center"/>
          </w:tcPr>
          <w:p w14:paraId="5E41CDC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硬件</w:t>
            </w:r>
          </w:p>
          <w:p w14:paraId="187A821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指标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noWrap w:val="0"/>
            <w:vAlign w:val="center"/>
          </w:tcPr>
          <w:p w14:paraId="54B9CCE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巡检合格率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D10EEC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≥98%，每降低 1% 扣 2 分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336EEB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3286D62">
            <w:pPr>
              <w:jc w:val="center"/>
              <w:rPr>
                <w:rFonts w:hint="eastAsia" w:ascii="宋体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D6B85D5">
            <w:pPr>
              <w:jc w:val="center"/>
              <w:rPr>
                <w:rFonts w:hint="eastAsia" w:ascii="宋体"/>
                <w:color w:val="000000"/>
                <w:sz w:val="24"/>
                <w:szCs w:val="24"/>
              </w:rPr>
            </w:pPr>
          </w:p>
        </w:tc>
      </w:tr>
      <w:tr w14:paraId="71FE223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  <w:jc w:val="center"/>
        </w:trPr>
        <w:tc>
          <w:tcPr>
            <w:tcW w:w="724" w:type="dxa"/>
            <w:tcBorders>
              <w:tl2br w:val="nil"/>
              <w:tr2bl w:val="nil"/>
            </w:tcBorders>
            <w:noWrap w:val="0"/>
            <w:vAlign w:val="center"/>
          </w:tcPr>
          <w:p w14:paraId="69AD9C15">
            <w:pPr>
              <w:jc w:val="center"/>
              <w:rPr>
                <w:rFonts w:hint="eastAsia" w:ascii="宋体"/>
                <w:color w:val="000000"/>
                <w:sz w:val="21"/>
                <w:szCs w:val="21"/>
              </w:rPr>
            </w:pPr>
          </w:p>
        </w:tc>
        <w:tc>
          <w:tcPr>
            <w:tcW w:w="1525" w:type="dxa"/>
            <w:tcBorders>
              <w:tl2br w:val="nil"/>
              <w:tr2bl w:val="nil"/>
            </w:tcBorders>
            <w:noWrap w:val="0"/>
            <w:vAlign w:val="center"/>
          </w:tcPr>
          <w:p w14:paraId="4243EBE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设备完好率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C1ED9A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≥99.5%，每降低 0.1% 扣 1 分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DF6305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78FB669">
            <w:pPr>
              <w:jc w:val="center"/>
              <w:rPr>
                <w:rFonts w:hint="eastAsia" w:ascii="宋体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F8377D4">
            <w:pPr>
              <w:jc w:val="center"/>
              <w:rPr>
                <w:rFonts w:hint="eastAsia" w:ascii="宋体"/>
                <w:color w:val="000000"/>
                <w:sz w:val="24"/>
                <w:szCs w:val="24"/>
              </w:rPr>
            </w:pPr>
          </w:p>
        </w:tc>
      </w:tr>
      <w:tr w14:paraId="037A96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  <w:jc w:val="center"/>
        </w:trPr>
        <w:tc>
          <w:tcPr>
            <w:tcW w:w="724" w:type="dxa"/>
            <w:tcBorders>
              <w:tl2br w:val="nil"/>
              <w:tr2bl w:val="nil"/>
            </w:tcBorders>
            <w:noWrap w:val="0"/>
            <w:vAlign w:val="center"/>
          </w:tcPr>
          <w:p w14:paraId="4F343E75">
            <w:pPr>
              <w:jc w:val="center"/>
              <w:rPr>
                <w:rFonts w:hint="eastAsia" w:ascii="宋体"/>
                <w:color w:val="000000"/>
                <w:sz w:val="21"/>
                <w:szCs w:val="21"/>
              </w:rPr>
            </w:pPr>
          </w:p>
        </w:tc>
        <w:tc>
          <w:tcPr>
            <w:tcW w:w="1525" w:type="dxa"/>
            <w:tcBorders>
              <w:tl2br w:val="nil"/>
              <w:tr2bl w:val="nil"/>
            </w:tcBorders>
            <w:noWrap w:val="0"/>
            <w:vAlign w:val="center"/>
          </w:tcPr>
          <w:p w14:paraId="3CF79BA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硬件更换及时性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341EEA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24 小时内完成，特殊型号报备最长 48 小时，超时 1 次扣 5 分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56741A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2EFB517">
            <w:pPr>
              <w:jc w:val="center"/>
              <w:rPr>
                <w:rFonts w:hint="eastAsia" w:ascii="宋体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C9C6849">
            <w:pPr>
              <w:jc w:val="center"/>
              <w:rPr>
                <w:rFonts w:hint="eastAsia" w:ascii="宋体"/>
                <w:color w:val="000000"/>
                <w:sz w:val="24"/>
                <w:szCs w:val="24"/>
              </w:rPr>
            </w:pPr>
          </w:p>
        </w:tc>
      </w:tr>
      <w:tr w14:paraId="7CFB0B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  <w:jc w:val="center"/>
        </w:trPr>
        <w:tc>
          <w:tcPr>
            <w:tcW w:w="724" w:type="dxa"/>
            <w:tcBorders>
              <w:tl2br w:val="nil"/>
              <w:tr2bl w:val="nil"/>
            </w:tcBorders>
            <w:noWrap w:val="0"/>
            <w:vAlign w:val="center"/>
          </w:tcPr>
          <w:p w14:paraId="557B8DD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软件</w:t>
            </w:r>
          </w:p>
          <w:p w14:paraId="25A3146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指标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noWrap w:val="0"/>
            <w:vAlign w:val="center"/>
          </w:tcPr>
          <w:p w14:paraId="7820C66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系统可用性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0932EF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核心≥99.9%，非核心≥99.5%，每降低 0.1% 扣 3 分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1AFF43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537806D">
            <w:pPr>
              <w:jc w:val="center"/>
              <w:rPr>
                <w:rFonts w:hint="eastAsia" w:ascii="宋体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81EDC72">
            <w:pPr>
              <w:jc w:val="center"/>
              <w:rPr>
                <w:rFonts w:hint="eastAsia" w:ascii="宋体"/>
                <w:color w:val="000000"/>
                <w:sz w:val="24"/>
                <w:szCs w:val="24"/>
              </w:rPr>
            </w:pPr>
          </w:p>
        </w:tc>
      </w:tr>
      <w:tr w14:paraId="2A4394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  <w:jc w:val="center"/>
        </w:trPr>
        <w:tc>
          <w:tcPr>
            <w:tcW w:w="724" w:type="dxa"/>
            <w:tcBorders>
              <w:tl2br w:val="nil"/>
              <w:tr2bl w:val="nil"/>
            </w:tcBorders>
            <w:noWrap w:val="0"/>
            <w:vAlign w:val="center"/>
          </w:tcPr>
          <w:p w14:paraId="58A88FA5">
            <w:pPr>
              <w:jc w:val="center"/>
              <w:rPr>
                <w:rFonts w:hint="eastAsia" w:ascii="宋体"/>
                <w:color w:val="000000"/>
                <w:sz w:val="21"/>
                <w:szCs w:val="21"/>
              </w:rPr>
            </w:pPr>
          </w:p>
        </w:tc>
        <w:tc>
          <w:tcPr>
            <w:tcW w:w="1525" w:type="dxa"/>
            <w:tcBorders>
              <w:tl2br w:val="nil"/>
              <w:tr2bl w:val="nil"/>
            </w:tcBorders>
            <w:noWrap w:val="0"/>
            <w:vAlign w:val="center"/>
          </w:tcPr>
          <w:p w14:paraId="12ABEE6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补丁更新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F8C2F5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高危 24 小时、普通 72 小时完成，超时 1 次扣 2 分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BA332B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5E2E9CF">
            <w:pPr>
              <w:jc w:val="center"/>
              <w:rPr>
                <w:rFonts w:hint="eastAsia" w:ascii="宋体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AB7B22C">
            <w:pPr>
              <w:jc w:val="center"/>
              <w:rPr>
                <w:rFonts w:hint="eastAsia" w:ascii="宋体"/>
                <w:color w:val="000000"/>
                <w:sz w:val="24"/>
                <w:szCs w:val="24"/>
              </w:rPr>
            </w:pPr>
          </w:p>
        </w:tc>
      </w:tr>
      <w:tr w14:paraId="386D0D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  <w:jc w:val="center"/>
        </w:trPr>
        <w:tc>
          <w:tcPr>
            <w:tcW w:w="724" w:type="dxa"/>
            <w:tcBorders>
              <w:tl2br w:val="nil"/>
              <w:tr2bl w:val="nil"/>
            </w:tcBorders>
            <w:noWrap w:val="0"/>
            <w:vAlign w:val="center"/>
          </w:tcPr>
          <w:p w14:paraId="57722257">
            <w:pPr>
              <w:jc w:val="center"/>
              <w:rPr>
                <w:rFonts w:hint="eastAsia" w:ascii="宋体"/>
                <w:color w:val="000000"/>
                <w:sz w:val="21"/>
                <w:szCs w:val="21"/>
              </w:rPr>
            </w:pPr>
          </w:p>
        </w:tc>
        <w:tc>
          <w:tcPr>
            <w:tcW w:w="1525" w:type="dxa"/>
            <w:tcBorders>
              <w:tl2br w:val="nil"/>
              <w:tr2bl w:val="nil"/>
            </w:tcBorders>
            <w:noWrap w:val="0"/>
            <w:vAlign w:val="center"/>
          </w:tcPr>
          <w:p w14:paraId="5CBE4D6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数据备份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77BFE6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成功率 100%，失败 1 次扣 5 分，未及时发现额外扣 3 分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825886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6C6975B">
            <w:pPr>
              <w:jc w:val="center"/>
              <w:rPr>
                <w:rFonts w:hint="eastAsia" w:ascii="宋体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DA1AAC2">
            <w:pPr>
              <w:jc w:val="center"/>
              <w:rPr>
                <w:rFonts w:hint="eastAsia" w:ascii="宋体"/>
                <w:color w:val="000000"/>
                <w:sz w:val="24"/>
                <w:szCs w:val="24"/>
              </w:rPr>
            </w:pPr>
          </w:p>
        </w:tc>
      </w:tr>
      <w:tr w14:paraId="6B7A1B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  <w:jc w:val="center"/>
        </w:trPr>
        <w:tc>
          <w:tcPr>
            <w:tcW w:w="724" w:type="dxa"/>
            <w:tcBorders>
              <w:tl2br w:val="nil"/>
              <w:tr2bl w:val="nil"/>
            </w:tcBorders>
            <w:noWrap w:val="0"/>
            <w:vAlign w:val="center"/>
          </w:tcPr>
          <w:p w14:paraId="15F4F8C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故障</w:t>
            </w:r>
          </w:p>
          <w:p w14:paraId="3170FFE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处置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noWrap w:val="0"/>
            <w:vAlign w:val="center"/>
          </w:tcPr>
          <w:p w14:paraId="1DD20AD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响应 / 到场 / 解决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5746D1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按故障分级超时对应扣分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29A344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5D1DD11">
            <w:pPr>
              <w:jc w:val="center"/>
              <w:rPr>
                <w:rFonts w:hint="eastAsia" w:ascii="宋体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395D4FB">
            <w:pPr>
              <w:jc w:val="center"/>
              <w:rPr>
                <w:rFonts w:hint="eastAsia" w:ascii="宋体"/>
                <w:color w:val="000000"/>
                <w:sz w:val="24"/>
                <w:szCs w:val="24"/>
              </w:rPr>
            </w:pPr>
          </w:p>
        </w:tc>
      </w:tr>
      <w:tr w14:paraId="34EB52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  <w:jc w:val="center"/>
        </w:trPr>
        <w:tc>
          <w:tcPr>
            <w:tcW w:w="724" w:type="dxa"/>
            <w:tcBorders>
              <w:tl2br w:val="nil"/>
              <w:tr2bl w:val="nil"/>
            </w:tcBorders>
            <w:noWrap w:val="0"/>
            <w:vAlign w:val="center"/>
          </w:tcPr>
          <w:p w14:paraId="646DD50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综合</w:t>
            </w:r>
          </w:p>
          <w:p w14:paraId="51EBF95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管理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noWrap w:val="0"/>
            <w:vAlign w:val="center"/>
          </w:tcPr>
          <w:p w14:paraId="531885F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汇报、巡检、资料、服务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2F880F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不符合要求酌情扣分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A0C26F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435591A">
            <w:pPr>
              <w:jc w:val="center"/>
              <w:rPr>
                <w:rFonts w:hint="eastAsia" w:ascii="宋体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A3E4F11">
            <w:pPr>
              <w:jc w:val="center"/>
              <w:rPr>
                <w:rFonts w:hint="eastAsia" w:ascii="宋体"/>
                <w:color w:val="000000"/>
                <w:sz w:val="24"/>
                <w:szCs w:val="24"/>
              </w:rPr>
            </w:pPr>
          </w:p>
        </w:tc>
      </w:tr>
      <w:tr w14:paraId="412C32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  <w:jc w:val="center"/>
        </w:trPr>
        <w:tc>
          <w:tcPr>
            <w:tcW w:w="724" w:type="dxa"/>
            <w:tcBorders>
              <w:tl2br w:val="nil"/>
              <w:tr2bl w:val="nil"/>
            </w:tcBorders>
            <w:noWrap w:val="0"/>
            <w:vAlign w:val="center"/>
          </w:tcPr>
          <w:p w14:paraId="5AB7F1F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加分项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noWrap w:val="0"/>
            <w:vAlign w:val="center"/>
          </w:tcPr>
          <w:p w14:paraId="6F18067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重大隐患防范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DFD402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及时发现重大隐患、避免损失，酌情加 1–10 分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E5F738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5E9012B">
            <w:pPr>
              <w:jc w:val="center"/>
              <w:rPr>
                <w:rFonts w:hint="eastAsia" w:ascii="宋体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8EBC5C3">
            <w:pPr>
              <w:jc w:val="center"/>
              <w:rPr>
                <w:rFonts w:hint="eastAsia" w:ascii="宋体"/>
                <w:color w:val="000000"/>
                <w:sz w:val="24"/>
                <w:szCs w:val="24"/>
              </w:rPr>
            </w:pPr>
          </w:p>
        </w:tc>
      </w:tr>
      <w:tr w14:paraId="425DDE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  <w:jc w:val="center"/>
        </w:trPr>
        <w:tc>
          <w:tcPr>
            <w:tcW w:w="724" w:type="dxa"/>
            <w:tcBorders>
              <w:tl2br w:val="nil"/>
              <w:tr2bl w:val="nil"/>
            </w:tcBorders>
            <w:noWrap w:val="0"/>
            <w:vAlign w:val="center"/>
          </w:tcPr>
          <w:p w14:paraId="4F43C5A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合计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noWrap w:val="0"/>
            <w:vAlign w:val="center"/>
          </w:tcPr>
          <w:p w14:paraId="333A319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1F43CF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left"/>
              <w:rPr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752335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347E57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color w:val="000000"/>
                <w:sz w:val="21"/>
                <w:szCs w:val="21"/>
              </w:rPr>
            </w:pPr>
          </w:p>
          <w:p w14:paraId="70A072A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C9D6F4D">
            <w:pPr>
              <w:jc w:val="center"/>
              <w:rPr>
                <w:rFonts w:hint="eastAsia" w:ascii="宋体"/>
                <w:color w:val="000000"/>
                <w:sz w:val="24"/>
                <w:szCs w:val="24"/>
              </w:rPr>
            </w:pPr>
          </w:p>
        </w:tc>
      </w:tr>
    </w:tbl>
    <w:p w14:paraId="50B1BAF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考核结果</w:t>
      </w:r>
    </w:p>
    <w:p w14:paraId="381C4D6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left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总得分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：________</w:t>
      </w:r>
    </w:p>
    <w:p w14:paraId="5DF9E3F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left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考核等级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：□优秀（≥95）□良好（80–94）□合格（70–79）□不合格（＜70）</w:t>
      </w:r>
    </w:p>
    <w:p w14:paraId="5790033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left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费用扣减比例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：________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 w:bidi="ar"/>
        </w:rPr>
        <w:t xml:space="preserve">  </w:t>
      </w:r>
    </w:p>
    <w:p w14:paraId="11FA3AE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7" w:afterLines="50" w:afterAutospacing="0" w:line="440" w:lineRule="exact"/>
        <w:ind w:left="0" w:right="0"/>
        <w:jc w:val="left"/>
        <w:textAlignment w:val="auto"/>
        <w:rPr>
          <w:color w:val="000000"/>
          <w:sz w:val="24"/>
          <w:szCs w:val="24"/>
        </w:rPr>
      </w:pP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处理意见：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□正常付费 □扣减费用 □整改 □暂停合作 □终止合作</w:t>
      </w:r>
    </w:p>
    <w:p w14:paraId="66730C1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/>
        <w:jc w:val="right"/>
        <w:textAlignment w:val="auto"/>
      </w:pP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运维厂商（盖章/签字）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：______________</w:t>
      </w: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业务部门初审（签字）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：________________</w:t>
      </w: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牵头部门审核（签字）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：_______________</w:t>
      </w: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单位领导审批（签字）：_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_______________</w:t>
      </w: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日期：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________年____月____日</w:t>
      </w:r>
    </w:p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144DE8"/>
    <w:rsid w:val="3BD953E0"/>
    <w:rsid w:val="5C751660"/>
    <w:rsid w:val="6E031CF0"/>
    <w:rsid w:val="6E425C95"/>
    <w:rsid w:val="7AAF6B35"/>
    <w:rsid w:val="7D327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446</Words>
  <Characters>625</Characters>
  <Lines>0</Lines>
  <Paragraphs>0</Paragraphs>
  <TotalTime>0</TotalTime>
  <ScaleCrop>false</ScaleCrop>
  <LinksUpToDate>false</LinksUpToDate>
  <CharactersWithSpaces>679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cb</dc:creator>
  <cp:lastModifiedBy>成波</cp:lastModifiedBy>
  <dcterms:modified xsi:type="dcterms:W3CDTF">2026-05-08T08:12:18Z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55C2ECBCB16642AD89D11196B029C3C9_12</vt:lpwstr>
  </property>
  <property fmtid="{D5CDD505-2E9C-101B-9397-08002B2CF9AE}" pid="4" name="KSOTemplateDocerSaveRecord">
    <vt:lpwstr>eyJoZGlkIjoiMjQ0NTQ5YjdmODQ2NzNlZmQyOWVjMzA0Y2M4YjRkNmIiLCJ1c2VySWQiOiIxNTgyOTI5NTcyIn0=</vt:lpwstr>
  </property>
</Properties>
</file>