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80F94">
      <w:pPr>
        <w:jc w:val="center"/>
        <w:rPr>
          <w:rFonts w:hint="eastAsia" w:ascii="仿宋" w:hAnsi="仿宋" w:eastAsia="仿宋" w:cs="仿宋"/>
          <w:b/>
          <w:bCs/>
          <w:sz w:val="30"/>
          <w:szCs w:val="30"/>
        </w:rPr>
      </w:pPr>
      <w:r>
        <w:rPr>
          <w:rFonts w:hint="eastAsia" w:ascii="仿宋" w:hAnsi="仿宋" w:eastAsia="仿宋" w:cs="仿宋"/>
          <w:b/>
          <w:bCs/>
          <w:kern w:val="0"/>
          <w:sz w:val="30"/>
          <w:szCs w:val="30"/>
          <w:lang w:val="en-US" w:eastAsia="zh-CN" w:bidi="ar-SA"/>
        </w:rPr>
        <w:t>笼式足球场改造项目</w:t>
      </w:r>
      <w:r>
        <w:rPr>
          <w:rFonts w:hint="eastAsia" w:ascii="仿宋" w:hAnsi="仿宋" w:eastAsia="仿宋" w:cs="仿宋"/>
          <w:b/>
          <w:bCs/>
          <w:sz w:val="30"/>
          <w:szCs w:val="30"/>
          <w:lang w:val="en-US" w:eastAsia="zh-CN"/>
        </w:rPr>
        <w:t>工程量清单</w:t>
      </w:r>
      <w:r>
        <w:rPr>
          <w:rFonts w:hint="eastAsia" w:ascii="仿宋" w:hAnsi="仿宋" w:eastAsia="仿宋" w:cs="仿宋"/>
          <w:b/>
          <w:bCs/>
          <w:sz w:val="30"/>
          <w:szCs w:val="30"/>
        </w:rPr>
        <w:t>编制说明</w:t>
      </w:r>
    </w:p>
    <w:p w14:paraId="7750B772">
      <w:pPr>
        <w:numPr>
          <w:ilvl w:val="0"/>
          <w:numId w:val="1"/>
        </w:numPr>
        <w:wordWrap/>
        <w:adjustRightInd/>
        <w:snapToGrid/>
        <w:spacing w:line="560" w:lineRule="exact"/>
        <w:ind w:left="140" w:leftChars="0" w:firstLine="0" w:firstLineChars="0"/>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工程概况 </w:t>
      </w:r>
    </w:p>
    <w:p w14:paraId="4E6B482A">
      <w:pPr>
        <w:snapToGrid w:val="0"/>
        <w:spacing w:line="560" w:lineRule="exact"/>
        <w:ind w:firstLine="480" w:firstLineChars="200"/>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t>笼式足球场改造项目包括清单范围内草坪维修、路缘石维修、足球场金属围栏维修、足球球门更换等。</w:t>
      </w:r>
    </w:p>
    <w:p w14:paraId="3B3A4882">
      <w:pPr>
        <w:numPr>
          <w:ilvl w:val="0"/>
          <w:numId w:val="0"/>
        </w:numPr>
        <w:wordWrap/>
        <w:adjustRightInd/>
        <w:snapToGrid/>
        <w:spacing w:line="560" w:lineRule="exact"/>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二、</w:t>
      </w:r>
      <w:r>
        <w:rPr>
          <w:rFonts w:hint="eastAsia" w:ascii="仿宋" w:hAnsi="仿宋" w:eastAsia="仿宋" w:cs="仿宋"/>
          <w:b/>
          <w:bCs/>
          <w:sz w:val="24"/>
          <w:szCs w:val="24"/>
        </w:rPr>
        <w:t xml:space="preserve">编制依据 </w:t>
      </w:r>
    </w:p>
    <w:p w14:paraId="6D73F429">
      <w:pPr>
        <w:pStyle w:val="7"/>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1、清单执行《建设工程工程量清单计价标准(GBT50500-2024)》及解释和勘误及现行相关政策性文件等。</w:t>
      </w:r>
    </w:p>
    <w:p w14:paraId="60369561">
      <w:pPr>
        <w:numPr>
          <w:ilvl w:val="0"/>
          <w:numId w:val="0"/>
        </w:numPr>
        <w:wordWrap/>
        <w:adjustRightInd/>
        <w:snapToGrid/>
        <w:spacing w:line="56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2、人工增加费费率为19% 。</w:t>
      </w:r>
    </w:p>
    <w:p w14:paraId="0E0BEC2A">
      <w:pPr>
        <w:pStyle w:val="7"/>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3、税金执行《关于调整内蒙古自治区建设工程计价依据增值税税率的通知》内建标[2019]113号文件，税率为9%。</w:t>
      </w:r>
    </w:p>
    <w:p w14:paraId="154E8098">
      <w:pPr>
        <w:pStyle w:val="7"/>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4、人工费调增执行《内蒙古自治区住房和城乡建设厅关于调整内蒙古自治区建设工程现行预算定额人工费的通知》（内建标〔2021〕148号），定额人工费调增10%。</w:t>
      </w:r>
    </w:p>
    <w:p w14:paraId="3684FC30">
      <w:pPr>
        <w:pStyle w:val="7"/>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5、安全生产费计提费用依据内建标[2025]98号文件规定执行，安全生产费计提费用以建筑安装工程、市政公用工程造价为依据计入招标控制价，并入《内蒙古自治区建设工程费用定额》（DNM200-2017）其他项目费。安全生产计提费为不可竞争费用。</w:t>
      </w:r>
    </w:p>
    <w:p w14:paraId="6386372F">
      <w:pPr>
        <w:spacing w:line="560" w:lineRule="exact"/>
        <w:ind w:firstLine="480" w:firstLineChars="200"/>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6、规费执行《内蒙古自治区住房和城乡建设厅关于执行《建设工程工程量清单计价标准》及配套工程量计算标准的通知》（内建标函〔2025〕340号），规费不再单独列项计价，按相应费率以人工增加费计入其他项目费中。</w:t>
      </w:r>
    </w:p>
    <w:p w14:paraId="4E96729D">
      <w:pPr>
        <w:numPr>
          <w:ilvl w:val="0"/>
          <w:numId w:val="0"/>
        </w:numPr>
        <w:wordWrap/>
        <w:adjustRightInd/>
        <w:snapToGrid/>
        <w:spacing w:line="560" w:lineRule="exact"/>
        <w:ind w:firstLine="482" w:firstLineChars="200"/>
        <w:textAlignment w:val="auto"/>
        <w:rPr>
          <w:rFonts w:hint="default"/>
          <w:lang w:val="en-US" w:eastAsia="zh-CN"/>
        </w:rPr>
      </w:pP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w:t>
      </w:r>
      <w:r>
        <w:rPr>
          <w:rFonts w:hint="eastAsia" w:ascii="仿宋" w:hAnsi="仿宋" w:eastAsia="仿宋" w:cs="仿宋"/>
          <w:b/>
          <w:bCs/>
          <w:sz w:val="24"/>
          <w:szCs w:val="24"/>
          <w:lang w:val="en-US" w:eastAsia="zh-CN"/>
        </w:rPr>
        <w:t>编制说明</w:t>
      </w:r>
    </w:p>
    <w:p w14:paraId="163820FE">
      <w:pPr>
        <w:keepNext w:val="0"/>
        <w:keepLines w:val="0"/>
        <w:pageBreakBefore w:val="0"/>
        <w:kinsoku/>
        <w:wordWrap/>
        <w:overflowPunct/>
        <w:topLinePunct w:val="0"/>
        <w:autoSpaceDE/>
        <w:autoSpaceDN/>
        <w:bidi w:val="0"/>
        <w:adjustRightInd/>
        <w:snapToGrid/>
        <w:spacing w:line="580" w:lineRule="exact"/>
        <w:ind w:firstLine="482" w:firstLineChars="200"/>
        <w:jc w:val="left"/>
        <w:textAlignment w:val="auto"/>
        <w:rPr>
          <w:rFonts w:hint="eastAsia" w:ascii="仿宋" w:hAnsi="仿宋" w:eastAsia="仿宋" w:cs="仿宋"/>
          <w:kern w:val="0"/>
          <w:sz w:val="24"/>
          <w:szCs w:val="24"/>
          <w:lang w:val="en-US" w:eastAsia="zh-CN" w:bidi="ar-SA"/>
        </w:rPr>
      </w:pPr>
      <w:r>
        <w:rPr>
          <w:rFonts w:hint="eastAsia" w:ascii="华文仿宋" w:hAnsi="华文仿宋" w:eastAsia="华文仿宋" w:cs="华文仿宋"/>
          <w:b/>
          <w:bCs/>
          <w:sz w:val="24"/>
          <w:szCs w:val="24"/>
          <w:lang w:val="en-US" w:eastAsia="zh-CN"/>
        </w:rPr>
        <w:t xml:space="preserve"> </w:t>
      </w:r>
      <w:r>
        <w:rPr>
          <w:rFonts w:hint="eastAsia" w:ascii="仿宋" w:hAnsi="仿宋" w:eastAsia="仿宋" w:cs="仿宋"/>
          <w:kern w:val="0"/>
          <w:sz w:val="24"/>
          <w:szCs w:val="24"/>
          <w:lang w:val="en-US" w:eastAsia="zh-CN" w:bidi="ar-SA"/>
        </w:rPr>
        <w:t>1.暂列金额8000</w:t>
      </w:r>
      <w:bookmarkStart w:id="0" w:name="_GoBack"/>
      <w:bookmarkEnd w:id="0"/>
      <w:r>
        <w:rPr>
          <w:rFonts w:hint="eastAsia" w:ascii="仿宋" w:hAnsi="仿宋" w:eastAsia="仿宋" w:cs="仿宋"/>
          <w:kern w:val="0"/>
          <w:sz w:val="24"/>
          <w:szCs w:val="24"/>
          <w:lang w:val="en-US" w:eastAsia="zh-CN" w:bidi="ar-SA"/>
        </w:rPr>
        <w:t>元（不含税）详见暂列金单位工程其他项目清单与计价汇总表，招投标时不得作为竞争性费用，严格按清单计价规范计取9%税金后进行编制,若清单电子招标书中本项费用不显示金额，投标单位严格按照本说明执行。</w:t>
      </w:r>
    </w:p>
    <w:p w14:paraId="6E00EDA4">
      <w:pPr>
        <w:keepNext w:val="0"/>
        <w:keepLines w:val="0"/>
        <w:pageBreakBefore w:val="0"/>
        <w:kinsoku/>
        <w:wordWrap/>
        <w:overflowPunct/>
        <w:topLinePunct w:val="0"/>
        <w:autoSpaceDE/>
        <w:autoSpaceDN/>
        <w:bidi w:val="0"/>
        <w:adjustRightInd/>
        <w:snapToGrid/>
        <w:spacing w:line="580" w:lineRule="exact"/>
        <w:ind w:firstLine="480" w:firstLineChars="200"/>
        <w:jc w:val="left"/>
        <w:textAlignment w:val="auto"/>
        <w:rPr>
          <w:rFonts w:hint="eastAsia" w:ascii="仿宋" w:hAnsi="仿宋" w:eastAsia="仿宋" w:cs="仿宋"/>
          <w:kern w:val="0"/>
          <w:sz w:val="24"/>
          <w:szCs w:val="24"/>
          <w:lang w:val="en-US" w:eastAsia="zh-CN" w:bidi="ar-SA"/>
        </w:rPr>
      </w:pPr>
    </w:p>
    <w:p w14:paraId="7D1684B3">
      <w:pPr>
        <w:pStyle w:val="8"/>
        <w:keepNext w:val="0"/>
        <w:keepLines w:val="0"/>
        <w:widowControl/>
        <w:suppressLineNumbers w:val="0"/>
        <w:spacing w:before="0" w:beforeAutospacing="0" w:after="0" w:afterAutospacing="0"/>
        <w:ind w:left="0" w:right="0" w:firstLine="0"/>
        <w:rPr>
          <w:rFonts w:hint="eastAsia" w:ascii="仿宋" w:hAnsi="仿宋" w:eastAsia="仿宋" w:cs="仿宋"/>
          <w:color w:val="auto"/>
          <w:sz w:val="24"/>
          <w:szCs w:val="24"/>
          <w:lang w:val="en-US" w:eastAsia="zh-CN"/>
        </w:rPr>
      </w:pPr>
    </w:p>
    <w:p w14:paraId="2CBD6F82">
      <w:pPr>
        <w:pStyle w:val="7"/>
        <w:ind w:firstLine="480" w:firstLineChars="200"/>
        <w:rPr>
          <w:rFonts w:hint="default" w:ascii="仿宋" w:hAnsi="仿宋" w:eastAsia="仿宋" w:cs="仿宋"/>
          <w:b w:val="0"/>
          <w:caps w:val="0"/>
          <w:color w:val="auto"/>
          <w:kern w:val="2"/>
          <w:sz w:val="24"/>
          <w:szCs w:val="24"/>
          <w:highlight w:val="yellow"/>
          <w:lang w:val="en-US" w:eastAsia="zh-CN" w:bidi="ar-SA"/>
        </w:rPr>
      </w:pPr>
    </w:p>
    <w:p w14:paraId="74F67DFE">
      <w:pPr>
        <w:rPr>
          <w:rFonts w:hint="default"/>
          <w:lang w:val="en-US" w:eastAsia="zh-CN"/>
        </w:rPr>
      </w:pPr>
    </w:p>
    <w:p w14:paraId="1AB354A4">
      <w:pPr>
        <w:pStyle w:val="7"/>
        <w:rPr>
          <w:rFonts w:hint="default"/>
          <w:lang w:val="en-US" w:eastAsia="zh-CN"/>
        </w:rPr>
      </w:pPr>
    </w:p>
    <w:p w14:paraId="26B18CAE">
      <w:pPr>
        <w:pStyle w:val="7"/>
        <w:rPr>
          <w:rFonts w:hint="eastAsia" w:ascii="华文仿宋" w:hAnsi="华文仿宋" w:eastAsia="华文仿宋" w:cs="华文仿宋"/>
          <w:b/>
          <w:bCs/>
          <w:sz w:val="24"/>
          <w:szCs w:val="24"/>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KSOF0B79BE30">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chineseCounting"/>
      <w:suff w:val="nothing"/>
      <w:lvlText w:val="%1、"/>
      <w:lvlJc w:val="left"/>
      <w:pPr>
        <w:ind w:left="14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1AE3368"/>
    <w:rsid w:val="01F25091"/>
    <w:rsid w:val="03872045"/>
    <w:rsid w:val="06954AF6"/>
    <w:rsid w:val="09A02502"/>
    <w:rsid w:val="0AF3651B"/>
    <w:rsid w:val="0B7A6F40"/>
    <w:rsid w:val="0C6C4425"/>
    <w:rsid w:val="0E3523E8"/>
    <w:rsid w:val="0EDB6354"/>
    <w:rsid w:val="0F8B17F6"/>
    <w:rsid w:val="10244BFE"/>
    <w:rsid w:val="11826EDE"/>
    <w:rsid w:val="128A63DF"/>
    <w:rsid w:val="133728C5"/>
    <w:rsid w:val="16903C77"/>
    <w:rsid w:val="1A00084F"/>
    <w:rsid w:val="1C847D28"/>
    <w:rsid w:val="1C9A61BB"/>
    <w:rsid w:val="1D0D31E0"/>
    <w:rsid w:val="1E8D7EF7"/>
    <w:rsid w:val="202A0CEA"/>
    <w:rsid w:val="20A83220"/>
    <w:rsid w:val="212705E9"/>
    <w:rsid w:val="23BC326A"/>
    <w:rsid w:val="24B76DDB"/>
    <w:rsid w:val="263F660E"/>
    <w:rsid w:val="28D64DCE"/>
    <w:rsid w:val="29796756"/>
    <w:rsid w:val="29F60080"/>
    <w:rsid w:val="2F1B07B0"/>
    <w:rsid w:val="314B5142"/>
    <w:rsid w:val="320504D2"/>
    <w:rsid w:val="33072928"/>
    <w:rsid w:val="331B27F3"/>
    <w:rsid w:val="33477774"/>
    <w:rsid w:val="35392F39"/>
    <w:rsid w:val="35C04CF4"/>
    <w:rsid w:val="36743EE1"/>
    <w:rsid w:val="36781778"/>
    <w:rsid w:val="3884758A"/>
    <w:rsid w:val="3A6C5593"/>
    <w:rsid w:val="3D384BAB"/>
    <w:rsid w:val="3D496FD5"/>
    <w:rsid w:val="3DC85937"/>
    <w:rsid w:val="3F2B4201"/>
    <w:rsid w:val="3F6A076E"/>
    <w:rsid w:val="40667144"/>
    <w:rsid w:val="43060038"/>
    <w:rsid w:val="433E3844"/>
    <w:rsid w:val="43731779"/>
    <w:rsid w:val="43C61B64"/>
    <w:rsid w:val="452032FC"/>
    <w:rsid w:val="45680F84"/>
    <w:rsid w:val="48AE5CB2"/>
    <w:rsid w:val="49817C9F"/>
    <w:rsid w:val="499F3082"/>
    <w:rsid w:val="4B3B5C13"/>
    <w:rsid w:val="4BBD3613"/>
    <w:rsid w:val="4D022B80"/>
    <w:rsid w:val="4E5F6DB2"/>
    <w:rsid w:val="52AD7B4B"/>
    <w:rsid w:val="5D2469F6"/>
    <w:rsid w:val="5DA96801"/>
    <w:rsid w:val="5E192A8C"/>
    <w:rsid w:val="5E5B30A5"/>
    <w:rsid w:val="5F1A6C48"/>
    <w:rsid w:val="60740973"/>
    <w:rsid w:val="616C3CCD"/>
    <w:rsid w:val="67B96538"/>
    <w:rsid w:val="683D62F8"/>
    <w:rsid w:val="69A346D8"/>
    <w:rsid w:val="6AD13942"/>
    <w:rsid w:val="6B5A52BF"/>
    <w:rsid w:val="6B846A87"/>
    <w:rsid w:val="6C582951"/>
    <w:rsid w:val="6E7F693B"/>
    <w:rsid w:val="73A6203B"/>
    <w:rsid w:val="74483156"/>
    <w:rsid w:val="75083042"/>
    <w:rsid w:val="785D2AC9"/>
    <w:rsid w:val="792737ED"/>
    <w:rsid w:val="7BB6095A"/>
    <w:rsid w:val="7E741C47"/>
    <w:rsid w:val="7E9C3430"/>
    <w:rsid w:val="7EEE1A7E"/>
    <w:rsid w:val="7F7378B0"/>
    <w:rsid w:val="7FF177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3"/>
    <w:basedOn w:val="1"/>
    <w:next w:val="1"/>
    <w:qFormat/>
    <w:uiPriority w:val="0"/>
    <w:pPr>
      <w:keepNext/>
      <w:keepLines/>
      <w:spacing w:before="260" w:beforeAutospacing="0" w:after="260" w:afterAutospacing="0" w:line="413" w:lineRule="auto"/>
      <w:outlineLvl w:val="2"/>
    </w:pPr>
    <w:rPr>
      <w:b/>
      <w:sz w:val="32"/>
    </w:rPr>
  </w:style>
  <w:style w:type="paragraph" w:styleId="3">
    <w:name w:val="heading 4"/>
    <w:basedOn w:val="1"/>
    <w:next w:val="1"/>
    <w:qFormat/>
    <w:uiPriority w:val="0"/>
    <w:pPr>
      <w:keepNext/>
      <w:keepLines/>
      <w:spacing w:before="280" w:beforeAutospacing="0" w:after="290" w:afterAutospacing="0" w:line="372" w:lineRule="auto"/>
      <w:outlineLvl w:val="3"/>
    </w:pPr>
    <w:rPr>
      <w:rFonts w:ascii="Arial" w:hAnsi="Arial" w:eastAsia="黑体"/>
      <w:b/>
      <w:sz w:val="28"/>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pPr>
      <w:spacing w:before="120" w:after="120"/>
      <w:jc w:val="left"/>
    </w:pPr>
    <w:rPr>
      <w:b/>
      <w:caps/>
      <w:sz w:val="20"/>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Normal (Web)"/>
    <w:basedOn w:val="1"/>
    <w:qFormat/>
    <w:uiPriority w:val="0"/>
    <w:pPr>
      <w:spacing w:before="0" w:beforeAutospacing="1" w:after="0" w:afterAutospacing="1"/>
      <w:ind w:left="0" w:right="0"/>
      <w:jc w:val="left"/>
    </w:pPr>
    <w:rPr>
      <w:kern w:val="0"/>
      <w:sz w:val="24"/>
      <w:lang w:val="en-US" w:eastAsia="zh-CN"/>
    </w:rPr>
  </w:style>
  <w:style w:type="character" w:customStyle="1" w:styleId="12">
    <w:name w:val="font122"/>
    <w:basedOn w:val="10"/>
    <w:qFormat/>
    <w:uiPriority w:val="0"/>
    <w:rPr>
      <w:rFonts w:ascii="Arial" w:hAnsi="Arial" w:cs="Arial"/>
      <w:b/>
      <w:bCs/>
      <w:color w:val="000000"/>
      <w:sz w:val="32"/>
      <w:szCs w:val="32"/>
      <w:u w:val="none"/>
    </w:rPr>
  </w:style>
  <w:style w:type="character" w:customStyle="1" w:styleId="13">
    <w:name w:val="font51"/>
    <w:basedOn w:val="10"/>
    <w:qFormat/>
    <w:uiPriority w:val="0"/>
    <w:rPr>
      <w:rFonts w:hint="eastAsia" w:ascii="方正仿宋_GB2312" w:hAnsi="方正仿宋_GB2312" w:eastAsia="方正仿宋_GB2312" w:cs="方正仿宋_GB2312"/>
      <w:color w:val="FF0000"/>
      <w:sz w:val="24"/>
      <w:szCs w:val="24"/>
      <w:u w:val="none"/>
    </w:rPr>
  </w:style>
  <w:style w:type="character" w:customStyle="1" w:styleId="14">
    <w:name w:val="font11"/>
    <w:basedOn w:val="10"/>
    <w:qFormat/>
    <w:uiPriority w:val="0"/>
    <w:rPr>
      <w:rFonts w:hint="eastAsia" w:ascii="方正仿宋_GB2312" w:hAnsi="方正仿宋_GB2312" w:eastAsia="方正仿宋_GB2312" w:cs="方正仿宋_GB2312"/>
      <w:color w:val="000000"/>
      <w:sz w:val="24"/>
      <w:szCs w:val="24"/>
      <w:u w:val="none"/>
    </w:rPr>
  </w:style>
  <w:style w:type="character" w:customStyle="1" w:styleId="15">
    <w:name w:val="font41"/>
    <w:basedOn w:val="10"/>
    <w:qFormat/>
    <w:uiPriority w:val="0"/>
    <w:rPr>
      <w:rFonts w:hint="eastAsia" w:ascii="方正仿宋_GB2312" w:hAnsi="方正仿宋_GB2312" w:eastAsia="方正仿宋_GB2312" w:cs="方正仿宋_GB2312"/>
      <w:color w:val="FF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559</Words>
  <Characters>619</Characters>
  <Lines>0</Lines>
  <Paragraphs>0</Paragraphs>
  <TotalTime>1</TotalTime>
  <ScaleCrop>false</ScaleCrop>
  <LinksUpToDate>false</LinksUpToDate>
  <CharactersWithSpaces>623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2024-03-02T00:45:00Z</dcterms:created>
  <dc:creator>薛慧</dc:creator>
  <cp:lastModifiedBy>琴</cp:lastModifiedBy>
  <cp:lastPrinted>2024-04-01T16:21:00Z</cp:lastPrinted>
  <dcterms:modified xsi:type="dcterms:W3CDTF">2026-07-23T10:01:52Z</dcterms:modified>
  <dc:title>冰是睡着的水</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8FC1D4758CB34F92BF2CFD7956B9E182_13</vt:lpwstr>
  </property>
  <property fmtid="{D5CDD505-2E9C-101B-9397-08002B2CF9AE}" pid="4" name="KSOTemplateDocerSaveRecord">
    <vt:lpwstr>eyJoZGlkIjoiMTNjNmZkMTgyNjcxNTU2NTYyMzNkYzE1MDc1NGFhNmYiLCJ1c2VySWQiOiI1NjYxNjc1NDAifQ==</vt:lpwstr>
  </property>
</Properties>
</file>