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B22D5">
      <w:pPr>
        <w:pStyle w:val="11"/>
        <w:widowControl/>
        <w:spacing w:before="0" w:beforeAutospacing="0" w:after="0" w:afterAutospacing="0"/>
        <w:ind w:left="0" w:right="0" w:firstLine="0"/>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水产养殖示范基地池塘维修及防洪排水建设项目</w:t>
      </w:r>
    </w:p>
    <w:p w14:paraId="32C80F94">
      <w:pPr>
        <w:pStyle w:val="11"/>
        <w:widowControl/>
        <w:spacing w:before="0" w:beforeAutospacing="0" w:after="0" w:afterAutospacing="0"/>
        <w:ind w:left="0" w:right="0" w:firstLine="0"/>
        <w:jc w:val="center"/>
        <w:rPr>
          <w:rFonts w:hint="eastAsia" w:ascii="仿宋" w:hAnsi="仿宋" w:eastAsia="仿宋" w:cs="仿宋"/>
          <w:b/>
          <w:bCs/>
          <w:sz w:val="30"/>
          <w:szCs w:val="30"/>
        </w:rPr>
      </w:pPr>
      <w:r>
        <w:rPr>
          <w:rFonts w:hint="eastAsia" w:ascii="仿宋" w:hAnsi="仿宋" w:eastAsia="仿宋" w:cs="仿宋"/>
          <w:b/>
          <w:bCs/>
          <w:sz w:val="30"/>
          <w:szCs w:val="30"/>
          <w:lang w:val="en-US" w:eastAsia="zh-CN"/>
        </w:rPr>
        <w:t>招标工程量清单</w:t>
      </w:r>
      <w:r>
        <w:rPr>
          <w:rFonts w:hint="eastAsia" w:ascii="仿宋" w:hAnsi="仿宋" w:eastAsia="仿宋" w:cs="仿宋"/>
          <w:b/>
          <w:bCs/>
          <w:sz w:val="30"/>
          <w:szCs w:val="30"/>
        </w:rPr>
        <w:t>编制说明</w:t>
      </w:r>
    </w:p>
    <w:p w14:paraId="7750B772">
      <w:pPr>
        <w:numPr>
          <w:ilvl w:val="0"/>
          <w:numId w:val="1"/>
        </w:numPr>
        <w:wordWrap/>
        <w:adjustRightInd/>
        <w:snapToGrid/>
        <w:spacing w:line="560" w:lineRule="exact"/>
        <w:ind w:left="140" w:leftChars="0" w:firstLine="0" w:firstLineChars="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工程概况 </w:t>
      </w:r>
    </w:p>
    <w:p w14:paraId="609891FC">
      <w:pPr>
        <w:pStyle w:val="11"/>
        <w:widowControl/>
        <w:wordWrap/>
        <w:adjustRightInd/>
        <w:snapToGrid/>
        <w:spacing w:before="0" w:beforeAutospacing="0" w:after="0" w:afterAutospacing="0" w:line="560" w:lineRule="exact"/>
        <w:ind w:left="0" w:right="0" w:firstLine="720" w:firstLineChars="3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本项目为水产养殖示范基地池塘维修及防洪排水建设项目工程，位于鄂尔多斯市准格尔旗，建设内容包括新建排水渠、过路涵管、收水口等</w:t>
      </w:r>
    </w:p>
    <w:p w14:paraId="6E6616D3">
      <w:pPr>
        <w:pStyle w:val="11"/>
        <w:widowControl/>
        <w:numPr>
          <w:ilvl w:val="0"/>
          <w:numId w:val="1"/>
        </w:numPr>
        <w:wordWrap/>
        <w:adjustRightInd/>
        <w:snapToGrid/>
        <w:spacing w:before="0" w:beforeAutospacing="0" w:after="0" w:afterAutospacing="0" w:line="560" w:lineRule="exact"/>
        <w:ind w:left="140" w:leftChars="0" w:right="0" w:firstLine="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招标内容</w:t>
      </w:r>
    </w:p>
    <w:p w14:paraId="4F093285">
      <w:pPr>
        <w:pStyle w:val="11"/>
        <w:widowControl/>
        <w:wordWrap/>
        <w:adjustRightInd/>
        <w:snapToGrid/>
        <w:spacing w:before="0" w:beforeAutospacing="0" w:after="0" w:afterAutospacing="0" w:line="560" w:lineRule="exact"/>
        <w:ind w:left="0" w:right="0" w:firstLine="720" w:firstLineChars="3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水产养殖示范基地池塘维修及防洪排水建设项目设计图纸范围</w:t>
      </w:r>
      <w:r>
        <w:rPr>
          <w:rFonts w:hint="eastAsia" w:ascii="仿宋" w:hAnsi="仿宋" w:eastAsia="仿宋" w:cs="仿宋"/>
          <w:color w:val="auto"/>
          <w:sz w:val="24"/>
          <w:szCs w:val="24"/>
          <w:lang w:val="en-US" w:eastAsia="zh-CN"/>
        </w:rPr>
        <w:t>。</w:t>
      </w:r>
    </w:p>
    <w:p w14:paraId="3B3A4882">
      <w:pPr>
        <w:numPr>
          <w:ilvl w:val="0"/>
          <w:numId w:val="0"/>
        </w:numPr>
        <w:wordWrap/>
        <w:adjustRightInd/>
        <w:snapToGrid/>
        <w:spacing w:line="56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 xml:space="preserve">编制依据 </w:t>
      </w:r>
    </w:p>
    <w:p w14:paraId="3B88E066">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1、清单执行《建设工程工程量清单计价标准(GB/T50500-2024)》及解释和勘误及现行相关政策性文件等。</w:t>
      </w:r>
    </w:p>
    <w:p w14:paraId="60369561">
      <w:pPr>
        <w:numPr>
          <w:ilvl w:val="0"/>
          <w:numId w:val="0"/>
        </w:numPr>
        <w:wordWrap/>
        <w:adjustRightInd/>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2、人工增加费费率为19% 。</w:t>
      </w:r>
    </w:p>
    <w:p w14:paraId="0E0BEC2A">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3、税金执行《关于调整内蒙古自治区建设工程计价依据增值税税率的通知》内建标[2019]113号文件，税率为9%。</w:t>
      </w:r>
    </w:p>
    <w:p w14:paraId="154E8098">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4、人工费调增执行《内蒙古自治区住房和城乡建设厅关于调整内蒙古自治区建设工程现行预算定额人工费的通知》（内建标〔2021〕148号），定额人工费调增10%。</w:t>
      </w:r>
    </w:p>
    <w:p w14:paraId="3684FC30">
      <w:pPr>
        <w:pStyle w:val="2"/>
        <w:wordWrap/>
        <w:adjustRightInd/>
        <w:snapToGrid/>
        <w:spacing w:line="560" w:lineRule="exact"/>
        <w:ind w:firstLine="480" w:firstLineChars="200"/>
        <w:textAlignment w:val="auto"/>
        <w:rPr>
          <w:rFonts w:hint="default"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5、安全生产费计提费用依据内建标[2025]98号文件规定执行，安全生产费计提费用以建筑安装工程、市政公用工程造价为依据计入招标控制价，并入《内蒙古自治区建设工程费用定额》（DNM200-2017）其他项目费。安全生产计提费为不可竞争费用。</w:t>
      </w:r>
    </w:p>
    <w:p w14:paraId="4E96729D">
      <w:pPr>
        <w:numPr>
          <w:ilvl w:val="0"/>
          <w:numId w:val="0"/>
        </w:numPr>
        <w:wordWrap/>
        <w:adjustRightInd/>
        <w:snapToGrid/>
        <w:spacing w:line="560" w:lineRule="exact"/>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编制说明</w:t>
      </w:r>
    </w:p>
    <w:p w14:paraId="4EFA7ED2">
      <w:pPr>
        <w:widowControl w:val="0"/>
        <w:tabs>
          <w:tab w:val="left" w:pos="355"/>
        </w:tabs>
        <w:wordWrap/>
        <w:adjustRightInd/>
        <w:snapToGrid/>
        <w:spacing w:line="560" w:lineRule="exact"/>
        <w:ind w:firstLine="480" w:firstLineChars="200"/>
        <w:contextualSpacing/>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sz w:val="24"/>
          <w:szCs w:val="24"/>
          <w:lang w:val="en-US" w:eastAsia="zh-CN"/>
        </w:rPr>
        <w:t>暂列金额30520</w:t>
      </w:r>
      <w:r>
        <w:rPr>
          <w:rFonts w:hint="eastAsia" w:ascii="仿宋" w:hAnsi="仿宋" w:eastAsia="仿宋" w:cs="仿宋"/>
          <w:color w:val="auto"/>
          <w:sz w:val="24"/>
          <w:szCs w:val="24"/>
          <w:lang w:val="en-US" w:eastAsia="zh-CN"/>
        </w:rPr>
        <w:t>元（含税9%）</w:t>
      </w:r>
      <w:r>
        <w:rPr>
          <w:rFonts w:hint="eastAsia" w:ascii="仿宋" w:hAnsi="仿宋" w:eastAsia="仿宋" w:cs="仿宋"/>
          <w:sz w:val="24"/>
          <w:szCs w:val="24"/>
          <w:lang w:val="en-US" w:eastAsia="zh-CN"/>
        </w:rPr>
        <w:t>，</w:t>
      </w:r>
      <w:r>
        <w:rPr>
          <w:rFonts w:hint="eastAsia" w:ascii="仿宋" w:hAnsi="仿宋" w:eastAsia="仿宋" w:cs="仿宋"/>
          <w:color w:val="auto"/>
          <w:sz w:val="24"/>
          <w:szCs w:val="24"/>
          <w:lang w:val="en-US" w:eastAsia="zh-CN"/>
        </w:rPr>
        <w:t>投标人报价时必须按招标工程量清单中列出的暂列金进行报价，如有不一致将否决其投标；</w:t>
      </w:r>
    </w:p>
    <w:p w14:paraId="70F96CB2">
      <w:pPr>
        <w:pStyle w:val="8"/>
        <w:keepNext w:val="0"/>
        <w:keepLines w:val="0"/>
        <w:widowControl/>
        <w:suppressLineNumbers w:val="0"/>
        <w:spacing w:before="0" w:beforeAutospacing="0" w:after="0" w:afterAutospacing="0"/>
        <w:ind w:left="0" w:right="0" w:firstLine="482" w:firstLineChars="200"/>
        <w:rPr>
          <w:rFonts w:hint="eastAsia" w:ascii="仿宋" w:hAnsi="仿宋" w:eastAsia="仿宋" w:cs="仿宋"/>
          <w:color w:val="auto"/>
          <w:sz w:val="24"/>
          <w:szCs w:val="24"/>
          <w:lang w:val="en-US" w:eastAsia="zh-CN"/>
        </w:rPr>
      </w:pPr>
      <w:r>
        <w:rPr>
          <w:rFonts w:hint="eastAsia" w:ascii="华文仿宋" w:hAnsi="华文仿宋" w:eastAsia="华文仿宋" w:cs="华文仿宋"/>
          <w:b/>
          <w:bCs/>
          <w:sz w:val="24"/>
          <w:szCs w:val="24"/>
          <w:lang w:val="en-US" w:eastAsia="zh-CN"/>
        </w:rPr>
        <w:t xml:space="preserve"> </w:t>
      </w:r>
      <w:r>
        <w:rPr>
          <w:rFonts w:hint="eastAsia" w:ascii="仿宋" w:hAnsi="仿宋" w:eastAsia="仿宋" w:cs="仿宋"/>
          <w:color w:val="auto"/>
          <w:sz w:val="24"/>
          <w:szCs w:val="24"/>
          <w:lang w:val="en-US" w:eastAsia="zh-CN"/>
        </w:rPr>
        <w:t>2、消纳费80元/M3（暂估综合单价）；</w:t>
      </w:r>
      <w:bookmarkStart w:id="0" w:name="_GoBack"/>
      <w:bookmarkEnd w:id="0"/>
    </w:p>
    <w:p w14:paraId="2CBD6F82">
      <w:pPr>
        <w:pStyle w:val="2"/>
        <w:ind w:firstLine="480" w:firstLineChars="200"/>
        <w:rPr>
          <w:rFonts w:hint="default" w:ascii="仿宋" w:hAnsi="仿宋" w:eastAsia="仿宋" w:cs="仿宋"/>
          <w:b w:val="0"/>
          <w:caps w:val="0"/>
          <w:color w:val="auto"/>
          <w:kern w:val="2"/>
          <w:sz w:val="24"/>
          <w:szCs w:val="24"/>
          <w:highlight w:val="yellow"/>
          <w:lang w:val="en-US" w:eastAsia="zh-CN" w:bidi="ar-SA"/>
        </w:rPr>
      </w:pPr>
    </w:p>
    <w:p w14:paraId="74F67DFE">
      <w:pPr>
        <w:rPr>
          <w:rFonts w:hint="default"/>
          <w:lang w:val="en-US" w:eastAsia="zh-CN"/>
        </w:rPr>
      </w:pPr>
    </w:p>
    <w:p w14:paraId="1AB354A4">
      <w:pPr>
        <w:pStyle w:val="2"/>
        <w:rPr>
          <w:rFonts w:hint="default"/>
          <w:lang w:val="en-US" w:eastAsia="zh-CN"/>
        </w:rPr>
      </w:pPr>
    </w:p>
    <w:p w14:paraId="26B18CAE">
      <w:pPr>
        <w:pStyle w:val="2"/>
        <w:rPr>
          <w:rFonts w:hint="eastAsia" w:ascii="华文仿宋" w:hAnsi="华文仿宋" w:eastAsia="华文仿宋" w:cs="华文仿宋"/>
          <w:b/>
          <w:bCs/>
          <w:sz w:val="24"/>
          <w:szCs w:val="24"/>
          <w:lang w:val="en-US" w:eastAsia="zh-CN"/>
        </w:rPr>
      </w:pPr>
    </w:p>
    <w:sectPr>
      <w:pgSz w:w="11906" w:h="16838"/>
      <w:pgMar w:top="1440" w:right="1800" w:bottom="646"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0B79BE3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pPr>
        <w:ind w:left="1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1AE3368"/>
    <w:rsid w:val="01F25091"/>
    <w:rsid w:val="03872045"/>
    <w:rsid w:val="06954AF6"/>
    <w:rsid w:val="0B7A6F40"/>
    <w:rsid w:val="0E3523E8"/>
    <w:rsid w:val="0EDB6354"/>
    <w:rsid w:val="0F8B17F6"/>
    <w:rsid w:val="11245456"/>
    <w:rsid w:val="128A63DF"/>
    <w:rsid w:val="133728C5"/>
    <w:rsid w:val="1C847D28"/>
    <w:rsid w:val="1C9A61BB"/>
    <w:rsid w:val="1E8D7EF7"/>
    <w:rsid w:val="202A0CEA"/>
    <w:rsid w:val="20A83220"/>
    <w:rsid w:val="212705E9"/>
    <w:rsid w:val="24B76DDB"/>
    <w:rsid w:val="263F660E"/>
    <w:rsid w:val="29F60080"/>
    <w:rsid w:val="2F1B07B0"/>
    <w:rsid w:val="314B5142"/>
    <w:rsid w:val="33072928"/>
    <w:rsid w:val="331B27F3"/>
    <w:rsid w:val="35392F39"/>
    <w:rsid w:val="36743EE1"/>
    <w:rsid w:val="36781778"/>
    <w:rsid w:val="3884758A"/>
    <w:rsid w:val="3A6C5593"/>
    <w:rsid w:val="3D384BAB"/>
    <w:rsid w:val="3D496FD5"/>
    <w:rsid w:val="3F2B4201"/>
    <w:rsid w:val="40667144"/>
    <w:rsid w:val="43060038"/>
    <w:rsid w:val="43731779"/>
    <w:rsid w:val="452032FC"/>
    <w:rsid w:val="4B3B5C13"/>
    <w:rsid w:val="4BBD3613"/>
    <w:rsid w:val="4BDD19BC"/>
    <w:rsid w:val="4D022B80"/>
    <w:rsid w:val="52AD7B4B"/>
    <w:rsid w:val="574F0D36"/>
    <w:rsid w:val="5D2469F6"/>
    <w:rsid w:val="5D59352A"/>
    <w:rsid w:val="5E192A8C"/>
    <w:rsid w:val="5E5B30A5"/>
    <w:rsid w:val="5F1A6C48"/>
    <w:rsid w:val="60740973"/>
    <w:rsid w:val="616C3CCD"/>
    <w:rsid w:val="67B96538"/>
    <w:rsid w:val="683D62F8"/>
    <w:rsid w:val="69A346D8"/>
    <w:rsid w:val="6AD13942"/>
    <w:rsid w:val="6B5A52BF"/>
    <w:rsid w:val="6C582951"/>
    <w:rsid w:val="6E7F693B"/>
    <w:rsid w:val="73A6203B"/>
    <w:rsid w:val="75083042"/>
    <w:rsid w:val="785D2AC9"/>
    <w:rsid w:val="792737ED"/>
    <w:rsid w:val="7BB6095A"/>
    <w:rsid w:val="7E741C47"/>
    <w:rsid w:val="7EEE1A7E"/>
    <w:rsid w:val="7F7378B0"/>
    <w:rsid w:val="7FF177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3"/>
    <w:basedOn w:val="1"/>
    <w:next w:val="1"/>
    <w:qFormat/>
    <w:uiPriority w:val="0"/>
    <w:pPr>
      <w:keepNext/>
      <w:keepLines/>
      <w:spacing w:before="260" w:beforeAutospacing="0" w:after="260" w:afterAutospacing="0" w:line="413" w:lineRule="auto"/>
      <w:outlineLvl w:val="2"/>
    </w:pPr>
    <w:rPr>
      <w:b/>
      <w:sz w:val="32"/>
    </w:rPr>
  </w:style>
  <w:style w:type="paragraph" w:styleId="4">
    <w:name w:val="heading 4"/>
    <w:basedOn w:val="1"/>
    <w:next w:val="1"/>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spacing w:before="120" w:after="120"/>
      <w:jc w:val="left"/>
    </w:pPr>
    <w:rPr>
      <w:b/>
      <w:caps/>
      <w:sz w:val="20"/>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Normal (Web)"/>
    <w:basedOn w:val="1"/>
    <w:qFormat/>
    <w:uiPriority w:val="0"/>
    <w:pPr>
      <w:spacing w:before="0" w:beforeAutospacing="1" w:after="0" w:afterAutospacing="1"/>
      <w:ind w:left="0" w:right="0"/>
      <w:jc w:val="left"/>
    </w:pPr>
    <w:rPr>
      <w:kern w:val="0"/>
      <w:sz w:val="24"/>
      <w:lang w:val="en-US" w:eastAsia="zh-CN"/>
    </w:rPr>
  </w:style>
  <w:style w:type="character" w:customStyle="1" w:styleId="12">
    <w:name w:val="font122"/>
    <w:basedOn w:val="10"/>
    <w:qFormat/>
    <w:uiPriority w:val="0"/>
    <w:rPr>
      <w:rFonts w:ascii="Arial" w:hAnsi="Arial" w:cs="Arial"/>
      <w:b/>
      <w:bCs/>
      <w:color w:val="000000"/>
      <w:sz w:val="32"/>
      <w:szCs w:val="32"/>
      <w:u w:val="none"/>
    </w:rPr>
  </w:style>
  <w:style w:type="character" w:customStyle="1" w:styleId="13">
    <w:name w:val="font51"/>
    <w:basedOn w:val="10"/>
    <w:qFormat/>
    <w:uiPriority w:val="0"/>
    <w:rPr>
      <w:rFonts w:hint="eastAsia" w:ascii="方正仿宋_GB2312" w:hAnsi="方正仿宋_GB2312" w:eastAsia="方正仿宋_GB2312" w:cs="方正仿宋_GB2312"/>
      <w:color w:val="FF0000"/>
      <w:sz w:val="24"/>
      <w:szCs w:val="24"/>
      <w:u w:val="none"/>
    </w:rPr>
  </w:style>
  <w:style w:type="character" w:customStyle="1" w:styleId="14">
    <w:name w:val="font11"/>
    <w:basedOn w:val="10"/>
    <w:qFormat/>
    <w:uiPriority w:val="0"/>
    <w:rPr>
      <w:rFonts w:hint="eastAsia" w:ascii="方正仿宋_GB2312" w:hAnsi="方正仿宋_GB2312" w:eastAsia="方正仿宋_GB2312" w:cs="方正仿宋_GB2312"/>
      <w:color w:val="000000"/>
      <w:sz w:val="24"/>
      <w:szCs w:val="24"/>
      <w:u w:val="none"/>
    </w:rPr>
  </w:style>
  <w:style w:type="character" w:customStyle="1" w:styleId="15">
    <w:name w:val="font41"/>
    <w:basedOn w:val="10"/>
    <w:qFormat/>
    <w:uiPriority w:val="0"/>
    <w:rPr>
      <w:rFonts w:hint="eastAsia" w:ascii="方正仿宋_GB2312" w:hAnsi="方正仿宋_GB2312" w:eastAsia="方正仿宋_GB2312" w:cs="方正仿宋_GB2312"/>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485</Words>
  <Characters>543</Characters>
  <Lines>0</Lines>
  <Paragraphs>0</Paragraphs>
  <TotalTime>0</TotalTime>
  <ScaleCrop>false</ScaleCrop>
  <LinksUpToDate>false</LinksUpToDate>
  <CharactersWithSpaces>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2024-03-02T00:45:00Z</dcterms:created>
  <dc:creator>薛慧</dc:creator>
  <cp:lastModifiedBy>冰是睡着的水</cp:lastModifiedBy>
  <cp:lastPrinted>2024-04-01T16:21:00Z</cp:lastPrinted>
  <dcterms:modified xsi:type="dcterms:W3CDTF">2026-05-21T08:33:28Z</dcterms:modified>
  <dc:title>冰是睡着的水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8FC1D4758CB34F92BF2CFD7956B9E182_13</vt:lpwstr>
  </property>
  <property fmtid="{D5CDD505-2E9C-101B-9397-08002B2CF9AE}" pid="4" name="KSOTemplateDocerSaveRecord">
    <vt:lpwstr>eyJoZGlkIjoiZWQwMGQxODRjZDEzYjg1ZGM3NWE3YmUwOTA4ZDQ4NTgiLCJ1c2VySWQiOiI1NjI4NDc3NDIifQ==</vt:lpwstr>
  </property>
</Properties>
</file>