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41542">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spacing w:val="0"/>
          <w:position w:val="0"/>
          <w:sz w:val="28"/>
          <w:szCs w:val="28"/>
        </w:rPr>
      </w:pPr>
      <w:bookmarkStart w:id="0" w:name="_GoBack"/>
      <w:bookmarkEnd w:id="0"/>
      <w:r>
        <w:rPr>
          <w:rFonts w:hint="eastAsia" w:ascii="仿宋" w:hAnsi="仿宋" w:eastAsia="仿宋" w:cs="仿宋"/>
          <w:spacing w:val="0"/>
          <w:position w:val="0"/>
          <w:sz w:val="28"/>
          <w:szCs w:val="28"/>
          <w:lang w:val="en-US" w:eastAsia="zh-CN"/>
        </w:rPr>
        <w:t>1.</w:t>
      </w:r>
      <w:r>
        <w:rPr>
          <w:rFonts w:hint="eastAsia" w:ascii="仿宋" w:hAnsi="仿宋" w:eastAsia="仿宋" w:cs="仿宋"/>
          <w:spacing w:val="0"/>
          <w:position w:val="0"/>
          <w:sz w:val="28"/>
          <w:szCs w:val="28"/>
        </w:rPr>
        <w:t>知识产权归属、处理方式</w:t>
      </w:r>
    </w:p>
    <w:p w14:paraId="71B83C68">
      <w:pPr>
        <w:pStyle w:val="3"/>
        <w:keepNext w:val="0"/>
        <w:keepLines w:val="0"/>
        <w:pageBreakBefore w:val="0"/>
        <w:widowControl/>
        <w:overflowPunct/>
        <w:topLinePunct w:val="0"/>
        <w:autoSpaceDE w:val="0"/>
        <w:autoSpaceDN w:val="0"/>
        <w:bidi w:val="0"/>
        <w:adjustRightInd w:val="0"/>
        <w:snapToGrid w:val="0"/>
        <w:spacing w:line="480" w:lineRule="exact"/>
        <w:ind w:left="0" w:leftChars="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u w:val="single"/>
          <w:lang w:val="en-US" w:eastAsia="zh-CN"/>
        </w:rPr>
        <w:t>（1）供应商在本项目使用任何产品和服务（包括部分使用）时，不会产生因第三方提出侵犯其专利权、商标权、著作权或其它知识产权而引起的法律和经济纠纷，如因专利权、商标权或其它知识产权而引起法律和经济纠纷，由供应商承担所有相关责任。</w:t>
      </w:r>
    </w:p>
    <w:p w14:paraId="3C0114C3">
      <w:pPr>
        <w:pStyle w:val="3"/>
        <w:keepNext w:val="0"/>
        <w:keepLines w:val="0"/>
        <w:pageBreakBefore w:val="0"/>
        <w:widowControl/>
        <w:overflowPunct/>
        <w:topLinePunct w:val="0"/>
        <w:autoSpaceDE w:val="0"/>
        <w:autoSpaceDN w:val="0"/>
        <w:bidi w:val="0"/>
        <w:adjustRightInd w:val="0"/>
        <w:snapToGrid w:val="0"/>
        <w:spacing w:line="480" w:lineRule="exact"/>
        <w:ind w:left="0" w:leftChars="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u w:val="single"/>
          <w:lang w:val="en-US" w:eastAsia="zh-CN"/>
        </w:rPr>
        <w:t>（2）采购人享有本项目实施过程中产生的知识成果及知识产权，并依据实际情况对采购标的涉及的知识产权进行处理。</w:t>
      </w:r>
    </w:p>
    <w:p w14:paraId="773525A4">
      <w:pPr>
        <w:pStyle w:val="3"/>
        <w:keepNext w:val="0"/>
        <w:keepLines w:val="0"/>
        <w:pageBreakBefore w:val="0"/>
        <w:widowControl/>
        <w:overflowPunct/>
        <w:topLinePunct w:val="0"/>
        <w:autoSpaceDE w:val="0"/>
        <w:autoSpaceDN w:val="0"/>
        <w:bidi w:val="0"/>
        <w:adjustRightInd w:val="0"/>
        <w:snapToGrid w:val="0"/>
        <w:spacing w:line="480" w:lineRule="exact"/>
        <w:ind w:left="0" w:leftChars="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u w:val="single"/>
          <w:lang w:val="en-US" w:eastAsia="zh-CN"/>
        </w:rPr>
        <w:t>（3）供应商如欲在项目实施过程中采用自有知识成果，需在投标文件中声明，并提供相关知识产权证明文件。使用该知识成果后，供应商需提供相关技术文档，并承诺提供无限期技术支持，采购人享有永久使用权。</w:t>
      </w:r>
    </w:p>
    <w:p w14:paraId="5220F273">
      <w:pPr>
        <w:pStyle w:val="3"/>
        <w:keepNext w:val="0"/>
        <w:keepLines w:val="0"/>
        <w:pageBreakBefore w:val="0"/>
        <w:widowControl/>
        <w:overflowPunct/>
        <w:topLinePunct w:val="0"/>
        <w:autoSpaceDE w:val="0"/>
        <w:autoSpaceDN w:val="0"/>
        <w:bidi w:val="0"/>
        <w:adjustRightInd w:val="0"/>
        <w:snapToGrid w:val="0"/>
        <w:spacing w:line="480" w:lineRule="exact"/>
        <w:ind w:left="0" w:leftChars="0"/>
        <w:textAlignment w:val="baseline"/>
        <w:rPr>
          <w:rFonts w:hint="eastAsia" w:ascii="仿宋" w:hAnsi="仿宋" w:eastAsia="仿宋" w:cs="仿宋"/>
          <w:color w:val="auto"/>
          <w:spacing w:val="0"/>
          <w:position w:val="0"/>
          <w:sz w:val="28"/>
          <w:szCs w:val="28"/>
          <w:u w:val="single"/>
        </w:rPr>
      </w:pPr>
      <w:r>
        <w:rPr>
          <w:rFonts w:hint="eastAsia" w:ascii="仿宋" w:hAnsi="仿宋" w:eastAsia="仿宋" w:cs="仿宋"/>
          <w:color w:val="auto"/>
          <w:sz w:val="28"/>
          <w:szCs w:val="28"/>
          <w:u w:val="single"/>
          <w:lang w:val="en-US" w:eastAsia="zh-CN"/>
        </w:rPr>
        <w:t>（4）如采用供应商所不拥有的知识产权，则在报价中必须包括合法获取该知识产权的相关费用。</w:t>
      </w:r>
    </w:p>
    <w:p w14:paraId="18A61A15">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spacing w:val="0"/>
          <w:position w:val="0"/>
          <w:sz w:val="28"/>
          <w:szCs w:val="28"/>
        </w:rPr>
      </w:pPr>
      <w:r>
        <w:rPr>
          <w:rFonts w:hint="eastAsia" w:ascii="仿宋" w:hAnsi="仿宋" w:eastAsia="仿宋" w:cs="仿宋"/>
          <w:spacing w:val="0"/>
          <w:position w:val="0"/>
          <w:sz w:val="28"/>
          <w:szCs w:val="28"/>
          <w:lang w:val="en-US" w:eastAsia="zh-CN"/>
        </w:rPr>
        <w:t>2.</w:t>
      </w:r>
      <w:r>
        <w:rPr>
          <w:rFonts w:hint="eastAsia" w:ascii="仿宋" w:hAnsi="仿宋" w:eastAsia="仿宋" w:cs="仿宋"/>
          <w:spacing w:val="0"/>
          <w:position w:val="0"/>
          <w:sz w:val="28"/>
          <w:szCs w:val="28"/>
        </w:rPr>
        <w:t>成本补偿、风险分担约定</w:t>
      </w:r>
    </w:p>
    <w:p w14:paraId="2147CBF1">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u w:val="single"/>
        </w:rPr>
      </w:pPr>
      <w:r>
        <w:rPr>
          <w:rFonts w:hint="eastAsia" w:ascii="仿宋" w:hAnsi="仿宋" w:eastAsia="仿宋" w:cs="仿宋"/>
          <w:color w:val="auto"/>
          <w:spacing w:val="0"/>
          <w:position w:val="0"/>
          <w:sz w:val="28"/>
          <w:szCs w:val="28"/>
          <w:u w:val="single"/>
          <w:lang w:eastAsia="zh-CN"/>
        </w:rPr>
        <w:t>（</w:t>
      </w:r>
      <w:r>
        <w:rPr>
          <w:rFonts w:hint="eastAsia" w:ascii="仿宋" w:hAnsi="仿宋" w:eastAsia="仿宋" w:cs="仿宋"/>
          <w:color w:val="auto"/>
          <w:spacing w:val="0"/>
          <w:position w:val="0"/>
          <w:sz w:val="28"/>
          <w:szCs w:val="28"/>
          <w:u w:val="single"/>
          <w:lang w:val="en-US" w:eastAsia="zh-CN"/>
        </w:rPr>
        <w:t>1</w:t>
      </w:r>
      <w:r>
        <w:rPr>
          <w:rFonts w:hint="eastAsia" w:ascii="仿宋" w:hAnsi="仿宋" w:eastAsia="仿宋" w:cs="仿宋"/>
          <w:color w:val="auto"/>
          <w:spacing w:val="0"/>
          <w:position w:val="0"/>
          <w:sz w:val="28"/>
          <w:szCs w:val="28"/>
          <w:u w:val="single"/>
          <w:lang w:eastAsia="zh-CN"/>
        </w:rPr>
        <w:t>）</w:t>
      </w:r>
      <w:r>
        <w:rPr>
          <w:rFonts w:hint="eastAsia" w:ascii="仿宋" w:hAnsi="仿宋" w:eastAsia="仿宋" w:cs="仿宋"/>
          <w:color w:val="auto"/>
          <w:spacing w:val="0"/>
          <w:position w:val="0"/>
          <w:sz w:val="28"/>
          <w:szCs w:val="28"/>
          <w:u w:val="single"/>
        </w:rPr>
        <w:t>通过对风险的分析、评估，确定风险类别及危害，进而确定合作主体，以便风险发生时共同抵御。</w:t>
      </w:r>
    </w:p>
    <w:p w14:paraId="271E1F3B">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u w:val="single"/>
        </w:rPr>
      </w:pPr>
      <w:r>
        <w:rPr>
          <w:rFonts w:hint="eastAsia" w:ascii="仿宋" w:hAnsi="仿宋" w:eastAsia="仿宋" w:cs="仿宋"/>
          <w:color w:val="auto"/>
          <w:spacing w:val="0"/>
          <w:position w:val="0"/>
          <w:sz w:val="28"/>
          <w:szCs w:val="28"/>
          <w:u w:val="single"/>
          <w:lang w:eastAsia="zh-CN"/>
        </w:rPr>
        <w:t>（</w:t>
      </w:r>
      <w:r>
        <w:rPr>
          <w:rFonts w:hint="eastAsia" w:ascii="仿宋" w:hAnsi="仿宋" w:eastAsia="仿宋" w:cs="仿宋"/>
          <w:color w:val="auto"/>
          <w:spacing w:val="0"/>
          <w:position w:val="0"/>
          <w:sz w:val="28"/>
          <w:szCs w:val="28"/>
          <w:u w:val="single"/>
          <w:lang w:val="en-US" w:eastAsia="zh-CN"/>
        </w:rPr>
        <w:t>2</w:t>
      </w:r>
      <w:r>
        <w:rPr>
          <w:rFonts w:hint="eastAsia" w:ascii="仿宋" w:hAnsi="仿宋" w:eastAsia="仿宋" w:cs="仿宋"/>
          <w:color w:val="auto"/>
          <w:spacing w:val="0"/>
          <w:position w:val="0"/>
          <w:sz w:val="28"/>
          <w:szCs w:val="28"/>
          <w:u w:val="single"/>
          <w:lang w:eastAsia="zh-CN"/>
        </w:rPr>
        <w:t>）</w:t>
      </w:r>
      <w:r>
        <w:rPr>
          <w:rFonts w:hint="eastAsia" w:ascii="仿宋" w:hAnsi="仿宋" w:eastAsia="仿宋" w:cs="仿宋"/>
          <w:color w:val="auto"/>
          <w:spacing w:val="0"/>
          <w:position w:val="0"/>
          <w:sz w:val="28"/>
          <w:szCs w:val="28"/>
          <w:u w:val="single"/>
        </w:rPr>
        <w:t>风险分担主要是通过合同结构和合同条款定义的。</w:t>
      </w:r>
    </w:p>
    <w:p w14:paraId="4386BBC9">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u w:val="single"/>
        </w:rPr>
      </w:pPr>
      <w:r>
        <w:rPr>
          <w:rFonts w:hint="eastAsia" w:ascii="仿宋" w:hAnsi="仿宋" w:eastAsia="仿宋" w:cs="仿宋"/>
          <w:color w:val="auto"/>
          <w:spacing w:val="0"/>
          <w:position w:val="0"/>
          <w:sz w:val="28"/>
          <w:szCs w:val="28"/>
          <w:u w:val="single"/>
          <w:lang w:eastAsia="zh-CN"/>
        </w:rPr>
        <w:t>（</w:t>
      </w:r>
      <w:r>
        <w:rPr>
          <w:rFonts w:hint="eastAsia" w:ascii="仿宋" w:hAnsi="仿宋" w:eastAsia="仿宋" w:cs="仿宋"/>
          <w:color w:val="auto"/>
          <w:spacing w:val="0"/>
          <w:position w:val="0"/>
          <w:sz w:val="28"/>
          <w:szCs w:val="28"/>
          <w:u w:val="single"/>
          <w:lang w:val="en-US" w:eastAsia="zh-CN"/>
        </w:rPr>
        <w:t>3</w:t>
      </w:r>
      <w:r>
        <w:rPr>
          <w:rFonts w:hint="eastAsia" w:ascii="仿宋" w:hAnsi="仿宋" w:eastAsia="仿宋" w:cs="仿宋"/>
          <w:color w:val="auto"/>
          <w:spacing w:val="0"/>
          <w:position w:val="0"/>
          <w:sz w:val="28"/>
          <w:szCs w:val="28"/>
          <w:u w:val="single"/>
          <w:lang w:eastAsia="zh-CN"/>
        </w:rPr>
        <w:t>）</w:t>
      </w:r>
      <w:r>
        <w:rPr>
          <w:rFonts w:hint="eastAsia" w:ascii="仿宋" w:hAnsi="仿宋" w:eastAsia="仿宋" w:cs="仿宋"/>
          <w:color w:val="auto"/>
          <w:spacing w:val="0"/>
          <w:position w:val="0"/>
          <w:sz w:val="28"/>
          <w:szCs w:val="28"/>
          <w:u w:val="single"/>
        </w:rPr>
        <w:t>风险发生时，合同双方按照合同约定分别履行各自义务，共同承担风险，从而实现既发风险的现实分担。</w:t>
      </w:r>
    </w:p>
    <w:p w14:paraId="55840488">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rPr>
      </w:pPr>
      <w:r>
        <w:rPr>
          <w:rFonts w:hint="eastAsia" w:ascii="仿宋" w:hAnsi="仿宋" w:eastAsia="仿宋" w:cs="仿宋"/>
          <w:color w:val="auto"/>
          <w:spacing w:val="0"/>
          <w:position w:val="0"/>
          <w:sz w:val="28"/>
          <w:szCs w:val="28"/>
          <w:lang w:val="en-US" w:eastAsia="zh-CN"/>
        </w:rPr>
        <w:t>3.</w:t>
      </w:r>
      <w:r>
        <w:rPr>
          <w:rFonts w:hint="eastAsia" w:ascii="仿宋" w:hAnsi="仿宋" w:eastAsia="仿宋" w:cs="仿宋"/>
          <w:color w:val="auto"/>
          <w:spacing w:val="0"/>
          <w:position w:val="0"/>
          <w:sz w:val="28"/>
          <w:szCs w:val="28"/>
        </w:rPr>
        <w:t>违约责任与解决争议的方法</w:t>
      </w:r>
    </w:p>
    <w:p w14:paraId="180EE29C">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highlight w:val="none"/>
          <w:u w:val="single"/>
        </w:rPr>
      </w:pPr>
      <w:r>
        <w:rPr>
          <w:rFonts w:hint="eastAsia" w:ascii="仿宋" w:hAnsi="仿宋" w:eastAsia="仿宋" w:cs="仿宋"/>
          <w:color w:val="auto"/>
          <w:spacing w:val="0"/>
          <w:position w:val="0"/>
          <w:sz w:val="28"/>
          <w:szCs w:val="28"/>
          <w:highlight w:val="none"/>
        </w:rPr>
        <w:t>违约责任：</w:t>
      </w:r>
    </w:p>
    <w:p w14:paraId="2447272D">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highlight w:val="none"/>
          <w:u w:val="single"/>
          <w:lang w:val="en-US" w:eastAsia="zh-CN"/>
        </w:rPr>
      </w:pPr>
      <w:r>
        <w:rPr>
          <w:rFonts w:hint="eastAsia" w:ascii="仿宋" w:hAnsi="仿宋" w:eastAsia="仿宋" w:cs="仿宋"/>
          <w:color w:val="auto"/>
          <w:spacing w:val="0"/>
          <w:position w:val="0"/>
          <w:sz w:val="28"/>
          <w:szCs w:val="28"/>
          <w:highlight w:val="none"/>
          <w:u w:val="single"/>
          <w:lang w:val="en-US" w:eastAsia="zh-CN"/>
        </w:rPr>
        <w:t>（一）甲乙双方应正当行使权利、合理履行义务，保证本合同的正确履行。双方无法定或约定理由单方解除本合同的，需向对方支付合同金额 10 %的违约金。造成对方损失且违约金不足以弥补对方损失的，违约方还应进行相应赔偿。</w:t>
      </w:r>
    </w:p>
    <w:p w14:paraId="4FF09654">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highlight w:val="none"/>
          <w:u w:val="single"/>
          <w:lang w:val="en-US" w:eastAsia="zh-CN"/>
        </w:rPr>
      </w:pPr>
      <w:r>
        <w:rPr>
          <w:rFonts w:hint="eastAsia" w:ascii="仿宋" w:hAnsi="仿宋" w:eastAsia="仿宋" w:cs="仿宋"/>
          <w:color w:val="auto"/>
          <w:spacing w:val="0"/>
          <w:position w:val="0"/>
          <w:sz w:val="28"/>
          <w:szCs w:val="28"/>
          <w:highlight w:val="none"/>
          <w:u w:val="single"/>
          <w:lang w:val="en-US" w:eastAsia="zh-CN"/>
        </w:rPr>
        <w:t>（二）由于乙方服务能力(技术水平、服务态度等)不能满足甲方要求，或不能及时到达现场进行维护，或因乙方原因导致故障且不能及时排除、出现重大安全事故、被检查出严重的安全问题，从而严重影响甲方正常工作的，属于乙方单方违约，甲方可以单方解除本合同。由此造成甲方损失的，由乙方按照损失情况承担赔偿责任,并收取惩罚性违约金5万。</w:t>
      </w:r>
    </w:p>
    <w:p w14:paraId="769FF5B5">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highlight w:val="none"/>
          <w:u w:val="single"/>
          <w:lang w:val="en-US" w:eastAsia="zh-CN"/>
        </w:rPr>
      </w:pPr>
      <w:r>
        <w:rPr>
          <w:rFonts w:hint="eastAsia" w:ascii="仿宋" w:hAnsi="仿宋" w:eastAsia="仿宋" w:cs="仿宋"/>
          <w:color w:val="auto"/>
          <w:spacing w:val="0"/>
          <w:position w:val="0"/>
          <w:sz w:val="28"/>
          <w:szCs w:val="28"/>
          <w:highlight w:val="none"/>
          <w:u w:val="single"/>
          <w:lang w:val="en-US" w:eastAsia="zh-CN"/>
        </w:rPr>
        <w:t>（三）乙方未按照合同约定提供本合同约定的服务，未完成或延迟超过10日完成一次（项）的，应按照合同总项目款项 5 %向甲方支付违约金。未完成或延迟完成服务事项达到三次（项），甲方有权单方解除合同，并要求乙方承担违约责任。</w:t>
      </w:r>
    </w:p>
    <w:p w14:paraId="1F63E8D4">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highlight w:val="none"/>
          <w:u w:val="single"/>
          <w:lang w:val="en-US" w:eastAsia="zh-CN"/>
        </w:rPr>
      </w:pPr>
      <w:r>
        <w:rPr>
          <w:rFonts w:hint="eastAsia" w:ascii="仿宋" w:hAnsi="仿宋" w:eastAsia="仿宋" w:cs="仿宋"/>
          <w:color w:val="auto"/>
          <w:spacing w:val="0"/>
          <w:position w:val="0"/>
          <w:sz w:val="28"/>
          <w:szCs w:val="28"/>
          <w:highlight w:val="none"/>
          <w:u w:val="single"/>
          <w:lang w:val="en-US" w:eastAsia="zh-CN"/>
        </w:rPr>
        <w:t>（四）乙方以任何形式擅自将项目部分或全部转包给第三方实施的，乙方构成单方违约，甲方有权解除合同并追缴已支付款项。造成甲方其他损失，乙方还应进行相应赔偿。</w:t>
      </w:r>
    </w:p>
    <w:p w14:paraId="26ABFDC3">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highlight w:val="none"/>
          <w:u w:val="single"/>
        </w:rPr>
      </w:pPr>
      <w:r>
        <w:rPr>
          <w:rFonts w:hint="eastAsia" w:ascii="仿宋" w:hAnsi="仿宋" w:eastAsia="仿宋" w:cs="仿宋"/>
          <w:color w:val="auto"/>
          <w:spacing w:val="0"/>
          <w:position w:val="0"/>
          <w:sz w:val="28"/>
          <w:szCs w:val="28"/>
          <w:highlight w:val="none"/>
          <w:u w:val="single"/>
          <w:lang w:val="en-US" w:eastAsia="zh-CN"/>
        </w:rPr>
        <w:t>（五）乙方如将甲方商业秘密泄露给任何第三人或使用商业秘密使甲方遭受损失的，乙方应对甲方进行赔偿，其赔偿数额不少于由于其违反义务所给甲方带来的损失。</w:t>
      </w:r>
      <w:r>
        <w:rPr>
          <w:rFonts w:hint="eastAsia" w:ascii="仿宋" w:hAnsi="仿宋" w:eastAsia="仿宋" w:cs="仿宋"/>
          <w:color w:val="auto"/>
          <w:spacing w:val="0"/>
          <w:position w:val="0"/>
          <w:sz w:val="28"/>
          <w:szCs w:val="28"/>
          <w:highlight w:val="none"/>
        </w:rPr>
        <w:t>争议的解决方式：</w:t>
      </w:r>
    </w:p>
    <w:p w14:paraId="7DF33A46">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highlight w:val="none"/>
          <w:u w:val="single"/>
        </w:rPr>
      </w:pPr>
      <w:r>
        <w:rPr>
          <w:rFonts w:hint="eastAsia" w:ascii="仿宋" w:hAnsi="仿宋" w:eastAsia="仿宋" w:cs="仿宋"/>
          <w:color w:val="auto"/>
          <w:spacing w:val="0"/>
          <w:position w:val="0"/>
          <w:sz w:val="28"/>
          <w:szCs w:val="28"/>
          <w:highlight w:val="none"/>
          <w:u w:val="single"/>
        </w:rPr>
        <w:t>合同发生纠纷时，双方应协商解决，协商不成可以采用下列</w:t>
      </w:r>
      <w:r>
        <w:rPr>
          <w:rFonts w:hint="eastAsia" w:ascii="仿宋" w:hAnsi="仿宋" w:eastAsia="仿宋" w:cs="仿宋"/>
          <w:color w:val="auto"/>
          <w:spacing w:val="0"/>
          <w:position w:val="0"/>
          <w:sz w:val="28"/>
          <w:szCs w:val="28"/>
          <w:highlight w:val="none"/>
          <w:u w:val="single"/>
          <w:lang w:val="en-US" w:eastAsia="zh-CN"/>
        </w:rPr>
        <w:t>第（二）种</w:t>
      </w:r>
      <w:r>
        <w:rPr>
          <w:rFonts w:hint="eastAsia" w:ascii="仿宋" w:hAnsi="仿宋" w:eastAsia="仿宋" w:cs="仿宋"/>
          <w:color w:val="auto"/>
          <w:spacing w:val="0"/>
          <w:position w:val="0"/>
          <w:sz w:val="28"/>
          <w:szCs w:val="28"/>
          <w:highlight w:val="none"/>
          <w:u w:val="single"/>
        </w:rPr>
        <w:t>方式解决：</w:t>
      </w:r>
    </w:p>
    <w:p w14:paraId="30BEFD61">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highlight w:val="none"/>
          <w:u w:val="single"/>
        </w:rPr>
      </w:pPr>
      <w:r>
        <w:rPr>
          <w:rFonts w:hint="eastAsia" w:ascii="仿宋" w:hAnsi="仿宋" w:eastAsia="仿宋" w:cs="仿宋"/>
          <w:color w:val="auto"/>
          <w:spacing w:val="0"/>
          <w:position w:val="0"/>
          <w:sz w:val="28"/>
          <w:szCs w:val="28"/>
          <w:highlight w:val="none"/>
          <w:u w:val="single"/>
        </w:rPr>
        <w:t>（一）提交</w:t>
      </w:r>
      <w:r>
        <w:rPr>
          <w:rFonts w:hint="eastAsia" w:ascii="仿宋" w:hAnsi="仿宋" w:eastAsia="仿宋" w:cs="仿宋"/>
          <w:color w:val="auto"/>
          <w:spacing w:val="0"/>
          <w:position w:val="0"/>
          <w:sz w:val="28"/>
          <w:szCs w:val="28"/>
          <w:highlight w:val="none"/>
          <w:u w:val="single"/>
          <w:lang w:val="en-US" w:eastAsia="zh-CN"/>
        </w:rPr>
        <w:t>项目所在地</w:t>
      </w:r>
      <w:r>
        <w:rPr>
          <w:rFonts w:hint="eastAsia" w:ascii="仿宋" w:hAnsi="仿宋" w:eastAsia="仿宋" w:cs="仿宋"/>
          <w:color w:val="auto"/>
          <w:spacing w:val="0"/>
          <w:position w:val="0"/>
          <w:sz w:val="28"/>
          <w:szCs w:val="28"/>
          <w:highlight w:val="none"/>
          <w:u w:val="single"/>
        </w:rPr>
        <w:t>仲裁委员会仲裁。</w:t>
      </w:r>
    </w:p>
    <w:p w14:paraId="4AE4E28E">
      <w:pPr>
        <w:keepNext w:val="0"/>
        <w:keepLines w:val="0"/>
        <w:pageBreakBefore w:val="0"/>
        <w:widowControl/>
        <w:kinsoku w:val="0"/>
        <w:wordWrap w:val="0"/>
        <w:overflowPunct/>
        <w:topLinePunct w:val="0"/>
        <w:autoSpaceDE w:val="0"/>
        <w:autoSpaceDN w:val="0"/>
        <w:bidi w:val="0"/>
        <w:adjustRightInd w:val="0"/>
        <w:snapToGrid w:val="0"/>
        <w:spacing w:line="480" w:lineRule="exact"/>
        <w:ind w:left="0" w:leftChars="0" w:firstLine="560" w:firstLineChars="200"/>
        <w:textAlignment w:val="baseline"/>
        <w:outlineLvl w:val="9"/>
        <w:rPr>
          <w:rFonts w:hint="eastAsia" w:ascii="仿宋" w:hAnsi="仿宋" w:eastAsia="仿宋" w:cs="仿宋"/>
          <w:color w:val="auto"/>
          <w:spacing w:val="0"/>
          <w:position w:val="0"/>
          <w:sz w:val="28"/>
          <w:szCs w:val="28"/>
          <w:highlight w:val="none"/>
          <w:u w:val="single"/>
        </w:rPr>
      </w:pPr>
      <w:r>
        <w:rPr>
          <w:rFonts w:hint="eastAsia" w:ascii="仿宋" w:hAnsi="仿宋" w:eastAsia="仿宋" w:cs="仿宋"/>
          <w:color w:val="auto"/>
          <w:spacing w:val="0"/>
          <w:position w:val="0"/>
          <w:sz w:val="28"/>
          <w:szCs w:val="28"/>
          <w:highlight w:val="none"/>
          <w:u w:val="single"/>
        </w:rPr>
        <w:t>（二）向</w:t>
      </w:r>
      <w:r>
        <w:rPr>
          <w:rFonts w:hint="eastAsia" w:ascii="仿宋" w:hAnsi="仿宋" w:eastAsia="仿宋" w:cs="仿宋"/>
          <w:color w:val="auto"/>
          <w:spacing w:val="0"/>
          <w:position w:val="0"/>
          <w:sz w:val="28"/>
          <w:szCs w:val="28"/>
          <w:highlight w:val="none"/>
          <w:u w:val="single"/>
          <w:lang w:val="en-US" w:eastAsia="zh-CN"/>
        </w:rPr>
        <w:t>项目所在地</w:t>
      </w:r>
      <w:r>
        <w:rPr>
          <w:rFonts w:hint="eastAsia" w:ascii="仿宋" w:hAnsi="仿宋" w:eastAsia="仿宋" w:cs="仿宋"/>
          <w:color w:val="auto"/>
          <w:spacing w:val="0"/>
          <w:position w:val="0"/>
          <w:sz w:val="28"/>
          <w:szCs w:val="28"/>
          <w:highlight w:val="none"/>
          <w:u w:val="single"/>
        </w:rPr>
        <w:t>人民法院起诉。</w:t>
      </w:r>
    </w:p>
    <w:p w14:paraId="301880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A10C5"/>
    <w:rsid w:val="0C2A1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0"/>
    <w:pPr>
      <w:spacing w:line="360" w:lineRule="auto"/>
      <w:ind w:left="0" w:firstLine="560" w:firstLineChars="200"/>
    </w:pPr>
    <w:rPr>
      <w:rFonts w:ascii="宋体" w:hAnsi="宋体" w:eastAsia="方正仿宋_GB2312" w:cs="宋体"/>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内蒙古分公司</Company>
  <Pages>2</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2026-05-13T08:26:00Z</dcterms:created>
  <dc:creator>nmgtjj</dc:creator>
  <cp:lastModifiedBy>nmgtjj</cp:lastModifiedBy>
  <dcterms:modified xsi:type="dcterms:W3CDTF">2026-05-13T08:27:01Z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2119116F338A43D6B534CD7B3D5CE51C_11</vt:lpwstr>
  </property>
</Properties>
</file>