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0C88B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leftChars="0"/>
        <w:textAlignment w:val="baseline"/>
        <w:outlineLvl w:val="0"/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  <w:woUserID w:val="1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  <w:woUserID w:val="1"/>
        </w:rPr>
        <w:t>附件</w:t>
      </w:r>
      <w:bookmarkStart w:id="0" w:name="_GoBack"/>
      <w:bookmarkEnd w:id="0"/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  <w:woUserID w:val="1"/>
        </w:rPr>
        <w:t>1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  <w:woUserID w:val="1"/>
        </w:rPr>
        <w:t>：软件运维服务考核表</w:t>
      </w:r>
    </w:p>
    <w:tbl>
      <w:tblPr>
        <w:tblStyle w:val="3"/>
        <w:tblW w:w="48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758"/>
        <w:gridCol w:w="999"/>
        <w:gridCol w:w="4320"/>
        <w:gridCol w:w="821"/>
        <w:gridCol w:w="700"/>
      </w:tblGrid>
      <w:tr w14:paraId="67B74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43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软件运维服务考核表</w:t>
            </w:r>
          </w:p>
        </w:tc>
      </w:tr>
      <w:tr w14:paraId="46D99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919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                                         考核日期：</w:t>
            </w:r>
          </w:p>
        </w:tc>
      </w:tr>
      <w:tr w14:paraId="5085A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6E237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一级指标</w:t>
            </w:r>
          </w:p>
        </w:tc>
        <w:tc>
          <w:tcPr>
            <w:tcW w:w="757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C1FB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二级指标  </w:t>
            </w: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C172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三级指标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936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评　价　标　准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DF5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分值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DCA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考核得分</w:t>
            </w:r>
          </w:p>
        </w:tc>
      </w:tr>
      <w:tr w14:paraId="31B41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FB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组织管理（20分）</w:t>
            </w:r>
          </w:p>
        </w:tc>
        <w:tc>
          <w:tcPr>
            <w:tcW w:w="7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B26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计划组织</w:t>
            </w: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402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方案设计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702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整体服务方案明确、可行，服务资源配置合理，服务流程明确。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44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A42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7DD6D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307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43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合同管理</w:t>
            </w: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B03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档案管理的完整性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327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档案管理是否有效完整，相关记录文件、工作计划方案、项目进展和资金支付、工作汇报总结、重大活动和其它有关资料信息。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D6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BB1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B3D7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8E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98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B87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合同履约情况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8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按照合同签订内容履约合同内所涉及的所有条款。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3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10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6C0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F934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7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F7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服务过程（37分）</w:t>
            </w: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85C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人员管理</w:t>
            </w: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3C5A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出勤管理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A1E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严格执行请销假制度，不得擅自离岗。 驻场人员1天及以上假期需向运维负责人请假，驻场技术人员3天以上假期需向运维负责人请假（若无驻场人员得满分）。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C88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4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D5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A921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2F9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4C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FE6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人员保证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8FB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运维团队离岗离职须通知甲方，并征得甲方取得同意，经同意后三日之内替换人员必须到岗，且为同等级以上技术资质人员。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C71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917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3863D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C22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38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68C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957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团队人数满足投标文件承诺人数和人员安排。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CE1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461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19CE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F4C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423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工作保密</w:t>
            </w:r>
          </w:p>
        </w:tc>
        <w:tc>
          <w:tcPr>
            <w:tcW w:w="99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5D3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保密协议签署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994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运维团队与大数据中心签署保密承诺书。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816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677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7B8A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7DC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336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D3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B75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运维公司与大数据中心签署保密协议。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71A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09D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614B8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F51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E82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411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离职（离岗）安全管理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1C7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离职（离岗）人员不得将本项目涉及网络安全、应用系统安全、数据安全的资料信息带走或者透露给他人，包括不限于：设备及系统的用户名密码、门禁密码、网络安全配置策略、系统数据等、离岗交接等。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683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6E1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6C8C6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D7AE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AB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分工及资质</w:t>
            </w:r>
          </w:p>
        </w:tc>
        <w:tc>
          <w:tcPr>
            <w:tcW w:w="99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284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团队职责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5E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提供项目一线团队评价人员名单分工和资质（提供复印件）。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C6B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103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483C1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8E4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518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7D4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961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提供项目二线团队评价人员名单分工和资质（提供复印件）。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7F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4AF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3B61C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9B1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3E9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17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资质要求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7F2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提供运维团队所在公司投标时相关资质（提供复印件）。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4A7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386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7FE3D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A91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9C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服务满意度</w:t>
            </w: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4B9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数据资源管理服务满意度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0E9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服务对象对服务企业支撑数据资源共享、开放管理等工作的满意程度。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156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C61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C94F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90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9A7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2BB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使用人员满意度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B5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服务对象对服务项目的满意程度。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9D9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AAF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1EE9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AD7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02E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5B1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采购人满意度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69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采购人对服务项目的满意程度。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A20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9A6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1E2C3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D70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应用系统运维（43分）</w:t>
            </w: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6F1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方案报告</w:t>
            </w: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C2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定期报告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E9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定期上报月报，年报。（月报、年报上报时间:下月第三个工作日前）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669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FD3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3EFAD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310B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372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D2D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事件报告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A3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系统运行期间发生的相关事件，须提交事件报告或说明。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C7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B1A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7F7A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006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EA2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日常工作</w:t>
            </w: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D9F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日常巡检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F3D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检查应用系统、中间件、数据库、数据传输（同步）运行情况，确保应用系统稳定运行。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686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F29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1EAD0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24B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0E3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6F96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重保巡检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55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重要节假日检查应用系统、中间件、数据库、数据传输运行情况，确保应用系统稳定运行。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C02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700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634F8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31CA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734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51BA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故障处理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597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对各种数据库、应用系统相关软件的问题及时进行处理，并详细记录形成文档，同时出具故障处理报告。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CFE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653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51C6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AD7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B03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运维项目管理</w:t>
            </w: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08C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进度控制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E8D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对应用系统实现接口开发、功能提升、新功能部署、BUG升级、漏洞补丁，满足质量要求和预期，需要在规定时间内完成。（最长时间不得超过三个月）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9C3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B06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09D54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9A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EBA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应用系统安全</w:t>
            </w: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53B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等保测评整改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290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配合做好等保测评整改工作，最长整改时间不能超过一个月。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712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CE7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048D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CE8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01E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C68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密码测评整改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03F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配合做好密码测评整改工作，规定时间内完成。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5D0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08C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33309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51D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927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BD1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漏洞整改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13E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配合做好应用系统安全漏洞整改工作，需要在规定时间内完成漏洞整改工作，最长时间不得超过一个月。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B6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600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A61A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B4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1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4FB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备份策略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0B4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制订本应用系统的数据备份策略，并且有执行性。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06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4CE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1B047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E83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244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64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1D8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对应用系统数据进行本地备份并按照备份策略执行，更新频率一天一次。</w:t>
            </w:r>
          </w:p>
        </w:tc>
        <w:tc>
          <w:tcPr>
            <w:tcW w:w="82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189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0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037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</w:tr>
      <w:tr w14:paraId="496C8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7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0E2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75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DD3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1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52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应急响应</w:t>
            </w:r>
          </w:p>
        </w:tc>
        <w:tc>
          <w:tcPr>
            <w:tcW w:w="43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A44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出现网络安全事件时，1小时内提供应急响应相关服务，发生影响广泛的网络安全事故时，30分钟内提供应急响应相关服务，规定时间内解决故障，及时、安全、稳妥排除故障及隐患。最长时间不超过24小时。</w:t>
            </w:r>
          </w:p>
        </w:tc>
        <w:tc>
          <w:tcPr>
            <w:tcW w:w="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3AA7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1C3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3B4A0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45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D0F3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得分总计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CFB3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4FD96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12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E6DCF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  </w:t>
            </w:r>
            <w:r>
              <w:rPr>
                <w:rStyle w:val="5"/>
                <w:rFonts w:hint="eastAsia" w:ascii="仿宋" w:hAnsi="仿宋" w:eastAsia="仿宋" w:cs="仿宋"/>
                <w:snapToGrid w:val="0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被考核方代表（签字）</w:t>
            </w:r>
          </w:p>
        </w:tc>
        <w:tc>
          <w:tcPr>
            <w:tcW w:w="5833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55EE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427C5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12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AA08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  </w:t>
            </w:r>
            <w:r>
              <w:rPr>
                <w:rStyle w:val="5"/>
                <w:rFonts w:hint="eastAsia" w:ascii="仿宋" w:hAnsi="仿宋" w:eastAsia="仿宋" w:cs="仿宋"/>
                <w:snapToGrid w:val="0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考核方（签字）：</w:t>
            </w:r>
          </w:p>
        </w:tc>
        <w:tc>
          <w:tcPr>
            <w:tcW w:w="5833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8CEA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</w:tbl>
    <w:p w14:paraId="5316DF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EB1A00"/>
    <w:rsid w:val="26EB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character" w:customStyle="1" w:styleId="5">
    <w:name w:val="15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内蒙古分公司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2026-05-07T01:14:00Z</dcterms:created>
  <dc:creator>nmgtjj</dc:creator>
  <cp:lastModifiedBy>nmgtjj</cp:lastModifiedBy>
  <dcterms:modified xsi:type="dcterms:W3CDTF">2026-05-07T01:17:11Z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AA9F74CF7AA24A8EAC706F17664CF711_11</vt:lpwstr>
  </property>
</Properties>
</file>