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472C1">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附件3</w:t>
      </w:r>
      <w:bookmarkStart w:id="0" w:name="_GoBack"/>
      <w:bookmarkEnd w:id="0"/>
      <w:r>
        <w:rPr>
          <w:rFonts w:hint="eastAsia" w:ascii="仿宋" w:hAnsi="仿宋" w:eastAsia="仿宋" w:cs="仿宋"/>
          <w:sz w:val="24"/>
          <w:szCs w:val="24"/>
          <w:lang w:val="en-US" w:eastAsia="zh-CN"/>
        </w:rPr>
        <w:t>：民政厅社会救助系统部省互通运维服务绩效考核表</w:t>
      </w:r>
    </w:p>
    <w:tbl>
      <w:tblPr>
        <w:tblStyle w:val="3"/>
        <w:tblW w:w="9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478"/>
        <w:gridCol w:w="645"/>
        <w:gridCol w:w="476"/>
        <w:gridCol w:w="1970"/>
        <w:gridCol w:w="661"/>
        <w:gridCol w:w="1262"/>
        <w:gridCol w:w="980"/>
        <w:gridCol w:w="857"/>
        <w:gridCol w:w="478"/>
        <w:gridCol w:w="857"/>
        <w:gridCol w:w="478"/>
      </w:tblGrid>
      <w:tr w14:paraId="022AE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09" w:type="pct"/>
            <w:vMerge w:val="restart"/>
            <w:noWrap w:val="0"/>
            <w:vAlign w:val="center"/>
          </w:tcPr>
          <w:p w14:paraId="400D83D1">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b/>
                <w:bCs/>
                <w:color w:val="auto"/>
                <w:sz w:val="21"/>
                <w:szCs w:val="21"/>
              </w:rPr>
            </w:pPr>
            <w:r>
              <w:rPr>
                <w:rFonts w:hint="eastAsia" w:ascii="仿宋" w:hAnsi="仿宋" w:eastAsia="仿宋" w:cs="仿宋"/>
                <w:b/>
                <w:bCs/>
                <w:color w:val="auto"/>
                <w:kern w:val="0"/>
                <w:sz w:val="21"/>
                <w:szCs w:val="21"/>
                <w:lang w:bidi="ar"/>
              </w:rPr>
              <w:t xml:space="preserve">一级评价指标   </w:t>
            </w:r>
          </w:p>
        </w:tc>
        <w:tc>
          <w:tcPr>
            <w:tcW w:w="240" w:type="pct"/>
            <w:vMerge w:val="restart"/>
            <w:noWrap w:val="0"/>
            <w:vAlign w:val="center"/>
          </w:tcPr>
          <w:p w14:paraId="52A3750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二级评价指标</w:t>
            </w:r>
          </w:p>
        </w:tc>
        <w:tc>
          <w:tcPr>
            <w:tcW w:w="323" w:type="pct"/>
            <w:vMerge w:val="restart"/>
            <w:noWrap w:val="0"/>
            <w:vAlign w:val="center"/>
          </w:tcPr>
          <w:p w14:paraId="794241B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三级评价        指标</w:t>
            </w:r>
          </w:p>
        </w:tc>
        <w:tc>
          <w:tcPr>
            <w:tcW w:w="239" w:type="pct"/>
            <w:vMerge w:val="restart"/>
            <w:noWrap w:val="0"/>
            <w:vAlign w:val="center"/>
          </w:tcPr>
          <w:p w14:paraId="74E37EF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序号</w:t>
            </w:r>
          </w:p>
        </w:tc>
        <w:tc>
          <w:tcPr>
            <w:tcW w:w="989" w:type="pct"/>
            <w:vMerge w:val="restart"/>
            <w:noWrap w:val="0"/>
            <w:vAlign w:val="center"/>
          </w:tcPr>
          <w:p w14:paraId="581A624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评　价　标　准</w:t>
            </w:r>
          </w:p>
        </w:tc>
        <w:tc>
          <w:tcPr>
            <w:tcW w:w="331" w:type="pct"/>
            <w:vMerge w:val="restart"/>
            <w:noWrap w:val="0"/>
            <w:vAlign w:val="center"/>
          </w:tcPr>
          <w:p w14:paraId="02CBBE4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权重分值（V)</w:t>
            </w:r>
          </w:p>
        </w:tc>
        <w:tc>
          <w:tcPr>
            <w:tcW w:w="1125" w:type="pct"/>
            <w:gridSpan w:val="2"/>
            <w:vMerge w:val="restart"/>
            <w:noWrap w:val="0"/>
            <w:vAlign w:val="center"/>
          </w:tcPr>
          <w:p w14:paraId="5A4D32A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Style w:val="5"/>
                <w:rFonts w:hint="default"/>
                <w:color w:val="auto"/>
                <w:sz w:val="21"/>
                <w:szCs w:val="21"/>
                <w:lang w:bidi="ar"/>
              </w:rPr>
              <w:t xml:space="preserve">量化方法                </w:t>
            </w:r>
            <w:r>
              <w:rPr>
                <w:rFonts w:hint="eastAsia" w:ascii="仿宋" w:hAnsi="仿宋" w:eastAsia="仿宋" w:cs="仿宋"/>
                <w:b/>
                <w:bCs/>
                <w:color w:val="auto"/>
                <w:kern w:val="0"/>
                <w:sz w:val="21"/>
                <w:szCs w:val="21"/>
                <w:lang w:bidi="ar"/>
              </w:rPr>
              <w:t>（P为量化值负值、Q为加分项）</w:t>
            </w:r>
          </w:p>
        </w:tc>
        <w:tc>
          <w:tcPr>
            <w:tcW w:w="430" w:type="pct"/>
            <w:vMerge w:val="restart"/>
            <w:noWrap w:val="0"/>
            <w:vAlign w:val="center"/>
          </w:tcPr>
          <w:p w14:paraId="058753F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P频次（n）</w:t>
            </w:r>
          </w:p>
        </w:tc>
        <w:tc>
          <w:tcPr>
            <w:tcW w:w="240" w:type="pct"/>
            <w:vMerge w:val="restart"/>
            <w:noWrap w:val="0"/>
            <w:vAlign w:val="center"/>
          </w:tcPr>
          <w:p w14:paraId="2858623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考核周期</w:t>
            </w:r>
          </w:p>
        </w:tc>
        <w:tc>
          <w:tcPr>
            <w:tcW w:w="430" w:type="pct"/>
            <w:vMerge w:val="restart"/>
            <w:noWrap w:val="0"/>
            <w:vAlign w:val="center"/>
          </w:tcPr>
          <w:p w14:paraId="0079AD3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权重得分（S）</w:t>
            </w:r>
          </w:p>
        </w:tc>
        <w:tc>
          <w:tcPr>
            <w:tcW w:w="240" w:type="pct"/>
            <w:vMerge w:val="restart"/>
            <w:noWrap w:val="0"/>
            <w:vAlign w:val="center"/>
          </w:tcPr>
          <w:p w14:paraId="3E50350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扣分说明</w:t>
            </w:r>
          </w:p>
        </w:tc>
      </w:tr>
      <w:tr w14:paraId="2B7CA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409" w:type="pct"/>
            <w:vMerge w:val="continue"/>
            <w:noWrap w:val="0"/>
            <w:vAlign w:val="center"/>
          </w:tcPr>
          <w:p w14:paraId="3510F52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500F90D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A894D2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37C1CEA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989" w:type="pct"/>
            <w:vMerge w:val="continue"/>
            <w:noWrap w:val="0"/>
            <w:vAlign w:val="center"/>
          </w:tcPr>
          <w:p w14:paraId="16CF278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31" w:type="pct"/>
            <w:vMerge w:val="continue"/>
            <w:noWrap w:val="0"/>
            <w:vAlign w:val="center"/>
          </w:tcPr>
          <w:p w14:paraId="41E40E5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1125" w:type="pct"/>
            <w:gridSpan w:val="2"/>
            <w:vMerge w:val="continue"/>
            <w:noWrap w:val="0"/>
            <w:vAlign w:val="center"/>
          </w:tcPr>
          <w:p w14:paraId="619F072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430" w:type="pct"/>
            <w:vMerge w:val="continue"/>
            <w:noWrap w:val="0"/>
            <w:vAlign w:val="center"/>
          </w:tcPr>
          <w:p w14:paraId="0C7053E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3AF6406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430" w:type="pct"/>
            <w:vMerge w:val="continue"/>
            <w:noWrap w:val="0"/>
            <w:vAlign w:val="center"/>
          </w:tcPr>
          <w:p w14:paraId="7960829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BF5BB6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r>
      <w:tr w14:paraId="35FF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restart"/>
            <w:noWrap w:val="0"/>
            <w:vAlign w:val="center"/>
          </w:tcPr>
          <w:p w14:paraId="256016C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一、组织管理</w:t>
            </w:r>
          </w:p>
        </w:tc>
        <w:tc>
          <w:tcPr>
            <w:tcW w:w="240" w:type="pct"/>
            <w:vMerge w:val="restart"/>
            <w:noWrap w:val="0"/>
            <w:vAlign w:val="center"/>
          </w:tcPr>
          <w:p w14:paraId="40C34E0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1.人员管理</w:t>
            </w:r>
          </w:p>
        </w:tc>
        <w:tc>
          <w:tcPr>
            <w:tcW w:w="323" w:type="pct"/>
            <w:vMerge w:val="restart"/>
            <w:noWrap w:val="0"/>
            <w:vAlign w:val="center"/>
          </w:tcPr>
          <w:p w14:paraId="2EF5509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出勤管理</w:t>
            </w:r>
          </w:p>
        </w:tc>
        <w:tc>
          <w:tcPr>
            <w:tcW w:w="239" w:type="pct"/>
            <w:vMerge w:val="restart"/>
            <w:noWrap w:val="0"/>
            <w:vAlign w:val="center"/>
          </w:tcPr>
          <w:p w14:paraId="6A5336C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989" w:type="pct"/>
            <w:vMerge w:val="restart"/>
            <w:noWrap w:val="0"/>
            <w:vAlign w:val="center"/>
          </w:tcPr>
          <w:p w14:paraId="1F5E1A1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严格执行请销假制度，不得擅自离岗。 驻场项目经理1天及以上假期需向运维负责人请假，驻场技术人员3天以上假期需向运维负责人请假。</w:t>
            </w:r>
          </w:p>
        </w:tc>
        <w:tc>
          <w:tcPr>
            <w:tcW w:w="331" w:type="pct"/>
            <w:vMerge w:val="restart"/>
            <w:noWrap w:val="0"/>
            <w:vAlign w:val="center"/>
          </w:tcPr>
          <w:p w14:paraId="13932F7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205467B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都满足</w:t>
            </w:r>
          </w:p>
        </w:tc>
        <w:tc>
          <w:tcPr>
            <w:tcW w:w="492" w:type="pct"/>
            <w:noWrap w:val="0"/>
            <w:vAlign w:val="center"/>
          </w:tcPr>
          <w:p w14:paraId="36C6D4A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1035F6A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6BC627C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252C7B9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269E00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E82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409" w:type="pct"/>
            <w:vMerge w:val="continue"/>
            <w:noWrap w:val="0"/>
            <w:vAlign w:val="center"/>
          </w:tcPr>
          <w:p w14:paraId="2E31715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49D89D3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5DC8BEA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1B8E681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6E6620AD">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F194C4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6840B88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7E2CC96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P=-0.1</w:t>
            </w:r>
          </w:p>
        </w:tc>
        <w:tc>
          <w:tcPr>
            <w:tcW w:w="430" w:type="pct"/>
            <w:vMerge w:val="continue"/>
            <w:noWrap w:val="0"/>
            <w:vAlign w:val="center"/>
          </w:tcPr>
          <w:p w14:paraId="5268CA6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6E059F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56886F5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AB93DF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414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0CE6E06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577F9F7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6ACF4F3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4B3220D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989" w:type="pct"/>
            <w:vMerge w:val="restart"/>
            <w:noWrap w:val="0"/>
            <w:vAlign w:val="center"/>
          </w:tcPr>
          <w:p w14:paraId="51C406F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按时上下班，工作时间不得迟到早退。</w:t>
            </w:r>
          </w:p>
        </w:tc>
        <w:tc>
          <w:tcPr>
            <w:tcW w:w="331" w:type="pct"/>
            <w:vMerge w:val="restart"/>
            <w:noWrap w:val="0"/>
            <w:vAlign w:val="center"/>
          </w:tcPr>
          <w:p w14:paraId="66F699A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036570D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都满足</w:t>
            </w:r>
          </w:p>
        </w:tc>
        <w:tc>
          <w:tcPr>
            <w:tcW w:w="492" w:type="pct"/>
            <w:noWrap w:val="0"/>
            <w:vAlign w:val="center"/>
          </w:tcPr>
          <w:p w14:paraId="6E0DB45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1545987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C70C79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0CEB6E8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48582D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1F32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409" w:type="pct"/>
            <w:vMerge w:val="continue"/>
            <w:noWrap w:val="0"/>
            <w:vAlign w:val="center"/>
          </w:tcPr>
          <w:p w14:paraId="6BFD262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75A664C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2202E21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327843D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7C2CD3B4">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08A684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1651549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6264387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P=-0.1</w:t>
            </w:r>
          </w:p>
        </w:tc>
        <w:tc>
          <w:tcPr>
            <w:tcW w:w="430" w:type="pct"/>
            <w:vMerge w:val="continue"/>
            <w:noWrap w:val="0"/>
            <w:vAlign w:val="center"/>
          </w:tcPr>
          <w:p w14:paraId="71085DA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CCE204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65C1C8F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1D31DE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6ABC7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4E285A6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286291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585AF7B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40B9474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3</w:t>
            </w:r>
          </w:p>
        </w:tc>
        <w:tc>
          <w:tcPr>
            <w:tcW w:w="989" w:type="pct"/>
            <w:vMerge w:val="restart"/>
            <w:noWrap w:val="0"/>
            <w:vAlign w:val="center"/>
          </w:tcPr>
          <w:p w14:paraId="1F955456">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不得无故缺勤、不请假或无法联系到本人。</w:t>
            </w:r>
          </w:p>
        </w:tc>
        <w:tc>
          <w:tcPr>
            <w:tcW w:w="331" w:type="pct"/>
            <w:vMerge w:val="restart"/>
            <w:noWrap w:val="0"/>
            <w:vAlign w:val="center"/>
          </w:tcPr>
          <w:p w14:paraId="049108F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051D96C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都满足</w:t>
            </w:r>
          </w:p>
        </w:tc>
        <w:tc>
          <w:tcPr>
            <w:tcW w:w="492" w:type="pct"/>
            <w:noWrap w:val="0"/>
            <w:vAlign w:val="center"/>
          </w:tcPr>
          <w:p w14:paraId="3B5C6D6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2DC8554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C7C89E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6F125E1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78B51D7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703B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409" w:type="pct"/>
            <w:vMerge w:val="continue"/>
            <w:noWrap w:val="0"/>
            <w:vAlign w:val="center"/>
          </w:tcPr>
          <w:p w14:paraId="5302799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785347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2958050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294A2BE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17197D38">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2247D30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2FDB5F2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544DE5E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P=-0.1</w:t>
            </w:r>
          </w:p>
        </w:tc>
        <w:tc>
          <w:tcPr>
            <w:tcW w:w="430" w:type="pct"/>
            <w:vMerge w:val="continue"/>
            <w:noWrap w:val="0"/>
            <w:vAlign w:val="center"/>
          </w:tcPr>
          <w:p w14:paraId="52537AD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635B74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016F5CD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04897EE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08F9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302D628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50F9D0E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7A2148F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人员保证</w:t>
            </w:r>
          </w:p>
        </w:tc>
        <w:tc>
          <w:tcPr>
            <w:tcW w:w="239" w:type="pct"/>
            <w:vMerge w:val="restart"/>
            <w:noWrap w:val="0"/>
            <w:vAlign w:val="center"/>
          </w:tcPr>
          <w:p w14:paraId="267A13C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4</w:t>
            </w:r>
          </w:p>
        </w:tc>
        <w:tc>
          <w:tcPr>
            <w:tcW w:w="989" w:type="pct"/>
            <w:vMerge w:val="restart"/>
            <w:noWrap w:val="0"/>
            <w:vAlign w:val="center"/>
          </w:tcPr>
          <w:p w14:paraId="1935C31A">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一线运维团队离岗离职须通知甲方，并征得甲方取得同意，经同意后三日之内替换人员必须到岗，且为同等级以上技术资质人员。</w:t>
            </w:r>
          </w:p>
        </w:tc>
        <w:tc>
          <w:tcPr>
            <w:tcW w:w="331" w:type="pct"/>
            <w:vMerge w:val="restart"/>
            <w:noWrap w:val="0"/>
            <w:vAlign w:val="center"/>
          </w:tcPr>
          <w:p w14:paraId="2E98FFE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259467A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都满足</w:t>
            </w:r>
          </w:p>
        </w:tc>
        <w:tc>
          <w:tcPr>
            <w:tcW w:w="492" w:type="pct"/>
            <w:noWrap w:val="0"/>
            <w:vAlign w:val="center"/>
          </w:tcPr>
          <w:p w14:paraId="12361FE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3453997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0D4929D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751482B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8EA2A0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68893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9" w:type="pct"/>
            <w:vMerge w:val="continue"/>
            <w:noWrap w:val="0"/>
            <w:vAlign w:val="center"/>
          </w:tcPr>
          <w:p w14:paraId="5428E2A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4187199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540C7CA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39EAF9B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7016E988">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26F49BB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448B46E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74AA8B1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P=-0.2</w:t>
            </w:r>
          </w:p>
        </w:tc>
        <w:tc>
          <w:tcPr>
            <w:tcW w:w="430" w:type="pct"/>
            <w:vMerge w:val="continue"/>
            <w:noWrap w:val="0"/>
            <w:vAlign w:val="center"/>
          </w:tcPr>
          <w:p w14:paraId="425B24F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22D7301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3A437DE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BB42A5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D00B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55C60F0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30F1427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5DF13C2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18EF99F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5</w:t>
            </w:r>
          </w:p>
        </w:tc>
        <w:tc>
          <w:tcPr>
            <w:tcW w:w="989" w:type="pct"/>
            <w:vMerge w:val="restart"/>
            <w:noWrap w:val="0"/>
            <w:vAlign w:val="center"/>
          </w:tcPr>
          <w:p w14:paraId="0565286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一线团队人数满足投标文件承诺人数和人员安排。</w:t>
            </w:r>
          </w:p>
        </w:tc>
        <w:tc>
          <w:tcPr>
            <w:tcW w:w="331" w:type="pct"/>
            <w:vMerge w:val="restart"/>
            <w:noWrap w:val="0"/>
            <w:vAlign w:val="center"/>
          </w:tcPr>
          <w:p w14:paraId="2AF0139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17DEEC3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都满足</w:t>
            </w:r>
          </w:p>
        </w:tc>
        <w:tc>
          <w:tcPr>
            <w:tcW w:w="492" w:type="pct"/>
            <w:noWrap w:val="0"/>
            <w:vAlign w:val="center"/>
          </w:tcPr>
          <w:p w14:paraId="458DC19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3DCAAF2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084BFDD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67EABFF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8CD6F8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CE1B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409" w:type="pct"/>
            <w:vMerge w:val="continue"/>
            <w:noWrap w:val="0"/>
            <w:vAlign w:val="center"/>
          </w:tcPr>
          <w:p w14:paraId="592E1D9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767FC2F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7C22CC7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47472F9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2A74E744">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5D09CD7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1E08AD3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17AFBE7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1C3D00C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123087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18FD244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2BEA763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6B6B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2DBA3AC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5E0A633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49E4101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人员素质</w:t>
            </w:r>
          </w:p>
        </w:tc>
        <w:tc>
          <w:tcPr>
            <w:tcW w:w="239" w:type="pct"/>
            <w:vMerge w:val="restart"/>
            <w:noWrap w:val="0"/>
            <w:vAlign w:val="center"/>
          </w:tcPr>
          <w:p w14:paraId="0971D40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6</w:t>
            </w:r>
          </w:p>
        </w:tc>
        <w:tc>
          <w:tcPr>
            <w:tcW w:w="989" w:type="pct"/>
            <w:vMerge w:val="restart"/>
            <w:noWrap w:val="0"/>
            <w:vAlign w:val="center"/>
          </w:tcPr>
          <w:p w14:paraId="2DA8A730">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运维人员接听办公电话或值班电话、向相关领导汇报工作、其它做相关会议工作，应使用文明语言。</w:t>
            </w:r>
          </w:p>
        </w:tc>
        <w:tc>
          <w:tcPr>
            <w:tcW w:w="331" w:type="pct"/>
            <w:vMerge w:val="restart"/>
            <w:noWrap w:val="0"/>
            <w:vAlign w:val="center"/>
          </w:tcPr>
          <w:p w14:paraId="6BF8046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23BC0F0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330ABBC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1AEF1E5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D94DA7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41D4892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A05D90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45D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409" w:type="pct"/>
            <w:vMerge w:val="continue"/>
            <w:noWrap w:val="0"/>
            <w:vAlign w:val="center"/>
          </w:tcPr>
          <w:p w14:paraId="32667A7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B8CA72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7449525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46D46EB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251F4531">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2D97756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67FEBA4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0C19AF8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P=-0.1</w:t>
            </w:r>
          </w:p>
        </w:tc>
        <w:tc>
          <w:tcPr>
            <w:tcW w:w="430" w:type="pct"/>
            <w:vMerge w:val="continue"/>
            <w:noWrap w:val="0"/>
            <w:vAlign w:val="center"/>
          </w:tcPr>
          <w:p w14:paraId="1C101FA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07B35E2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4482A41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C42AD5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60E3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03B41BD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6EBF69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52E3EF0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2E19A3A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7</w:t>
            </w:r>
          </w:p>
        </w:tc>
        <w:tc>
          <w:tcPr>
            <w:tcW w:w="989" w:type="pct"/>
            <w:vMerge w:val="restart"/>
            <w:noWrap w:val="0"/>
            <w:vAlign w:val="center"/>
          </w:tcPr>
          <w:p w14:paraId="72513FC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上班时间不得使用终端电脑和手机玩游戏、上网浏览与工作无关的内容。</w:t>
            </w:r>
          </w:p>
        </w:tc>
        <w:tc>
          <w:tcPr>
            <w:tcW w:w="331" w:type="pct"/>
            <w:vMerge w:val="restart"/>
            <w:noWrap w:val="0"/>
            <w:vAlign w:val="center"/>
          </w:tcPr>
          <w:p w14:paraId="1EF091D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33EE774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都满足</w:t>
            </w:r>
          </w:p>
        </w:tc>
        <w:tc>
          <w:tcPr>
            <w:tcW w:w="492" w:type="pct"/>
            <w:noWrap w:val="0"/>
            <w:vAlign w:val="center"/>
          </w:tcPr>
          <w:p w14:paraId="4588B77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7053DFD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49DE89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38C2D7F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B4BEA3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B2B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409" w:type="pct"/>
            <w:vMerge w:val="continue"/>
            <w:noWrap w:val="0"/>
            <w:vAlign w:val="center"/>
          </w:tcPr>
          <w:p w14:paraId="24AA7DD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FD1587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4241035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11C55CA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6CDF9485">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6A49E86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274D29E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6380A4F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P=-0.1</w:t>
            </w:r>
          </w:p>
        </w:tc>
        <w:tc>
          <w:tcPr>
            <w:tcW w:w="430" w:type="pct"/>
            <w:vMerge w:val="continue"/>
            <w:noWrap w:val="0"/>
            <w:vAlign w:val="center"/>
          </w:tcPr>
          <w:p w14:paraId="14083BC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E295D0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11F3667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E81843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0C6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4FAA40B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7A58348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64C3E23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390B0FF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8</w:t>
            </w:r>
          </w:p>
        </w:tc>
        <w:tc>
          <w:tcPr>
            <w:tcW w:w="989" w:type="pct"/>
            <w:vMerge w:val="restart"/>
            <w:noWrap w:val="0"/>
            <w:vAlign w:val="center"/>
          </w:tcPr>
          <w:p w14:paraId="64FE7785">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运维人员上班应穿着整洁大方，不得穿拖鞋等不合时宜衣着。</w:t>
            </w:r>
          </w:p>
        </w:tc>
        <w:tc>
          <w:tcPr>
            <w:tcW w:w="331" w:type="pct"/>
            <w:vMerge w:val="restart"/>
            <w:noWrap w:val="0"/>
            <w:vAlign w:val="center"/>
          </w:tcPr>
          <w:p w14:paraId="48F1C12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360058B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24018CA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74E36A0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7708D8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4292991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39A3DD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D49F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409" w:type="pct"/>
            <w:vMerge w:val="continue"/>
            <w:noWrap w:val="0"/>
            <w:vAlign w:val="center"/>
          </w:tcPr>
          <w:p w14:paraId="6BB29AE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2E468F7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6795A41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5F07597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556BC1DD">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2B3E54A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2A2428A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461405E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P=-0.1</w:t>
            </w:r>
          </w:p>
        </w:tc>
        <w:tc>
          <w:tcPr>
            <w:tcW w:w="430" w:type="pct"/>
            <w:vMerge w:val="continue"/>
            <w:noWrap w:val="0"/>
            <w:vAlign w:val="center"/>
          </w:tcPr>
          <w:p w14:paraId="3E5160F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B52DDC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67C9498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8E4E13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E2D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3A0247C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14ACED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90FD80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77F7DE2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9</w:t>
            </w:r>
          </w:p>
        </w:tc>
        <w:tc>
          <w:tcPr>
            <w:tcW w:w="989" w:type="pct"/>
            <w:vMerge w:val="restart"/>
            <w:noWrap w:val="0"/>
            <w:vAlign w:val="center"/>
          </w:tcPr>
          <w:p w14:paraId="3F3619D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运维团队必要时需统一服装。（如：应急演练、其它单位参观、上级视察工作）</w:t>
            </w:r>
          </w:p>
        </w:tc>
        <w:tc>
          <w:tcPr>
            <w:tcW w:w="331" w:type="pct"/>
            <w:vMerge w:val="restart"/>
            <w:noWrap w:val="0"/>
            <w:vAlign w:val="center"/>
          </w:tcPr>
          <w:p w14:paraId="4011E0D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0CD145E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52925FE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0CCEF35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014360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69E8D5C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5DCA68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08A73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409" w:type="pct"/>
            <w:vMerge w:val="continue"/>
            <w:noWrap w:val="0"/>
            <w:vAlign w:val="center"/>
          </w:tcPr>
          <w:p w14:paraId="0221C57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0EB9B3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5FE788E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22E6D00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076A0619">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EBACD4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5BBF280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458DDD6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P=-0.1</w:t>
            </w:r>
          </w:p>
        </w:tc>
        <w:tc>
          <w:tcPr>
            <w:tcW w:w="430" w:type="pct"/>
            <w:vMerge w:val="continue"/>
            <w:noWrap w:val="0"/>
            <w:vAlign w:val="center"/>
          </w:tcPr>
          <w:p w14:paraId="2EA6E18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0715BD3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45718CA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EFBBE3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23E2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21079EC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E489E8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356B527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岗位要求</w:t>
            </w:r>
          </w:p>
        </w:tc>
        <w:tc>
          <w:tcPr>
            <w:tcW w:w="239" w:type="pct"/>
            <w:vMerge w:val="restart"/>
            <w:noWrap w:val="0"/>
            <w:vAlign w:val="center"/>
          </w:tcPr>
          <w:p w14:paraId="6FB34DB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10</w:t>
            </w:r>
          </w:p>
        </w:tc>
        <w:tc>
          <w:tcPr>
            <w:tcW w:w="989" w:type="pct"/>
            <w:vMerge w:val="restart"/>
            <w:noWrap w:val="0"/>
            <w:vAlign w:val="center"/>
          </w:tcPr>
          <w:p w14:paraId="3ABF366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运维人员具备独立运维本项目的岗位能力，掌握运维本项目的专业技能。</w:t>
            </w:r>
          </w:p>
        </w:tc>
        <w:tc>
          <w:tcPr>
            <w:tcW w:w="331" w:type="pct"/>
            <w:vMerge w:val="restart"/>
            <w:noWrap w:val="0"/>
            <w:vAlign w:val="center"/>
          </w:tcPr>
          <w:p w14:paraId="52C3B3D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633" w:type="pct"/>
            <w:noWrap w:val="0"/>
            <w:vAlign w:val="center"/>
          </w:tcPr>
          <w:p w14:paraId="4F3F22D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1BB2FE1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2676D12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7A2ED9D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1ADA53B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7703D88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AB9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409" w:type="pct"/>
            <w:vMerge w:val="continue"/>
            <w:noWrap w:val="0"/>
            <w:vAlign w:val="center"/>
          </w:tcPr>
          <w:p w14:paraId="274BC04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3C3802F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0D94000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5BC5A48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63715948">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4E0CDE8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60D4922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一人不满足</w:t>
            </w:r>
          </w:p>
        </w:tc>
        <w:tc>
          <w:tcPr>
            <w:tcW w:w="492" w:type="pct"/>
            <w:noWrap w:val="0"/>
            <w:vAlign w:val="center"/>
          </w:tcPr>
          <w:p w14:paraId="1F3DE98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P=-0.5</w:t>
            </w:r>
          </w:p>
        </w:tc>
        <w:tc>
          <w:tcPr>
            <w:tcW w:w="430" w:type="pct"/>
            <w:vMerge w:val="continue"/>
            <w:noWrap w:val="0"/>
            <w:vAlign w:val="center"/>
          </w:tcPr>
          <w:p w14:paraId="341C23C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DF6341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418EB58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63B0E3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3C2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09" w:type="pct"/>
            <w:vMerge w:val="continue"/>
            <w:noWrap w:val="0"/>
            <w:vAlign w:val="center"/>
          </w:tcPr>
          <w:p w14:paraId="40952DD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200E41D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675B43B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2FC872C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11</w:t>
            </w:r>
          </w:p>
        </w:tc>
        <w:tc>
          <w:tcPr>
            <w:tcW w:w="989" w:type="pct"/>
            <w:vMerge w:val="restart"/>
            <w:noWrap w:val="0"/>
            <w:vAlign w:val="center"/>
          </w:tcPr>
          <w:p w14:paraId="2A31CD95">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需提升业务能力和工作态度，不得产生服务厅局或服务对象对大数据中心或运维团队的投诉。</w:t>
            </w:r>
          </w:p>
        </w:tc>
        <w:tc>
          <w:tcPr>
            <w:tcW w:w="331" w:type="pct"/>
            <w:vMerge w:val="restart"/>
            <w:noWrap w:val="0"/>
            <w:vAlign w:val="center"/>
          </w:tcPr>
          <w:p w14:paraId="6245930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3</w:t>
            </w:r>
          </w:p>
        </w:tc>
        <w:tc>
          <w:tcPr>
            <w:tcW w:w="633" w:type="pct"/>
            <w:noWrap w:val="0"/>
            <w:vAlign w:val="center"/>
          </w:tcPr>
          <w:p w14:paraId="210F8AD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没有投诉发生</w:t>
            </w:r>
          </w:p>
        </w:tc>
        <w:tc>
          <w:tcPr>
            <w:tcW w:w="492" w:type="pct"/>
            <w:noWrap w:val="0"/>
            <w:vAlign w:val="center"/>
          </w:tcPr>
          <w:p w14:paraId="2AB93BE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6D96027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C5BE01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5D56C52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D89DA7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6054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409" w:type="pct"/>
            <w:vMerge w:val="continue"/>
            <w:noWrap w:val="0"/>
            <w:vAlign w:val="center"/>
          </w:tcPr>
          <w:p w14:paraId="1BA309E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4A9CBE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60B987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238C858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15BED5E7">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535C68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236A345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一次投诉</w:t>
            </w:r>
          </w:p>
        </w:tc>
        <w:tc>
          <w:tcPr>
            <w:tcW w:w="492" w:type="pct"/>
            <w:noWrap w:val="0"/>
            <w:vAlign w:val="center"/>
          </w:tcPr>
          <w:p w14:paraId="59BE570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5307372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038BD7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717FA0E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2037BB7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27F0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09" w:type="pct"/>
            <w:vMerge w:val="continue"/>
            <w:noWrap w:val="0"/>
            <w:vAlign w:val="center"/>
          </w:tcPr>
          <w:p w14:paraId="5C6E499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2F6F7EF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44D44B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704AB39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12</w:t>
            </w:r>
          </w:p>
        </w:tc>
        <w:tc>
          <w:tcPr>
            <w:tcW w:w="989" w:type="pct"/>
            <w:vMerge w:val="restart"/>
            <w:noWrap w:val="0"/>
            <w:vAlign w:val="center"/>
          </w:tcPr>
          <w:p w14:paraId="3853069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明确运维团队所在公司高层投诉渠道，联系人以及联系电话，因工作态度和业务能力，大数据有权对所在公司进行投诉。</w:t>
            </w:r>
          </w:p>
        </w:tc>
        <w:tc>
          <w:tcPr>
            <w:tcW w:w="331" w:type="pct"/>
            <w:vMerge w:val="restart"/>
            <w:noWrap w:val="0"/>
            <w:vAlign w:val="center"/>
          </w:tcPr>
          <w:p w14:paraId="055F597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w:t>
            </w:r>
          </w:p>
        </w:tc>
        <w:tc>
          <w:tcPr>
            <w:tcW w:w="633" w:type="pct"/>
            <w:noWrap w:val="0"/>
            <w:vAlign w:val="center"/>
          </w:tcPr>
          <w:p w14:paraId="4FD535E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没有投诉发生</w:t>
            </w:r>
          </w:p>
        </w:tc>
        <w:tc>
          <w:tcPr>
            <w:tcW w:w="492" w:type="pct"/>
            <w:noWrap w:val="0"/>
            <w:vAlign w:val="center"/>
          </w:tcPr>
          <w:p w14:paraId="6B97C55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5413E99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F59A49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1349BE1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89FAAA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965C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409" w:type="pct"/>
            <w:vMerge w:val="continue"/>
            <w:noWrap w:val="0"/>
            <w:vAlign w:val="center"/>
          </w:tcPr>
          <w:p w14:paraId="0F6DB9C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2D36D52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45F58C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5FFBBE7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59665C0E">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3DA6382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6226515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一次投诉</w:t>
            </w:r>
          </w:p>
        </w:tc>
        <w:tc>
          <w:tcPr>
            <w:tcW w:w="492" w:type="pct"/>
            <w:noWrap w:val="0"/>
            <w:vAlign w:val="center"/>
          </w:tcPr>
          <w:p w14:paraId="442E7A9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P=2</w:t>
            </w:r>
          </w:p>
        </w:tc>
        <w:tc>
          <w:tcPr>
            <w:tcW w:w="430" w:type="pct"/>
            <w:vMerge w:val="continue"/>
            <w:noWrap w:val="0"/>
            <w:vAlign w:val="center"/>
          </w:tcPr>
          <w:p w14:paraId="4814372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44779C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29EB48C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B3C19B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23C1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2EB3F97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31F5418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559F609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办公环境</w:t>
            </w:r>
          </w:p>
        </w:tc>
        <w:tc>
          <w:tcPr>
            <w:tcW w:w="239" w:type="pct"/>
            <w:vMerge w:val="restart"/>
            <w:noWrap w:val="0"/>
            <w:vAlign w:val="center"/>
          </w:tcPr>
          <w:p w14:paraId="1AF8569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13</w:t>
            </w:r>
          </w:p>
        </w:tc>
        <w:tc>
          <w:tcPr>
            <w:tcW w:w="989" w:type="pct"/>
            <w:vMerge w:val="restart"/>
            <w:noWrap w:val="0"/>
            <w:vAlign w:val="center"/>
          </w:tcPr>
          <w:p w14:paraId="7CA35B8A">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运维人员保持办公场所保持整洁，安排每周清扫工作。</w:t>
            </w:r>
          </w:p>
        </w:tc>
        <w:tc>
          <w:tcPr>
            <w:tcW w:w="331" w:type="pct"/>
            <w:vMerge w:val="restart"/>
            <w:noWrap w:val="0"/>
            <w:vAlign w:val="center"/>
          </w:tcPr>
          <w:p w14:paraId="206D4E1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3C353E8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2C8618A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0EC055F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7404789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736038A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440C28D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D0C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409" w:type="pct"/>
            <w:vMerge w:val="continue"/>
            <w:noWrap w:val="0"/>
            <w:vAlign w:val="center"/>
          </w:tcPr>
          <w:p w14:paraId="637A991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48C08D4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2922070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0C0FE92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0AF650CF">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46166FA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63AB65D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75347B8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P=-0.1</w:t>
            </w:r>
          </w:p>
        </w:tc>
        <w:tc>
          <w:tcPr>
            <w:tcW w:w="430" w:type="pct"/>
            <w:vMerge w:val="continue"/>
            <w:noWrap w:val="0"/>
            <w:vAlign w:val="center"/>
          </w:tcPr>
          <w:p w14:paraId="20D5BFA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518F07E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135E201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1B812B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67391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0B3458E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A0E200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5491A7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459D6E0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14</w:t>
            </w:r>
          </w:p>
        </w:tc>
        <w:tc>
          <w:tcPr>
            <w:tcW w:w="989" w:type="pct"/>
            <w:vMerge w:val="restart"/>
            <w:noWrap w:val="0"/>
            <w:vAlign w:val="center"/>
          </w:tcPr>
          <w:p w14:paraId="66CBD00E">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原则上不得采用远程在线（包含VPN）方式运维，确需采用时，须向负责人报告，并做好相关审批登记、访问控制、在线监测、日志审计等安全工作。</w:t>
            </w:r>
          </w:p>
        </w:tc>
        <w:tc>
          <w:tcPr>
            <w:tcW w:w="331" w:type="pct"/>
            <w:vMerge w:val="restart"/>
            <w:noWrap w:val="0"/>
            <w:vAlign w:val="center"/>
          </w:tcPr>
          <w:p w14:paraId="788766B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36FAD3D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487341B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423547D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F2CAA9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3EF373B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5F62FB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10A2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409" w:type="pct"/>
            <w:vMerge w:val="continue"/>
            <w:noWrap w:val="0"/>
            <w:vAlign w:val="center"/>
          </w:tcPr>
          <w:p w14:paraId="179E1A2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510905B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4167F84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677D6C6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64826CC8">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3B906F2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ign w:val="center"/>
          </w:tcPr>
          <w:p w14:paraId="5B69FE3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一次无审批远程运维</w:t>
            </w:r>
          </w:p>
        </w:tc>
        <w:tc>
          <w:tcPr>
            <w:tcW w:w="492" w:type="pct"/>
            <w:noWrap w:val="0"/>
            <w:vAlign w:val="center"/>
          </w:tcPr>
          <w:p w14:paraId="4DC232E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P=-0.2</w:t>
            </w:r>
          </w:p>
        </w:tc>
        <w:tc>
          <w:tcPr>
            <w:tcW w:w="430" w:type="pct"/>
            <w:vMerge w:val="continue"/>
            <w:noWrap w:val="0"/>
            <w:vAlign w:val="center"/>
          </w:tcPr>
          <w:p w14:paraId="7C90849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2F89B4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1A12416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3B410C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004CC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409" w:type="pct"/>
            <w:vMerge w:val="continue"/>
            <w:noWrap w:val="0"/>
            <w:vAlign w:val="center"/>
          </w:tcPr>
          <w:p w14:paraId="423AB83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3ED5AA2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69D7A25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692890D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15</w:t>
            </w:r>
          </w:p>
        </w:tc>
        <w:tc>
          <w:tcPr>
            <w:tcW w:w="989" w:type="pct"/>
            <w:vMerge w:val="restart"/>
            <w:noWrap w:val="0"/>
            <w:vAlign w:val="center"/>
          </w:tcPr>
          <w:p w14:paraId="25906FA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下班时随手整理自己的办公桌。关闭空调，关窗，断电，锁门。</w:t>
            </w:r>
          </w:p>
        </w:tc>
        <w:tc>
          <w:tcPr>
            <w:tcW w:w="331" w:type="pct"/>
            <w:vMerge w:val="restart"/>
            <w:noWrap w:val="0"/>
            <w:vAlign w:val="center"/>
          </w:tcPr>
          <w:p w14:paraId="0695E2B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08B282B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37A0038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noWrap w:val="0"/>
            <w:vAlign w:val="center"/>
          </w:tcPr>
          <w:p w14:paraId="302AF137">
            <w:pPr>
              <w:keepNext w:val="0"/>
              <w:keepLines w:val="0"/>
              <w:widowControl/>
              <w:suppressLineNumbers w:val="0"/>
              <w:spacing w:before="0" w:beforeAutospacing="0" w:after="0" w:afterAutospacing="0"/>
              <w:ind w:left="0" w:right="0"/>
              <w:rPr>
                <w:rFonts w:hint="eastAsia" w:ascii="仿宋" w:hAnsi="仿宋" w:eastAsia="仿宋" w:cs="仿宋"/>
                <w:color w:val="auto"/>
                <w:sz w:val="21"/>
                <w:szCs w:val="21"/>
              </w:rPr>
            </w:pPr>
          </w:p>
        </w:tc>
        <w:tc>
          <w:tcPr>
            <w:tcW w:w="240" w:type="pct"/>
            <w:vMerge w:val="restart"/>
            <w:noWrap w:val="0"/>
            <w:vAlign w:val="center"/>
          </w:tcPr>
          <w:p w14:paraId="34124D4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1251BB3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00B8E54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3AD27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09" w:type="pct"/>
            <w:vMerge w:val="continue"/>
            <w:noWrap w:val="0"/>
            <w:vAlign w:val="center"/>
          </w:tcPr>
          <w:p w14:paraId="596EEE1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CD2B14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25F7FF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44E42E6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6CD959D0">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5B3F290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21CEBEC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6AF3D4D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P=-0.1</w:t>
            </w:r>
          </w:p>
        </w:tc>
        <w:tc>
          <w:tcPr>
            <w:tcW w:w="430" w:type="pct"/>
            <w:noWrap w:val="0"/>
            <w:vAlign w:val="center"/>
          </w:tcPr>
          <w:p w14:paraId="6C040C29">
            <w:pPr>
              <w:keepNext w:val="0"/>
              <w:keepLines w:val="0"/>
              <w:widowControl/>
              <w:suppressLineNumbers w:val="0"/>
              <w:spacing w:before="0" w:beforeAutospacing="0" w:after="0" w:afterAutospacing="0"/>
              <w:ind w:left="0" w:right="0"/>
              <w:rPr>
                <w:rFonts w:hint="eastAsia" w:ascii="仿宋" w:hAnsi="仿宋" w:eastAsia="仿宋" w:cs="仿宋"/>
                <w:color w:val="auto"/>
                <w:sz w:val="21"/>
                <w:szCs w:val="21"/>
              </w:rPr>
            </w:pPr>
          </w:p>
        </w:tc>
        <w:tc>
          <w:tcPr>
            <w:tcW w:w="240" w:type="pct"/>
            <w:vMerge w:val="continue"/>
            <w:noWrap w:val="0"/>
            <w:vAlign w:val="center"/>
          </w:tcPr>
          <w:p w14:paraId="3929406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11E1FD6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679EF5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8F89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241C3F5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45230AC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06EFD49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66AD428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16</w:t>
            </w:r>
          </w:p>
        </w:tc>
        <w:tc>
          <w:tcPr>
            <w:tcW w:w="989" w:type="pct"/>
            <w:vMerge w:val="restart"/>
            <w:noWrap w:val="0"/>
            <w:vAlign w:val="center"/>
          </w:tcPr>
          <w:p w14:paraId="3E8D561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（不得在办公室、楼道、卫生间、机房等公共场所吸烟、吐痰、大声喧哗。</w:t>
            </w:r>
          </w:p>
        </w:tc>
        <w:tc>
          <w:tcPr>
            <w:tcW w:w="331" w:type="pct"/>
            <w:vMerge w:val="restart"/>
            <w:noWrap w:val="0"/>
            <w:vAlign w:val="center"/>
          </w:tcPr>
          <w:p w14:paraId="6BF99CC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1BB2EF0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4F9547B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4E0CC02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CEE574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6F9F499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4BEA949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01D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jc w:val="center"/>
        </w:trPr>
        <w:tc>
          <w:tcPr>
            <w:tcW w:w="409" w:type="pct"/>
            <w:vMerge w:val="continue"/>
            <w:noWrap w:val="0"/>
            <w:vAlign w:val="center"/>
          </w:tcPr>
          <w:p w14:paraId="7816892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3E3203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3ACD586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2B9E23F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4C28B75E">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725D4AA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0FB04E0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发现一次吸烟、吐痰、大声喧哗</w:t>
            </w:r>
          </w:p>
        </w:tc>
        <w:tc>
          <w:tcPr>
            <w:tcW w:w="492" w:type="pct"/>
            <w:noWrap w:val="0"/>
            <w:vAlign w:val="center"/>
          </w:tcPr>
          <w:p w14:paraId="1647365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P=-0.1</w:t>
            </w:r>
          </w:p>
        </w:tc>
        <w:tc>
          <w:tcPr>
            <w:tcW w:w="430" w:type="pct"/>
            <w:vMerge w:val="continue"/>
            <w:noWrap w:val="0"/>
            <w:vAlign w:val="center"/>
          </w:tcPr>
          <w:p w14:paraId="40A8168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C9EDD2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1F3CFC7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A92A77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B86E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27C68CD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restart"/>
            <w:noWrap w:val="0"/>
            <w:vAlign w:val="center"/>
          </w:tcPr>
          <w:p w14:paraId="6DE00B2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2.工作保密</w:t>
            </w:r>
          </w:p>
        </w:tc>
        <w:tc>
          <w:tcPr>
            <w:tcW w:w="323" w:type="pct"/>
            <w:vMerge w:val="restart"/>
            <w:noWrap w:val="0"/>
            <w:vAlign w:val="center"/>
          </w:tcPr>
          <w:p w14:paraId="75B3E83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保密协议签署</w:t>
            </w:r>
          </w:p>
        </w:tc>
        <w:tc>
          <w:tcPr>
            <w:tcW w:w="239" w:type="pct"/>
            <w:vMerge w:val="restart"/>
            <w:noWrap w:val="0"/>
            <w:vAlign w:val="center"/>
          </w:tcPr>
          <w:p w14:paraId="12BA714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17</w:t>
            </w:r>
          </w:p>
        </w:tc>
        <w:tc>
          <w:tcPr>
            <w:tcW w:w="989" w:type="pct"/>
            <w:vMerge w:val="restart"/>
            <w:noWrap w:val="0"/>
            <w:vAlign w:val="center"/>
          </w:tcPr>
          <w:p w14:paraId="7AECBE94">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一线运维团队与大数据中心签署保密承诺书。</w:t>
            </w:r>
          </w:p>
        </w:tc>
        <w:tc>
          <w:tcPr>
            <w:tcW w:w="331" w:type="pct"/>
            <w:vMerge w:val="restart"/>
            <w:noWrap w:val="0"/>
            <w:vAlign w:val="center"/>
          </w:tcPr>
          <w:p w14:paraId="20EC269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1637395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67455A3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57BCEC1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62C6E23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631212F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1FCFE5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3B2FA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09" w:type="pct"/>
            <w:vMerge w:val="continue"/>
            <w:noWrap w:val="0"/>
            <w:vAlign w:val="center"/>
          </w:tcPr>
          <w:p w14:paraId="66046BF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0AE9A9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3338078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182C8D0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3B87423D">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31FDD4C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624DAAC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一人不满足</w:t>
            </w:r>
          </w:p>
        </w:tc>
        <w:tc>
          <w:tcPr>
            <w:tcW w:w="492" w:type="pct"/>
            <w:noWrap w:val="0"/>
            <w:vAlign w:val="center"/>
          </w:tcPr>
          <w:p w14:paraId="31C969E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P=-0.2</w:t>
            </w:r>
          </w:p>
        </w:tc>
        <w:tc>
          <w:tcPr>
            <w:tcW w:w="430" w:type="pct"/>
            <w:vMerge w:val="continue"/>
            <w:noWrap w:val="0"/>
            <w:vAlign w:val="center"/>
          </w:tcPr>
          <w:p w14:paraId="3CD3521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21A5AD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573E9D4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5B8D462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6F671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31FFEE3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EDAC03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27D861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55729F5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18</w:t>
            </w:r>
          </w:p>
        </w:tc>
        <w:tc>
          <w:tcPr>
            <w:tcW w:w="989" w:type="pct"/>
            <w:vMerge w:val="restart"/>
            <w:noWrap w:val="0"/>
            <w:vAlign w:val="center"/>
          </w:tcPr>
          <w:p w14:paraId="5DA5E8B0">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运维公司与大数据中心签署保密协议。</w:t>
            </w:r>
          </w:p>
        </w:tc>
        <w:tc>
          <w:tcPr>
            <w:tcW w:w="331" w:type="pct"/>
            <w:vMerge w:val="restart"/>
            <w:noWrap w:val="0"/>
            <w:vAlign w:val="center"/>
          </w:tcPr>
          <w:p w14:paraId="397BC34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1999345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5B9FDFD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279815E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E6F7BE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44669FA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0F35599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6480A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09" w:type="pct"/>
            <w:vMerge w:val="continue"/>
            <w:noWrap w:val="0"/>
            <w:vAlign w:val="center"/>
          </w:tcPr>
          <w:p w14:paraId="180D833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47B4D77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74943FF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539FC92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488BE188">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3075578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4810AEC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3AA6A7E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5D42733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5519478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059E51E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C0ECFB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B47A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67EEF79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2958642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28F8176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资产信息保密</w:t>
            </w:r>
          </w:p>
        </w:tc>
        <w:tc>
          <w:tcPr>
            <w:tcW w:w="239" w:type="pct"/>
            <w:vMerge w:val="restart"/>
            <w:noWrap w:val="0"/>
            <w:vAlign w:val="center"/>
          </w:tcPr>
          <w:p w14:paraId="4C6CEE3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19</w:t>
            </w:r>
          </w:p>
        </w:tc>
        <w:tc>
          <w:tcPr>
            <w:tcW w:w="989" w:type="pct"/>
            <w:vMerge w:val="restart"/>
            <w:noWrap w:val="0"/>
            <w:vAlign w:val="center"/>
          </w:tcPr>
          <w:p w14:paraId="5CA4C386">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未经甲方允许不准外借,运维人员（包括离岗离职人员）禁止向非本项目人员透露IP、网络拓扑、用户名、密码、设备资产情况等本项目的信息。本项目各种图纸、资料、文件（含电子文档）。</w:t>
            </w:r>
          </w:p>
        </w:tc>
        <w:tc>
          <w:tcPr>
            <w:tcW w:w="331" w:type="pct"/>
            <w:vMerge w:val="restart"/>
            <w:noWrap w:val="0"/>
            <w:vAlign w:val="center"/>
          </w:tcPr>
          <w:p w14:paraId="57774A7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36821E5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4FC6E50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165CCAB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46AF0C1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04B9057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0FC8921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60A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jc w:val="center"/>
        </w:trPr>
        <w:tc>
          <w:tcPr>
            <w:tcW w:w="409" w:type="pct"/>
            <w:vMerge w:val="continue"/>
            <w:noWrap w:val="0"/>
            <w:vAlign w:val="center"/>
          </w:tcPr>
          <w:p w14:paraId="56EBF7C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5CFC238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522C68A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36D575B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398F642B">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9B5265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4B840DB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一人不满足</w:t>
            </w:r>
          </w:p>
        </w:tc>
        <w:tc>
          <w:tcPr>
            <w:tcW w:w="492" w:type="pct"/>
            <w:noWrap w:val="0"/>
            <w:vAlign w:val="center"/>
          </w:tcPr>
          <w:p w14:paraId="383609A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P=-0.2</w:t>
            </w:r>
          </w:p>
        </w:tc>
        <w:tc>
          <w:tcPr>
            <w:tcW w:w="430" w:type="pct"/>
            <w:vMerge w:val="continue"/>
            <w:noWrap w:val="0"/>
            <w:vAlign w:val="center"/>
          </w:tcPr>
          <w:p w14:paraId="157C20D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2285B6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17E846D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043C1A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F8C7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0DBAE4E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57C177D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62EFCD4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机房、设备间门禁保密</w:t>
            </w:r>
          </w:p>
        </w:tc>
        <w:tc>
          <w:tcPr>
            <w:tcW w:w="239" w:type="pct"/>
            <w:vMerge w:val="restart"/>
            <w:noWrap w:val="0"/>
            <w:vAlign w:val="center"/>
          </w:tcPr>
          <w:p w14:paraId="1D925DA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20</w:t>
            </w:r>
          </w:p>
        </w:tc>
        <w:tc>
          <w:tcPr>
            <w:tcW w:w="989" w:type="pct"/>
            <w:vMerge w:val="restart"/>
            <w:noWrap w:val="0"/>
            <w:vAlign w:val="center"/>
          </w:tcPr>
          <w:p w14:paraId="0A8ABA33">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Style w:val="6"/>
                <w:rFonts w:hint="default"/>
                <w:color w:val="auto"/>
                <w:sz w:val="21"/>
                <w:szCs w:val="21"/>
                <w:lang w:bidi="ar"/>
              </w:rPr>
              <w:t>机房、设备间门禁密码（钥匙）不得透露（外借）本项目外无关人员，</w:t>
            </w:r>
            <w:r>
              <w:rPr>
                <w:rFonts w:hint="eastAsia" w:ascii="仿宋" w:hAnsi="仿宋" w:eastAsia="仿宋" w:cs="仿宋"/>
                <w:color w:val="auto"/>
                <w:kern w:val="0"/>
                <w:sz w:val="21"/>
                <w:szCs w:val="21"/>
                <w:lang w:bidi="ar"/>
              </w:rPr>
              <w:t>机房门、设备间</w:t>
            </w:r>
            <w:r>
              <w:rPr>
                <w:rStyle w:val="6"/>
                <w:rFonts w:hint="default"/>
                <w:color w:val="auto"/>
                <w:sz w:val="21"/>
                <w:szCs w:val="21"/>
                <w:lang w:bidi="ar"/>
              </w:rPr>
              <w:t>不得存在隔夜不锁现象。</w:t>
            </w:r>
          </w:p>
        </w:tc>
        <w:tc>
          <w:tcPr>
            <w:tcW w:w="331" w:type="pct"/>
            <w:vMerge w:val="restart"/>
            <w:noWrap w:val="0"/>
            <w:vAlign w:val="center"/>
          </w:tcPr>
          <w:p w14:paraId="3366B40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1F958E7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7489A37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35FB666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0A8F123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1B70292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F2AA13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347C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9" w:type="pct"/>
            <w:vMerge w:val="continue"/>
            <w:noWrap w:val="0"/>
            <w:vAlign w:val="center"/>
          </w:tcPr>
          <w:p w14:paraId="08463B5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49133A8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090EDAC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07D37AB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794CC269">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1FE582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323A261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6552B50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P=-0.2</w:t>
            </w:r>
          </w:p>
        </w:tc>
        <w:tc>
          <w:tcPr>
            <w:tcW w:w="430" w:type="pct"/>
            <w:vMerge w:val="continue"/>
            <w:noWrap w:val="0"/>
            <w:vAlign w:val="center"/>
          </w:tcPr>
          <w:p w14:paraId="6911541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5E4094A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03CB8E9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029E23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510A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52902D2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94D7A0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2C1EEF9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离职（离岗）安全管理</w:t>
            </w:r>
          </w:p>
        </w:tc>
        <w:tc>
          <w:tcPr>
            <w:tcW w:w="239" w:type="pct"/>
            <w:vMerge w:val="restart"/>
            <w:noWrap w:val="0"/>
            <w:vAlign w:val="center"/>
          </w:tcPr>
          <w:p w14:paraId="34E8385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21</w:t>
            </w:r>
          </w:p>
        </w:tc>
        <w:tc>
          <w:tcPr>
            <w:tcW w:w="989" w:type="pct"/>
            <w:vMerge w:val="restart"/>
            <w:noWrap w:val="0"/>
            <w:vAlign w:val="center"/>
          </w:tcPr>
          <w:p w14:paraId="7BA2A29D">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离职（离岗）人员不得将本项目涉及网络安全、应用系统安全、数据安全的资料信息带走或者透露给他人，包括不限于：设备及系统的用户名密码、门禁密码、网络安全配置策略、系统数据等。</w:t>
            </w:r>
          </w:p>
        </w:tc>
        <w:tc>
          <w:tcPr>
            <w:tcW w:w="331" w:type="pct"/>
            <w:vMerge w:val="restart"/>
            <w:noWrap w:val="0"/>
            <w:vAlign w:val="center"/>
          </w:tcPr>
          <w:p w14:paraId="20AF852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6CB99CD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2FE1832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575D844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7939EE9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7023605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7A014D1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158A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9" w:type="pct"/>
            <w:vMerge w:val="continue"/>
            <w:noWrap w:val="0"/>
            <w:vAlign w:val="center"/>
          </w:tcPr>
          <w:p w14:paraId="6F09323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A2B677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3A412F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37E5EEF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18127B01">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6AC0C60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4C62A45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2D475AD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P=-0.2</w:t>
            </w:r>
          </w:p>
        </w:tc>
        <w:tc>
          <w:tcPr>
            <w:tcW w:w="430" w:type="pct"/>
            <w:vMerge w:val="continue"/>
            <w:noWrap w:val="0"/>
            <w:vAlign w:val="center"/>
          </w:tcPr>
          <w:p w14:paraId="486B8D4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7782D3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17899B3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F3EB2C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64722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6073678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restart"/>
            <w:noWrap w:val="0"/>
            <w:vAlign w:val="center"/>
          </w:tcPr>
          <w:p w14:paraId="14E2D0A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3.办公安全</w:t>
            </w:r>
          </w:p>
        </w:tc>
        <w:tc>
          <w:tcPr>
            <w:tcW w:w="323" w:type="pct"/>
            <w:vMerge w:val="restart"/>
            <w:noWrap w:val="0"/>
            <w:vAlign w:val="center"/>
          </w:tcPr>
          <w:p w14:paraId="53EB245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禁止网络混连</w:t>
            </w:r>
          </w:p>
        </w:tc>
        <w:tc>
          <w:tcPr>
            <w:tcW w:w="239" w:type="pct"/>
            <w:vMerge w:val="restart"/>
            <w:noWrap w:val="0"/>
            <w:vAlign w:val="center"/>
          </w:tcPr>
          <w:p w14:paraId="0089934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22</w:t>
            </w:r>
          </w:p>
        </w:tc>
        <w:tc>
          <w:tcPr>
            <w:tcW w:w="989" w:type="pct"/>
            <w:vMerge w:val="restart"/>
            <w:noWrap w:val="0"/>
            <w:vAlign w:val="center"/>
          </w:tcPr>
          <w:p w14:paraId="1337EB33">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互联网笔记本电脑、互联网台式电脑、互联网平板电脑等终端设备必须独立使用在互联网上，（非运维需要或经甲方同意）禁止专网和互联网共用一个终端设备、禁止使用双网卡终端或安装外置网卡，或其他违规外联的情况。</w:t>
            </w:r>
          </w:p>
        </w:tc>
        <w:tc>
          <w:tcPr>
            <w:tcW w:w="331" w:type="pct"/>
            <w:vMerge w:val="restart"/>
            <w:noWrap w:val="0"/>
            <w:vAlign w:val="center"/>
          </w:tcPr>
          <w:p w14:paraId="37791BF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633" w:type="pct"/>
            <w:noWrap w:val="0"/>
            <w:vAlign w:val="center"/>
          </w:tcPr>
          <w:p w14:paraId="72B72F2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3C6F492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2D3E604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EB2C21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13C8416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85E61A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B2D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jc w:val="center"/>
        </w:trPr>
        <w:tc>
          <w:tcPr>
            <w:tcW w:w="409" w:type="pct"/>
            <w:vMerge w:val="continue"/>
            <w:noWrap w:val="0"/>
            <w:vAlign w:val="center"/>
          </w:tcPr>
          <w:p w14:paraId="2BBE925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015FCB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6580694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4CAAB7C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64CDD696">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7B90464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57C0309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2E9E0D6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P=-0.5</w:t>
            </w:r>
          </w:p>
        </w:tc>
        <w:tc>
          <w:tcPr>
            <w:tcW w:w="430" w:type="pct"/>
            <w:vMerge w:val="continue"/>
            <w:noWrap w:val="0"/>
            <w:vAlign w:val="center"/>
          </w:tcPr>
          <w:p w14:paraId="78F6840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0FE79C1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14C6BDE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22D116B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62B0D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23CE654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CA476B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7B0E45B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禁止存储无关数据</w:t>
            </w:r>
          </w:p>
        </w:tc>
        <w:tc>
          <w:tcPr>
            <w:tcW w:w="239" w:type="pct"/>
            <w:vMerge w:val="restart"/>
            <w:noWrap w:val="0"/>
            <w:vAlign w:val="center"/>
          </w:tcPr>
          <w:p w14:paraId="2755309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23</w:t>
            </w:r>
          </w:p>
        </w:tc>
        <w:tc>
          <w:tcPr>
            <w:tcW w:w="989" w:type="pct"/>
            <w:vMerge w:val="restart"/>
            <w:noWrap w:val="0"/>
            <w:vAlign w:val="center"/>
          </w:tcPr>
          <w:p w14:paraId="4C155EA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运维人员自有电脑离开办公环境禁止存储涉及厅局的业务数据。给运维人员配备的电脑和运维的自有电脑禁止存储和自身运维无关的业务数据。</w:t>
            </w:r>
          </w:p>
        </w:tc>
        <w:tc>
          <w:tcPr>
            <w:tcW w:w="331" w:type="pct"/>
            <w:vMerge w:val="restart"/>
            <w:noWrap w:val="0"/>
            <w:vAlign w:val="center"/>
          </w:tcPr>
          <w:p w14:paraId="71CE1C8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080803C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23C1108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27E183D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738CF1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414501C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975996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B7C4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409" w:type="pct"/>
            <w:vMerge w:val="continue"/>
            <w:noWrap w:val="0"/>
            <w:vAlign w:val="center"/>
          </w:tcPr>
          <w:p w14:paraId="2201CC8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AAA482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716D601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222A90A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6439BC40">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77701EB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45BB51F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5D9BE16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P=-0.2</w:t>
            </w:r>
          </w:p>
        </w:tc>
        <w:tc>
          <w:tcPr>
            <w:tcW w:w="430" w:type="pct"/>
            <w:vMerge w:val="continue"/>
            <w:noWrap w:val="0"/>
            <w:vAlign w:val="center"/>
          </w:tcPr>
          <w:p w14:paraId="2D4F133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282626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52EE313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021CB1B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31326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1B310FD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E1652A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3210047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禁止关键信息存入外设</w:t>
            </w:r>
          </w:p>
        </w:tc>
        <w:tc>
          <w:tcPr>
            <w:tcW w:w="239" w:type="pct"/>
            <w:vMerge w:val="restart"/>
            <w:noWrap w:val="0"/>
            <w:vAlign w:val="center"/>
          </w:tcPr>
          <w:p w14:paraId="014FD25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24</w:t>
            </w:r>
          </w:p>
        </w:tc>
        <w:tc>
          <w:tcPr>
            <w:tcW w:w="989" w:type="pct"/>
            <w:vMerge w:val="restart"/>
            <w:noWrap w:val="0"/>
            <w:vAlign w:val="center"/>
          </w:tcPr>
          <w:p w14:paraId="1061A320">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运维人员U盘、硬盘、云端、网盘、等存储端，禁止存储相关红头文件、涉及厅局的业务数据、配置数据、程序代码等关键信息，上述信息禁止带出办公场所以外的场所。</w:t>
            </w:r>
          </w:p>
        </w:tc>
        <w:tc>
          <w:tcPr>
            <w:tcW w:w="331" w:type="pct"/>
            <w:vMerge w:val="restart"/>
            <w:noWrap w:val="0"/>
            <w:vAlign w:val="center"/>
          </w:tcPr>
          <w:p w14:paraId="212EC1F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633" w:type="pct"/>
            <w:noWrap w:val="0"/>
            <w:vAlign w:val="center"/>
          </w:tcPr>
          <w:p w14:paraId="248B1EB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432E354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6DA029B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720FAF3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55C5D24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49B70BE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8D14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4" w:hRule="atLeast"/>
          <w:jc w:val="center"/>
        </w:trPr>
        <w:tc>
          <w:tcPr>
            <w:tcW w:w="409" w:type="pct"/>
            <w:vMerge w:val="continue"/>
            <w:noWrap w:val="0"/>
            <w:vAlign w:val="center"/>
          </w:tcPr>
          <w:p w14:paraId="6A90E9C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014EB3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0974D77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045F1E5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5371BCC6">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3E308DC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4FD4D9B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6865497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P=-0.5</w:t>
            </w:r>
          </w:p>
        </w:tc>
        <w:tc>
          <w:tcPr>
            <w:tcW w:w="430" w:type="pct"/>
            <w:vMerge w:val="continue"/>
            <w:noWrap w:val="0"/>
            <w:vAlign w:val="center"/>
          </w:tcPr>
          <w:p w14:paraId="284314D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112189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313A3B4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1FF9E9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4876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5DAF381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restart"/>
            <w:noWrap w:val="0"/>
            <w:vAlign w:val="center"/>
          </w:tcPr>
          <w:p w14:paraId="2D8277B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4.分工及资质</w:t>
            </w:r>
          </w:p>
        </w:tc>
        <w:tc>
          <w:tcPr>
            <w:tcW w:w="323" w:type="pct"/>
            <w:vMerge w:val="restart"/>
            <w:noWrap w:val="0"/>
            <w:vAlign w:val="center"/>
          </w:tcPr>
          <w:p w14:paraId="7CEB460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团队职责</w:t>
            </w:r>
          </w:p>
        </w:tc>
        <w:tc>
          <w:tcPr>
            <w:tcW w:w="239" w:type="pct"/>
            <w:vMerge w:val="restart"/>
            <w:noWrap w:val="0"/>
            <w:vAlign w:val="center"/>
          </w:tcPr>
          <w:p w14:paraId="638E436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25</w:t>
            </w:r>
          </w:p>
        </w:tc>
        <w:tc>
          <w:tcPr>
            <w:tcW w:w="989" w:type="pct"/>
            <w:vMerge w:val="restart"/>
            <w:noWrap w:val="0"/>
            <w:vAlign w:val="center"/>
          </w:tcPr>
          <w:p w14:paraId="345C55F8">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提供项目一线团队考核人员名单分工和资质（提供复印件）。</w:t>
            </w:r>
          </w:p>
        </w:tc>
        <w:tc>
          <w:tcPr>
            <w:tcW w:w="331" w:type="pct"/>
            <w:vMerge w:val="restart"/>
            <w:noWrap w:val="0"/>
            <w:vAlign w:val="center"/>
          </w:tcPr>
          <w:p w14:paraId="33D8959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332B684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28EA009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060A034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4B4D477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566322E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22AC57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53EC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409" w:type="pct"/>
            <w:vMerge w:val="continue"/>
            <w:noWrap w:val="0"/>
            <w:vAlign w:val="center"/>
          </w:tcPr>
          <w:p w14:paraId="7E434CE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7B28BBF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0507EDB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24C156B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507ECB18">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42A3D06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5CAC5C8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7ACD0BF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24E6D53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77962C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66DC4FC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059A375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0F5CF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17EE4F2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3F22191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61F6863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06770F2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26</w:t>
            </w:r>
          </w:p>
        </w:tc>
        <w:tc>
          <w:tcPr>
            <w:tcW w:w="989" w:type="pct"/>
            <w:vMerge w:val="restart"/>
            <w:noWrap w:val="0"/>
            <w:vAlign w:val="center"/>
          </w:tcPr>
          <w:p w14:paraId="486F695C">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提供项目二线团队考核人员名单分工和资质（提供复印件）。</w:t>
            </w:r>
          </w:p>
        </w:tc>
        <w:tc>
          <w:tcPr>
            <w:tcW w:w="331" w:type="pct"/>
            <w:vMerge w:val="restart"/>
            <w:noWrap w:val="0"/>
            <w:vAlign w:val="center"/>
          </w:tcPr>
          <w:p w14:paraId="239F254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1683F9D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10E5D7B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3B52C52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07EE90C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5DD1615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BC5EA0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12D7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409" w:type="pct"/>
            <w:vMerge w:val="continue"/>
            <w:noWrap w:val="0"/>
            <w:vAlign w:val="center"/>
          </w:tcPr>
          <w:p w14:paraId="6181A48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3F895A0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8766EE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348BE3A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59D1C3AD">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680DBFD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0F51667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05B0587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69A5072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5E13A78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7C28513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01EF392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03124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1E7923C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A303DE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077DE93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资质要求</w:t>
            </w:r>
          </w:p>
        </w:tc>
        <w:tc>
          <w:tcPr>
            <w:tcW w:w="239" w:type="pct"/>
            <w:vMerge w:val="restart"/>
            <w:noWrap w:val="0"/>
            <w:vAlign w:val="center"/>
          </w:tcPr>
          <w:p w14:paraId="59D0C2E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27</w:t>
            </w:r>
          </w:p>
        </w:tc>
        <w:tc>
          <w:tcPr>
            <w:tcW w:w="989" w:type="pct"/>
            <w:vMerge w:val="restart"/>
            <w:noWrap w:val="0"/>
            <w:vAlign w:val="center"/>
          </w:tcPr>
          <w:p w14:paraId="1EA8EC8C">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（3）提供运维团队所在公司投标时相关资质（提供复印件）。</w:t>
            </w:r>
          </w:p>
        </w:tc>
        <w:tc>
          <w:tcPr>
            <w:tcW w:w="331" w:type="pct"/>
            <w:vMerge w:val="restart"/>
            <w:noWrap w:val="0"/>
            <w:vAlign w:val="center"/>
          </w:tcPr>
          <w:p w14:paraId="4F854DA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5B42A94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3A6F4A7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7B593D5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AD4FA7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275F6DA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44C79CD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5A23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409" w:type="pct"/>
            <w:vMerge w:val="continue"/>
            <w:noWrap w:val="0"/>
            <w:vAlign w:val="center"/>
          </w:tcPr>
          <w:p w14:paraId="5547B56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12E4F5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5980C55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6ECDEF3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23AA7476">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1DC68C0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481272C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5A912A2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66E4A27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520A15E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787009C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9442C8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67CDC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restart"/>
            <w:noWrap w:val="0"/>
            <w:vAlign w:val="center"/>
          </w:tcPr>
          <w:p w14:paraId="425E7E9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二、应用系统运维</w:t>
            </w:r>
          </w:p>
        </w:tc>
        <w:tc>
          <w:tcPr>
            <w:tcW w:w="240" w:type="pct"/>
            <w:vMerge w:val="restart"/>
            <w:noWrap w:val="0"/>
            <w:vAlign w:val="center"/>
          </w:tcPr>
          <w:p w14:paraId="7BDE473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1.方案报告</w:t>
            </w:r>
          </w:p>
        </w:tc>
        <w:tc>
          <w:tcPr>
            <w:tcW w:w="323" w:type="pct"/>
            <w:vMerge w:val="restart"/>
            <w:noWrap w:val="0"/>
            <w:vAlign w:val="center"/>
          </w:tcPr>
          <w:p w14:paraId="107E825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运维方案</w:t>
            </w:r>
          </w:p>
        </w:tc>
        <w:tc>
          <w:tcPr>
            <w:tcW w:w="239" w:type="pct"/>
            <w:vMerge w:val="restart"/>
            <w:noWrap w:val="0"/>
            <w:vAlign w:val="center"/>
          </w:tcPr>
          <w:p w14:paraId="6633FB1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28</w:t>
            </w:r>
          </w:p>
        </w:tc>
        <w:tc>
          <w:tcPr>
            <w:tcW w:w="989" w:type="pct"/>
            <w:vMerge w:val="restart"/>
            <w:noWrap w:val="0"/>
            <w:vAlign w:val="center"/>
          </w:tcPr>
          <w:p w14:paraId="7639EF0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编制项目运维方案，并且编制项目运维方案有可执行性。</w:t>
            </w:r>
          </w:p>
        </w:tc>
        <w:tc>
          <w:tcPr>
            <w:tcW w:w="331" w:type="pct"/>
            <w:vMerge w:val="restart"/>
            <w:noWrap w:val="0"/>
            <w:vAlign w:val="center"/>
          </w:tcPr>
          <w:p w14:paraId="094AAA6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1E5DB52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79B8783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6BEFA70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604826A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606455E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0D022EB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620B5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409" w:type="pct"/>
            <w:vMerge w:val="continue"/>
            <w:noWrap w:val="0"/>
            <w:vAlign w:val="center"/>
          </w:tcPr>
          <w:p w14:paraId="5420A14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041358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04E1743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654266E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6EF61C35">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4FBCBB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43DC533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没有编制方案</w:t>
            </w:r>
          </w:p>
        </w:tc>
        <w:tc>
          <w:tcPr>
            <w:tcW w:w="492" w:type="pct"/>
            <w:noWrap w:val="0"/>
            <w:vAlign w:val="center"/>
          </w:tcPr>
          <w:p w14:paraId="2892D63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622F6FF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427F30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3AE9153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1C2E85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6DEA3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128EB9A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138B2E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0EB93F1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定期报告</w:t>
            </w:r>
          </w:p>
        </w:tc>
        <w:tc>
          <w:tcPr>
            <w:tcW w:w="239" w:type="pct"/>
            <w:vMerge w:val="restart"/>
            <w:noWrap w:val="0"/>
            <w:vAlign w:val="center"/>
          </w:tcPr>
          <w:p w14:paraId="5A802D4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29</w:t>
            </w:r>
          </w:p>
        </w:tc>
        <w:tc>
          <w:tcPr>
            <w:tcW w:w="989" w:type="pct"/>
            <w:vMerge w:val="restart"/>
            <w:noWrap w:val="0"/>
            <w:vAlign w:val="center"/>
          </w:tcPr>
          <w:p w14:paraId="12D9B16E">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应用系统定期上报周报、月报，季报（提供纸质版和电子版）。（周报上报时间:每周五10点前，季报、月报上报时间:下月3日前）</w:t>
            </w:r>
          </w:p>
        </w:tc>
        <w:tc>
          <w:tcPr>
            <w:tcW w:w="331" w:type="pct"/>
            <w:vMerge w:val="restart"/>
            <w:noWrap w:val="0"/>
            <w:vAlign w:val="center"/>
          </w:tcPr>
          <w:p w14:paraId="070F2C3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4F96827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4C2D43E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1FCB77D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2834D7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5AD034E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7860486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62013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4" w:hRule="atLeast"/>
          <w:jc w:val="center"/>
        </w:trPr>
        <w:tc>
          <w:tcPr>
            <w:tcW w:w="409" w:type="pct"/>
            <w:vMerge w:val="continue"/>
            <w:noWrap w:val="0"/>
            <w:vAlign w:val="center"/>
          </w:tcPr>
          <w:p w14:paraId="6B85A14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2367420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63FE13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46BDFD7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7ACCA4A6">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E6473D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257182D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一次不提供</w:t>
            </w:r>
          </w:p>
        </w:tc>
        <w:tc>
          <w:tcPr>
            <w:tcW w:w="492" w:type="pct"/>
            <w:noWrap w:val="0"/>
            <w:vAlign w:val="center"/>
          </w:tcPr>
          <w:p w14:paraId="4C0344F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P=-0.1</w:t>
            </w:r>
          </w:p>
        </w:tc>
        <w:tc>
          <w:tcPr>
            <w:tcW w:w="430" w:type="pct"/>
            <w:vMerge w:val="continue"/>
            <w:noWrap w:val="0"/>
            <w:vAlign w:val="center"/>
          </w:tcPr>
          <w:p w14:paraId="3C42B5A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2E7F8DA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0A37078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57F327C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B52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145B52B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CC7481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6A58A53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事件报告</w:t>
            </w:r>
          </w:p>
        </w:tc>
        <w:tc>
          <w:tcPr>
            <w:tcW w:w="239" w:type="pct"/>
            <w:vMerge w:val="restart"/>
            <w:noWrap w:val="0"/>
            <w:vAlign w:val="center"/>
          </w:tcPr>
          <w:p w14:paraId="20F6699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30</w:t>
            </w:r>
          </w:p>
        </w:tc>
        <w:tc>
          <w:tcPr>
            <w:tcW w:w="989" w:type="pct"/>
            <w:vMerge w:val="restart"/>
            <w:noWrap w:val="0"/>
            <w:vAlign w:val="center"/>
          </w:tcPr>
          <w:p w14:paraId="06504225">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系统运行期间发生的相关事件，须提交事件报告或说明。</w:t>
            </w:r>
          </w:p>
        </w:tc>
        <w:tc>
          <w:tcPr>
            <w:tcW w:w="331" w:type="pct"/>
            <w:vMerge w:val="restart"/>
            <w:noWrap w:val="0"/>
            <w:vAlign w:val="center"/>
          </w:tcPr>
          <w:p w14:paraId="7E50075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7DC4135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2F2E59C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64AFDD2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7C1DB59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0D517EC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85049F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3B8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409" w:type="pct"/>
            <w:vMerge w:val="continue"/>
            <w:noWrap w:val="0"/>
            <w:vAlign w:val="center"/>
          </w:tcPr>
          <w:p w14:paraId="2EDC6BC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3DF221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40AE9F6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4ACE29E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46EE5024">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1DAFDD2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248FC49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一次不提供</w:t>
            </w:r>
          </w:p>
        </w:tc>
        <w:tc>
          <w:tcPr>
            <w:tcW w:w="492" w:type="pct"/>
            <w:noWrap w:val="0"/>
            <w:vAlign w:val="center"/>
          </w:tcPr>
          <w:p w14:paraId="30F31C3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P=-0.2</w:t>
            </w:r>
          </w:p>
        </w:tc>
        <w:tc>
          <w:tcPr>
            <w:tcW w:w="430" w:type="pct"/>
            <w:vMerge w:val="continue"/>
            <w:noWrap w:val="0"/>
            <w:vAlign w:val="center"/>
          </w:tcPr>
          <w:p w14:paraId="3CEBCEA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3B5986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5299BD3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2A221D2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395D3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33E279F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restart"/>
            <w:noWrap w:val="0"/>
            <w:vAlign w:val="center"/>
          </w:tcPr>
          <w:p w14:paraId="3DFE96D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2.日常工作</w:t>
            </w:r>
          </w:p>
        </w:tc>
        <w:tc>
          <w:tcPr>
            <w:tcW w:w="323" w:type="pct"/>
            <w:vMerge w:val="restart"/>
            <w:noWrap w:val="0"/>
            <w:vAlign w:val="center"/>
          </w:tcPr>
          <w:p w14:paraId="6379B5B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日常巡检</w:t>
            </w:r>
          </w:p>
        </w:tc>
        <w:tc>
          <w:tcPr>
            <w:tcW w:w="239" w:type="pct"/>
            <w:vMerge w:val="restart"/>
            <w:noWrap w:val="0"/>
            <w:vAlign w:val="center"/>
          </w:tcPr>
          <w:p w14:paraId="17D6C2F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31</w:t>
            </w:r>
          </w:p>
        </w:tc>
        <w:tc>
          <w:tcPr>
            <w:tcW w:w="989" w:type="pct"/>
            <w:vMerge w:val="restart"/>
            <w:noWrap w:val="0"/>
            <w:vAlign w:val="center"/>
          </w:tcPr>
          <w:p w14:paraId="2890DE8E">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检查应用系统、中间件、数据库、数据传输（同步）运行情况，确保应用系统稳定运行。</w:t>
            </w:r>
          </w:p>
        </w:tc>
        <w:tc>
          <w:tcPr>
            <w:tcW w:w="331" w:type="pct"/>
            <w:vMerge w:val="restart"/>
            <w:noWrap w:val="0"/>
            <w:vAlign w:val="center"/>
          </w:tcPr>
          <w:p w14:paraId="3AD5C33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633" w:type="pct"/>
            <w:noWrap w:val="0"/>
            <w:vAlign w:val="center"/>
          </w:tcPr>
          <w:p w14:paraId="7CA0CF8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1F60F94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5B0DD99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681E37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558208E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DA2CED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894C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409" w:type="pct"/>
            <w:vMerge w:val="continue"/>
            <w:noWrap w:val="0"/>
            <w:vAlign w:val="center"/>
          </w:tcPr>
          <w:p w14:paraId="1E7BA6C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7C9837C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368C298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3C38E33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14213AA6">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D55ED5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62508A8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一次没按照要求巡检</w:t>
            </w:r>
          </w:p>
        </w:tc>
        <w:tc>
          <w:tcPr>
            <w:tcW w:w="492" w:type="pct"/>
            <w:noWrap w:val="0"/>
            <w:vAlign w:val="center"/>
          </w:tcPr>
          <w:p w14:paraId="03660DE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P=-0.2</w:t>
            </w:r>
          </w:p>
        </w:tc>
        <w:tc>
          <w:tcPr>
            <w:tcW w:w="430" w:type="pct"/>
            <w:vMerge w:val="continue"/>
            <w:noWrap w:val="0"/>
            <w:vAlign w:val="center"/>
          </w:tcPr>
          <w:p w14:paraId="66DD5C8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ED708C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6A5908E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2A438EA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98A1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0119C49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5142A82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6D3799F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重保巡检</w:t>
            </w:r>
          </w:p>
        </w:tc>
        <w:tc>
          <w:tcPr>
            <w:tcW w:w="239" w:type="pct"/>
            <w:vMerge w:val="restart"/>
            <w:noWrap w:val="0"/>
            <w:vAlign w:val="center"/>
          </w:tcPr>
          <w:p w14:paraId="444483C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32</w:t>
            </w:r>
          </w:p>
        </w:tc>
        <w:tc>
          <w:tcPr>
            <w:tcW w:w="989" w:type="pct"/>
            <w:vMerge w:val="restart"/>
            <w:noWrap w:val="0"/>
            <w:vAlign w:val="center"/>
          </w:tcPr>
          <w:p w14:paraId="26AC82EE">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重要节假日检查应用系统、中间件、数据库、数据传输运行情况，确保应用系统稳定运行。</w:t>
            </w:r>
          </w:p>
        </w:tc>
        <w:tc>
          <w:tcPr>
            <w:tcW w:w="331" w:type="pct"/>
            <w:vMerge w:val="restart"/>
            <w:noWrap w:val="0"/>
            <w:vAlign w:val="center"/>
          </w:tcPr>
          <w:p w14:paraId="4142252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0C77CE0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1A506D7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355F937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B35FAE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4583D97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48BE815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8E2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409" w:type="pct"/>
            <w:vMerge w:val="continue"/>
            <w:noWrap w:val="0"/>
            <w:vAlign w:val="center"/>
          </w:tcPr>
          <w:p w14:paraId="75B43C2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097C0E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7563881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0444854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3F42C2CD">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40B3C39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22D46F4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一次不参与保障</w:t>
            </w:r>
          </w:p>
        </w:tc>
        <w:tc>
          <w:tcPr>
            <w:tcW w:w="492" w:type="pct"/>
            <w:noWrap w:val="0"/>
            <w:vAlign w:val="center"/>
          </w:tcPr>
          <w:p w14:paraId="057000A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P=-0.5</w:t>
            </w:r>
          </w:p>
        </w:tc>
        <w:tc>
          <w:tcPr>
            <w:tcW w:w="430" w:type="pct"/>
            <w:vMerge w:val="continue"/>
            <w:noWrap w:val="0"/>
            <w:vAlign w:val="center"/>
          </w:tcPr>
          <w:p w14:paraId="47D1B21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493368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4B65BDA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D0697B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9C3A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4ECF6E9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647854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680D5F3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其它工作</w:t>
            </w:r>
          </w:p>
        </w:tc>
        <w:tc>
          <w:tcPr>
            <w:tcW w:w="239" w:type="pct"/>
            <w:vMerge w:val="restart"/>
            <w:noWrap w:val="0"/>
            <w:vAlign w:val="center"/>
          </w:tcPr>
          <w:p w14:paraId="1FDD36E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33</w:t>
            </w:r>
          </w:p>
        </w:tc>
        <w:tc>
          <w:tcPr>
            <w:tcW w:w="989" w:type="pct"/>
            <w:vMerge w:val="restart"/>
            <w:noWrap w:val="0"/>
            <w:vAlign w:val="center"/>
          </w:tcPr>
          <w:p w14:paraId="376A2ACA">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在项目保障期间，规定时限内完成项目内其他工作。</w:t>
            </w:r>
          </w:p>
        </w:tc>
        <w:tc>
          <w:tcPr>
            <w:tcW w:w="331" w:type="pct"/>
            <w:vMerge w:val="restart"/>
            <w:noWrap w:val="0"/>
            <w:vAlign w:val="center"/>
          </w:tcPr>
          <w:p w14:paraId="4EBB8D0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w:t>
            </w:r>
          </w:p>
        </w:tc>
        <w:tc>
          <w:tcPr>
            <w:tcW w:w="633" w:type="pct"/>
            <w:noWrap w:val="0"/>
            <w:vAlign w:val="center"/>
          </w:tcPr>
          <w:p w14:paraId="434F308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13019ED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5455383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7E28BDA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71D177B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BC534B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0352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409" w:type="pct"/>
            <w:vMerge w:val="continue"/>
            <w:noWrap w:val="0"/>
            <w:vAlign w:val="center"/>
          </w:tcPr>
          <w:p w14:paraId="1AAFA46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58089D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0E3DBDA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7144E4C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5649E751">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4A0CB75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396C824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72433E2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61A8336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273EFF6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204182C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0464BED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111E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2929E9B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restart"/>
            <w:noWrap w:val="0"/>
            <w:vAlign w:val="center"/>
          </w:tcPr>
          <w:p w14:paraId="7B650DC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3.运维项目管理</w:t>
            </w:r>
          </w:p>
        </w:tc>
        <w:tc>
          <w:tcPr>
            <w:tcW w:w="323" w:type="pct"/>
            <w:vMerge w:val="restart"/>
            <w:noWrap w:val="0"/>
            <w:vAlign w:val="center"/>
          </w:tcPr>
          <w:p w14:paraId="328D73D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需求分析</w:t>
            </w:r>
          </w:p>
        </w:tc>
        <w:tc>
          <w:tcPr>
            <w:tcW w:w="239" w:type="pct"/>
            <w:vMerge w:val="restart"/>
            <w:noWrap w:val="0"/>
            <w:vAlign w:val="center"/>
          </w:tcPr>
          <w:p w14:paraId="6AAB34B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34</w:t>
            </w:r>
          </w:p>
        </w:tc>
        <w:tc>
          <w:tcPr>
            <w:tcW w:w="989" w:type="pct"/>
            <w:vMerge w:val="restart"/>
            <w:noWrap w:val="0"/>
            <w:vAlign w:val="center"/>
          </w:tcPr>
          <w:p w14:paraId="7C31E546">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新增应用系统功能、功能提升，需要做好需求分析，并提交《需要表》取得业务部门签字。</w:t>
            </w:r>
          </w:p>
        </w:tc>
        <w:tc>
          <w:tcPr>
            <w:tcW w:w="331" w:type="pct"/>
            <w:vMerge w:val="restart"/>
            <w:noWrap w:val="0"/>
            <w:vAlign w:val="center"/>
          </w:tcPr>
          <w:p w14:paraId="5C33A98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633" w:type="pct"/>
            <w:noWrap w:val="0"/>
            <w:vAlign w:val="center"/>
          </w:tcPr>
          <w:p w14:paraId="3C9B38A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7C86B72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465B240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4DF7219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1F932C1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62653C4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09E2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jc w:val="center"/>
        </w:trPr>
        <w:tc>
          <w:tcPr>
            <w:tcW w:w="409" w:type="pct"/>
            <w:vMerge w:val="continue"/>
            <w:noWrap w:val="0"/>
            <w:vAlign w:val="center"/>
          </w:tcPr>
          <w:p w14:paraId="5E86F0D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24DE76C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609572D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48F1188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344BFC4A">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5ED8301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7515BA7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5539C4D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P=-0.5</w:t>
            </w:r>
          </w:p>
        </w:tc>
        <w:tc>
          <w:tcPr>
            <w:tcW w:w="430" w:type="pct"/>
            <w:vMerge w:val="continue"/>
            <w:noWrap w:val="0"/>
            <w:vAlign w:val="center"/>
          </w:tcPr>
          <w:p w14:paraId="57133ED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A0CF1B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5792549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273BAD2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8887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795C0C8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99538A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582ED81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3387CB0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35</w:t>
            </w:r>
          </w:p>
        </w:tc>
        <w:tc>
          <w:tcPr>
            <w:tcW w:w="989" w:type="pct"/>
            <w:vMerge w:val="restart"/>
            <w:noWrap w:val="0"/>
            <w:vAlign w:val="center"/>
          </w:tcPr>
          <w:p w14:paraId="2B7F0D4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新增与应用系统接入（对接）的申请，做好对接需求分析，需提交接入（对接）申请，并提交《对接表》或《对接方案》取得业务部门签字。成。</w:t>
            </w:r>
          </w:p>
        </w:tc>
        <w:tc>
          <w:tcPr>
            <w:tcW w:w="331" w:type="pct"/>
            <w:vMerge w:val="restart"/>
            <w:noWrap w:val="0"/>
            <w:vAlign w:val="center"/>
          </w:tcPr>
          <w:p w14:paraId="28B8910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633" w:type="pct"/>
            <w:noWrap w:val="0"/>
            <w:vAlign w:val="center"/>
          </w:tcPr>
          <w:p w14:paraId="77844B1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5D8A74C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05D2344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6F85281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0F56100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4604AD0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EFE4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jc w:val="center"/>
        </w:trPr>
        <w:tc>
          <w:tcPr>
            <w:tcW w:w="409" w:type="pct"/>
            <w:vMerge w:val="continue"/>
            <w:noWrap w:val="0"/>
            <w:vAlign w:val="center"/>
          </w:tcPr>
          <w:p w14:paraId="565C241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53FA849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2BD43E7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5041506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2D0FA921">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05932E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51B4082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2E8D98E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P=-0.5</w:t>
            </w:r>
          </w:p>
        </w:tc>
        <w:tc>
          <w:tcPr>
            <w:tcW w:w="430" w:type="pct"/>
            <w:vMerge w:val="continue"/>
            <w:noWrap w:val="0"/>
            <w:vAlign w:val="center"/>
          </w:tcPr>
          <w:p w14:paraId="1E047D5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9BC61A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58729D8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72BAB7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921C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350F90C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5D63C4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6AFE34A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进度控制</w:t>
            </w:r>
          </w:p>
        </w:tc>
        <w:tc>
          <w:tcPr>
            <w:tcW w:w="239" w:type="pct"/>
            <w:vMerge w:val="restart"/>
            <w:noWrap w:val="0"/>
            <w:vAlign w:val="center"/>
          </w:tcPr>
          <w:p w14:paraId="3F3D56C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36</w:t>
            </w:r>
          </w:p>
        </w:tc>
        <w:tc>
          <w:tcPr>
            <w:tcW w:w="989" w:type="pct"/>
            <w:vMerge w:val="restart"/>
            <w:noWrap w:val="0"/>
            <w:vAlign w:val="center"/>
          </w:tcPr>
          <w:p w14:paraId="016BCB4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Style w:val="6"/>
                <w:rFonts w:hint="default"/>
                <w:color w:val="auto"/>
                <w:sz w:val="21"/>
                <w:szCs w:val="21"/>
                <w:lang w:bidi="ar"/>
              </w:rPr>
              <w:t>对应用系统实现功能提升、新功能部署、BUG升级、漏洞补丁，需要在规定时间内完成，（</w:t>
            </w:r>
            <w:r>
              <w:rPr>
                <w:rFonts w:hint="eastAsia" w:ascii="仿宋" w:hAnsi="仿宋" w:eastAsia="仿宋" w:cs="仿宋"/>
                <w:color w:val="auto"/>
                <w:kern w:val="0"/>
                <w:sz w:val="21"/>
                <w:szCs w:val="21"/>
                <w:lang w:bidi="ar"/>
              </w:rPr>
              <w:t>简单功能最长时间不得超过一个月，复杂功能不超过三个月。）</w:t>
            </w:r>
          </w:p>
        </w:tc>
        <w:tc>
          <w:tcPr>
            <w:tcW w:w="331" w:type="pct"/>
            <w:vMerge w:val="restart"/>
            <w:noWrap w:val="0"/>
            <w:vAlign w:val="center"/>
          </w:tcPr>
          <w:p w14:paraId="796E228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w:t>
            </w:r>
          </w:p>
        </w:tc>
        <w:tc>
          <w:tcPr>
            <w:tcW w:w="633" w:type="pct"/>
            <w:noWrap w:val="0"/>
            <w:vAlign w:val="center"/>
          </w:tcPr>
          <w:p w14:paraId="1E41107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5F9CA26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4255332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AE2E38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7E3A6FA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4AFC7C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766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9" w:hRule="atLeast"/>
          <w:jc w:val="center"/>
        </w:trPr>
        <w:tc>
          <w:tcPr>
            <w:tcW w:w="409" w:type="pct"/>
            <w:vMerge w:val="continue"/>
            <w:noWrap w:val="0"/>
            <w:vAlign w:val="center"/>
          </w:tcPr>
          <w:p w14:paraId="620AEBB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113C96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0FDA6AC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152AB7F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68EBADB7">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4421A58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17E5C98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0CD55CE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356F064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A299F2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437F3C5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543CFCB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3D7EA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0731553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43C036D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73E88FA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4AD674C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37</w:t>
            </w:r>
          </w:p>
        </w:tc>
        <w:tc>
          <w:tcPr>
            <w:tcW w:w="989" w:type="pct"/>
            <w:vMerge w:val="restart"/>
            <w:noWrap w:val="0"/>
            <w:vAlign w:val="center"/>
          </w:tcPr>
          <w:p w14:paraId="369B476A">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新增与应用系统接入（对接）工作，需要在规定时间内完成本应用系统侧的相关工作，最长时间不得超过一个月。</w:t>
            </w:r>
          </w:p>
        </w:tc>
        <w:tc>
          <w:tcPr>
            <w:tcW w:w="331" w:type="pct"/>
            <w:vMerge w:val="restart"/>
            <w:noWrap w:val="0"/>
            <w:vAlign w:val="center"/>
          </w:tcPr>
          <w:p w14:paraId="788BA64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w:t>
            </w:r>
          </w:p>
        </w:tc>
        <w:tc>
          <w:tcPr>
            <w:tcW w:w="633" w:type="pct"/>
            <w:noWrap w:val="0"/>
            <w:vAlign w:val="center"/>
          </w:tcPr>
          <w:p w14:paraId="5DFF288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4C9C210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1900C5E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E94D25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1C2BCEF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EAB823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9648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jc w:val="center"/>
        </w:trPr>
        <w:tc>
          <w:tcPr>
            <w:tcW w:w="409" w:type="pct"/>
            <w:vMerge w:val="continue"/>
            <w:noWrap w:val="0"/>
            <w:vAlign w:val="center"/>
          </w:tcPr>
          <w:p w14:paraId="724A89D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4E92FEB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524A927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4561006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69C02364">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42A36AC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1B05858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59DC2C8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49004B5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2345F1C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114E8CE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E218B2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31567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43E3C23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E6B382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1C38B88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功能测试</w:t>
            </w:r>
          </w:p>
        </w:tc>
        <w:tc>
          <w:tcPr>
            <w:tcW w:w="239" w:type="pct"/>
            <w:vMerge w:val="restart"/>
            <w:noWrap w:val="0"/>
            <w:vAlign w:val="center"/>
          </w:tcPr>
          <w:p w14:paraId="42ED178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38</w:t>
            </w:r>
          </w:p>
        </w:tc>
        <w:tc>
          <w:tcPr>
            <w:tcW w:w="989" w:type="pct"/>
            <w:vMerge w:val="restart"/>
            <w:noWrap w:val="0"/>
            <w:vAlign w:val="center"/>
          </w:tcPr>
          <w:p w14:paraId="54069E0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做好系统功能提升、新功能部署、BUG升级、漏洞补丁上线、系统对接的测试工作，必要时开展业务人员、系统负责人等相关人员的测试。</w:t>
            </w:r>
          </w:p>
        </w:tc>
        <w:tc>
          <w:tcPr>
            <w:tcW w:w="331" w:type="pct"/>
            <w:vMerge w:val="restart"/>
            <w:noWrap w:val="0"/>
            <w:vAlign w:val="center"/>
          </w:tcPr>
          <w:p w14:paraId="2180985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633" w:type="pct"/>
            <w:noWrap w:val="0"/>
            <w:vAlign w:val="center"/>
          </w:tcPr>
          <w:p w14:paraId="009C952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44608A9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7254AAF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6E8263E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5346C57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660162E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A497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jc w:val="center"/>
        </w:trPr>
        <w:tc>
          <w:tcPr>
            <w:tcW w:w="409" w:type="pct"/>
            <w:vMerge w:val="continue"/>
            <w:noWrap w:val="0"/>
            <w:vAlign w:val="center"/>
          </w:tcPr>
          <w:p w14:paraId="1E09771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B4B415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0B13C95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5786D27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20016782">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F95C0B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0698254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2414E17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P=-0.5</w:t>
            </w:r>
          </w:p>
        </w:tc>
        <w:tc>
          <w:tcPr>
            <w:tcW w:w="430" w:type="pct"/>
            <w:vMerge w:val="continue"/>
            <w:noWrap w:val="0"/>
            <w:vAlign w:val="center"/>
          </w:tcPr>
          <w:p w14:paraId="2424904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15BA09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0E037DC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FF7C06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1A0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0F7943A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66320A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038E673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项目质量</w:t>
            </w:r>
          </w:p>
        </w:tc>
        <w:tc>
          <w:tcPr>
            <w:tcW w:w="239" w:type="pct"/>
            <w:vMerge w:val="restart"/>
            <w:noWrap w:val="0"/>
            <w:vAlign w:val="center"/>
          </w:tcPr>
          <w:p w14:paraId="467A9DB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39</w:t>
            </w:r>
          </w:p>
        </w:tc>
        <w:tc>
          <w:tcPr>
            <w:tcW w:w="989" w:type="pct"/>
            <w:vMerge w:val="restart"/>
            <w:noWrap w:val="0"/>
            <w:vAlign w:val="center"/>
          </w:tcPr>
          <w:p w14:paraId="1AD29FD4">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应用系统实现功能提升、新功能部署、BUG升级、漏洞补丁、系统对接等，要满足质量要求和预期，跟踪应用系统的可用性与稳定性。</w:t>
            </w:r>
          </w:p>
        </w:tc>
        <w:tc>
          <w:tcPr>
            <w:tcW w:w="331" w:type="pct"/>
            <w:vMerge w:val="restart"/>
            <w:noWrap w:val="0"/>
            <w:vAlign w:val="center"/>
          </w:tcPr>
          <w:p w14:paraId="79B86D2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w:t>
            </w:r>
          </w:p>
        </w:tc>
        <w:tc>
          <w:tcPr>
            <w:tcW w:w="633" w:type="pct"/>
            <w:noWrap w:val="0"/>
            <w:vAlign w:val="center"/>
          </w:tcPr>
          <w:p w14:paraId="7B30B67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0D86D7D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70A4B21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053996A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192F5F9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042E75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E51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409" w:type="pct"/>
            <w:vMerge w:val="continue"/>
            <w:noWrap w:val="0"/>
            <w:vAlign w:val="center"/>
          </w:tcPr>
          <w:p w14:paraId="53B52A9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77F0B13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531F0BC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2B73FF8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103892F3">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713A8F2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3F49D3B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7F61963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26F19ED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2C8F5D7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03EE2E3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209AC51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0F7D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6F75316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4AD3F5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7CB2640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2E0D17A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40</w:t>
            </w:r>
          </w:p>
        </w:tc>
        <w:tc>
          <w:tcPr>
            <w:tcW w:w="989" w:type="pct"/>
            <w:vMerge w:val="restart"/>
            <w:noWrap w:val="0"/>
            <w:vAlign w:val="center"/>
          </w:tcPr>
          <w:p w14:paraId="3B11F89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做好数据质量保证工作，数据采集、存储、应用符合相关标准，并配合做好数据治理工作。</w:t>
            </w:r>
          </w:p>
        </w:tc>
        <w:tc>
          <w:tcPr>
            <w:tcW w:w="331" w:type="pct"/>
            <w:vMerge w:val="restart"/>
            <w:noWrap w:val="0"/>
            <w:vAlign w:val="center"/>
          </w:tcPr>
          <w:p w14:paraId="4D4782B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w:t>
            </w:r>
          </w:p>
        </w:tc>
        <w:tc>
          <w:tcPr>
            <w:tcW w:w="633" w:type="pct"/>
            <w:noWrap w:val="0"/>
            <w:vAlign w:val="center"/>
          </w:tcPr>
          <w:p w14:paraId="20DADEE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7C9D527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46E1F35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F3E9D8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266B331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noWrap w:val="0"/>
            <w:vAlign w:val="center"/>
          </w:tcPr>
          <w:p w14:paraId="2B44FD7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DF26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09" w:type="pct"/>
            <w:vMerge w:val="continue"/>
            <w:noWrap w:val="0"/>
            <w:vAlign w:val="center"/>
          </w:tcPr>
          <w:p w14:paraId="5D64E21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413A04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551BB6C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2E5866D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5414A153">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2907EBD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6D06B10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7A6FB52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0FA8996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6CC864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652A3EC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noWrap w:val="0"/>
            <w:vAlign w:val="center"/>
          </w:tcPr>
          <w:p w14:paraId="0483B77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323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09" w:type="pct"/>
            <w:vMerge w:val="continue"/>
            <w:noWrap w:val="0"/>
            <w:vAlign w:val="center"/>
          </w:tcPr>
          <w:p w14:paraId="6FEC7A0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7E8D675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0E9CF1F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6E96A97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41</w:t>
            </w:r>
          </w:p>
        </w:tc>
        <w:tc>
          <w:tcPr>
            <w:tcW w:w="989" w:type="pct"/>
            <w:vMerge w:val="restart"/>
            <w:noWrap w:val="0"/>
            <w:vAlign w:val="center"/>
          </w:tcPr>
          <w:p w14:paraId="6F6FF62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在本项目运维过程中，因运维公司过失，造成项目质量受损并带来相关损失，（必要时运维公司按照实际损失进行赔偿）。</w:t>
            </w:r>
          </w:p>
        </w:tc>
        <w:tc>
          <w:tcPr>
            <w:tcW w:w="331" w:type="pct"/>
            <w:vMerge w:val="restart"/>
            <w:noWrap w:val="0"/>
            <w:vAlign w:val="center"/>
          </w:tcPr>
          <w:p w14:paraId="0B42267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633" w:type="pct"/>
            <w:noWrap w:val="0"/>
            <w:vAlign w:val="center"/>
          </w:tcPr>
          <w:p w14:paraId="74E56BF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无过失行为</w:t>
            </w:r>
          </w:p>
        </w:tc>
        <w:tc>
          <w:tcPr>
            <w:tcW w:w="492" w:type="pct"/>
            <w:noWrap w:val="0"/>
            <w:vAlign w:val="center"/>
          </w:tcPr>
          <w:p w14:paraId="54E0871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3D89D8F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0FEDFAB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70B97E8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73555CB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5CDE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409" w:type="pct"/>
            <w:vMerge w:val="continue"/>
            <w:noWrap w:val="0"/>
            <w:vAlign w:val="center"/>
          </w:tcPr>
          <w:p w14:paraId="4EF7EF3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7407AF8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6EF8DF0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4076ABB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576AF0E9">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9C14A1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ign w:val="center"/>
          </w:tcPr>
          <w:p w14:paraId="5733BDD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产生损失</w:t>
            </w:r>
          </w:p>
        </w:tc>
        <w:tc>
          <w:tcPr>
            <w:tcW w:w="492" w:type="pct"/>
            <w:noWrap w:val="0"/>
            <w:vAlign w:val="center"/>
          </w:tcPr>
          <w:p w14:paraId="3EB57F3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P=-0.5</w:t>
            </w:r>
          </w:p>
        </w:tc>
        <w:tc>
          <w:tcPr>
            <w:tcW w:w="430" w:type="pct"/>
            <w:vMerge w:val="continue"/>
            <w:noWrap w:val="0"/>
            <w:vAlign w:val="center"/>
          </w:tcPr>
          <w:p w14:paraId="183F490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0B7FA3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49502BA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9D3C7D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A8E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409" w:type="pct"/>
            <w:vMerge w:val="continue"/>
            <w:noWrap w:val="0"/>
            <w:vAlign w:val="center"/>
          </w:tcPr>
          <w:p w14:paraId="15AF605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4D54033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554D1C2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数据工作</w:t>
            </w:r>
          </w:p>
        </w:tc>
        <w:tc>
          <w:tcPr>
            <w:tcW w:w="239" w:type="pct"/>
            <w:vMerge w:val="restart"/>
            <w:noWrap w:val="0"/>
            <w:vAlign w:val="center"/>
          </w:tcPr>
          <w:p w14:paraId="7095EE7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42</w:t>
            </w:r>
          </w:p>
        </w:tc>
        <w:tc>
          <w:tcPr>
            <w:tcW w:w="989" w:type="pct"/>
            <w:vMerge w:val="restart"/>
            <w:noWrap w:val="0"/>
            <w:vAlign w:val="center"/>
          </w:tcPr>
          <w:p w14:paraId="4F830AB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做好系信息数据应用相关工作，包含：数据统计、数据分析、数据梳理、数据挖掘等数据应用工作。</w:t>
            </w:r>
          </w:p>
        </w:tc>
        <w:tc>
          <w:tcPr>
            <w:tcW w:w="331" w:type="pct"/>
            <w:vMerge w:val="restart"/>
            <w:noWrap w:val="0"/>
            <w:vAlign w:val="center"/>
          </w:tcPr>
          <w:p w14:paraId="4E0D0CF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633" w:type="pct"/>
            <w:noWrap w:val="0"/>
            <w:vAlign w:val="center"/>
          </w:tcPr>
          <w:p w14:paraId="458EF50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2C1B0AA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noWrap w:val="0"/>
            <w:vAlign w:val="center"/>
          </w:tcPr>
          <w:p w14:paraId="5672ED64">
            <w:pPr>
              <w:keepNext w:val="0"/>
              <w:keepLines w:val="0"/>
              <w:widowControl/>
              <w:suppressLineNumbers w:val="0"/>
              <w:spacing w:before="0" w:beforeAutospacing="0" w:after="0" w:afterAutospacing="0"/>
              <w:ind w:left="0" w:right="0"/>
              <w:rPr>
                <w:rFonts w:hint="eastAsia" w:ascii="仿宋" w:hAnsi="仿宋" w:eastAsia="仿宋" w:cs="仿宋"/>
                <w:color w:val="auto"/>
                <w:sz w:val="21"/>
                <w:szCs w:val="21"/>
              </w:rPr>
            </w:pPr>
          </w:p>
        </w:tc>
        <w:tc>
          <w:tcPr>
            <w:tcW w:w="240" w:type="pct"/>
            <w:vMerge w:val="restart"/>
            <w:noWrap w:val="0"/>
            <w:vAlign w:val="center"/>
          </w:tcPr>
          <w:p w14:paraId="58959B0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05DDA5D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noWrap w:val="0"/>
            <w:vAlign w:val="center"/>
          </w:tcPr>
          <w:p w14:paraId="776F7B4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501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409" w:type="pct"/>
            <w:vMerge w:val="continue"/>
            <w:noWrap w:val="0"/>
            <w:vAlign w:val="center"/>
          </w:tcPr>
          <w:p w14:paraId="6156058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9A758C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964A63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4F5D4C1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51BD56D8">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2BDDD91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65B2351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4232E5F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P=-0.5</w:t>
            </w:r>
          </w:p>
        </w:tc>
        <w:tc>
          <w:tcPr>
            <w:tcW w:w="430" w:type="pct"/>
            <w:noWrap w:val="0"/>
            <w:vAlign w:val="center"/>
          </w:tcPr>
          <w:p w14:paraId="77B08CA9">
            <w:pPr>
              <w:keepNext w:val="0"/>
              <w:keepLines w:val="0"/>
              <w:widowControl/>
              <w:suppressLineNumbers w:val="0"/>
              <w:spacing w:before="0" w:beforeAutospacing="0" w:after="0" w:afterAutospacing="0"/>
              <w:ind w:left="0" w:right="0"/>
              <w:rPr>
                <w:rFonts w:hint="eastAsia" w:ascii="仿宋" w:hAnsi="仿宋" w:eastAsia="仿宋" w:cs="仿宋"/>
                <w:color w:val="auto"/>
                <w:sz w:val="21"/>
                <w:szCs w:val="21"/>
              </w:rPr>
            </w:pPr>
          </w:p>
        </w:tc>
        <w:tc>
          <w:tcPr>
            <w:tcW w:w="240" w:type="pct"/>
            <w:vMerge w:val="continue"/>
            <w:noWrap w:val="0"/>
            <w:vAlign w:val="center"/>
          </w:tcPr>
          <w:p w14:paraId="5C9DF67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647E935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noWrap w:val="0"/>
            <w:vAlign w:val="center"/>
          </w:tcPr>
          <w:p w14:paraId="370B2FE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3669A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409" w:type="pct"/>
            <w:vMerge w:val="continue"/>
            <w:noWrap w:val="0"/>
            <w:vAlign w:val="center"/>
          </w:tcPr>
          <w:p w14:paraId="0B6CD3E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45AB856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662C4BA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364D3F5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43</w:t>
            </w:r>
          </w:p>
        </w:tc>
        <w:tc>
          <w:tcPr>
            <w:tcW w:w="989" w:type="pct"/>
            <w:vMerge w:val="restart"/>
            <w:noWrap w:val="0"/>
            <w:vAlign w:val="center"/>
          </w:tcPr>
          <w:p w14:paraId="49F5904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数据质量定期提醒服务，定期主动发出数据质量报告，</w:t>
            </w:r>
          </w:p>
        </w:tc>
        <w:tc>
          <w:tcPr>
            <w:tcW w:w="331" w:type="pct"/>
            <w:vMerge w:val="restart"/>
            <w:noWrap w:val="0"/>
            <w:vAlign w:val="center"/>
          </w:tcPr>
          <w:p w14:paraId="0398C9F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633" w:type="pct"/>
            <w:noWrap w:val="0"/>
            <w:vAlign w:val="center"/>
          </w:tcPr>
          <w:p w14:paraId="6B7951D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2D2681B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noWrap w:val="0"/>
            <w:vAlign w:val="center"/>
          </w:tcPr>
          <w:p w14:paraId="16A2B9FB">
            <w:pPr>
              <w:keepNext w:val="0"/>
              <w:keepLines w:val="0"/>
              <w:widowControl/>
              <w:suppressLineNumbers w:val="0"/>
              <w:spacing w:before="0" w:beforeAutospacing="0" w:after="0" w:afterAutospacing="0"/>
              <w:ind w:left="0" w:right="0"/>
              <w:rPr>
                <w:rFonts w:hint="eastAsia" w:ascii="仿宋" w:hAnsi="仿宋" w:eastAsia="仿宋" w:cs="仿宋"/>
                <w:color w:val="auto"/>
                <w:sz w:val="21"/>
                <w:szCs w:val="21"/>
              </w:rPr>
            </w:pPr>
          </w:p>
        </w:tc>
        <w:tc>
          <w:tcPr>
            <w:tcW w:w="240" w:type="pct"/>
            <w:vMerge w:val="restart"/>
            <w:noWrap w:val="0"/>
            <w:vAlign w:val="center"/>
          </w:tcPr>
          <w:p w14:paraId="113B51C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noWrap w:val="0"/>
            <w:vAlign w:val="center"/>
          </w:tcPr>
          <w:p w14:paraId="668AD29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noWrap w:val="0"/>
            <w:vAlign w:val="center"/>
          </w:tcPr>
          <w:p w14:paraId="1421700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8958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09" w:type="pct"/>
            <w:vMerge w:val="continue"/>
            <w:noWrap w:val="0"/>
            <w:vAlign w:val="center"/>
          </w:tcPr>
          <w:p w14:paraId="4F41EAF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6F4061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4F36B09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24DDD41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038D5806">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67428F0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54DBC4F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59D38B9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P=-0.5</w:t>
            </w:r>
          </w:p>
        </w:tc>
        <w:tc>
          <w:tcPr>
            <w:tcW w:w="430" w:type="pct"/>
            <w:noWrap w:val="0"/>
            <w:vAlign w:val="center"/>
          </w:tcPr>
          <w:p w14:paraId="46D10C94">
            <w:pPr>
              <w:keepNext w:val="0"/>
              <w:keepLines w:val="0"/>
              <w:widowControl/>
              <w:suppressLineNumbers w:val="0"/>
              <w:spacing w:before="0" w:beforeAutospacing="0" w:after="0" w:afterAutospacing="0"/>
              <w:ind w:left="0" w:right="0"/>
              <w:rPr>
                <w:rFonts w:hint="eastAsia" w:ascii="仿宋" w:hAnsi="仿宋" w:eastAsia="仿宋" w:cs="仿宋"/>
                <w:color w:val="auto"/>
                <w:sz w:val="21"/>
                <w:szCs w:val="21"/>
              </w:rPr>
            </w:pPr>
          </w:p>
        </w:tc>
        <w:tc>
          <w:tcPr>
            <w:tcW w:w="240" w:type="pct"/>
            <w:vMerge w:val="continue"/>
            <w:noWrap w:val="0"/>
            <w:vAlign w:val="center"/>
          </w:tcPr>
          <w:p w14:paraId="68E090A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noWrap w:val="0"/>
            <w:vAlign w:val="center"/>
          </w:tcPr>
          <w:p w14:paraId="748D43B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noWrap w:val="0"/>
            <w:vAlign w:val="center"/>
          </w:tcPr>
          <w:p w14:paraId="21DD62A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53D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207504E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425B731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68CA07E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版本控制</w:t>
            </w:r>
          </w:p>
        </w:tc>
        <w:tc>
          <w:tcPr>
            <w:tcW w:w="239" w:type="pct"/>
            <w:vMerge w:val="restart"/>
            <w:noWrap w:val="0"/>
            <w:vAlign w:val="center"/>
          </w:tcPr>
          <w:p w14:paraId="6580FF3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44</w:t>
            </w:r>
          </w:p>
        </w:tc>
        <w:tc>
          <w:tcPr>
            <w:tcW w:w="989" w:type="pct"/>
            <w:vMerge w:val="restart"/>
            <w:noWrap w:val="0"/>
            <w:vAlign w:val="center"/>
          </w:tcPr>
          <w:p w14:paraId="4B4E0344">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做好信息系统版本控制工作，升级大版本需要出具相应方案。做好相关备份工作，并满足应用恢复要求。</w:t>
            </w:r>
          </w:p>
        </w:tc>
        <w:tc>
          <w:tcPr>
            <w:tcW w:w="331" w:type="pct"/>
            <w:vMerge w:val="restart"/>
            <w:noWrap w:val="0"/>
            <w:vAlign w:val="center"/>
          </w:tcPr>
          <w:p w14:paraId="0808C93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633" w:type="pct"/>
            <w:noWrap w:val="0"/>
            <w:vAlign w:val="center"/>
          </w:tcPr>
          <w:p w14:paraId="767DA4D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6FB35A8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42A6D35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FDADDF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779BAE1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6748307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0B62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jc w:val="center"/>
        </w:trPr>
        <w:tc>
          <w:tcPr>
            <w:tcW w:w="409" w:type="pct"/>
            <w:vMerge w:val="continue"/>
            <w:noWrap w:val="0"/>
            <w:vAlign w:val="center"/>
          </w:tcPr>
          <w:p w14:paraId="65B44FE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5A124D7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4FF040D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0A53AF5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737049A3">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710C901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3CC0230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680B69A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4A86B51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3CE432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3779915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3C397F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0D942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2AE25A2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restart"/>
            <w:noWrap w:val="0"/>
            <w:vAlign w:val="center"/>
          </w:tcPr>
          <w:p w14:paraId="2B66DF4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4.应用系统安全</w:t>
            </w:r>
          </w:p>
        </w:tc>
        <w:tc>
          <w:tcPr>
            <w:tcW w:w="323" w:type="pct"/>
            <w:vMerge w:val="restart"/>
            <w:noWrap w:val="0"/>
            <w:vAlign w:val="center"/>
          </w:tcPr>
          <w:p w14:paraId="6280A03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等保测评整改</w:t>
            </w:r>
          </w:p>
        </w:tc>
        <w:tc>
          <w:tcPr>
            <w:tcW w:w="239" w:type="pct"/>
            <w:vMerge w:val="restart"/>
            <w:noWrap w:val="0"/>
            <w:vAlign w:val="center"/>
          </w:tcPr>
          <w:p w14:paraId="1C0FF87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45</w:t>
            </w:r>
          </w:p>
        </w:tc>
        <w:tc>
          <w:tcPr>
            <w:tcW w:w="989" w:type="pct"/>
            <w:vMerge w:val="restart"/>
            <w:noWrap w:val="0"/>
            <w:vAlign w:val="center"/>
          </w:tcPr>
          <w:p w14:paraId="5438024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配合做好等保测评整改工作，最长整改时间不能超过一个月。</w:t>
            </w:r>
          </w:p>
        </w:tc>
        <w:tc>
          <w:tcPr>
            <w:tcW w:w="331" w:type="pct"/>
            <w:vMerge w:val="restart"/>
            <w:noWrap w:val="0"/>
            <w:vAlign w:val="center"/>
          </w:tcPr>
          <w:p w14:paraId="4504128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37E12AB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089F1A6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0B2D667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532150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394BC89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750E93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6AF0E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409" w:type="pct"/>
            <w:vMerge w:val="continue"/>
            <w:noWrap w:val="0"/>
            <w:vAlign w:val="center"/>
          </w:tcPr>
          <w:p w14:paraId="288077B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9A97EF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7CFFCED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528D04D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6B712ADF">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2DC248E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4464379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7C12320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4B7C335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785ACC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31B52BC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F0A626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025B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3CBCAE4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52F20F9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1FE6D62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密码测评整改</w:t>
            </w:r>
          </w:p>
        </w:tc>
        <w:tc>
          <w:tcPr>
            <w:tcW w:w="239" w:type="pct"/>
            <w:vMerge w:val="restart"/>
            <w:noWrap w:val="0"/>
            <w:vAlign w:val="center"/>
          </w:tcPr>
          <w:p w14:paraId="6DDEF8F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46</w:t>
            </w:r>
          </w:p>
        </w:tc>
        <w:tc>
          <w:tcPr>
            <w:tcW w:w="989" w:type="pct"/>
            <w:vMerge w:val="restart"/>
            <w:noWrap w:val="0"/>
            <w:vAlign w:val="center"/>
          </w:tcPr>
          <w:p w14:paraId="7343E46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配合做好密码测评整改工作，规定时间内完成。</w:t>
            </w:r>
          </w:p>
        </w:tc>
        <w:tc>
          <w:tcPr>
            <w:tcW w:w="331" w:type="pct"/>
            <w:vMerge w:val="restart"/>
            <w:noWrap w:val="0"/>
            <w:vAlign w:val="center"/>
          </w:tcPr>
          <w:p w14:paraId="502FF2B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6C75046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7EC7BA2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31B9F06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DC6C32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241E13B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C76E36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9DB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9" w:type="pct"/>
            <w:vMerge w:val="continue"/>
            <w:noWrap w:val="0"/>
            <w:vAlign w:val="center"/>
          </w:tcPr>
          <w:p w14:paraId="52C10E5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04E730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68A3973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04B00A5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409D5E3D">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5498B93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128B5BB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19B4821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19BA216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0C80D0D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530515D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AC6C60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09D3A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7C76B19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C94829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546D115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漏洞整改</w:t>
            </w:r>
          </w:p>
        </w:tc>
        <w:tc>
          <w:tcPr>
            <w:tcW w:w="239" w:type="pct"/>
            <w:vMerge w:val="restart"/>
            <w:noWrap w:val="0"/>
            <w:vAlign w:val="center"/>
          </w:tcPr>
          <w:p w14:paraId="423ECC6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47</w:t>
            </w:r>
          </w:p>
        </w:tc>
        <w:tc>
          <w:tcPr>
            <w:tcW w:w="989" w:type="pct"/>
            <w:vMerge w:val="restart"/>
            <w:noWrap w:val="0"/>
            <w:vAlign w:val="center"/>
          </w:tcPr>
          <w:p w14:paraId="2DBB64B7">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配合做好应用系统安全漏洞整改工作，需要在规定时间内完成漏洞整改工作，最长时间不得超过一个月。</w:t>
            </w:r>
          </w:p>
        </w:tc>
        <w:tc>
          <w:tcPr>
            <w:tcW w:w="331" w:type="pct"/>
            <w:vMerge w:val="restart"/>
            <w:noWrap w:val="0"/>
            <w:vAlign w:val="center"/>
          </w:tcPr>
          <w:p w14:paraId="26FA81D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633" w:type="pct"/>
            <w:noWrap w:val="0"/>
            <w:vAlign w:val="center"/>
          </w:tcPr>
          <w:p w14:paraId="7D68548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66567C2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79795D6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C423B9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6E70404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1A997F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6F0A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409" w:type="pct"/>
            <w:vMerge w:val="continue"/>
            <w:noWrap w:val="0"/>
            <w:vAlign w:val="center"/>
          </w:tcPr>
          <w:p w14:paraId="14FB331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589A8E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76FBA52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358FC28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57A65C1F">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782ACAD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355713E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25082A6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P=-2</w:t>
            </w:r>
          </w:p>
        </w:tc>
        <w:tc>
          <w:tcPr>
            <w:tcW w:w="430" w:type="pct"/>
            <w:vMerge w:val="continue"/>
            <w:noWrap w:val="0"/>
            <w:vAlign w:val="center"/>
          </w:tcPr>
          <w:p w14:paraId="0675AC3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88AB0F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00444C2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0FDBCDF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FC92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1187D67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restart"/>
            <w:noWrap w:val="0"/>
            <w:vAlign w:val="center"/>
          </w:tcPr>
          <w:p w14:paraId="2525D78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5.数据安全</w:t>
            </w:r>
          </w:p>
        </w:tc>
        <w:tc>
          <w:tcPr>
            <w:tcW w:w="323" w:type="pct"/>
            <w:vMerge w:val="restart"/>
            <w:noWrap w:val="0"/>
            <w:vAlign w:val="center"/>
          </w:tcPr>
          <w:p w14:paraId="3B1C71D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数据库口令</w:t>
            </w:r>
          </w:p>
        </w:tc>
        <w:tc>
          <w:tcPr>
            <w:tcW w:w="239" w:type="pct"/>
            <w:vMerge w:val="restart"/>
            <w:noWrap w:val="0"/>
            <w:vAlign w:val="center"/>
          </w:tcPr>
          <w:p w14:paraId="4ECC28D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48</w:t>
            </w:r>
          </w:p>
        </w:tc>
        <w:tc>
          <w:tcPr>
            <w:tcW w:w="989" w:type="pct"/>
            <w:vMerge w:val="restart"/>
            <w:noWrap w:val="0"/>
            <w:vAlign w:val="center"/>
          </w:tcPr>
          <w:p w14:paraId="3A38B81E">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配置数据库口令强度高和更新频率每三个月一次。</w:t>
            </w:r>
          </w:p>
        </w:tc>
        <w:tc>
          <w:tcPr>
            <w:tcW w:w="331" w:type="pct"/>
            <w:vMerge w:val="restart"/>
            <w:noWrap w:val="0"/>
            <w:vAlign w:val="center"/>
          </w:tcPr>
          <w:p w14:paraId="291F9F6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322CE14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7456593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6C48BE1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D23D57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362931E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4E9317F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7941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409" w:type="pct"/>
            <w:vMerge w:val="continue"/>
            <w:noWrap w:val="0"/>
            <w:vAlign w:val="center"/>
          </w:tcPr>
          <w:p w14:paraId="3A05F22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3185FD5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373CE22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0072C49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1BE761FC">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3C2D099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2B36C21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49B4728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5954C20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5513E4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27FB06E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A8B631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5BEF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332947A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27E15B7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1B7AD94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数据传输保护</w:t>
            </w:r>
          </w:p>
        </w:tc>
        <w:tc>
          <w:tcPr>
            <w:tcW w:w="239" w:type="pct"/>
            <w:vMerge w:val="restart"/>
            <w:noWrap w:val="0"/>
            <w:vAlign w:val="center"/>
          </w:tcPr>
          <w:p w14:paraId="7B92202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49</w:t>
            </w:r>
          </w:p>
        </w:tc>
        <w:tc>
          <w:tcPr>
            <w:tcW w:w="989" w:type="pct"/>
            <w:vMerge w:val="restart"/>
            <w:noWrap w:val="0"/>
            <w:vAlign w:val="center"/>
          </w:tcPr>
          <w:p w14:paraId="2C013A33">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采取技术措施对传输的重要数据进行加密和校验。</w:t>
            </w:r>
          </w:p>
        </w:tc>
        <w:tc>
          <w:tcPr>
            <w:tcW w:w="331" w:type="pct"/>
            <w:vMerge w:val="restart"/>
            <w:noWrap w:val="0"/>
            <w:vAlign w:val="center"/>
          </w:tcPr>
          <w:p w14:paraId="1191C30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547DB44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0A71D4C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73BF7C9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038E440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3AD3EDD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0945DC6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0024C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409" w:type="pct"/>
            <w:vMerge w:val="continue"/>
            <w:noWrap w:val="0"/>
            <w:vAlign w:val="center"/>
          </w:tcPr>
          <w:p w14:paraId="3F8055F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4985B3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C3169D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04FD3FD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4D0FDE46">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7350B6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48E1280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6A7EC01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1DB4E36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FB33F0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6D3E348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7B9F53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F82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09" w:type="pct"/>
            <w:vMerge w:val="continue"/>
            <w:noWrap w:val="0"/>
            <w:vAlign w:val="center"/>
          </w:tcPr>
          <w:p w14:paraId="6279D61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9618D9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312AAEB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备份策略</w:t>
            </w:r>
          </w:p>
        </w:tc>
        <w:tc>
          <w:tcPr>
            <w:tcW w:w="239" w:type="pct"/>
            <w:vMerge w:val="restart"/>
            <w:noWrap w:val="0"/>
            <w:vAlign w:val="center"/>
          </w:tcPr>
          <w:p w14:paraId="42DD561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50</w:t>
            </w:r>
          </w:p>
        </w:tc>
        <w:tc>
          <w:tcPr>
            <w:tcW w:w="989" w:type="pct"/>
            <w:vMerge w:val="restart"/>
            <w:noWrap w:val="0"/>
            <w:vAlign w:val="center"/>
          </w:tcPr>
          <w:p w14:paraId="1B9B06A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制订本应用系统的数据备份策略，并且有执行性。</w:t>
            </w:r>
          </w:p>
        </w:tc>
        <w:tc>
          <w:tcPr>
            <w:tcW w:w="331" w:type="pct"/>
            <w:vMerge w:val="restart"/>
            <w:noWrap w:val="0"/>
            <w:vAlign w:val="center"/>
          </w:tcPr>
          <w:p w14:paraId="66F731B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331409A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制订备份策略</w:t>
            </w:r>
          </w:p>
        </w:tc>
        <w:tc>
          <w:tcPr>
            <w:tcW w:w="492" w:type="pct"/>
            <w:noWrap w:val="0"/>
            <w:vAlign w:val="center"/>
          </w:tcPr>
          <w:p w14:paraId="1424EBB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337B066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E64A19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496F5AF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06A4B0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0C59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9" w:type="pct"/>
            <w:vMerge w:val="continue"/>
            <w:noWrap w:val="0"/>
            <w:vAlign w:val="center"/>
          </w:tcPr>
          <w:p w14:paraId="32954CC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BF8C1B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2E4E7A4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398B8DC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00CB14E4">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15ACEDD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188ADA0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没有制订备份策略</w:t>
            </w:r>
          </w:p>
        </w:tc>
        <w:tc>
          <w:tcPr>
            <w:tcW w:w="492" w:type="pct"/>
            <w:noWrap w:val="0"/>
            <w:vAlign w:val="center"/>
          </w:tcPr>
          <w:p w14:paraId="35EB7D6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5317AFD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0E589B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0D89671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B7D93A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156D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1C58DA7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FCB981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5C03631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45C3F89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51</w:t>
            </w:r>
          </w:p>
        </w:tc>
        <w:tc>
          <w:tcPr>
            <w:tcW w:w="989" w:type="pct"/>
            <w:vMerge w:val="restart"/>
            <w:noWrap w:val="0"/>
            <w:vAlign w:val="center"/>
          </w:tcPr>
          <w:p w14:paraId="53331843">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对应用系统数据进行本地备份并按照备份策略执行，更新频率一天一次。</w:t>
            </w:r>
          </w:p>
        </w:tc>
        <w:tc>
          <w:tcPr>
            <w:tcW w:w="331" w:type="pct"/>
            <w:vMerge w:val="restart"/>
            <w:noWrap w:val="0"/>
            <w:vAlign w:val="center"/>
          </w:tcPr>
          <w:p w14:paraId="4E395E3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633" w:type="pct"/>
            <w:noWrap w:val="0"/>
            <w:vAlign w:val="center"/>
          </w:tcPr>
          <w:p w14:paraId="446C4DC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54C133A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247F376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187858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17F3373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6436F4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3025F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409" w:type="pct"/>
            <w:vMerge w:val="continue"/>
            <w:noWrap w:val="0"/>
            <w:vAlign w:val="center"/>
          </w:tcPr>
          <w:p w14:paraId="58352BF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3AA5210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4A68FFD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483EB94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4E97A62B">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2288967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4362803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一次不满足</w:t>
            </w:r>
          </w:p>
        </w:tc>
        <w:tc>
          <w:tcPr>
            <w:tcW w:w="492" w:type="pct"/>
            <w:noWrap w:val="0"/>
            <w:vAlign w:val="center"/>
          </w:tcPr>
          <w:p w14:paraId="0DAFAA6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P=-0.1</w:t>
            </w:r>
          </w:p>
        </w:tc>
        <w:tc>
          <w:tcPr>
            <w:tcW w:w="430" w:type="pct"/>
            <w:vMerge w:val="continue"/>
            <w:noWrap w:val="0"/>
            <w:vAlign w:val="center"/>
          </w:tcPr>
          <w:p w14:paraId="1D006A9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4CBBF9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567F6A1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67B1F8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2051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2A8B7857">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7614673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591DB7C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异地容灾备份</w:t>
            </w:r>
          </w:p>
        </w:tc>
        <w:tc>
          <w:tcPr>
            <w:tcW w:w="239" w:type="pct"/>
            <w:vMerge w:val="restart"/>
            <w:noWrap w:val="0"/>
            <w:vAlign w:val="center"/>
          </w:tcPr>
          <w:p w14:paraId="2D441AC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52</w:t>
            </w:r>
          </w:p>
        </w:tc>
        <w:tc>
          <w:tcPr>
            <w:tcW w:w="989" w:type="pct"/>
            <w:vMerge w:val="restart"/>
            <w:noWrap w:val="0"/>
            <w:vAlign w:val="center"/>
          </w:tcPr>
          <w:p w14:paraId="08311886">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配合做好异地容灾备份工作。</w:t>
            </w:r>
          </w:p>
        </w:tc>
        <w:tc>
          <w:tcPr>
            <w:tcW w:w="331" w:type="pct"/>
            <w:vMerge w:val="restart"/>
            <w:noWrap w:val="0"/>
            <w:vAlign w:val="center"/>
          </w:tcPr>
          <w:p w14:paraId="2B4961C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0C266B8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5AA634C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12E2CEE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485CCC8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094BBCE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4091F9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2E8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09" w:type="pct"/>
            <w:vMerge w:val="continue"/>
            <w:noWrap w:val="0"/>
            <w:vAlign w:val="center"/>
          </w:tcPr>
          <w:p w14:paraId="7A1CC34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5BBF2D6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6CED594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749A925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5A9DFB27">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5B803E9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5CF1D18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39E2B6F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56DBADE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5006196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1245C73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C33073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A74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70C1DD3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2D38E1D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031FF6F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数据恢复演练</w:t>
            </w:r>
          </w:p>
        </w:tc>
        <w:tc>
          <w:tcPr>
            <w:tcW w:w="239" w:type="pct"/>
            <w:vMerge w:val="restart"/>
            <w:noWrap w:val="0"/>
            <w:vAlign w:val="center"/>
          </w:tcPr>
          <w:p w14:paraId="0D6FD2A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53</w:t>
            </w:r>
          </w:p>
        </w:tc>
        <w:tc>
          <w:tcPr>
            <w:tcW w:w="989" w:type="pct"/>
            <w:vMerge w:val="restart"/>
            <w:noWrap w:val="0"/>
            <w:vAlign w:val="center"/>
          </w:tcPr>
          <w:p w14:paraId="676D9AAB">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对备份数据做数据恢复演练，并保证数据恢复无误。</w:t>
            </w:r>
          </w:p>
        </w:tc>
        <w:tc>
          <w:tcPr>
            <w:tcW w:w="331" w:type="pct"/>
            <w:vMerge w:val="restart"/>
            <w:noWrap w:val="0"/>
            <w:vAlign w:val="center"/>
          </w:tcPr>
          <w:p w14:paraId="5ADBE14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5790B52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7805548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1F182EE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02A055E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770F9D0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4410F99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DEB9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09" w:type="pct"/>
            <w:vMerge w:val="continue"/>
            <w:noWrap w:val="0"/>
            <w:vAlign w:val="center"/>
          </w:tcPr>
          <w:p w14:paraId="1DADCAE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3195C4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C0D808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04637B9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7AA3A77A">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E74891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072FED5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6498B27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1FD88D3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0D2E649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6D729B1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7A13A6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ADA0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2C38805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restart"/>
            <w:noWrap w:val="0"/>
            <w:vAlign w:val="center"/>
          </w:tcPr>
          <w:p w14:paraId="3EE0A28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6.应急管理</w:t>
            </w:r>
          </w:p>
        </w:tc>
        <w:tc>
          <w:tcPr>
            <w:tcW w:w="323" w:type="pct"/>
            <w:vMerge w:val="restart"/>
            <w:noWrap w:val="0"/>
            <w:vAlign w:val="center"/>
          </w:tcPr>
          <w:p w14:paraId="56C5DDE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应急预案</w:t>
            </w:r>
          </w:p>
        </w:tc>
        <w:tc>
          <w:tcPr>
            <w:tcW w:w="239" w:type="pct"/>
            <w:vMerge w:val="restart"/>
            <w:noWrap w:val="0"/>
            <w:vAlign w:val="center"/>
          </w:tcPr>
          <w:p w14:paraId="1D6998B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54</w:t>
            </w:r>
          </w:p>
        </w:tc>
        <w:tc>
          <w:tcPr>
            <w:tcW w:w="989" w:type="pct"/>
            <w:vMerge w:val="restart"/>
            <w:noWrap w:val="0"/>
            <w:vAlign w:val="center"/>
          </w:tcPr>
          <w:p w14:paraId="53EB8EFA">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制定网络安全事件应急预案，并使相关人员熟悉应急预案，责任到人。</w:t>
            </w:r>
          </w:p>
        </w:tc>
        <w:tc>
          <w:tcPr>
            <w:tcW w:w="331" w:type="pct"/>
            <w:vMerge w:val="restart"/>
            <w:noWrap w:val="0"/>
            <w:vAlign w:val="center"/>
          </w:tcPr>
          <w:p w14:paraId="55246B7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2185BEB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48304EF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1D7B731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B0991D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5FECF93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0D4FE32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51DD9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409" w:type="pct"/>
            <w:vMerge w:val="continue"/>
            <w:noWrap w:val="0"/>
            <w:vAlign w:val="center"/>
          </w:tcPr>
          <w:p w14:paraId="396CC09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264444B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69B0F68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7300430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766D1DBA">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5FAFD6C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3ED0C42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1ADACBD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continue"/>
            <w:noWrap w:val="0"/>
            <w:vAlign w:val="center"/>
          </w:tcPr>
          <w:p w14:paraId="18CE8E8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98F250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7DD1AF1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09662C7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1B81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409" w:type="pct"/>
            <w:vMerge w:val="continue"/>
            <w:noWrap w:val="0"/>
            <w:vAlign w:val="center"/>
          </w:tcPr>
          <w:p w14:paraId="7815864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7D00ADD6">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6385375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应急演练</w:t>
            </w:r>
          </w:p>
        </w:tc>
        <w:tc>
          <w:tcPr>
            <w:tcW w:w="239" w:type="pct"/>
            <w:vMerge w:val="restart"/>
            <w:noWrap w:val="0"/>
            <w:vAlign w:val="center"/>
          </w:tcPr>
          <w:p w14:paraId="754A1D7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55</w:t>
            </w:r>
          </w:p>
        </w:tc>
        <w:tc>
          <w:tcPr>
            <w:tcW w:w="989" w:type="pct"/>
            <w:vMerge w:val="restart"/>
            <w:noWrap w:val="0"/>
            <w:vAlign w:val="center"/>
          </w:tcPr>
          <w:p w14:paraId="38FDDEF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开展应急演练，并留存演练计划、方案、记录、总结等文档。一年两次。</w:t>
            </w:r>
          </w:p>
        </w:tc>
        <w:tc>
          <w:tcPr>
            <w:tcW w:w="331" w:type="pct"/>
            <w:vMerge w:val="restart"/>
            <w:noWrap w:val="0"/>
            <w:vAlign w:val="center"/>
          </w:tcPr>
          <w:p w14:paraId="079F359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2</w:t>
            </w:r>
          </w:p>
        </w:tc>
        <w:tc>
          <w:tcPr>
            <w:tcW w:w="633" w:type="pct"/>
            <w:noWrap w:val="0"/>
            <w:vAlign w:val="center"/>
          </w:tcPr>
          <w:p w14:paraId="0C73D4A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w:t>
            </w:r>
          </w:p>
        </w:tc>
        <w:tc>
          <w:tcPr>
            <w:tcW w:w="492" w:type="pct"/>
            <w:noWrap w:val="0"/>
            <w:vAlign w:val="center"/>
          </w:tcPr>
          <w:p w14:paraId="5F7C00F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5A4B177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67C919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7705A27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5161F7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B710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409" w:type="pct"/>
            <w:vMerge w:val="continue"/>
            <w:noWrap w:val="0"/>
            <w:vAlign w:val="center"/>
          </w:tcPr>
          <w:p w14:paraId="3B28E3E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8E2966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BF5944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5EF5340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1B7D8A93">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0B56F71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0C75BFB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7C213E4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P=-2</w:t>
            </w:r>
          </w:p>
        </w:tc>
        <w:tc>
          <w:tcPr>
            <w:tcW w:w="430" w:type="pct"/>
            <w:vMerge w:val="continue"/>
            <w:noWrap w:val="0"/>
            <w:vAlign w:val="center"/>
          </w:tcPr>
          <w:p w14:paraId="164FE73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5F118F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3E790D2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48B657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7563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09" w:type="pct"/>
            <w:vMerge w:val="continue"/>
            <w:noWrap w:val="0"/>
            <w:vAlign w:val="center"/>
          </w:tcPr>
          <w:p w14:paraId="62A0E4D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5E5827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69F2D3D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发生网络安全事件及响应</w:t>
            </w:r>
          </w:p>
        </w:tc>
        <w:tc>
          <w:tcPr>
            <w:tcW w:w="239" w:type="pct"/>
            <w:vMerge w:val="restart"/>
            <w:noWrap w:val="0"/>
            <w:vAlign w:val="center"/>
          </w:tcPr>
          <w:p w14:paraId="42DF799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56</w:t>
            </w:r>
          </w:p>
        </w:tc>
        <w:tc>
          <w:tcPr>
            <w:tcW w:w="989" w:type="pct"/>
            <w:vMerge w:val="restart"/>
            <w:noWrap w:val="0"/>
            <w:vAlign w:val="center"/>
          </w:tcPr>
          <w:p w14:paraId="4E3AB58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因应用系统问题及运维过失问题发生网络安全事件。网络安全事件：核心信息系统应用时段停止工作2小时以内、一般信息系统应用时段停止工作4小时以内、本级专网（互联网）工作时间停网2小时以内、重要网络安全设备停止工作2小时以内、丢失500条以内个人信息及重要数据、丢失1000条以内其它关键数据丢失等网络安全事件。（如额外造成损失的按照损失价值进行赔偿）</w:t>
            </w:r>
          </w:p>
        </w:tc>
        <w:tc>
          <w:tcPr>
            <w:tcW w:w="331" w:type="pct"/>
            <w:vMerge w:val="restart"/>
            <w:noWrap w:val="0"/>
            <w:vAlign w:val="center"/>
          </w:tcPr>
          <w:p w14:paraId="2E5ED89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w:t>
            </w:r>
          </w:p>
        </w:tc>
        <w:tc>
          <w:tcPr>
            <w:tcW w:w="633" w:type="pct"/>
            <w:noWrap w:val="0"/>
            <w:vAlign w:val="center"/>
          </w:tcPr>
          <w:p w14:paraId="67331B8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没发生安全事件</w:t>
            </w:r>
          </w:p>
        </w:tc>
        <w:tc>
          <w:tcPr>
            <w:tcW w:w="492" w:type="pct"/>
            <w:noWrap w:val="0"/>
            <w:vAlign w:val="center"/>
          </w:tcPr>
          <w:p w14:paraId="1096434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708AB06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0A105D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3F02596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7670455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65D52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5" w:hRule="atLeast"/>
          <w:jc w:val="center"/>
        </w:trPr>
        <w:tc>
          <w:tcPr>
            <w:tcW w:w="409" w:type="pct"/>
            <w:vMerge w:val="continue"/>
            <w:noWrap w:val="0"/>
            <w:vAlign w:val="center"/>
          </w:tcPr>
          <w:p w14:paraId="3696196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267AE4D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925060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6BB7E94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12B759AF">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54C410A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1261F3F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发生网络安全事件</w:t>
            </w:r>
          </w:p>
        </w:tc>
        <w:tc>
          <w:tcPr>
            <w:tcW w:w="492" w:type="pct"/>
            <w:noWrap w:val="0"/>
            <w:vAlign w:val="center"/>
          </w:tcPr>
          <w:p w14:paraId="3C08F22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P=-3</w:t>
            </w:r>
          </w:p>
        </w:tc>
        <w:tc>
          <w:tcPr>
            <w:tcW w:w="430" w:type="pct"/>
            <w:vMerge w:val="continue"/>
            <w:noWrap w:val="0"/>
            <w:vAlign w:val="center"/>
          </w:tcPr>
          <w:p w14:paraId="1202F62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9EEF42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3F6A50E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5E581EA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738A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09" w:type="pct"/>
            <w:vMerge w:val="continue"/>
            <w:noWrap w:val="0"/>
            <w:vAlign w:val="center"/>
          </w:tcPr>
          <w:p w14:paraId="115CA5A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4C526412">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11A872C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6643BAA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57</w:t>
            </w:r>
          </w:p>
        </w:tc>
        <w:tc>
          <w:tcPr>
            <w:tcW w:w="989" w:type="pct"/>
            <w:vMerge w:val="restart"/>
            <w:noWrap w:val="0"/>
            <w:vAlign w:val="center"/>
          </w:tcPr>
          <w:p w14:paraId="5FAC96AF">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出现网络安全事件时，1小时内提供应急响应相关服务，规定时间内解决故障，及时、安全、稳妥排除故障及隐患。最长时间不超过24小时。</w:t>
            </w:r>
          </w:p>
        </w:tc>
        <w:tc>
          <w:tcPr>
            <w:tcW w:w="331" w:type="pct"/>
            <w:vMerge w:val="restart"/>
            <w:noWrap w:val="0"/>
            <w:vAlign w:val="center"/>
          </w:tcPr>
          <w:p w14:paraId="665C8D8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4</w:t>
            </w:r>
          </w:p>
        </w:tc>
        <w:tc>
          <w:tcPr>
            <w:tcW w:w="633" w:type="pct"/>
            <w:noWrap w:val="0"/>
            <w:vAlign w:val="center"/>
          </w:tcPr>
          <w:p w14:paraId="22F5571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满足及时处理条件</w:t>
            </w:r>
          </w:p>
        </w:tc>
        <w:tc>
          <w:tcPr>
            <w:tcW w:w="492" w:type="pct"/>
            <w:noWrap w:val="0"/>
            <w:vAlign w:val="center"/>
          </w:tcPr>
          <w:p w14:paraId="5765A14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455C92EC">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766CCA3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一次考核</w:t>
            </w:r>
          </w:p>
        </w:tc>
        <w:tc>
          <w:tcPr>
            <w:tcW w:w="430" w:type="pct"/>
            <w:vMerge w:val="restart"/>
            <w:noWrap w:val="0"/>
            <w:vAlign w:val="center"/>
          </w:tcPr>
          <w:p w14:paraId="249F43C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DE3AAF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8D6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409" w:type="pct"/>
            <w:vMerge w:val="continue"/>
            <w:noWrap w:val="0"/>
            <w:vAlign w:val="center"/>
          </w:tcPr>
          <w:p w14:paraId="1C4D087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7412424B">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02D227D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12E76A0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0228172F">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766EC88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03D9718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不满足及时处理条件</w:t>
            </w:r>
          </w:p>
        </w:tc>
        <w:tc>
          <w:tcPr>
            <w:tcW w:w="492" w:type="pct"/>
            <w:noWrap w:val="0"/>
            <w:vAlign w:val="center"/>
          </w:tcPr>
          <w:p w14:paraId="7CED27F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P=-2</w:t>
            </w:r>
          </w:p>
        </w:tc>
        <w:tc>
          <w:tcPr>
            <w:tcW w:w="430" w:type="pct"/>
            <w:vMerge w:val="continue"/>
            <w:noWrap w:val="0"/>
            <w:vAlign w:val="center"/>
          </w:tcPr>
          <w:p w14:paraId="7174902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67F070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3404349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CE51CE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B2F5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09" w:type="pct"/>
            <w:vMerge w:val="continue"/>
            <w:noWrap w:val="0"/>
            <w:vAlign w:val="center"/>
          </w:tcPr>
          <w:p w14:paraId="2E9AA0B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2776E2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566789A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发生影响广泛的网络安全事故及响应</w:t>
            </w:r>
          </w:p>
        </w:tc>
        <w:tc>
          <w:tcPr>
            <w:tcW w:w="239" w:type="pct"/>
            <w:vMerge w:val="restart"/>
            <w:noWrap w:val="0"/>
            <w:vAlign w:val="center"/>
          </w:tcPr>
          <w:p w14:paraId="55F58DA3">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58</w:t>
            </w:r>
          </w:p>
        </w:tc>
        <w:tc>
          <w:tcPr>
            <w:tcW w:w="989" w:type="pct"/>
            <w:vMerge w:val="restart"/>
            <w:noWrap w:val="0"/>
            <w:vAlign w:val="center"/>
          </w:tcPr>
          <w:p w14:paraId="2A8AAFA1">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因应用系统问题及运维过失问题发生重大网络安全事件。重大网络安全事件：核心信息系统应用时段停止工作2小时及以上、一般信息系统应用时段停止工作4小时及以上、本级专网（互联网）工作时间停网2小时及以上、重要网络安全设备停止工作2小时及以上、门户网站或对外应用系统发生恶意挂马事件、丢失500条及以上个人信息及重要数据、丢失1000条及以上其它关键数据丢失、被省级及以上网络安全主管部门通报等网络安全事故。（如额外造成损失的按照损失价值进行赔偿）</w:t>
            </w:r>
          </w:p>
        </w:tc>
        <w:tc>
          <w:tcPr>
            <w:tcW w:w="331" w:type="pct"/>
            <w:vMerge w:val="restart"/>
            <w:noWrap w:val="0"/>
            <w:vAlign w:val="center"/>
          </w:tcPr>
          <w:p w14:paraId="1CCF7CED">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w:t>
            </w:r>
          </w:p>
        </w:tc>
        <w:tc>
          <w:tcPr>
            <w:tcW w:w="633" w:type="pct"/>
            <w:noWrap w:val="0"/>
            <w:vAlign w:val="center"/>
          </w:tcPr>
          <w:p w14:paraId="48F8315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没发生安全事件</w:t>
            </w:r>
          </w:p>
        </w:tc>
        <w:tc>
          <w:tcPr>
            <w:tcW w:w="492" w:type="pct"/>
            <w:noWrap w:val="0"/>
            <w:vAlign w:val="center"/>
          </w:tcPr>
          <w:p w14:paraId="3FBD506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1BB5DE4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F78E1B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0BCE8B5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63A7FC6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3A0BD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09" w:type="pct"/>
            <w:vMerge w:val="continue"/>
            <w:noWrap w:val="0"/>
            <w:vAlign w:val="center"/>
          </w:tcPr>
          <w:p w14:paraId="7AE3D8B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4F6DDB50">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37B6163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75B249B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0378F61E">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4D9942F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440E79C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发生网络安全事件</w:t>
            </w:r>
          </w:p>
        </w:tc>
        <w:tc>
          <w:tcPr>
            <w:tcW w:w="492" w:type="pct"/>
            <w:noWrap w:val="0"/>
            <w:vAlign w:val="center"/>
          </w:tcPr>
          <w:p w14:paraId="28443EF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P=-5</w:t>
            </w:r>
          </w:p>
        </w:tc>
        <w:tc>
          <w:tcPr>
            <w:tcW w:w="430" w:type="pct"/>
            <w:vMerge w:val="continue"/>
            <w:noWrap w:val="0"/>
            <w:vAlign w:val="center"/>
          </w:tcPr>
          <w:p w14:paraId="742629E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C801EE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23781CA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1E1DA89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1C4F0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09" w:type="pct"/>
            <w:vMerge w:val="continue"/>
            <w:noWrap w:val="0"/>
            <w:vAlign w:val="center"/>
          </w:tcPr>
          <w:p w14:paraId="7AB8ED5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3EC042F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2074C9D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restart"/>
            <w:noWrap w:val="0"/>
            <w:vAlign w:val="center"/>
          </w:tcPr>
          <w:p w14:paraId="44CFB45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59</w:t>
            </w:r>
          </w:p>
        </w:tc>
        <w:tc>
          <w:tcPr>
            <w:tcW w:w="989" w:type="pct"/>
            <w:vMerge w:val="restart"/>
            <w:noWrap w:val="0"/>
            <w:vAlign w:val="center"/>
          </w:tcPr>
          <w:p w14:paraId="6D2AAA0D">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发生影响广泛的网络安全事故时，30分钟内提供应急响应相关服务，规定时间内解决故障，及时、安全、稳妥排除故障及隐患。最长时间不超过24小时。</w:t>
            </w:r>
          </w:p>
        </w:tc>
        <w:tc>
          <w:tcPr>
            <w:tcW w:w="331" w:type="pct"/>
            <w:vMerge w:val="restart"/>
            <w:noWrap w:val="0"/>
            <w:vAlign w:val="center"/>
          </w:tcPr>
          <w:p w14:paraId="328667B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w:t>
            </w:r>
          </w:p>
        </w:tc>
        <w:tc>
          <w:tcPr>
            <w:tcW w:w="633" w:type="pct"/>
            <w:noWrap w:val="0"/>
            <w:vAlign w:val="center"/>
          </w:tcPr>
          <w:p w14:paraId="6B4E70F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满足及时处理条件</w:t>
            </w:r>
          </w:p>
        </w:tc>
        <w:tc>
          <w:tcPr>
            <w:tcW w:w="492" w:type="pct"/>
            <w:noWrap w:val="0"/>
            <w:vAlign w:val="center"/>
          </w:tcPr>
          <w:p w14:paraId="41ED1DF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restart"/>
            <w:noWrap w:val="0"/>
            <w:vAlign w:val="center"/>
          </w:tcPr>
          <w:p w14:paraId="379A000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8E1A22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多次考核</w:t>
            </w:r>
          </w:p>
        </w:tc>
        <w:tc>
          <w:tcPr>
            <w:tcW w:w="430" w:type="pct"/>
            <w:vMerge w:val="restart"/>
            <w:noWrap w:val="0"/>
            <w:vAlign w:val="center"/>
          </w:tcPr>
          <w:p w14:paraId="0E49DD4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BA41CE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1344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409" w:type="pct"/>
            <w:vMerge w:val="continue"/>
            <w:noWrap w:val="0"/>
            <w:vAlign w:val="center"/>
          </w:tcPr>
          <w:p w14:paraId="08EB501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35584E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3B6178C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26FFCAF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63BE5F8E">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65AC453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6A6061FF">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不满足及时处理条件</w:t>
            </w:r>
          </w:p>
        </w:tc>
        <w:tc>
          <w:tcPr>
            <w:tcW w:w="492" w:type="pct"/>
            <w:noWrap w:val="0"/>
            <w:vAlign w:val="center"/>
          </w:tcPr>
          <w:p w14:paraId="52D178A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P=-2</w:t>
            </w:r>
          </w:p>
        </w:tc>
        <w:tc>
          <w:tcPr>
            <w:tcW w:w="430" w:type="pct"/>
            <w:vMerge w:val="continue"/>
            <w:noWrap w:val="0"/>
            <w:vAlign w:val="center"/>
          </w:tcPr>
          <w:p w14:paraId="1987357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D34373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6B94430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4DD3B7F6">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31E06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09" w:type="pct"/>
            <w:vMerge w:val="continue"/>
            <w:noWrap w:val="0"/>
            <w:vAlign w:val="center"/>
          </w:tcPr>
          <w:p w14:paraId="1CB94D0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restart"/>
            <w:noWrap w:val="0"/>
            <w:vAlign w:val="center"/>
          </w:tcPr>
          <w:p w14:paraId="3C7A2E5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7.宣传培训</w:t>
            </w:r>
          </w:p>
        </w:tc>
        <w:tc>
          <w:tcPr>
            <w:tcW w:w="323" w:type="pct"/>
            <w:vMerge w:val="restart"/>
            <w:noWrap w:val="0"/>
            <w:vAlign w:val="center"/>
          </w:tcPr>
          <w:p w14:paraId="6DC896A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专业培训</w:t>
            </w:r>
          </w:p>
        </w:tc>
        <w:tc>
          <w:tcPr>
            <w:tcW w:w="239" w:type="pct"/>
            <w:vMerge w:val="restart"/>
            <w:noWrap w:val="0"/>
            <w:vAlign w:val="center"/>
          </w:tcPr>
          <w:p w14:paraId="1C95A4F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60</w:t>
            </w:r>
          </w:p>
        </w:tc>
        <w:tc>
          <w:tcPr>
            <w:tcW w:w="989" w:type="pct"/>
            <w:vMerge w:val="restart"/>
            <w:noWrap w:val="0"/>
            <w:vAlign w:val="center"/>
          </w:tcPr>
          <w:p w14:paraId="51E7CEE9">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提供专业的网络安全、应用安全、数据安全、硬件等培训服务。</w:t>
            </w:r>
          </w:p>
        </w:tc>
        <w:tc>
          <w:tcPr>
            <w:tcW w:w="331" w:type="pct"/>
            <w:vMerge w:val="restart"/>
            <w:noWrap w:val="0"/>
            <w:vAlign w:val="center"/>
          </w:tcPr>
          <w:p w14:paraId="0FEDD72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1</w:t>
            </w:r>
          </w:p>
        </w:tc>
        <w:tc>
          <w:tcPr>
            <w:tcW w:w="633" w:type="pct"/>
            <w:noWrap w:val="0"/>
            <w:vAlign w:val="center"/>
          </w:tcPr>
          <w:p w14:paraId="69990FA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满足(加分项)</w:t>
            </w:r>
          </w:p>
        </w:tc>
        <w:tc>
          <w:tcPr>
            <w:tcW w:w="492" w:type="pct"/>
            <w:noWrap w:val="0"/>
            <w:vAlign w:val="center"/>
          </w:tcPr>
          <w:p w14:paraId="280D900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P=1</w:t>
            </w:r>
          </w:p>
        </w:tc>
        <w:tc>
          <w:tcPr>
            <w:tcW w:w="430" w:type="pct"/>
            <w:vMerge w:val="restart"/>
            <w:noWrap w:val="0"/>
            <w:vAlign w:val="center"/>
          </w:tcPr>
          <w:p w14:paraId="775C698D">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2D8956B9">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中期考核</w:t>
            </w:r>
          </w:p>
        </w:tc>
        <w:tc>
          <w:tcPr>
            <w:tcW w:w="430" w:type="pct"/>
            <w:vMerge w:val="restart"/>
            <w:noWrap w:val="0"/>
            <w:vAlign w:val="center"/>
          </w:tcPr>
          <w:p w14:paraId="721A9B7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09500C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379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09" w:type="pct"/>
            <w:vMerge w:val="continue"/>
            <w:noWrap w:val="0"/>
            <w:vAlign w:val="center"/>
          </w:tcPr>
          <w:p w14:paraId="4F8E142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78203CDF">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6E8BE76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0F5FC65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4F3E34FE">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40CAF22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23E313D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719D6BF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continue"/>
            <w:noWrap w:val="0"/>
            <w:vAlign w:val="center"/>
          </w:tcPr>
          <w:p w14:paraId="78DB29D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0EE490C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5CBDF37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DB1F98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0BA15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09" w:type="pct"/>
            <w:vMerge w:val="continue"/>
            <w:noWrap w:val="0"/>
            <w:vAlign w:val="center"/>
          </w:tcPr>
          <w:p w14:paraId="76794A28">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4A87FBDC">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08BFE55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提升培训</w:t>
            </w:r>
          </w:p>
        </w:tc>
        <w:tc>
          <w:tcPr>
            <w:tcW w:w="239" w:type="pct"/>
            <w:vMerge w:val="restart"/>
            <w:noWrap w:val="0"/>
            <w:vAlign w:val="center"/>
          </w:tcPr>
          <w:p w14:paraId="0E53092B">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61</w:t>
            </w:r>
          </w:p>
        </w:tc>
        <w:tc>
          <w:tcPr>
            <w:tcW w:w="989" w:type="pct"/>
            <w:vMerge w:val="restart"/>
            <w:noWrap w:val="0"/>
            <w:vAlign w:val="center"/>
          </w:tcPr>
          <w:p w14:paraId="64E84545">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提供信息化新领域、新技术的提升培训。</w:t>
            </w:r>
          </w:p>
        </w:tc>
        <w:tc>
          <w:tcPr>
            <w:tcW w:w="331" w:type="pct"/>
            <w:vMerge w:val="restart"/>
            <w:noWrap w:val="0"/>
            <w:vAlign w:val="center"/>
          </w:tcPr>
          <w:p w14:paraId="03368FD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w:t>
            </w:r>
          </w:p>
        </w:tc>
        <w:tc>
          <w:tcPr>
            <w:tcW w:w="633" w:type="pct"/>
            <w:noWrap w:val="0"/>
            <w:vAlign w:val="center"/>
          </w:tcPr>
          <w:p w14:paraId="1537E87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满足(加分项)</w:t>
            </w:r>
          </w:p>
        </w:tc>
        <w:tc>
          <w:tcPr>
            <w:tcW w:w="492" w:type="pct"/>
            <w:noWrap w:val="0"/>
            <w:vAlign w:val="center"/>
          </w:tcPr>
          <w:p w14:paraId="62585CB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Style w:val="7"/>
                <w:rFonts w:hint="default"/>
                <w:color w:val="auto"/>
                <w:sz w:val="21"/>
                <w:szCs w:val="21"/>
                <w:lang w:bidi="ar"/>
              </w:rPr>
              <w:t>Q</w:t>
            </w:r>
            <w:r>
              <w:rPr>
                <w:rFonts w:hint="eastAsia" w:ascii="仿宋" w:hAnsi="仿宋" w:eastAsia="仿宋" w:cs="仿宋"/>
                <w:color w:val="auto"/>
                <w:kern w:val="0"/>
                <w:sz w:val="21"/>
                <w:szCs w:val="21"/>
                <w:vertAlign w:val="subscript"/>
                <w:lang w:bidi="ar"/>
              </w:rPr>
              <w:t>1</w:t>
            </w:r>
            <w:r>
              <w:rPr>
                <w:rStyle w:val="7"/>
                <w:rFonts w:hint="default"/>
                <w:color w:val="auto"/>
                <w:sz w:val="21"/>
                <w:szCs w:val="21"/>
                <w:lang w:bidi="ar"/>
              </w:rPr>
              <w:t>=+1</w:t>
            </w:r>
          </w:p>
        </w:tc>
        <w:tc>
          <w:tcPr>
            <w:tcW w:w="430" w:type="pct"/>
            <w:vMerge w:val="restart"/>
            <w:noWrap w:val="0"/>
            <w:vAlign w:val="center"/>
          </w:tcPr>
          <w:p w14:paraId="4D41DCC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1F2C287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中期考核</w:t>
            </w:r>
          </w:p>
        </w:tc>
        <w:tc>
          <w:tcPr>
            <w:tcW w:w="430" w:type="pct"/>
            <w:vMerge w:val="restart"/>
            <w:noWrap w:val="0"/>
            <w:vAlign w:val="center"/>
          </w:tcPr>
          <w:p w14:paraId="7237F74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78F6CB1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04F2C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9" w:type="pct"/>
            <w:vMerge w:val="continue"/>
            <w:noWrap w:val="0"/>
            <w:vAlign w:val="center"/>
          </w:tcPr>
          <w:p w14:paraId="56489DBD">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6E05F2A1">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49D5547E">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416A9A5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5DD61C5B">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74425C7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4B5CE215">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16A4A110">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continue"/>
            <w:noWrap w:val="0"/>
            <w:vAlign w:val="center"/>
          </w:tcPr>
          <w:p w14:paraId="1B65B5C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771355C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11494D7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613C0BB5">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4528E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09" w:type="pct"/>
            <w:vMerge w:val="continue"/>
            <w:noWrap w:val="0"/>
            <w:vAlign w:val="center"/>
          </w:tcPr>
          <w:p w14:paraId="4E2EBD34">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0924C8E9">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restart"/>
            <w:noWrap w:val="0"/>
            <w:vAlign w:val="center"/>
          </w:tcPr>
          <w:p w14:paraId="01CEE4B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color w:val="auto"/>
                <w:sz w:val="21"/>
                <w:szCs w:val="21"/>
              </w:rPr>
            </w:pPr>
            <w:r>
              <w:rPr>
                <w:rFonts w:hint="eastAsia" w:ascii="仿宋" w:hAnsi="仿宋" w:eastAsia="仿宋" w:cs="仿宋"/>
                <w:b/>
                <w:bCs/>
                <w:color w:val="auto"/>
                <w:kern w:val="0"/>
                <w:sz w:val="21"/>
                <w:szCs w:val="21"/>
                <w:lang w:bidi="ar"/>
              </w:rPr>
              <w:t>应用系统培训</w:t>
            </w:r>
          </w:p>
        </w:tc>
        <w:tc>
          <w:tcPr>
            <w:tcW w:w="239" w:type="pct"/>
            <w:vMerge w:val="restart"/>
            <w:noWrap w:val="0"/>
            <w:vAlign w:val="center"/>
          </w:tcPr>
          <w:p w14:paraId="0C3C309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62</w:t>
            </w:r>
          </w:p>
        </w:tc>
        <w:tc>
          <w:tcPr>
            <w:tcW w:w="989" w:type="pct"/>
            <w:vMerge w:val="restart"/>
            <w:noWrap w:val="0"/>
            <w:vAlign w:val="center"/>
          </w:tcPr>
          <w:p w14:paraId="10B134BC">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每年至少举办一次应用系统培训工作。</w:t>
            </w:r>
          </w:p>
        </w:tc>
        <w:tc>
          <w:tcPr>
            <w:tcW w:w="331" w:type="pct"/>
            <w:vMerge w:val="restart"/>
            <w:noWrap w:val="0"/>
            <w:vAlign w:val="center"/>
          </w:tcPr>
          <w:p w14:paraId="40D2E084">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w:t>
            </w:r>
          </w:p>
        </w:tc>
        <w:tc>
          <w:tcPr>
            <w:tcW w:w="633" w:type="pct"/>
            <w:noWrap w:val="0"/>
            <w:vAlign w:val="center"/>
          </w:tcPr>
          <w:p w14:paraId="7347483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满足(加分项)</w:t>
            </w:r>
          </w:p>
        </w:tc>
        <w:tc>
          <w:tcPr>
            <w:tcW w:w="492" w:type="pct"/>
            <w:noWrap w:val="0"/>
            <w:vAlign w:val="center"/>
          </w:tcPr>
          <w:p w14:paraId="633468F1">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Style w:val="7"/>
                <w:rFonts w:hint="default"/>
                <w:color w:val="auto"/>
                <w:sz w:val="21"/>
                <w:szCs w:val="21"/>
                <w:lang w:bidi="ar"/>
              </w:rPr>
              <w:t>Q</w:t>
            </w:r>
            <w:r>
              <w:rPr>
                <w:rFonts w:hint="eastAsia" w:ascii="仿宋" w:hAnsi="仿宋" w:eastAsia="仿宋" w:cs="仿宋"/>
                <w:color w:val="auto"/>
                <w:kern w:val="0"/>
                <w:sz w:val="21"/>
                <w:szCs w:val="21"/>
                <w:vertAlign w:val="subscript"/>
                <w:lang w:bidi="ar"/>
              </w:rPr>
              <w:t>2</w:t>
            </w:r>
            <w:r>
              <w:rPr>
                <w:rStyle w:val="7"/>
                <w:rFonts w:hint="default"/>
                <w:color w:val="auto"/>
                <w:sz w:val="21"/>
                <w:szCs w:val="21"/>
                <w:lang w:bidi="ar"/>
              </w:rPr>
              <w:t>=+1</w:t>
            </w:r>
          </w:p>
        </w:tc>
        <w:tc>
          <w:tcPr>
            <w:tcW w:w="430" w:type="pct"/>
            <w:vMerge w:val="restart"/>
            <w:noWrap w:val="0"/>
            <w:vAlign w:val="center"/>
          </w:tcPr>
          <w:p w14:paraId="578C7F37">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3E503E37">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中期考核</w:t>
            </w:r>
          </w:p>
        </w:tc>
        <w:tc>
          <w:tcPr>
            <w:tcW w:w="430" w:type="pct"/>
            <w:vMerge w:val="restart"/>
            <w:noWrap w:val="0"/>
            <w:vAlign w:val="center"/>
          </w:tcPr>
          <w:p w14:paraId="19DB612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restart"/>
            <w:noWrap w:val="0"/>
            <w:vAlign w:val="center"/>
          </w:tcPr>
          <w:p w14:paraId="5AB71452">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3917A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409" w:type="pct"/>
            <w:vMerge w:val="continue"/>
            <w:noWrap w:val="0"/>
            <w:vAlign w:val="center"/>
          </w:tcPr>
          <w:p w14:paraId="247BDF75">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40" w:type="pct"/>
            <w:vMerge w:val="continue"/>
            <w:noWrap w:val="0"/>
            <w:vAlign w:val="center"/>
          </w:tcPr>
          <w:p w14:paraId="17104A73">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323" w:type="pct"/>
            <w:vMerge w:val="continue"/>
            <w:noWrap w:val="0"/>
            <w:vAlign w:val="center"/>
          </w:tcPr>
          <w:p w14:paraId="2C52F33A">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21"/>
                <w:szCs w:val="21"/>
              </w:rPr>
            </w:pPr>
          </w:p>
        </w:tc>
        <w:tc>
          <w:tcPr>
            <w:tcW w:w="239" w:type="pct"/>
            <w:vMerge w:val="continue"/>
            <w:noWrap w:val="0"/>
            <w:vAlign w:val="center"/>
          </w:tcPr>
          <w:p w14:paraId="0634616E">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989" w:type="pct"/>
            <w:vMerge w:val="continue"/>
            <w:noWrap w:val="0"/>
            <w:vAlign w:val="center"/>
          </w:tcPr>
          <w:p w14:paraId="1504CB97">
            <w:pPr>
              <w:keepNext w:val="0"/>
              <w:keepLines w:val="0"/>
              <w:widowControl/>
              <w:suppressLineNumbers w:val="0"/>
              <w:spacing w:before="0" w:beforeAutospacing="0" w:after="0" w:afterAutospacing="0"/>
              <w:ind w:left="0" w:right="0"/>
              <w:jc w:val="left"/>
              <w:rPr>
                <w:rFonts w:hint="eastAsia" w:ascii="仿宋" w:hAnsi="仿宋" w:eastAsia="仿宋" w:cs="仿宋"/>
                <w:color w:val="auto"/>
                <w:sz w:val="21"/>
                <w:szCs w:val="21"/>
              </w:rPr>
            </w:pPr>
          </w:p>
        </w:tc>
        <w:tc>
          <w:tcPr>
            <w:tcW w:w="331" w:type="pct"/>
            <w:vMerge w:val="continue"/>
            <w:noWrap w:val="0"/>
            <w:vAlign w:val="center"/>
          </w:tcPr>
          <w:p w14:paraId="79F1A82F">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633" w:type="pct"/>
            <w:noWrap w:val="0"/>
            <w:vAlign w:val="center"/>
          </w:tcPr>
          <w:p w14:paraId="6A7FE788">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不满足</w:t>
            </w:r>
          </w:p>
        </w:tc>
        <w:tc>
          <w:tcPr>
            <w:tcW w:w="492" w:type="pct"/>
            <w:noWrap w:val="0"/>
            <w:vAlign w:val="center"/>
          </w:tcPr>
          <w:p w14:paraId="3BD1FE1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不扣分</w:t>
            </w:r>
          </w:p>
        </w:tc>
        <w:tc>
          <w:tcPr>
            <w:tcW w:w="430" w:type="pct"/>
            <w:vMerge w:val="continue"/>
            <w:noWrap w:val="0"/>
            <w:vAlign w:val="center"/>
          </w:tcPr>
          <w:p w14:paraId="154F7C0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32783A2A">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vMerge w:val="continue"/>
            <w:noWrap w:val="0"/>
            <w:vAlign w:val="center"/>
          </w:tcPr>
          <w:p w14:paraId="265942D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vMerge w:val="continue"/>
            <w:noWrap w:val="0"/>
            <w:vAlign w:val="center"/>
          </w:tcPr>
          <w:p w14:paraId="0B56B9B8">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r w14:paraId="2D867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201" w:type="pct"/>
            <w:gridSpan w:val="5"/>
            <w:noWrap w:val="0"/>
            <w:vAlign w:val="center"/>
          </w:tcPr>
          <w:p w14:paraId="122D9ACC">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权重总分</w:t>
            </w:r>
          </w:p>
        </w:tc>
        <w:tc>
          <w:tcPr>
            <w:tcW w:w="331" w:type="pct"/>
            <w:noWrap/>
            <w:vAlign w:val="center"/>
          </w:tcPr>
          <w:p w14:paraId="3C6E56BC">
            <w:pPr>
              <w:keepNext w:val="0"/>
              <w:keepLines w:val="0"/>
              <w:widowControl/>
              <w:suppressLineNumbers w:val="0"/>
              <w:spacing w:before="0" w:beforeAutospacing="0" w:after="0" w:afterAutospacing="0"/>
              <w:ind w:left="0" w:right="0"/>
              <w:jc w:val="center"/>
              <w:textAlignment w:val="cente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100</w:t>
            </w:r>
          </w:p>
        </w:tc>
        <w:tc>
          <w:tcPr>
            <w:tcW w:w="633" w:type="pct"/>
            <w:noWrap/>
            <w:vAlign w:val="center"/>
          </w:tcPr>
          <w:p w14:paraId="5071B08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rPr>
            </w:pPr>
            <w:r>
              <w:rPr>
                <w:rFonts w:hint="eastAsia" w:ascii="仿宋" w:hAnsi="仿宋" w:eastAsia="仿宋" w:cs="仿宋"/>
                <w:color w:val="auto"/>
                <w:kern w:val="0"/>
                <w:sz w:val="21"/>
                <w:szCs w:val="21"/>
                <w:lang w:bidi="ar"/>
              </w:rPr>
              <w:t>得分</w:t>
            </w:r>
          </w:p>
        </w:tc>
        <w:tc>
          <w:tcPr>
            <w:tcW w:w="492" w:type="pct"/>
            <w:noWrap/>
            <w:vAlign w:val="center"/>
          </w:tcPr>
          <w:p w14:paraId="0499320B">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noWrap/>
            <w:vAlign w:val="center"/>
          </w:tcPr>
          <w:p w14:paraId="35629451">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noWrap/>
            <w:vAlign w:val="center"/>
          </w:tcPr>
          <w:p w14:paraId="0C9DBCF9">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430" w:type="pct"/>
            <w:noWrap/>
            <w:vAlign w:val="center"/>
          </w:tcPr>
          <w:p w14:paraId="1388CF23">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c>
          <w:tcPr>
            <w:tcW w:w="240" w:type="pct"/>
            <w:noWrap/>
            <w:vAlign w:val="center"/>
          </w:tcPr>
          <w:p w14:paraId="37884000">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21"/>
                <w:szCs w:val="21"/>
              </w:rPr>
            </w:pPr>
          </w:p>
        </w:tc>
      </w:tr>
    </w:tbl>
    <w:p w14:paraId="5A1E67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3950C6"/>
    <w:rsid w:val="3A7E27AC"/>
    <w:rsid w:val="5739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character" w:customStyle="1" w:styleId="5">
    <w:name w:val="font31"/>
    <w:basedOn w:val="4"/>
    <w:qFormat/>
    <w:uiPriority w:val="0"/>
    <w:rPr>
      <w:rFonts w:hint="eastAsia" w:ascii="仿宋" w:hAnsi="仿宋" w:eastAsia="仿宋" w:cs="仿宋"/>
      <w:b/>
      <w:bCs/>
      <w:color w:val="555555"/>
      <w:sz w:val="24"/>
      <w:szCs w:val="24"/>
      <w:u w:val="none"/>
    </w:rPr>
  </w:style>
  <w:style w:type="character" w:customStyle="1" w:styleId="6">
    <w:name w:val="font161"/>
    <w:basedOn w:val="4"/>
    <w:qFormat/>
    <w:uiPriority w:val="0"/>
    <w:rPr>
      <w:rFonts w:hint="eastAsia" w:ascii="仿宋" w:hAnsi="仿宋" w:eastAsia="仿宋" w:cs="仿宋"/>
      <w:color w:val="262626"/>
      <w:sz w:val="20"/>
      <w:szCs w:val="20"/>
      <w:u w:val="none"/>
    </w:rPr>
  </w:style>
  <w:style w:type="character" w:customStyle="1" w:styleId="7">
    <w:name w:val="font91"/>
    <w:basedOn w:val="4"/>
    <w:qFormat/>
    <w:uiPriority w:val="0"/>
    <w:rPr>
      <w:rFonts w:hint="eastAsia" w:ascii="仿宋" w:hAnsi="仿宋" w:eastAsia="仿宋" w:cs="仿宋"/>
      <w:color w:val="555555"/>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内蒙古分公司</Company>
  <Pages>9</Pages>
  <Words>0</Words>
  <Characters>0</Characters>
  <Lines>0</Lines>
  <Paragraphs>0</Paragraphs>
  <TotalTime>17</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2026-05-06T09:45:00Z</dcterms:created>
  <dc:creator>nmgtjj</dc:creator>
  <cp:lastModifiedBy>nmgtjj</cp:lastModifiedBy>
  <dcterms:modified xsi:type="dcterms:W3CDTF">2026-05-07T01:24:03Z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C8DE33E76CD442B99ACEBCCD6CA819D9_13</vt:lpwstr>
  </property>
</Properties>
</file>