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52210">
      <w:pPr>
        <w:shd w:val="clear" w:color="auto" w:fill="auto"/>
        <w:jc w:val="center"/>
        <w:rPr>
          <w:rFonts w:hint="eastAsia" w:ascii="宋体" w:hAnsi="宋体" w:eastAsia="宋体" w:cs="Times New Roman"/>
          <w:b/>
          <w:bCs/>
          <w:sz w:val="48"/>
          <w:szCs w:val="48"/>
          <w:lang w:val="en-US" w:eastAsia="zh-CN"/>
        </w:rPr>
      </w:pPr>
      <w:r>
        <w:rPr>
          <w:rFonts w:hint="eastAsia" w:ascii="宋体" w:hAnsi="宋体" w:cs="Times New Roman"/>
          <w:b/>
          <w:bCs/>
          <w:sz w:val="48"/>
          <w:szCs w:val="48"/>
          <w:lang w:val="en-US" w:eastAsia="zh-CN"/>
        </w:rPr>
        <w:t>招标工程量清单</w:t>
      </w:r>
      <w:r>
        <w:rPr>
          <w:rFonts w:hint="eastAsia" w:ascii="宋体" w:hAnsi="宋体" w:eastAsia="宋体" w:cs="Times New Roman"/>
          <w:b/>
          <w:bCs/>
          <w:sz w:val="48"/>
          <w:szCs w:val="48"/>
          <w:lang w:val="en-US" w:eastAsia="zh-CN"/>
        </w:rPr>
        <w:t>编制说明</w:t>
      </w:r>
    </w:p>
    <w:p w14:paraId="141A491E">
      <w:pPr>
        <w:shd w:val="clear" w:color="auto" w:fill="auto"/>
        <w:jc w:val="center"/>
        <w:rPr>
          <w:rFonts w:hint="eastAsia" w:ascii="宋体" w:hAnsi="宋体" w:eastAsia="宋体" w:cs="Times New Roman"/>
          <w:b/>
          <w:bCs/>
          <w:sz w:val="18"/>
          <w:szCs w:val="18"/>
          <w:lang w:val="en-US" w:eastAsia="zh-CN"/>
        </w:rPr>
      </w:pPr>
    </w:p>
    <w:p w14:paraId="67FBDEE1">
      <w:pPr>
        <w:pStyle w:val="3"/>
        <w:keepNext w:val="0"/>
        <w:keepLines w:val="0"/>
        <w:widowControl/>
        <w:numPr>
          <w:ilvl w:val="0"/>
          <w:numId w:val="1"/>
        </w:numPr>
        <w:suppressLineNumbers w:val="0"/>
        <w:spacing w:before="0" w:beforeAutospacing="0" w:after="0" w:afterAutospacing="0"/>
        <w:ind w:left="0" w:right="0" w:firstLine="0"/>
        <w:rPr>
          <w:rFonts w:hint="eastAsia" w:ascii="宋体" w:hAnsi="宋体" w:eastAsia="宋体" w:cs="宋体"/>
          <w:b w:val="0"/>
          <w:bCs w:val="0"/>
          <w:kern w:val="2"/>
          <w:sz w:val="30"/>
          <w:szCs w:val="30"/>
          <w:lang w:val="en-US" w:eastAsia="zh-CN" w:bidi="ar-SA"/>
        </w:rPr>
      </w:pPr>
      <w:r>
        <w:rPr>
          <w:rFonts w:hint="eastAsia" w:ascii="宋体" w:hAnsi="宋体" w:eastAsia="宋体" w:cs="宋体"/>
          <w:b/>
          <w:bCs/>
          <w:kern w:val="2"/>
          <w:sz w:val="30"/>
          <w:szCs w:val="30"/>
          <w:lang w:val="en-US" w:eastAsia="zh-CN" w:bidi="ar-SA"/>
        </w:rPr>
        <w:t>项目名称</w:t>
      </w:r>
      <w:r>
        <w:rPr>
          <w:rFonts w:hint="eastAsia" w:ascii="宋体" w:hAnsi="宋体" w:eastAsia="宋体" w:cs="宋体"/>
          <w:b/>
          <w:bCs/>
          <w:sz w:val="30"/>
          <w:szCs w:val="30"/>
          <w:lang w:val="en-US" w:eastAsia="zh-CN"/>
        </w:rPr>
        <w:t>：</w:t>
      </w:r>
      <w:r>
        <w:rPr>
          <w:rFonts w:hint="eastAsia" w:cs="宋体"/>
          <w:kern w:val="2"/>
          <w:sz w:val="30"/>
          <w:szCs w:val="30"/>
          <w:lang w:val="en-US" w:eastAsia="zh-CN" w:bidi="ar-SA"/>
        </w:rPr>
        <w:t>关地塔社区旭阳小区低压线路电力安全改造项目</w:t>
      </w:r>
    </w:p>
    <w:p w14:paraId="23C3BF3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30"/>
          <w:szCs w:val="30"/>
          <w:lang w:val="en-US" w:eastAsia="zh-CN" w:bidi="ar-SA"/>
        </w:rPr>
      </w:pPr>
      <w:r>
        <w:rPr>
          <w:rFonts w:hint="eastAsia" w:ascii="宋体" w:hAnsi="宋体" w:cs="宋体"/>
          <w:b/>
          <w:bCs/>
          <w:sz w:val="30"/>
          <w:szCs w:val="30"/>
          <w:lang w:val="en-US" w:eastAsia="zh-CN"/>
        </w:rPr>
        <w:t>二、</w:t>
      </w:r>
      <w:r>
        <w:rPr>
          <w:rFonts w:hint="eastAsia" w:ascii="宋体" w:hAnsi="宋体" w:eastAsia="宋体" w:cs="宋体"/>
          <w:b/>
          <w:bCs/>
          <w:kern w:val="2"/>
          <w:sz w:val="30"/>
          <w:szCs w:val="30"/>
          <w:lang w:val="en-US" w:eastAsia="zh-CN" w:bidi="ar-SA"/>
        </w:rPr>
        <w:t>编制范围：</w:t>
      </w:r>
    </w:p>
    <w:p w14:paraId="287E497A">
      <w:pPr>
        <w:pStyle w:val="3"/>
        <w:keepNext w:val="0"/>
        <w:keepLines w:val="0"/>
        <w:widowControl/>
        <w:suppressLineNumbers w:val="0"/>
        <w:spacing w:before="0" w:beforeAutospacing="0" w:after="0" w:afterAutospacing="0"/>
        <w:ind w:left="0" w:right="0" w:firstLine="600" w:firstLineChars="20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由</w:t>
      </w:r>
      <w:r>
        <w:rPr>
          <w:rFonts w:hint="eastAsia" w:cs="宋体"/>
          <w:kern w:val="2"/>
          <w:sz w:val="30"/>
          <w:szCs w:val="30"/>
          <w:lang w:val="en-US" w:eastAsia="zh-CN" w:bidi="ar-SA"/>
        </w:rPr>
        <w:t>准格尔旗浩普电力勘测设计有限责任公司</w:t>
      </w:r>
      <w:r>
        <w:rPr>
          <w:rFonts w:hint="eastAsia" w:ascii="宋体" w:hAnsi="宋体" w:eastAsia="宋体" w:cs="宋体"/>
          <w:kern w:val="2"/>
          <w:sz w:val="30"/>
          <w:szCs w:val="30"/>
          <w:lang w:val="en-US" w:eastAsia="zh-CN" w:bidi="ar-SA"/>
        </w:rPr>
        <w:t>设计的</w:t>
      </w:r>
      <w:r>
        <w:rPr>
          <w:rFonts w:hint="eastAsia" w:cs="宋体"/>
          <w:kern w:val="2"/>
          <w:sz w:val="30"/>
          <w:szCs w:val="30"/>
          <w:lang w:val="en-US" w:eastAsia="zh-CN" w:bidi="ar-SA"/>
        </w:rPr>
        <w:t>施工</w:t>
      </w:r>
      <w:r>
        <w:rPr>
          <w:rFonts w:hint="eastAsia" w:ascii="宋体" w:hAnsi="宋体" w:eastAsia="宋体" w:cs="宋体"/>
          <w:kern w:val="2"/>
          <w:sz w:val="30"/>
          <w:szCs w:val="30"/>
          <w:lang w:val="en-US" w:eastAsia="zh-CN" w:bidi="ar-SA"/>
        </w:rPr>
        <w:t>图纸的全部工程内容。</w:t>
      </w:r>
    </w:p>
    <w:p w14:paraId="3489E449">
      <w:pPr>
        <w:keepNext w:val="0"/>
        <w:keepLines w:val="0"/>
        <w:pageBreakBefore w:val="0"/>
        <w:shd w:val="clear" w:color="auto" w:fill="auto"/>
        <w:kinsoku/>
        <w:wordWrap/>
        <w:overflowPunct/>
        <w:topLinePunct w:val="0"/>
        <w:autoSpaceDE/>
        <w:autoSpaceDN/>
        <w:bidi w:val="0"/>
        <w:adjustRightInd/>
        <w:spacing w:line="360" w:lineRule="auto"/>
        <w:textAlignment w:val="auto"/>
        <w:rPr>
          <w:rFonts w:hint="eastAsia" w:ascii="宋体" w:hAnsi="宋体" w:eastAsia="宋体" w:cs="宋体"/>
          <w:b/>
          <w:bCs/>
          <w:sz w:val="30"/>
          <w:szCs w:val="30"/>
          <w:lang w:eastAsia="zh-CN"/>
        </w:rPr>
      </w:pPr>
      <w:r>
        <w:rPr>
          <w:rFonts w:hint="eastAsia" w:ascii="宋体" w:hAnsi="宋体" w:cs="宋体"/>
          <w:b/>
          <w:bCs/>
          <w:sz w:val="30"/>
          <w:szCs w:val="30"/>
          <w:lang w:val="en-US" w:eastAsia="zh-CN"/>
        </w:rPr>
        <w:t>三</w:t>
      </w:r>
      <w:r>
        <w:rPr>
          <w:rFonts w:hint="eastAsia" w:ascii="宋体" w:hAnsi="宋体" w:eastAsia="宋体" w:cs="宋体"/>
          <w:b/>
          <w:bCs/>
          <w:sz w:val="30"/>
          <w:szCs w:val="30"/>
        </w:rPr>
        <w:t>、</w:t>
      </w:r>
      <w:r>
        <w:rPr>
          <w:rFonts w:hint="eastAsia" w:ascii="宋体" w:hAnsi="宋体" w:eastAsia="宋体" w:cs="宋体"/>
          <w:b/>
          <w:bCs/>
          <w:sz w:val="30"/>
          <w:szCs w:val="30"/>
          <w:lang w:eastAsia="zh-CN"/>
        </w:rPr>
        <w:t>编制依据：</w:t>
      </w:r>
    </w:p>
    <w:p w14:paraId="461E86F8">
      <w:pPr>
        <w:keepNext w:val="0"/>
        <w:keepLines w:val="0"/>
        <w:pageBreakBefore w:val="0"/>
        <w:shd w:val="clear" w:color="auto" w:fill="auto"/>
        <w:kinsoku/>
        <w:wordWrap/>
        <w:overflowPunct/>
        <w:topLinePunct w:val="0"/>
        <w:autoSpaceDE/>
        <w:autoSpaceDN/>
        <w:bidi w:val="0"/>
        <w:adjustRightInd/>
        <w:spacing w:line="360" w:lineRule="auto"/>
        <w:ind w:firstLine="600" w:firstLineChars="200"/>
        <w:textAlignment w:val="auto"/>
        <w:rPr>
          <w:rFonts w:hint="eastAsia" w:ascii="宋体" w:hAnsi="宋体" w:cs="宋体"/>
          <w:b w:val="0"/>
          <w:bCs w:val="0"/>
          <w:sz w:val="30"/>
          <w:szCs w:val="30"/>
          <w:lang w:val="en-US" w:eastAsia="zh-CN"/>
        </w:rPr>
      </w:pPr>
      <w:r>
        <w:rPr>
          <w:rFonts w:hint="eastAsia" w:ascii="宋体" w:hAnsi="宋体" w:cs="宋体"/>
          <w:b w:val="0"/>
          <w:bCs w:val="0"/>
          <w:sz w:val="30"/>
          <w:szCs w:val="30"/>
          <w:lang w:val="en-US" w:eastAsia="zh-CN"/>
        </w:rPr>
        <w:t>1、施工图纸、材料清册等；</w:t>
      </w:r>
    </w:p>
    <w:p w14:paraId="20508B3F">
      <w:pPr>
        <w:pStyle w:val="3"/>
        <w:keepNext w:val="0"/>
        <w:keepLines w:val="0"/>
        <w:pageBreakBefore w:val="0"/>
        <w:widowControl/>
        <w:suppressLineNumbers w:val="0"/>
        <w:shd w:val="clear" w:color="auto" w:fill="auto"/>
        <w:kinsoku/>
        <w:wordWrap/>
        <w:overflowPunct/>
        <w:topLinePunct w:val="0"/>
        <w:autoSpaceDE/>
        <w:autoSpaceDN/>
        <w:bidi w:val="0"/>
        <w:adjustRightInd/>
        <w:snapToGrid w:val="0"/>
        <w:spacing w:before="0" w:beforeAutospacing="0" w:after="0" w:afterAutospacing="0" w:line="360" w:lineRule="auto"/>
        <w:ind w:right="0" w:firstLine="600" w:firstLineChars="200"/>
        <w:textAlignment w:val="auto"/>
        <w:rPr>
          <w:rFonts w:hint="eastAsia" w:ascii="宋体" w:hAnsi="宋体" w:eastAsia="宋体" w:cs="宋体"/>
          <w:sz w:val="30"/>
          <w:szCs w:val="30"/>
          <w:lang w:val="en-US" w:eastAsia="zh-CN"/>
        </w:rPr>
      </w:pPr>
      <w:r>
        <w:rPr>
          <w:rFonts w:hint="eastAsia" w:cs="宋体"/>
          <w:sz w:val="30"/>
          <w:szCs w:val="30"/>
          <w:lang w:val="en-US" w:eastAsia="zh-CN"/>
        </w:rPr>
        <w:t>2</w:t>
      </w:r>
      <w:r>
        <w:rPr>
          <w:rFonts w:hint="eastAsia" w:ascii="宋体" w:hAnsi="宋体" w:eastAsia="宋体" w:cs="宋体"/>
          <w:sz w:val="30"/>
          <w:szCs w:val="30"/>
          <w:lang w:val="en-US" w:eastAsia="zh-CN"/>
        </w:rPr>
        <w:t>、项目划分及取费标准执行国家能源局发布的《20kV及以下配电网工程建设预算编制与计算规定》（2022年版）</w:t>
      </w:r>
      <w:r>
        <w:rPr>
          <w:rFonts w:hint="eastAsia" w:cs="宋体"/>
          <w:sz w:val="30"/>
          <w:szCs w:val="30"/>
          <w:lang w:val="en-US" w:eastAsia="zh-CN"/>
        </w:rPr>
        <w:t>；</w:t>
      </w:r>
    </w:p>
    <w:p w14:paraId="2FB7039F">
      <w:pPr>
        <w:pStyle w:val="3"/>
        <w:keepNext w:val="0"/>
        <w:keepLines w:val="0"/>
        <w:pageBreakBefore w:val="0"/>
        <w:widowControl/>
        <w:suppressLineNumbers w:val="0"/>
        <w:shd w:val="clear" w:color="auto" w:fill="auto"/>
        <w:kinsoku/>
        <w:wordWrap/>
        <w:overflowPunct/>
        <w:topLinePunct w:val="0"/>
        <w:autoSpaceDE/>
        <w:autoSpaceDN/>
        <w:bidi w:val="0"/>
        <w:adjustRightInd/>
        <w:snapToGrid w:val="0"/>
        <w:spacing w:before="0" w:beforeAutospacing="0" w:after="0" w:afterAutospacing="0" w:line="360" w:lineRule="auto"/>
        <w:ind w:right="0" w:firstLine="600" w:firstLineChars="200"/>
        <w:textAlignment w:val="auto"/>
        <w:rPr>
          <w:rFonts w:hint="eastAsia" w:ascii="宋体" w:hAnsi="宋体" w:eastAsia="宋体" w:cs="宋体"/>
          <w:sz w:val="30"/>
          <w:szCs w:val="30"/>
          <w:lang w:val="en-US" w:eastAsia="zh-CN"/>
        </w:rPr>
      </w:pPr>
      <w:r>
        <w:rPr>
          <w:rFonts w:hint="eastAsia" w:cs="宋体"/>
          <w:sz w:val="30"/>
          <w:szCs w:val="30"/>
          <w:lang w:val="en-US" w:eastAsia="zh-CN"/>
        </w:rPr>
        <w:t>3、</w:t>
      </w:r>
      <w:r>
        <w:rPr>
          <w:rFonts w:hint="eastAsia" w:ascii="宋体" w:hAnsi="宋体" w:eastAsia="宋体" w:cs="宋体"/>
          <w:sz w:val="30"/>
          <w:szCs w:val="30"/>
          <w:lang w:val="en-US" w:eastAsia="zh-CN"/>
        </w:rPr>
        <w:t>清单计算规范执行《内蒙古电力（集团）有限责任公司20kV及以下配电网工程初步设计阶段工程量清单计算规则》、《20kV及以下配电网工程工程量清单计算规范》DL/T5766-2018；</w:t>
      </w:r>
    </w:p>
    <w:p w14:paraId="60ED1EFE">
      <w:pPr>
        <w:pStyle w:val="3"/>
        <w:keepNext w:val="0"/>
        <w:keepLines w:val="0"/>
        <w:pageBreakBefore w:val="0"/>
        <w:widowControl/>
        <w:suppressLineNumbers w:val="0"/>
        <w:shd w:val="clear" w:color="auto" w:fill="auto"/>
        <w:kinsoku/>
        <w:wordWrap/>
        <w:overflowPunct/>
        <w:topLinePunct w:val="0"/>
        <w:autoSpaceDE/>
        <w:autoSpaceDN/>
        <w:bidi w:val="0"/>
        <w:adjustRightInd/>
        <w:snapToGrid w:val="0"/>
        <w:spacing w:before="0" w:beforeAutospacing="0" w:after="0" w:afterAutospacing="0" w:line="360" w:lineRule="auto"/>
        <w:ind w:right="0" w:firstLine="600" w:firstLineChars="200"/>
        <w:textAlignment w:val="auto"/>
        <w:rPr>
          <w:rFonts w:hint="default" w:cs="宋体"/>
          <w:sz w:val="30"/>
          <w:szCs w:val="30"/>
          <w:lang w:val="en-US" w:eastAsia="zh-CN"/>
        </w:rPr>
      </w:pPr>
      <w:r>
        <w:rPr>
          <w:rFonts w:hint="eastAsia" w:cs="宋体"/>
          <w:sz w:val="30"/>
          <w:szCs w:val="30"/>
          <w:lang w:val="en-US" w:eastAsia="zh-CN"/>
        </w:rPr>
        <w:t>4、清单计价规范执行《20kV及以下配电网工程工程量清单计价规范》DL/T5765-2018；</w:t>
      </w:r>
    </w:p>
    <w:p w14:paraId="3379A5BF">
      <w:pPr>
        <w:pStyle w:val="3"/>
        <w:keepNext w:val="0"/>
        <w:keepLines w:val="0"/>
        <w:pageBreakBefore w:val="0"/>
        <w:widowControl/>
        <w:suppressLineNumbers w:val="0"/>
        <w:shd w:val="clear" w:color="auto" w:fill="auto"/>
        <w:kinsoku/>
        <w:wordWrap/>
        <w:overflowPunct/>
        <w:topLinePunct w:val="0"/>
        <w:autoSpaceDE/>
        <w:autoSpaceDN/>
        <w:bidi w:val="0"/>
        <w:adjustRightInd/>
        <w:snapToGrid w:val="0"/>
        <w:spacing w:before="0" w:beforeAutospacing="0" w:after="0" w:afterAutospacing="0" w:line="360" w:lineRule="auto"/>
        <w:ind w:right="0" w:firstLine="600" w:firstLineChars="200"/>
        <w:textAlignment w:val="auto"/>
        <w:rPr>
          <w:rFonts w:hint="eastAsia" w:ascii="宋体" w:hAnsi="宋体" w:eastAsia="宋体" w:cs="宋体"/>
          <w:sz w:val="30"/>
          <w:szCs w:val="30"/>
        </w:rPr>
      </w:pPr>
      <w:r>
        <w:rPr>
          <w:rFonts w:hint="eastAsia" w:cs="宋体"/>
          <w:sz w:val="30"/>
          <w:szCs w:val="30"/>
          <w:lang w:val="en-US" w:eastAsia="zh-CN"/>
        </w:rPr>
        <w:t>5</w:t>
      </w:r>
      <w:r>
        <w:rPr>
          <w:rFonts w:hint="eastAsia" w:ascii="宋体" w:hAnsi="宋体" w:eastAsia="宋体" w:cs="宋体"/>
          <w:sz w:val="30"/>
          <w:szCs w:val="30"/>
          <w:lang w:val="en-US" w:eastAsia="zh-CN"/>
        </w:rPr>
        <w:t>、定额采用国家能源局发布的《20kV及以下配电网工程预算定额》（2022年版）</w:t>
      </w:r>
      <w:r>
        <w:rPr>
          <w:rFonts w:hint="eastAsia" w:cs="宋体"/>
          <w:sz w:val="30"/>
          <w:szCs w:val="30"/>
          <w:lang w:val="en-US" w:eastAsia="zh-CN"/>
        </w:rPr>
        <w:t>；</w:t>
      </w:r>
      <w:r>
        <w:rPr>
          <w:rFonts w:hint="eastAsia" w:ascii="宋体" w:hAnsi="宋体" w:eastAsia="宋体" w:cs="宋体"/>
          <w:color w:val="000000"/>
          <w:kern w:val="0"/>
          <w:sz w:val="30"/>
          <w:szCs w:val="30"/>
          <w:lang w:val="en-US" w:eastAsia="zh-CN" w:bidi="ar"/>
        </w:rPr>
        <w:t xml:space="preserve"> </w:t>
      </w:r>
    </w:p>
    <w:p w14:paraId="48C471D5">
      <w:pPr>
        <w:keepNext w:val="0"/>
        <w:keepLines w:val="0"/>
        <w:pageBreakBefore w:val="0"/>
        <w:widowControl/>
        <w:suppressLineNumbers w:val="0"/>
        <w:kinsoku/>
        <w:wordWrap/>
        <w:overflowPunct/>
        <w:topLinePunct w:val="0"/>
        <w:autoSpaceDE/>
        <w:autoSpaceDN/>
        <w:bidi w:val="0"/>
        <w:adjustRightInd/>
        <w:spacing w:line="360" w:lineRule="auto"/>
        <w:ind w:firstLine="600" w:firstLineChars="200"/>
        <w:jc w:val="left"/>
        <w:textAlignment w:val="auto"/>
        <w:rPr>
          <w:rFonts w:hint="eastAsia" w:ascii="宋体" w:hAnsi="宋体" w:cs="宋体"/>
          <w:color w:val="000000"/>
          <w:kern w:val="0"/>
          <w:sz w:val="30"/>
          <w:szCs w:val="30"/>
          <w:lang w:val="en-US" w:eastAsia="zh-CN" w:bidi="ar"/>
        </w:rPr>
      </w:pPr>
      <w:r>
        <w:rPr>
          <w:rFonts w:hint="eastAsia" w:ascii="宋体" w:hAnsi="宋体" w:cs="宋体"/>
          <w:color w:val="000000"/>
          <w:kern w:val="0"/>
          <w:sz w:val="30"/>
          <w:szCs w:val="30"/>
          <w:lang w:val="en-US" w:eastAsia="zh-CN" w:bidi="ar"/>
        </w:rPr>
        <w:t>6</w:t>
      </w:r>
      <w:r>
        <w:rPr>
          <w:rFonts w:hint="eastAsia" w:ascii="宋体" w:hAnsi="宋体" w:eastAsia="宋体" w:cs="宋体"/>
          <w:color w:val="000000"/>
          <w:kern w:val="0"/>
          <w:sz w:val="30"/>
          <w:szCs w:val="30"/>
          <w:lang w:val="en-US" w:eastAsia="zh-CN" w:bidi="ar"/>
        </w:rPr>
        <w:t>、规费</w:t>
      </w:r>
      <w:r>
        <w:rPr>
          <w:rFonts w:hint="eastAsia" w:ascii="宋体" w:hAnsi="宋体" w:cs="宋体"/>
          <w:color w:val="000000"/>
          <w:kern w:val="0"/>
          <w:sz w:val="30"/>
          <w:szCs w:val="30"/>
          <w:lang w:val="en-US" w:eastAsia="zh-CN" w:bidi="ar"/>
        </w:rPr>
        <w:t>：社会保险费费率执行《关于调整内蒙古电力建设工程社会保险费的通知》（内电定〔2019〕03号），住房公积金费率执行《关于内蒙古自治区电力建设工程&lt;实施20千伏及以下配电网工程定额及费用计算规定&gt;的通知》（内电定〔2017〕03号）；</w:t>
      </w:r>
    </w:p>
    <w:p w14:paraId="084C045D">
      <w:pPr>
        <w:keepNext w:val="0"/>
        <w:keepLines w:val="0"/>
        <w:pageBreakBefore w:val="0"/>
        <w:widowControl/>
        <w:suppressLineNumbers w:val="0"/>
        <w:kinsoku/>
        <w:wordWrap/>
        <w:overflowPunct/>
        <w:topLinePunct w:val="0"/>
        <w:autoSpaceDE/>
        <w:autoSpaceDN/>
        <w:bidi w:val="0"/>
        <w:adjustRightInd/>
        <w:spacing w:line="360" w:lineRule="auto"/>
        <w:ind w:firstLine="600" w:firstLineChars="200"/>
        <w:jc w:val="left"/>
        <w:textAlignment w:val="auto"/>
        <w:rPr>
          <w:rFonts w:hint="eastAsia" w:ascii="宋体" w:hAnsi="宋体" w:eastAsia="宋体" w:cs="宋体"/>
          <w:sz w:val="30"/>
          <w:szCs w:val="30"/>
        </w:rPr>
      </w:pPr>
      <w:r>
        <w:rPr>
          <w:rFonts w:hint="eastAsia" w:ascii="宋体" w:hAnsi="宋体" w:cs="宋体"/>
          <w:b w:val="0"/>
          <w:bCs w:val="0"/>
          <w:sz w:val="30"/>
          <w:szCs w:val="30"/>
          <w:lang w:val="en-US" w:eastAsia="zh-CN"/>
        </w:rPr>
        <w:t>7、</w:t>
      </w:r>
      <w:r>
        <w:rPr>
          <w:rFonts w:hint="default" w:ascii="宋体" w:hAnsi="宋体" w:eastAsia="宋体" w:cs="宋体"/>
          <w:sz w:val="32"/>
          <w:szCs w:val="32"/>
          <w:lang w:val="en-US" w:eastAsia="zh-CN"/>
        </w:rPr>
        <w:t>安全文明施工费、安全生产费计提费用执行内蒙古自治区住房和城乡建设厅文件内建标〔2025〕98号文件</w:t>
      </w:r>
      <w:r>
        <w:rPr>
          <w:rFonts w:hint="eastAsia" w:ascii="宋体" w:hAnsi="宋体" w:cs="宋体"/>
          <w:color w:val="000000"/>
          <w:kern w:val="0"/>
          <w:sz w:val="30"/>
          <w:szCs w:val="30"/>
          <w:lang w:val="en-US" w:eastAsia="zh-CN" w:bidi="ar"/>
        </w:rPr>
        <w:t>；</w:t>
      </w:r>
      <w:r>
        <w:rPr>
          <w:rFonts w:hint="eastAsia" w:ascii="宋体" w:hAnsi="宋体" w:eastAsia="宋体" w:cs="宋体"/>
          <w:color w:val="000000"/>
          <w:kern w:val="0"/>
          <w:sz w:val="30"/>
          <w:szCs w:val="30"/>
          <w:lang w:val="en-US" w:eastAsia="zh-CN" w:bidi="ar"/>
        </w:rPr>
        <w:t xml:space="preserve"> </w:t>
      </w:r>
    </w:p>
    <w:p w14:paraId="095805A3">
      <w:pPr>
        <w:keepNext w:val="0"/>
        <w:keepLines w:val="0"/>
        <w:pageBreakBefore w:val="0"/>
        <w:widowControl/>
        <w:suppressLineNumbers w:val="0"/>
        <w:kinsoku/>
        <w:wordWrap/>
        <w:overflowPunct/>
        <w:topLinePunct w:val="0"/>
        <w:autoSpaceDE/>
        <w:autoSpaceDN/>
        <w:bidi w:val="0"/>
        <w:adjustRightInd/>
        <w:spacing w:line="360" w:lineRule="auto"/>
        <w:ind w:firstLine="600" w:firstLineChars="200"/>
        <w:jc w:val="left"/>
        <w:textAlignment w:val="auto"/>
        <w:rPr>
          <w:rFonts w:hint="eastAsia" w:ascii="宋体" w:hAnsi="宋体" w:eastAsia="宋体" w:cs="宋体"/>
          <w:color w:val="000000"/>
          <w:kern w:val="0"/>
          <w:sz w:val="30"/>
          <w:szCs w:val="30"/>
          <w:lang w:val="en-US" w:eastAsia="zh-CN" w:bidi="ar"/>
        </w:rPr>
      </w:pPr>
      <w:r>
        <w:rPr>
          <w:rFonts w:hint="eastAsia" w:ascii="宋体" w:hAnsi="宋体" w:cs="宋体"/>
          <w:color w:val="000000"/>
          <w:kern w:val="0"/>
          <w:sz w:val="30"/>
          <w:szCs w:val="30"/>
          <w:lang w:val="en-US" w:eastAsia="zh-CN" w:bidi="ar"/>
        </w:rPr>
        <w:t>8</w:t>
      </w:r>
      <w:r>
        <w:rPr>
          <w:rFonts w:hint="eastAsia" w:ascii="宋体" w:hAnsi="宋体" w:eastAsia="宋体" w:cs="宋体"/>
          <w:color w:val="000000"/>
          <w:kern w:val="0"/>
          <w:sz w:val="30"/>
          <w:szCs w:val="30"/>
          <w:lang w:val="en-US" w:eastAsia="zh-CN" w:bidi="ar"/>
        </w:rPr>
        <w:t>、定额人材机调整执行《电力工程造价与定额管理总站关于发布2022版20kV及以下配电网工程概预算定额202</w:t>
      </w:r>
      <w:r>
        <w:rPr>
          <w:rFonts w:hint="eastAsia" w:ascii="宋体" w:hAnsi="宋体" w:cs="宋体"/>
          <w:color w:val="000000"/>
          <w:kern w:val="0"/>
          <w:sz w:val="30"/>
          <w:szCs w:val="30"/>
          <w:lang w:val="en-US" w:eastAsia="zh-CN" w:bidi="ar"/>
        </w:rPr>
        <w:t>5</w:t>
      </w:r>
      <w:r>
        <w:rPr>
          <w:rFonts w:hint="eastAsia" w:ascii="宋体" w:hAnsi="宋体" w:eastAsia="宋体" w:cs="宋体"/>
          <w:color w:val="000000"/>
          <w:kern w:val="0"/>
          <w:sz w:val="30"/>
          <w:szCs w:val="30"/>
          <w:lang w:val="en-US" w:eastAsia="zh-CN" w:bidi="ar"/>
        </w:rPr>
        <w:t>年</w:t>
      </w:r>
      <w:r>
        <w:rPr>
          <w:rFonts w:hint="eastAsia" w:ascii="宋体" w:hAnsi="宋体" w:cs="宋体"/>
          <w:color w:val="000000"/>
          <w:kern w:val="0"/>
          <w:sz w:val="30"/>
          <w:szCs w:val="30"/>
          <w:lang w:val="en-US" w:eastAsia="zh-CN" w:bidi="ar"/>
        </w:rPr>
        <w:t>上</w:t>
      </w:r>
      <w:r>
        <w:rPr>
          <w:rFonts w:hint="eastAsia" w:ascii="宋体" w:hAnsi="宋体" w:eastAsia="宋体" w:cs="宋体"/>
          <w:color w:val="000000"/>
          <w:kern w:val="0"/>
          <w:sz w:val="30"/>
          <w:szCs w:val="30"/>
          <w:lang w:val="en-US" w:eastAsia="zh-CN" w:bidi="ar"/>
        </w:rPr>
        <w:t>半年价格水平调整系数的通知》（定额〔2025〕</w:t>
      </w:r>
      <w:r>
        <w:rPr>
          <w:rFonts w:hint="eastAsia" w:ascii="宋体" w:hAnsi="宋体" w:cs="宋体"/>
          <w:color w:val="000000"/>
          <w:kern w:val="0"/>
          <w:sz w:val="30"/>
          <w:szCs w:val="30"/>
          <w:lang w:val="en-US" w:eastAsia="zh-CN" w:bidi="ar"/>
        </w:rPr>
        <w:t>30</w:t>
      </w:r>
      <w:r>
        <w:rPr>
          <w:rFonts w:hint="eastAsia" w:ascii="宋体" w:hAnsi="宋体" w:eastAsia="宋体" w:cs="宋体"/>
          <w:color w:val="000000"/>
          <w:kern w:val="0"/>
          <w:sz w:val="30"/>
          <w:szCs w:val="30"/>
          <w:lang w:val="en-US" w:eastAsia="zh-CN" w:bidi="ar"/>
        </w:rPr>
        <w:t>号）</w:t>
      </w:r>
      <w:r>
        <w:rPr>
          <w:rFonts w:hint="eastAsia" w:ascii="宋体" w:hAnsi="宋体" w:cs="宋体"/>
          <w:color w:val="000000"/>
          <w:kern w:val="0"/>
          <w:sz w:val="30"/>
          <w:szCs w:val="30"/>
          <w:lang w:val="en-US" w:eastAsia="zh-CN" w:bidi="ar"/>
        </w:rPr>
        <w:t>；</w:t>
      </w:r>
    </w:p>
    <w:p w14:paraId="504EE3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60" w:lineRule="auto"/>
        <w:ind w:left="0" w:right="0" w:firstLine="600" w:firstLineChars="200"/>
        <w:jc w:val="left"/>
        <w:textAlignment w:val="auto"/>
        <w:rPr>
          <w:rFonts w:hint="eastAsia" w:ascii="宋体" w:hAnsi="宋体" w:eastAsia="宋体" w:cs="宋体"/>
          <w:b w:val="0"/>
          <w:bCs w:val="0"/>
          <w:color w:val="000000"/>
          <w:kern w:val="0"/>
          <w:sz w:val="30"/>
          <w:szCs w:val="30"/>
          <w:lang w:val="en-US" w:eastAsia="zh-CN" w:bidi="ar"/>
        </w:rPr>
      </w:pPr>
      <w:r>
        <w:rPr>
          <w:rFonts w:hint="eastAsia" w:cs="宋体"/>
          <w:b w:val="0"/>
          <w:bCs w:val="0"/>
          <w:color w:val="000000"/>
          <w:kern w:val="0"/>
          <w:sz w:val="30"/>
          <w:szCs w:val="30"/>
          <w:lang w:val="en-US" w:eastAsia="zh-CN" w:bidi="ar"/>
        </w:rPr>
        <w:t>9</w:t>
      </w:r>
      <w:r>
        <w:rPr>
          <w:rFonts w:hint="eastAsia" w:ascii="宋体" w:hAnsi="宋体" w:cs="宋体"/>
          <w:b w:val="0"/>
          <w:bCs w:val="0"/>
          <w:color w:val="000000"/>
          <w:kern w:val="0"/>
          <w:sz w:val="30"/>
          <w:szCs w:val="30"/>
          <w:lang w:val="en-US" w:eastAsia="zh-CN" w:bidi="ar"/>
        </w:rPr>
        <w:t>、</w:t>
      </w:r>
      <w:r>
        <w:rPr>
          <w:rFonts w:hint="eastAsia" w:asciiTheme="minorEastAsia" w:hAnsiTheme="minorEastAsia" w:eastAsiaTheme="minorEastAsia" w:cstheme="minorEastAsia"/>
          <w:b w:val="0"/>
          <w:bCs w:val="0"/>
          <w:sz w:val="28"/>
          <w:szCs w:val="28"/>
        </w:rPr>
        <w:t>税金：执行《转发&lt;电力工程造价与定额管理总站关于调整电力工程计价依据增值税税率的通知&gt;》（内电定〔2019〕02号）；</w:t>
      </w:r>
    </w:p>
    <w:p w14:paraId="6094E776">
      <w:pPr>
        <w:pStyle w:val="3"/>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val="0"/>
        <w:spacing w:before="0" w:beforeAutospacing="0" w:after="0" w:afterAutospacing="0" w:line="360" w:lineRule="auto"/>
        <w:ind w:right="0" w:rightChars="0" w:firstLine="600" w:firstLineChars="200"/>
        <w:textAlignment w:val="auto"/>
        <w:rPr>
          <w:rFonts w:hint="eastAsia" w:ascii="宋体" w:hAnsi="宋体" w:eastAsia="宋体" w:cs="宋体"/>
          <w:b w:val="0"/>
          <w:bCs w:val="0"/>
          <w:sz w:val="30"/>
          <w:szCs w:val="30"/>
        </w:rPr>
      </w:pPr>
      <w:r>
        <w:rPr>
          <w:rFonts w:hint="eastAsia" w:cs="宋体"/>
          <w:b w:val="0"/>
          <w:bCs w:val="0"/>
          <w:sz w:val="30"/>
          <w:szCs w:val="30"/>
          <w:lang w:val="en-US" w:eastAsia="zh-CN"/>
        </w:rPr>
        <w:t>10</w:t>
      </w:r>
      <w:r>
        <w:rPr>
          <w:rFonts w:hint="eastAsia" w:ascii="宋体" w:hAnsi="宋体" w:eastAsia="宋体" w:cs="宋体"/>
          <w:b w:val="0"/>
          <w:bCs w:val="0"/>
          <w:sz w:val="30"/>
          <w:szCs w:val="30"/>
          <w:lang w:val="en-US" w:eastAsia="zh-CN"/>
        </w:rPr>
        <w:t>、</w:t>
      </w:r>
      <w:r>
        <w:rPr>
          <w:rFonts w:hint="eastAsia" w:ascii="宋体" w:hAnsi="宋体" w:eastAsia="宋体" w:cs="宋体"/>
          <w:b w:val="0"/>
          <w:bCs w:val="0"/>
          <w:sz w:val="30"/>
          <w:szCs w:val="30"/>
        </w:rPr>
        <w:t xml:space="preserve">主要设备材料价格参照内蒙古电力（集团）有限责任公司的信息价及近期同类工程中标价计列，地方性材料按当地近期发布的信息价计列； </w:t>
      </w:r>
    </w:p>
    <w:p w14:paraId="7595D5F6">
      <w:pPr>
        <w:pStyle w:val="3"/>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val="0"/>
        <w:spacing w:before="0" w:beforeAutospacing="0" w:after="0" w:afterAutospacing="0" w:line="360" w:lineRule="auto"/>
        <w:ind w:right="0" w:rightChars="0" w:firstLine="600" w:firstLineChars="200"/>
        <w:textAlignment w:val="auto"/>
        <w:rPr>
          <w:rFonts w:hint="eastAsia" w:ascii="宋体" w:hAnsi="宋体" w:eastAsia="宋体" w:cs="宋体"/>
          <w:b w:val="0"/>
          <w:bCs w:val="0"/>
          <w:sz w:val="30"/>
          <w:szCs w:val="30"/>
        </w:rPr>
      </w:pPr>
      <w:r>
        <w:rPr>
          <w:rFonts w:hint="eastAsia" w:cs="宋体"/>
          <w:color w:val="000000"/>
          <w:kern w:val="0"/>
          <w:sz w:val="30"/>
          <w:szCs w:val="30"/>
          <w:lang w:val="en-US" w:eastAsia="zh-CN" w:bidi="ar"/>
        </w:rPr>
        <w:t>11</w:t>
      </w:r>
      <w:r>
        <w:rPr>
          <w:rFonts w:hint="eastAsia" w:ascii="宋体" w:hAnsi="宋体" w:eastAsia="宋体" w:cs="宋体"/>
          <w:color w:val="000000"/>
          <w:kern w:val="0"/>
          <w:sz w:val="30"/>
          <w:szCs w:val="30"/>
          <w:lang w:val="en-US" w:eastAsia="zh-CN" w:bidi="ar"/>
        </w:rPr>
        <w:t>、与本工程有关的标准（包括标准图集）、规范、技术资料等。</w:t>
      </w:r>
    </w:p>
    <w:p w14:paraId="34608478">
      <w:pPr>
        <w:rPr>
          <w:rFonts w:hint="eastAsia" w:ascii="宋体" w:hAnsi="宋体" w:eastAsia="宋体" w:cs="宋体"/>
          <w:b w:val="0"/>
          <w:bCs w:val="0"/>
          <w:kern w:val="0"/>
          <w:sz w:val="32"/>
          <w:szCs w:val="32"/>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626828"/>
    <w:multiLevelType w:val="singleLevel"/>
    <w:tmpl w:val="D56268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wNGVjY2RlYmJkNTdjOTQzNjAwN2NkOGVmNGYxYTAifQ=="/>
  </w:docVars>
  <w:rsids>
    <w:rsidRoot w:val="25651A96"/>
    <w:rsid w:val="007756C4"/>
    <w:rsid w:val="03887BE8"/>
    <w:rsid w:val="06AD62E4"/>
    <w:rsid w:val="0C06066F"/>
    <w:rsid w:val="0CC31C91"/>
    <w:rsid w:val="0CF462EF"/>
    <w:rsid w:val="0D4A20A0"/>
    <w:rsid w:val="0DDE23F3"/>
    <w:rsid w:val="0F4F1CF6"/>
    <w:rsid w:val="0F8B425C"/>
    <w:rsid w:val="11A46535"/>
    <w:rsid w:val="12DF2687"/>
    <w:rsid w:val="138209D5"/>
    <w:rsid w:val="13E66D5F"/>
    <w:rsid w:val="14EB7FD7"/>
    <w:rsid w:val="17654071"/>
    <w:rsid w:val="186B3909"/>
    <w:rsid w:val="1A78055F"/>
    <w:rsid w:val="1AB570BD"/>
    <w:rsid w:val="1D4D182F"/>
    <w:rsid w:val="1F462E20"/>
    <w:rsid w:val="201A0C43"/>
    <w:rsid w:val="20336054"/>
    <w:rsid w:val="25651A96"/>
    <w:rsid w:val="28212236"/>
    <w:rsid w:val="282B4E63"/>
    <w:rsid w:val="28341F69"/>
    <w:rsid w:val="294D2A24"/>
    <w:rsid w:val="2C4B162F"/>
    <w:rsid w:val="2C560E2C"/>
    <w:rsid w:val="2E0E0B66"/>
    <w:rsid w:val="2F590507"/>
    <w:rsid w:val="2FAF6379"/>
    <w:rsid w:val="31E7556A"/>
    <w:rsid w:val="33AD7074"/>
    <w:rsid w:val="381A45AC"/>
    <w:rsid w:val="386977D8"/>
    <w:rsid w:val="389820A0"/>
    <w:rsid w:val="3B950B19"/>
    <w:rsid w:val="3CE60F00"/>
    <w:rsid w:val="414A272D"/>
    <w:rsid w:val="42181B5C"/>
    <w:rsid w:val="440536CD"/>
    <w:rsid w:val="45972130"/>
    <w:rsid w:val="45B20519"/>
    <w:rsid w:val="46873754"/>
    <w:rsid w:val="48194880"/>
    <w:rsid w:val="49EE6CAD"/>
    <w:rsid w:val="4BFB617B"/>
    <w:rsid w:val="4C862E17"/>
    <w:rsid w:val="4D0C49B3"/>
    <w:rsid w:val="4F90367A"/>
    <w:rsid w:val="50C555A5"/>
    <w:rsid w:val="51704B14"/>
    <w:rsid w:val="53514ECE"/>
    <w:rsid w:val="53D578AD"/>
    <w:rsid w:val="57945CD1"/>
    <w:rsid w:val="58056D0C"/>
    <w:rsid w:val="59923FD1"/>
    <w:rsid w:val="59975605"/>
    <w:rsid w:val="59A33FA9"/>
    <w:rsid w:val="5A7871E4"/>
    <w:rsid w:val="61A62972"/>
    <w:rsid w:val="61D81A0E"/>
    <w:rsid w:val="63061130"/>
    <w:rsid w:val="652368CA"/>
    <w:rsid w:val="6BD10E4A"/>
    <w:rsid w:val="6E9C573F"/>
    <w:rsid w:val="71F63714"/>
    <w:rsid w:val="73007AA6"/>
    <w:rsid w:val="74715D48"/>
    <w:rsid w:val="7655357C"/>
    <w:rsid w:val="771C566F"/>
    <w:rsid w:val="77AF1F8C"/>
    <w:rsid w:val="77B66D47"/>
    <w:rsid w:val="78A7540C"/>
    <w:rsid w:val="7AA15E8B"/>
    <w:rsid w:val="7F385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773</Words>
  <Characters>858</Characters>
  <Lines>0</Lines>
  <Paragraphs>0</Paragraphs>
  <TotalTime>0</TotalTime>
  <ScaleCrop>false</ScaleCrop>
  <LinksUpToDate>false</LinksUpToDate>
  <CharactersWithSpaces>861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2025-05-20T07:43:00Z</dcterms:created>
  <dc:creator>醉成你的模样</dc:creator>
  <cp:lastModifiedBy>稻草人</cp:lastModifiedBy>
  <dcterms:modified xsi:type="dcterms:W3CDTF">2026-04-08T08:35:37Z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15674A5D6E6942FF8A1C67A27D61220C_13</vt:lpwstr>
  </property>
  <property fmtid="{D5CDD505-2E9C-101B-9397-08002B2CF9AE}" pid="4" name="KSOTemplateDocerSaveRecord">
    <vt:lpwstr>eyJoZGlkIjoiYzI5NjIwNGFhYjAyZTBlNGRkM2NlNzVlMWUwYTRhYjQiLCJ1c2VySWQiOiI0NTU5NTI3MTIifQ==</vt:lpwstr>
  </property>
</Properties>
</file>