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8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85"/>
      </w:tblGrid>
      <w:tr w14:paraId="66D7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9885" w:type="dxa"/>
            <w:tcBorders>
              <w:top w:val="nil"/>
              <w:left w:val="nil"/>
              <w:bottom w:val="nil"/>
              <w:right w:val="nil"/>
            </w:tcBorders>
            <w:shd w:val="clear" w:color="auto" w:fill="auto"/>
            <w:vAlign w:val="center"/>
          </w:tcPr>
          <w:p w14:paraId="1F3DEF6A">
            <w:pPr>
              <w:keepNext w:val="0"/>
              <w:keepLines w:val="0"/>
              <w:widowControl/>
              <w:suppressLineNumbers w:val="0"/>
              <w:jc w:val="center"/>
              <w:textAlignment w:val="center"/>
              <w:rPr>
                <w:rFonts w:hint="default" w:ascii="黑体" w:hAnsi="宋体" w:eastAsia="黑体" w:cs="黑体"/>
                <w:b/>
                <w:bCs/>
                <w:i w:val="0"/>
                <w:iCs w:val="0"/>
                <w:color w:val="000000"/>
                <w:sz w:val="30"/>
                <w:szCs w:val="30"/>
                <w:u w:val="none"/>
                <w:lang w:val="en-US"/>
              </w:rPr>
            </w:pPr>
            <w:r>
              <w:rPr>
                <w:rStyle w:val="5"/>
                <w:rFonts w:eastAsia="黑体"/>
                <w:lang w:val="en-US" w:eastAsia="zh-CN" w:bidi="ar"/>
              </w:rPr>
              <w:t xml:space="preserve">  </w:t>
            </w:r>
            <w:r>
              <w:rPr>
                <w:rStyle w:val="4"/>
                <w:lang w:val="en-US" w:eastAsia="zh-CN" w:bidi="ar"/>
              </w:rPr>
              <w:t>工程量清单</w:t>
            </w:r>
            <w:r>
              <w:rPr>
                <w:rStyle w:val="4"/>
                <w:rFonts w:hint="eastAsia"/>
                <w:lang w:val="en-US" w:eastAsia="zh-CN" w:bidi="ar"/>
              </w:rPr>
              <w:t>编制说明</w:t>
            </w:r>
          </w:p>
        </w:tc>
      </w:tr>
      <w:tr w14:paraId="3C713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885" w:type="dxa"/>
            <w:tcBorders>
              <w:top w:val="nil"/>
              <w:left w:val="nil"/>
              <w:bottom w:val="nil"/>
              <w:right w:val="nil"/>
            </w:tcBorders>
            <w:shd w:val="clear" w:color="auto" w:fill="auto"/>
            <w:vAlign w:val="center"/>
          </w:tcPr>
          <w:p w14:paraId="6366BF79">
            <w:pPr>
              <w:keepNext w:val="0"/>
              <w:keepLines w:val="0"/>
              <w:widowControl/>
              <w:suppressLineNumbers w:val="0"/>
              <w:jc w:val="left"/>
              <w:textAlignment w:val="center"/>
              <w:rPr>
                <w:rFonts w:hint="default" w:ascii="Arial" w:hAnsi="Arial" w:eastAsia="宋体" w:cs="Arial"/>
                <w:b/>
                <w:bCs/>
                <w:i w:val="0"/>
                <w:iCs w:val="0"/>
                <w:color w:val="000000"/>
                <w:sz w:val="24"/>
                <w:szCs w:val="24"/>
                <w:u w:val="none"/>
              </w:rPr>
            </w:pPr>
            <w:r>
              <w:rPr>
                <w:rStyle w:val="6"/>
                <w:rFonts w:eastAsia="宋体"/>
                <w:lang w:val="en-US" w:eastAsia="zh-CN" w:bidi="ar"/>
              </w:rPr>
              <w:t xml:space="preserve">    1.</w:t>
            </w:r>
            <w:r>
              <w:rPr>
                <w:rStyle w:val="7"/>
                <w:lang w:val="en-US" w:eastAsia="zh-CN" w:bidi="ar"/>
              </w:rPr>
              <w:t>工程量清单说明</w:t>
            </w:r>
          </w:p>
        </w:tc>
      </w:tr>
      <w:tr w14:paraId="001A3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5" w:hRule="atLeast"/>
        </w:trPr>
        <w:tc>
          <w:tcPr>
            <w:tcW w:w="9885" w:type="dxa"/>
            <w:tcBorders>
              <w:top w:val="nil"/>
              <w:left w:val="nil"/>
              <w:bottom w:val="nil"/>
              <w:right w:val="nil"/>
            </w:tcBorders>
            <w:shd w:val="clear" w:color="auto" w:fill="auto"/>
            <w:vAlign w:val="center"/>
          </w:tcPr>
          <w:p w14:paraId="533A0DCA">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1.1 </w:t>
            </w:r>
            <w:r>
              <w:rPr>
                <w:rStyle w:val="9"/>
                <w:lang w:val="en-US" w:eastAsia="zh-CN" w:bidi="ar"/>
              </w:rPr>
              <w:t>本工程量清单是根据招标文件中包括的有合同约束力的工程量清单计量规则、图纸以及有关工程量清单的国家标准、行业标准、合同条款中约定的其他规则编制。约定计量规则中没有的子目，其工程量按照有合同约束力的图纸所标示尺寸的理论净量计算。计量采用中华人民共和国法定计量单位。</w:t>
            </w:r>
          </w:p>
        </w:tc>
      </w:tr>
      <w:tr w14:paraId="21EA6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885" w:type="dxa"/>
            <w:tcBorders>
              <w:top w:val="nil"/>
              <w:left w:val="nil"/>
              <w:bottom w:val="nil"/>
              <w:right w:val="nil"/>
            </w:tcBorders>
            <w:shd w:val="clear" w:color="auto" w:fill="auto"/>
            <w:vAlign w:val="center"/>
          </w:tcPr>
          <w:p w14:paraId="71EDDE08">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1.2</w:t>
            </w:r>
            <w:r>
              <w:rPr>
                <w:rStyle w:val="9"/>
                <w:lang w:val="en-US" w:eastAsia="zh-CN" w:bidi="ar"/>
              </w:rPr>
              <w:t>本工程量清单应与招标文件中的投标人须知，通用合同条款、专用合同条款、工程量清单计量规则、技术规范及图纸等一起阅读和理解。</w:t>
            </w:r>
          </w:p>
        </w:tc>
      </w:tr>
      <w:tr w14:paraId="0540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9885" w:type="dxa"/>
            <w:tcBorders>
              <w:top w:val="nil"/>
              <w:left w:val="nil"/>
              <w:bottom w:val="nil"/>
              <w:right w:val="nil"/>
            </w:tcBorders>
            <w:shd w:val="clear" w:color="auto" w:fill="auto"/>
            <w:vAlign w:val="center"/>
          </w:tcPr>
          <w:p w14:paraId="4599FA01">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1.3</w:t>
            </w:r>
            <w:r>
              <w:rPr>
                <w:rStyle w:val="9"/>
                <w:lang w:val="en-US" w:eastAsia="zh-CN" w:bidi="ar"/>
              </w:rPr>
              <w:t>本工程量清单中所列工程数量是估算的或设计的预计数量，仅作为投标报价的共同基础，不能作为最终结算与支付的依据。实际支付应按实际完成的工程量，由承包人按工程量清单计量规则规定的计量方法，以监理人认可的尺寸、断面计量，按本工程量清单的单价和总额价计算支付金额；或根据具体情况，按合同条款第</w:t>
            </w:r>
            <w:r>
              <w:rPr>
                <w:rStyle w:val="8"/>
                <w:rFonts w:eastAsia="宋体"/>
                <w:lang w:val="en-US" w:eastAsia="zh-CN" w:bidi="ar"/>
              </w:rPr>
              <w:t>15.4</w:t>
            </w:r>
            <w:r>
              <w:rPr>
                <w:rStyle w:val="9"/>
                <w:lang w:val="en-US" w:eastAsia="zh-CN" w:bidi="ar"/>
              </w:rPr>
              <w:t>款的规定，按监理人确定的单价或总额价计算支付额。</w:t>
            </w:r>
          </w:p>
        </w:tc>
      </w:tr>
      <w:tr w14:paraId="4DF95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9885" w:type="dxa"/>
            <w:tcBorders>
              <w:top w:val="nil"/>
              <w:left w:val="nil"/>
              <w:bottom w:val="nil"/>
              <w:right w:val="nil"/>
            </w:tcBorders>
            <w:shd w:val="clear" w:color="auto" w:fill="auto"/>
            <w:vAlign w:val="center"/>
          </w:tcPr>
          <w:p w14:paraId="2B67F035">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1.4</w:t>
            </w:r>
            <w:r>
              <w:rPr>
                <w:rStyle w:val="9"/>
                <w:lang w:val="en-US" w:eastAsia="zh-CN" w:bidi="ar"/>
              </w:rPr>
              <w:t>工程量清单各章是按第八章</w:t>
            </w:r>
            <w:r>
              <w:rPr>
                <w:rStyle w:val="8"/>
                <w:rFonts w:eastAsia="宋体"/>
                <w:lang w:val="en-US" w:eastAsia="zh-CN" w:bidi="ar"/>
              </w:rPr>
              <w:t>“</w:t>
            </w:r>
            <w:r>
              <w:rPr>
                <w:rStyle w:val="9"/>
                <w:lang w:val="en-US" w:eastAsia="zh-CN" w:bidi="ar"/>
              </w:rPr>
              <w:t>工程量清单计量规则</w:t>
            </w:r>
            <w:r>
              <w:rPr>
                <w:rStyle w:val="8"/>
                <w:rFonts w:eastAsia="宋体"/>
                <w:lang w:val="en-US" w:eastAsia="zh-CN" w:bidi="ar"/>
              </w:rPr>
              <w:t>”</w:t>
            </w:r>
            <w:r>
              <w:rPr>
                <w:rStyle w:val="9"/>
                <w:lang w:val="en-US" w:eastAsia="zh-CN" w:bidi="ar"/>
              </w:rPr>
              <w:t>、第七章“技术规范”的相应章次编号的，因此，工程量清单中各章的工程子目的范围与计量等应与“工程量清单计量规则”</w:t>
            </w:r>
            <w:r>
              <w:rPr>
                <w:rStyle w:val="8"/>
                <w:rFonts w:eastAsia="宋体"/>
                <w:lang w:val="en-US" w:eastAsia="zh-CN" w:bidi="ar"/>
              </w:rPr>
              <w:t>“</w:t>
            </w:r>
            <w:r>
              <w:rPr>
                <w:rStyle w:val="9"/>
                <w:lang w:val="en-US" w:eastAsia="zh-CN" w:bidi="ar"/>
              </w:rPr>
              <w:t>技术规范</w:t>
            </w:r>
            <w:r>
              <w:rPr>
                <w:rStyle w:val="8"/>
                <w:rFonts w:eastAsia="宋体"/>
                <w:lang w:val="en-US" w:eastAsia="zh-CN" w:bidi="ar"/>
              </w:rPr>
              <w:t>”</w:t>
            </w:r>
            <w:r>
              <w:rPr>
                <w:rStyle w:val="9"/>
                <w:lang w:val="en-US" w:eastAsia="zh-CN" w:bidi="ar"/>
              </w:rPr>
              <w:t>相应章节的范围、计量与支付条款结合起来理解或解释。</w:t>
            </w:r>
          </w:p>
        </w:tc>
      </w:tr>
      <w:tr w14:paraId="0E638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885" w:type="dxa"/>
            <w:tcBorders>
              <w:top w:val="nil"/>
              <w:left w:val="nil"/>
              <w:bottom w:val="nil"/>
              <w:right w:val="nil"/>
            </w:tcBorders>
            <w:shd w:val="clear" w:color="auto" w:fill="auto"/>
            <w:vAlign w:val="center"/>
          </w:tcPr>
          <w:p w14:paraId="3632F99A">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1.5</w:t>
            </w:r>
            <w:r>
              <w:rPr>
                <w:rStyle w:val="9"/>
                <w:lang w:val="en-US" w:eastAsia="zh-CN" w:bidi="ar"/>
              </w:rPr>
              <w:t>对作业和材料的一般说明或规定，未重复写入工程量清单内，在给工程量清单各子目标价前，应参阅第七章</w:t>
            </w:r>
            <w:r>
              <w:rPr>
                <w:rStyle w:val="8"/>
                <w:rFonts w:eastAsia="宋体"/>
                <w:lang w:val="en-US" w:eastAsia="zh-CN" w:bidi="ar"/>
              </w:rPr>
              <w:t>“</w:t>
            </w:r>
            <w:r>
              <w:rPr>
                <w:rStyle w:val="9"/>
                <w:lang w:val="en-US" w:eastAsia="zh-CN" w:bidi="ar"/>
              </w:rPr>
              <w:t>技术规范</w:t>
            </w:r>
            <w:r>
              <w:rPr>
                <w:rStyle w:val="8"/>
                <w:rFonts w:eastAsia="宋体"/>
                <w:lang w:val="en-US" w:eastAsia="zh-CN" w:bidi="ar"/>
              </w:rPr>
              <w:t>”</w:t>
            </w:r>
            <w:r>
              <w:rPr>
                <w:rStyle w:val="9"/>
                <w:lang w:val="en-US" w:eastAsia="zh-CN" w:bidi="ar"/>
              </w:rPr>
              <w:t>的有关内容。</w:t>
            </w:r>
          </w:p>
        </w:tc>
      </w:tr>
      <w:tr w14:paraId="0C282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885" w:type="dxa"/>
            <w:tcBorders>
              <w:top w:val="nil"/>
              <w:left w:val="nil"/>
              <w:bottom w:val="nil"/>
              <w:right w:val="nil"/>
            </w:tcBorders>
            <w:shd w:val="clear" w:color="auto" w:fill="auto"/>
            <w:vAlign w:val="center"/>
          </w:tcPr>
          <w:p w14:paraId="0F70AFC0">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1.6</w:t>
            </w:r>
            <w:r>
              <w:rPr>
                <w:rStyle w:val="9"/>
                <w:lang w:val="en-US" w:eastAsia="zh-CN" w:bidi="ar"/>
              </w:rPr>
              <w:t>工程量清单中所列工程量的变动，丝毫不会降低或影响合同条款的效力，也不免除承包人按规定的标准进行施工和修复缺陷的责任。</w:t>
            </w:r>
          </w:p>
        </w:tc>
      </w:tr>
      <w:tr w14:paraId="3C7CB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885" w:type="dxa"/>
            <w:tcBorders>
              <w:top w:val="nil"/>
              <w:left w:val="nil"/>
              <w:bottom w:val="nil"/>
              <w:right w:val="nil"/>
            </w:tcBorders>
            <w:shd w:val="clear" w:color="auto" w:fill="auto"/>
            <w:vAlign w:val="center"/>
          </w:tcPr>
          <w:p w14:paraId="79CDCEDE">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1.7</w:t>
            </w:r>
            <w:r>
              <w:rPr>
                <w:rStyle w:val="9"/>
                <w:lang w:val="en-US" w:eastAsia="zh-CN" w:bidi="ar"/>
              </w:rPr>
              <w:t>图纸中所列的工程数量表及数量汇总表仅是提供资料，不是工程量清单的外延。当图纸与工程量清单所列数量不一致时，以工程量清单所列数量作为报价的依据。</w:t>
            </w:r>
          </w:p>
        </w:tc>
      </w:tr>
      <w:tr w14:paraId="59C3E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9885" w:type="dxa"/>
            <w:tcBorders>
              <w:top w:val="nil"/>
              <w:left w:val="nil"/>
              <w:bottom w:val="nil"/>
              <w:right w:val="nil"/>
            </w:tcBorders>
            <w:shd w:val="clear" w:color="auto" w:fill="auto"/>
            <w:vAlign w:val="center"/>
          </w:tcPr>
          <w:p w14:paraId="77DD2AB1">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w:t>
            </w:r>
            <w:r>
              <w:rPr>
                <w:rStyle w:val="6"/>
                <w:rFonts w:eastAsia="宋体"/>
                <w:lang w:val="en-US" w:eastAsia="zh-CN" w:bidi="ar"/>
              </w:rPr>
              <w:t xml:space="preserve">  2.</w:t>
            </w:r>
            <w:r>
              <w:rPr>
                <w:rStyle w:val="7"/>
                <w:lang w:val="en-US" w:eastAsia="zh-CN" w:bidi="ar"/>
              </w:rPr>
              <w:t>投标报价的说明</w:t>
            </w:r>
          </w:p>
        </w:tc>
      </w:tr>
      <w:tr w14:paraId="67532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9885" w:type="dxa"/>
            <w:tcBorders>
              <w:top w:val="nil"/>
              <w:left w:val="nil"/>
              <w:bottom w:val="nil"/>
              <w:right w:val="nil"/>
            </w:tcBorders>
            <w:shd w:val="clear" w:color="auto" w:fill="auto"/>
            <w:vAlign w:val="center"/>
          </w:tcPr>
          <w:p w14:paraId="5CC6C386">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2.1</w:t>
            </w:r>
            <w:r>
              <w:rPr>
                <w:rStyle w:val="9"/>
                <w:lang w:val="en-US" w:eastAsia="zh-CN" w:bidi="ar"/>
              </w:rPr>
              <w:t>工程量清单中的每一子目（有数量）须填入单价或价格，且只允许有一个报价。</w:t>
            </w:r>
          </w:p>
        </w:tc>
      </w:tr>
      <w:tr w14:paraId="230D2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trPr>
        <w:tc>
          <w:tcPr>
            <w:tcW w:w="9885" w:type="dxa"/>
            <w:tcBorders>
              <w:top w:val="nil"/>
              <w:left w:val="nil"/>
              <w:bottom w:val="nil"/>
              <w:right w:val="nil"/>
            </w:tcBorders>
            <w:shd w:val="clear" w:color="auto" w:fill="auto"/>
            <w:vAlign w:val="center"/>
          </w:tcPr>
          <w:p w14:paraId="583427A7">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2.2</w:t>
            </w:r>
            <w:r>
              <w:rPr>
                <w:rStyle w:val="9"/>
                <w:lang w:val="en-US" w:eastAsia="zh-CN" w:bidi="ar"/>
              </w:rPr>
              <w:t>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tc>
      </w:tr>
      <w:tr w14:paraId="03DA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9885" w:type="dxa"/>
            <w:tcBorders>
              <w:top w:val="nil"/>
              <w:left w:val="nil"/>
              <w:bottom w:val="nil"/>
              <w:right w:val="nil"/>
            </w:tcBorders>
            <w:shd w:val="clear" w:color="auto" w:fill="auto"/>
            <w:vAlign w:val="center"/>
          </w:tcPr>
          <w:p w14:paraId="5C53B6B3">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2.3</w:t>
            </w:r>
            <w:r>
              <w:rPr>
                <w:rStyle w:val="9"/>
                <w:lang w:val="en-US" w:eastAsia="zh-CN" w:bidi="ar"/>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tc>
      </w:tr>
      <w:tr w14:paraId="0D018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9885" w:type="dxa"/>
            <w:tcBorders>
              <w:top w:val="nil"/>
              <w:left w:val="nil"/>
              <w:bottom w:val="nil"/>
              <w:right w:val="nil"/>
            </w:tcBorders>
            <w:shd w:val="clear" w:color="auto" w:fill="auto"/>
            <w:vAlign w:val="center"/>
          </w:tcPr>
          <w:p w14:paraId="2DDD05B4">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2.4</w:t>
            </w:r>
            <w:r>
              <w:rPr>
                <w:rStyle w:val="9"/>
                <w:lang w:val="en-US" w:eastAsia="zh-CN" w:bidi="ar"/>
              </w:rPr>
              <w:t>符合合同条款规定的全部费用应认为已被计入有标价的工程量清单所列各子目之中，未列子目不予计量的工作，其费用应视为已分摊在本合同工程的有关子目的单价或总额价之中。</w:t>
            </w:r>
          </w:p>
        </w:tc>
      </w:tr>
      <w:tr w14:paraId="6857F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885" w:type="dxa"/>
            <w:tcBorders>
              <w:top w:val="nil"/>
              <w:left w:val="nil"/>
              <w:bottom w:val="nil"/>
              <w:right w:val="nil"/>
            </w:tcBorders>
            <w:shd w:val="clear" w:color="auto" w:fill="auto"/>
            <w:vAlign w:val="center"/>
          </w:tcPr>
          <w:p w14:paraId="7FE4C211">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2.5</w:t>
            </w:r>
            <w:r>
              <w:rPr>
                <w:rStyle w:val="9"/>
                <w:lang w:val="en-US" w:eastAsia="zh-CN" w:bidi="ar"/>
              </w:rPr>
              <w:t>承包人用于本合同工程的各类装备的提供、运输、维护、拆卸、拼装等支付的费用，已包括在工程量清单的单价或总额价之中。</w:t>
            </w:r>
          </w:p>
        </w:tc>
      </w:tr>
      <w:tr w14:paraId="53F18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9885" w:type="dxa"/>
            <w:tcBorders>
              <w:top w:val="nil"/>
              <w:left w:val="nil"/>
              <w:bottom w:val="nil"/>
              <w:right w:val="nil"/>
            </w:tcBorders>
            <w:shd w:val="clear" w:color="auto" w:fill="auto"/>
            <w:vAlign w:val="center"/>
          </w:tcPr>
          <w:p w14:paraId="61320202">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2.6</w:t>
            </w:r>
            <w:r>
              <w:rPr>
                <w:rStyle w:val="9"/>
                <w:lang w:val="en-US" w:eastAsia="zh-CN" w:bidi="ar"/>
              </w:rPr>
              <w:t>工程量清单中各项金额均以人民币（元）结算。</w:t>
            </w:r>
          </w:p>
        </w:tc>
      </w:tr>
      <w:tr w14:paraId="5A55D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9885" w:type="dxa"/>
            <w:tcBorders>
              <w:top w:val="nil"/>
              <w:left w:val="nil"/>
              <w:bottom w:val="nil"/>
              <w:right w:val="nil"/>
            </w:tcBorders>
            <w:shd w:val="clear" w:color="auto" w:fill="auto"/>
            <w:vAlign w:val="center"/>
          </w:tcPr>
          <w:p w14:paraId="7F345B64">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2.7</w:t>
            </w:r>
            <w:r>
              <w:rPr>
                <w:rStyle w:val="9"/>
                <w:lang w:val="en-US" w:eastAsia="zh-CN" w:bidi="ar"/>
              </w:rPr>
              <w:t>暂列金额（不含计日工总额）的数量及拟用子目的说明：不计取。</w:t>
            </w:r>
          </w:p>
        </w:tc>
      </w:tr>
      <w:tr w14:paraId="39597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885" w:type="dxa"/>
            <w:tcBorders>
              <w:top w:val="nil"/>
              <w:left w:val="nil"/>
              <w:bottom w:val="nil"/>
              <w:right w:val="nil"/>
            </w:tcBorders>
            <w:shd w:val="clear" w:color="auto" w:fill="auto"/>
            <w:noWrap/>
            <w:vAlign w:val="center"/>
          </w:tcPr>
          <w:p w14:paraId="792D70BA">
            <w:pPr>
              <w:keepNext w:val="0"/>
              <w:keepLines w:val="0"/>
              <w:widowControl/>
              <w:suppressLineNumbers w:val="0"/>
              <w:jc w:val="both"/>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w:t>
            </w:r>
            <w:r>
              <w:rPr>
                <w:rStyle w:val="6"/>
                <w:rFonts w:eastAsia="宋体"/>
                <w:lang w:val="en-US" w:eastAsia="zh-CN" w:bidi="ar"/>
              </w:rPr>
              <w:t xml:space="preserve"> 3.</w:t>
            </w:r>
            <w:r>
              <w:rPr>
                <w:rStyle w:val="7"/>
                <w:lang w:val="en-US" w:eastAsia="zh-CN" w:bidi="ar"/>
              </w:rPr>
              <w:t>计日工说明：无</w:t>
            </w:r>
          </w:p>
        </w:tc>
      </w:tr>
      <w:tr w14:paraId="469A2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885" w:type="dxa"/>
            <w:tcBorders>
              <w:top w:val="nil"/>
              <w:left w:val="nil"/>
              <w:bottom w:val="nil"/>
              <w:right w:val="nil"/>
            </w:tcBorders>
            <w:shd w:val="clear" w:color="auto" w:fill="auto"/>
            <w:noWrap/>
            <w:vAlign w:val="center"/>
          </w:tcPr>
          <w:p w14:paraId="3BC2CAE3">
            <w:pPr>
              <w:keepNext w:val="0"/>
              <w:keepLines w:val="0"/>
              <w:widowControl/>
              <w:suppressLineNumbers w:val="0"/>
              <w:jc w:val="both"/>
              <w:textAlignment w:val="center"/>
              <w:rPr>
                <w:rFonts w:hint="default" w:ascii="Arial" w:hAnsi="Arial" w:eastAsia="宋体" w:cs="Arial"/>
                <w:i w:val="0"/>
                <w:iCs w:val="0"/>
                <w:color w:val="000000"/>
                <w:sz w:val="24"/>
                <w:szCs w:val="24"/>
                <w:u w:val="none"/>
              </w:rPr>
            </w:pPr>
            <w:r>
              <w:rPr>
                <w:rStyle w:val="8"/>
                <w:rFonts w:eastAsia="宋体"/>
                <w:lang w:val="en-US" w:eastAsia="zh-CN" w:bidi="ar"/>
              </w:rPr>
              <w:t xml:space="preserve"> </w:t>
            </w:r>
            <w:r>
              <w:rPr>
                <w:rStyle w:val="6"/>
                <w:rFonts w:eastAsia="宋体"/>
                <w:lang w:val="en-US" w:eastAsia="zh-CN" w:bidi="ar"/>
              </w:rPr>
              <w:t xml:space="preserve">   4.</w:t>
            </w:r>
            <w:r>
              <w:rPr>
                <w:rStyle w:val="7"/>
                <w:lang w:val="en-US" w:eastAsia="zh-CN" w:bidi="ar"/>
              </w:rPr>
              <w:t>其它说明</w:t>
            </w:r>
            <w:bookmarkStart w:id="0" w:name="_GoBack"/>
            <w:bookmarkEnd w:id="0"/>
          </w:p>
        </w:tc>
      </w:tr>
      <w:tr w14:paraId="13A70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885" w:type="dxa"/>
            <w:tcBorders>
              <w:top w:val="nil"/>
              <w:left w:val="nil"/>
              <w:bottom w:val="nil"/>
              <w:right w:val="nil"/>
            </w:tcBorders>
            <w:shd w:val="clear" w:color="auto" w:fill="auto"/>
            <w:vAlign w:val="center"/>
          </w:tcPr>
          <w:p w14:paraId="022DAFED">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 xml:space="preserve">    4.2安全生产费按</w:t>
            </w:r>
            <w:r>
              <w:rPr>
                <w:rFonts w:hint="eastAsia" w:ascii="宋体" w:hAnsi="宋体" w:eastAsia="宋体" w:cs="宋体"/>
                <w:b/>
                <w:bCs/>
                <w:i w:val="0"/>
                <w:iCs w:val="0"/>
                <w:color w:val="000000"/>
                <w:kern w:val="0"/>
                <w:sz w:val="24"/>
                <w:szCs w:val="24"/>
                <w:u w:val="none"/>
                <w:lang w:val="en-US" w:eastAsia="zh-CN" w:bidi="ar"/>
              </w:rPr>
              <w:t xml:space="preserve">建筑安装工程费（不含安全生产费）1.5% </w:t>
            </w:r>
            <w:r>
              <w:rPr>
                <w:rFonts w:hint="eastAsia" w:ascii="宋体" w:hAnsi="宋体" w:eastAsia="宋体" w:cs="宋体"/>
                <w:i w:val="0"/>
                <w:iCs w:val="0"/>
                <w:color w:val="000000"/>
                <w:kern w:val="0"/>
                <w:sz w:val="24"/>
                <w:szCs w:val="24"/>
                <w:u w:val="none"/>
                <w:lang w:val="en-US" w:eastAsia="zh-CN" w:bidi="ar"/>
              </w:rPr>
              <w:t>计取，为不可竞争费，不参与报价下浮，足额计列不让利。承包人的施工安全生产费用，应当用于施工安全防护用具及设施的采购和更新、安全施工措施的落实、安全生产条件的改善，不得挪作他用。</w:t>
            </w:r>
          </w:p>
        </w:tc>
      </w:tr>
      <w:tr w14:paraId="54F51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885" w:type="dxa"/>
            <w:tcBorders>
              <w:top w:val="nil"/>
              <w:left w:val="nil"/>
              <w:bottom w:val="nil"/>
              <w:right w:val="nil"/>
            </w:tcBorders>
            <w:shd w:val="clear" w:color="auto" w:fill="auto"/>
            <w:vAlign w:val="center"/>
          </w:tcPr>
          <w:p w14:paraId="6454BF65">
            <w:pPr>
              <w:keepNext w:val="0"/>
              <w:keepLines w:val="0"/>
              <w:widowControl/>
              <w:suppressLineNumbers w:val="0"/>
              <w:ind w:firstLine="480" w:firstLineChars="20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4.3 在工程量清单报价后需附工程量清单单价分析表。</w:t>
            </w:r>
          </w:p>
        </w:tc>
      </w:tr>
      <w:tr w14:paraId="21C4A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885" w:type="dxa"/>
            <w:tcBorders>
              <w:top w:val="nil"/>
              <w:left w:val="nil"/>
              <w:bottom w:val="nil"/>
              <w:right w:val="nil"/>
            </w:tcBorders>
            <w:shd w:val="clear" w:color="auto" w:fill="auto"/>
            <w:vAlign w:val="center"/>
          </w:tcPr>
          <w:p w14:paraId="1D1D53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4.4 图纸与工程量清单所列数量不一致时，以工程量清单所列数量作为报价的依据。</w:t>
            </w:r>
          </w:p>
        </w:tc>
      </w:tr>
    </w:tbl>
    <w:p w14:paraId="0BE1A7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D2381"/>
    <w:rsid w:val="174D2381"/>
    <w:rsid w:val="43246606"/>
    <w:rsid w:val="5DD51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uiPriority w:val="0"/>
    <w:rPr>
      <w:rFonts w:hint="eastAsia" w:ascii="黑体" w:hAnsi="宋体" w:eastAsia="黑体" w:cs="黑体"/>
      <w:b/>
      <w:bCs/>
      <w:color w:val="000000"/>
      <w:sz w:val="30"/>
      <w:szCs w:val="30"/>
      <w:u w:val="none"/>
    </w:rPr>
  </w:style>
  <w:style w:type="character" w:customStyle="1" w:styleId="5">
    <w:name w:val="font71"/>
    <w:basedOn w:val="3"/>
    <w:qFormat/>
    <w:uiPriority w:val="0"/>
    <w:rPr>
      <w:rFonts w:ascii="Arial" w:hAnsi="Arial" w:cs="Arial"/>
      <w:b/>
      <w:bCs/>
      <w:color w:val="000000"/>
      <w:sz w:val="30"/>
      <w:szCs w:val="30"/>
      <w:u w:val="none"/>
    </w:rPr>
  </w:style>
  <w:style w:type="character" w:customStyle="1" w:styleId="6">
    <w:name w:val="font41"/>
    <w:basedOn w:val="3"/>
    <w:qFormat/>
    <w:uiPriority w:val="0"/>
    <w:rPr>
      <w:rFonts w:hint="default" w:ascii="Arial" w:hAnsi="Arial" w:cs="Arial"/>
      <w:b/>
      <w:bCs/>
      <w:color w:val="000000"/>
      <w:sz w:val="24"/>
      <w:szCs w:val="24"/>
      <w:u w:val="none"/>
    </w:rPr>
  </w:style>
  <w:style w:type="character" w:customStyle="1" w:styleId="7">
    <w:name w:val="font81"/>
    <w:basedOn w:val="3"/>
    <w:qFormat/>
    <w:uiPriority w:val="0"/>
    <w:rPr>
      <w:rFonts w:hint="eastAsia" w:ascii="宋体" w:hAnsi="宋体" w:eastAsia="宋体" w:cs="宋体"/>
      <w:b/>
      <w:bCs/>
      <w:color w:val="000000"/>
      <w:sz w:val="24"/>
      <w:szCs w:val="24"/>
      <w:u w:val="none"/>
    </w:rPr>
  </w:style>
  <w:style w:type="character" w:customStyle="1" w:styleId="8">
    <w:name w:val="font21"/>
    <w:basedOn w:val="3"/>
    <w:qFormat/>
    <w:uiPriority w:val="0"/>
    <w:rPr>
      <w:rFonts w:hint="default" w:ascii="Arial" w:hAnsi="Arial" w:cs="Arial"/>
      <w:color w:val="000000"/>
      <w:sz w:val="24"/>
      <w:szCs w:val="24"/>
      <w:u w:val="none"/>
    </w:rPr>
  </w:style>
  <w:style w:type="character" w:customStyle="1" w:styleId="9">
    <w:name w:val="font5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1298</Words>
  <Characters>1342</Characters>
  <Lines>0</Lines>
  <Paragraphs>0</Paragraphs>
  <TotalTime>7</TotalTime>
  <ScaleCrop>false</ScaleCrop>
  <LinksUpToDate>false</LinksUpToDate>
  <CharactersWithSpaces>1485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2026-04-20T01:34:00Z</dcterms:created>
  <dc:creator>白云霞</dc:creator>
  <cp:lastModifiedBy>白云霞</cp:lastModifiedBy>
  <dcterms:modified xsi:type="dcterms:W3CDTF">2026-05-16T08:30:26Z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F58D9DD8BD4942E68C7CB0240B9A8387_11</vt:lpwstr>
  </property>
  <property fmtid="{D5CDD505-2E9C-101B-9397-08002B2CF9AE}" pid="4" name="KSOTemplateDocerSaveRecord">
    <vt:lpwstr>eyJoZGlkIjoiMGIwMGVjMWYzZjBjMTlmZDAyNDY4MTBhMDIyYmQ3ZGUiLCJ1c2VySWQiOiIyMjgwMjkzNTEifQ==</vt:lpwstr>
  </property>
</Properties>
</file>