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1291" w:tblpY="-44"/>
        <w:tblOverlap w:val="never"/>
        <w:tblW w:w="9425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6"/>
        <w:gridCol w:w="1573"/>
        <w:gridCol w:w="3465"/>
        <w:gridCol w:w="1974"/>
        <w:gridCol w:w="1657"/>
      </w:tblGrid>
      <w:tr w14:paraId="7E3FC2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" w:hRule="atLeast"/>
        </w:trPr>
        <w:tc>
          <w:tcPr>
            <w:tcW w:w="9425" w:type="dxa"/>
            <w:gridSpan w:val="5"/>
            <w:vAlign w:val="center"/>
          </w:tcPr>
          <w:p w14:paraId="20F8DA4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/>
                <w:b/>
                <w:bCs/>
                <w:lang w:val="en-US" w:eastAsia="zh-CN"/>
              </w:rPr>
            </w:pPr>
            <w:bookmarkStart w:id="0" w:name="_GoBack"/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  <w:szCs w:val="24"/>
              </w:rPr>
              <w:t>项目分项需求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  <w:szCs w:val="24"/>
                <w:lang w:val="en-US" w:eastAsia="zh-CN"/>
              </w:rPr>
              <w:t>及分项控制价</w:t>
            </w:r>
            <w:bookmarkEnd w:id="0"/>
          </w:p>
        </w:tc>
      </w:tr>
      <w:tr w14:paraId="4B1172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756" w:type="dxa"/>
            <w:vAlign w:val="center"/>
          </w:tcPr>
          <w:p w14:paraId="4333509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573" w:type="dxa"/>
            <w:vAlign w:val="center"/>
          </w:tcPr>
          <w:p w14:paraId="148B5E5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服务类别</w:t>
            </w:r>
          </w:p>
        </w:tc>
        <w:tc>
          <w:tcPr>
            <w:tcW w:w="3465" w:type="dxa"/>
            <w:vAlign w:val="center"/>
          </w:tcPr>
          <w:p w14:paraId="6393F6C2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核心服务细化内容</w:t>
            </w:r>
          </w:p>
        </w:tc>
        <w:tc>
          <w:tcPr>
            <w:tcW w:w="1974" w:type="dxa"/>
            <w:vAlign w:val="center"/>
          </w:tcPr>
          <w:p w14:paraId="10D0AE8D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交付成果</w:t>
            </w:r>
          </w:p>
        </w:tc>
        <w:tc>
          <w:tcPr>
            <w:tcW w:w="1657" w:type="dxa"/>
            <w:vAlign w:val="center"/>
          </w:tcPr>
          <w:p w14:paraId="5179C0E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服务金额（元）</w:t>
            </w:r>
          </w:p>
        </w:tc>
      </w:tr>
      <w:tr w14:paraId="575FE9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756" w:type="dxa"/>
            <w:vAlign w:val="center"/>
          </w:tcPr>
          <w:p w14:paraId="20649B8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573" w:type="dxa"/>
            <w:vAlign w:val="center"/>
          </w:tcPr>
          <w:p w14:paraId="10734DA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双拥体系整体策划与视觉标准化服务</w:t>
            </w:r>
          </w:p>
        </w:tc>
        <w:tc>
          <w:tcPr>
            <w:tcW w:w="3465" w:type="dxa"/>
            <w:vAlign w:val="center"/>
          </w:tcPr>
          <w:p w14:paraId="6F1E7D3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1. 本土双拥文史挖掘梳理服务： 对接旗退役军人事务局 、党史和地方志研究室 、辖区工矿企业 、牧区苏木， 系统梳理准格尔旗百年双拥发展脉络，完善本土革命拥军 、蒙汉军民共建相关文史素材， 形成完整本土双拥文史资料库；</w:t>
            </w:r>
          </w:p>
          <w:p w14:paraId="1238398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2. 分层分类内容体系策划： 构建适配党政干部 、部队官兵 、中小学生 、牧区群众 、退役军人不同群体的分层宣讲内容体系 ，规划室内外宣传栏 、展板、主题场景、互动点位整体布局，采用史料图文宣传栏 、展板 、情景场景 、互动科普相结合的多元化模式；3. 基地统一视觉识别系统（VI）规范编制： 制定基地宣传栏 、展板 、场景 、标识专属标准色调 、字体 、蒙汉双语使用规范；</w:t>
            </w:r>
          </w:p>
          <w:p w14:paraId="79C89CA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4. 全基地参观动线 、功能分区 、宣传栏 、展板点位 、场景布置规划及配套效果方案编制， 所有方案经甲方 、党史主管部门联合审核确认后， 方可开展后续配套服务。</w:t>
            </w:r>
          </w:p>
        </w:tc>
        <w:tc>
          <w:tcPr>
            <w:tcW w:w="1974" w:type="dxa"/>
            <w:vAlign w:val="center"/>
          </w:tcPr>
          <w:p w14:paraId="7EFBCA6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完整双拥策划方案 、本土双拥文史汇编资料 、基地全套 VI 规范源文件 、全基地宣传栏 、展板与场景布局图纸 、标准化蒙汉双语宣讲文案库</w:t>
            </w:r>
          </w:p>
        </w:tc>
        <w:tc>
          <w:tcPr>
            <w:tcW w:w="1657" w:type="dxa"/>
            <w:vAlign w:val="center"/>
          </w:tcPr>
          <w:p w14:paraId="1785D892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250000.00</w:t>
            </w:r>
          </w:p>
        </w:tc>
      </w:tr>
      <w:tr w14:paraId="74378F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4" w:hRule="atLeast"/>
        </w:trPr>
        <w:tc>
          <w:tcPr>
            <w:tcW w:w="756" w:type="dxa"/>
            <w:shd w:val="clear" w:color="auto" w:fill="auto"/>
            <w:vAlign w:val="center"/>
          </w:tcPr>
          <w:p w14:paraId="0A538BD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A22AE2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户外双拥主题景观、宣传栏 、展板场景配套服务</w:t>
            </w:r>
          </w:p>
        </w:tc>
        <w:tc>
          <w:tcPr>
            <w:tcW w:w="3465" w:type="dxa"/>
            <w:shd w:val="clear" w:color="auto" w:fill="auto"/>
            <w:vAlign w:val="center"/>
          </w:tcPr>
          <w:p w14:paraId="62A6279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1. 户外场地实地勘测与适配规划： 实地核查户外区域场地条件 、荷载 、通行及消防空间，结合鄂尔多斯北部风沙 、昼夜温差大 、雨雪多发气候特点，规划户外主题宣传栏 、展板 、景观点位、体量，保障宣传栏、展板 、景观不遮挡通行 、消防通道；</w:t>
            </w:r>
          </w:p>
          <w:p w14:paraId="4DF4560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2. 户外宣传栏 、展板与主题景观配套制作： 户外双拥宣传宣传栏 、展板 、主题纪念景观 、文化浮雕 、配套基座定制， 宣传栏 、展板 、景观高度兼顾成人 、 中小学生参观视角， 保障宣传栏 、展板图文 、双语介绍文字清晰可读； 所有户外宣传栏 、展板 、景观采用防冻 、防晒 、防腐 、防雨防渗耐候工艺；</w:t>
            </w:r>
          </w:p>
          <w:p w14:paraId="393AA89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3. 户外宣传栏 、展板安装 、景观布设、双语标识配套安装 、场地清理及阶段性验收配合服务。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60A226FF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户外双拥主题宣传宣传  栏、展板、户外景观成品、标准化蒙汉双语介绍标  识 、户外宣传栏 、展板及景观日常养护使用指引</w:t>
            </w:r>
          </w:p>
        </w:tc>
        <w:tc>
          <w:tcPr>
            <w:tcW w:w="1657" w:type="dxa"/>
            <w:shd w:val="clear" w:color="auto" w:fill="auto"/>
            <w:vAlign w:val="center"/>
          </w:tcPr>
          <w:p w14:paraId="1249956F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400000.00</w:t>
            </w:r>
          </w:p>
        </w:tc>
      </w:tr>
      <w:tr w14:paraId="64636A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756" w:type="dxa"/>
            <w:shd w:val="clear" w:color="auto" w:fill="auto"/>
            <w:vAlign w:val="center"/>
          </w:tcPr>
          <w:p w14:paraId="7990FF6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3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7CA93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国防军事主题分层宣传栏、展板、场景体验配套服务</w:t>
            </w:r>
          </w:p>
        </w:tc>
        <w:tc>
          <w:tcPr>
            <w:tcW w:w="3465" w:type="dxa"/>
            <w:shd w:val="clear" w:color="auto" w:fill="auto"/>
            <w:vAlign w:val="center"/>
          </w:tcPr>
          <w:p w14:paraId="67C1688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1. 十大功能分区差异化宣讲内容编审服务： 紧扣双拥共建 、全民国防 、北疆戍边 、民族团结主线，为各分区定制宣传栏、展板文案 、场景讲解词， 避免板块内容重复； 所有宣传栏 、展板文字 、场景解说严格遵循党史 、军史 、国防法及双拥政策官方表述， 本土戍边 、拥军相关文史内容经旗退役军人事务局 、党史办双重审核， 全域宣传栏 、展板 、场景标识统一使用蒙汉双语；</w:t>
            </w:r>
          </w:p>
          <w:p w14:paraId="04D8BBE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2. 分区宣传栏 、展板布置与场景环境优化配套： 规划各独立区域宣传栏 、展板排布方式 、场景造景布局， 分层布设展区照明 、分区隔音降噪处理， 地面防滑 、墙面防护改造， 适配全年龄段群众参观学习；</w:t>
            </w:r>
          </w:p>
          <w:p w14:paraId="6B50EA62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3. 标准化配套落地： 统一视觉体系的室内主题宣传栏、展板、历史装备复刻教具、微型场景、自助语音讲解系统配套布设；</w:t>
            </w:r>
          </w:p>
          <w:p w14:paraId="74C7E30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4. 全域安全配套升级：宣传栏、展板线路 、电气线路规整并做防火防护， 提供相关仿真教具并做钝化无尖角处理， 互动学习设备加装断电保护， 全域张贴蒙汉双语活动安全提示。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3941B37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十大分区完整宣传栏 、展板文稿 、场景讲解词 、展</w:t>
            </w:r>
          </w:p>
          <w:p w14:paraId="352B354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区宣传栏、展板布置成品、场景环境优化配套 、全套宣讲教具与语音讲解系  统 、全域安全提示标识</w:t>
            </w:r>
          </w:p>
        </w:tc>
        <w:tc>
          <w:tcPr>
            <w:tcW w:w="1657" w:type="dxa"/>
            <w:shd w:val="clear" w:color="auto" w:fill="auto"/>
            <w:vAlign w:val="center"/>
          </w:tcPr>
          <w:p w14:paraId="34A1988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500000.00</w:t>
            </w:r>
          </w:p>
        </w:tc>
      </w:tr>
      <w:tr w14:paraId="504B19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2" w:hRule="atLeast"/>
        </w:trPr>
        <w:tc>
          <w:tcPr>
            <w:tcW w:w="756" w:type="dxa"/>
            <w:shd w:val="clear" w:color="auto" w:fill="auto"/>
            <w:vAlign w:val="center"/>
          </w:tcPr>
          <w:p w14:paraId="5B5A7427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3AA8D26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双拥典型事迹沉浸式情景宣传栏、展板、场景配套服务</w:t>
            </w:r>
          </w:p>
        </w:tc>
        <w:tc>
          <w:tcPr>
            <w:tcW w:w="3465" w:type="dxa"/>
            <w:shd w:val="clear" w:color="auto" w:fill="auto"/>
            <w:vAlign w:val="center"/>
          </w:tcPr>
          <w:p w14:paraId="76AFC43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1.  文史内容严谨校对服务： 场景宣传栏 、展板图文 、情景造景涉及的人物 、服饰 、装备 、历史时间节点 、事件细节全部对照权威党史 、军史资料逐一核对， 英烈宣传栏 、展板 、实景场景形象保持庄重肃穆， 杜绝卡通化 、娱乐化改编；</w:t>
            </w:r>
          </w:p>
          <w:p w14:paraId="7976E2C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2. 户外情景宣传栏 、展板 、实景场景配套打造： 双拥事迹主题宣传栏 、展板 、情景还原造景 、配套道具制作， 全部户外宣传栏 、展板 、场景设施采用抗风沙 、防冻防晒防雨耐候工艺；</w:t>
            </w:r>
          </w:p>
          <w:p w14:paraId="206995A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3.   参观动线与宣传栏、展板点位优化配套： 各组场景 、宣传栏 、展板之间预留群众通行 、集体教学集中站位空间， 不占用消防通道； 场地地面防滑硬化， 配套无障碍通行设施；</w:t>
            </w:r>
          </w:p>
          <w:p w14:paraId="0B3C630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4. 全套户外宣传栏 、展板 、情景场景现场布设 、双语解说标识安装 、场地清理 、验收配合服务。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3792C6F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文史校对完整档案 、户外主题宣传宣传栏 、展板 、实景全套场景配套设施 、无障碍通行配套 、蒙汉双语场景解说标识系统</w:t>
            </w:r>
          </w:p>
        </w:tc>
        <w:tc>
          <w:tcPr>
            <w:tcW w:w="1657" w:type="dxa"/>
            <w:shd w:val="clear" w:color="auto" w:fill="auto"/>
            <w:vAlign w:val="center"/>
          </w:tcPr>
          <w:p w14:paraId="3384034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800000.00</w:t>
            </w:r>
          </w:p>
        </w:tc>
      </w:tr>
      <w:tr w14:paraId="4080DC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56" w:type="dxa"/>
            <w:shd w:val="clear" w:color="auto" w:fill="auto"/>
            <w:vAlign w:val="center"/>
          </w:tcPr>
          <w:p w14:paraId="0C64EC3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5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60C23C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双拥发展历程与全军十大英模主题宣传栏、展板专栏配套服务</w:t>
            </w:r>
          </w:p>
        </w:tc>
        <w:tc>
          <w:tcPr>
            <w:tcW w:w="3465" w:type="dxa"/>
            <w:shd w:val="clear" w:color="auto" w:fill="auto"/>
            <w:vAlign w:val="center"/>
          </w:tcPr>
          <w:p w14:paraId="3458C22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1. 本土双拥发展史料系统整编服务：依托旗退役军人事务局、党史和地方志研究室官方存档资料， 系统梳理建旗以来拥军优属 、拥政爱民发展全过程，重点挖掘绥蒙革命拥军 、工矿企业拥军、牧区蒙汉军民共建、新时代双拥模范创建本土特色内容，形成标准化双语宣传栏、展板文案；</w:t>
            </w:r>
          </w:p>
          <w:p w14:paraId="42EB60C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2. 全军十大英模标准化宣传  栏、展板内容适配服务：严格采用中央军委官方发布十大英模标准资料，英模主题宣传栏、展板肖像、生平事迹、官方评价完整引用权威原文，不擅自删减、改编、娱乐化处理；</w:t>
            </w:r>
          </w:p>
          <w:p w14:paraId="27E4188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3. 主题专栏宣传栏、展板视觉设计、双语图文制作、宣传栏、展板现场布置调试服务。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771FC07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本土双拥发展完整文史资料 、标准化英模主题宣传栏 、展板专栏 、展区宣传栏 、展板布置完工成品</w:t>
            </w:r>
          </w:p>
        </w:tc>
        <w:tc>
          <w:tcPr>
            <w:tcW w:w="1657" w:type="dxa"/>
            <w:shd w:val="clear" w:color="auto" w:fill="auto"/>
            <w:vAlign w:val="center"/>
          </w:tcPr>
          <w:p w14:paraId="36DD2A1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500000.00</w:t>
            </w:r>
          </w:p>
        </w:tc>
      </w:tr>
      <w:tr w14:paraId="1121A9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56" w:type="dxa"/>
            <w:shd w:val="clear" w:color="auto" w:fill="auto"/>
            <w:vAlign w:val="center"/>
          </w:tcPr>
          <w:p w14:paraId="70471F7F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6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9CDC3F7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园区导览指引 、教学打卡 、休憩区宣传宣传栏、展板场景配套服务</w:t>
            </w:r>
          </w:p>
        </w:tc>
        <w:tc>
          <w:tcPr>
            <w:tcW w:w="3465" w:type="dxa"/>
            <w:shd w:val="clear" w:color="auto" w:fill="auto"/>
            <w:vAlign w:val="center"/>
          </w:tcPr>
          <w:p w14:paraId="3F8465B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1. 一体化视觉融合设计： 园区导览标识 、教学打卡场景 、休憩区宣传宣传栏 、展板统一基地视觉规范，融合双拥 、国防、民族团结 、准格尔工矿 、蒙古族草原文化元素；</w:t>
            </w:r>
          </w:p>
          <w:p w14:paraId="26E9F61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2. 全域导览标识、宣传宣传栏、展板布设服务：在园区出入口、道路岔口 、功能分区交界处设置蒙汉双语导览标识与小型宣传宣传栏 、展板， 清晰标注参观路线；</w:t>
            </w:r>
          </w:p>
          <w:p w14:paraId="4565AF5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3. 便民休憩场景打造： 在园区合理点位设置群众休憩区域，配套轻量化双拥宣传宣传栏 、展板 、教学打卡小场景， 兼顾群众休息与常态化碎片化国防双拥。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6CF2A04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园区全套蒙汉双语导览标识 、双拥宣传宣传栏 、展板 、教学打卡景观场景 、休憩区配套宣教载体</w:t>
            </w:r>
          </w:p>
        </w:tc>
        <w:tc>
          <w:tcPr>
            <w:tcW w:w="1657" w:type="dxa"/>
            <w:shd w:val="clear" w:color="auto" w:fill="auto"/>
            <w:vAlign w:val="center"/>
          </w:tcPr>
          <w:p w14:paraId="3439212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150000.00</w:t>
            </w:r>
          </w:p>
        </w:tc>
      </w:tr>
      <w:tr w14:paraId="37520B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56" w:type="dxa"/>
            <w:shd w:val="clear" w:color="auto" w:fill="auto"/>
            <w:vAlign w:val="center"/>
          </w:tcPr>
          <w:p w14:paraId="0CC2026F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7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7BE33CD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双拥国防主题宣传资料定制服务</w:t>
            </w:r>
          </w:p>
        </w:tc>
        <w:tc>
          <w:tcPr>
            <w:tcW w:w="3465" w:type="dxa"/>
            <w:shd w:val="clear" w:color="auto" w:fill="auto"/>
            <w:vAlign w:val="center"/>
          </w:tcPr>
          <w:p w14:paraId="5FD030CF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1. 分层宣讲资料文案策划： 分成人正式版 、青少年简易版两套宣讲资料， 适配不同人群阅读学习； 所有双拥政策 、英烈事迹 、本土拥军案例均以退役军人事务局 、党史办权威资料为准，提前完成宣传栏 、展板、宣传资料内容审核， 杜绝史实错误；</w:t>
            </w:r>
          </w:p>
          <w:p w14:paraId="6AAB7CC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2. 统一标准化视觉设计： 全部宣传资料 、宣传栏 、展板版式统一基地视觉规范；</w:t>
            </w:r>
          </w:p>
          <w:p w14:paraId="1965E06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3.   批量资料印制交付服务，严格把控内容意识形态导向， 英模 、军人 、戍边相关宣传栏 、展板图文保持庄重严肃， 杜绝戏谑 、娱乐化表达。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64444EC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分版本成套双拥国防宣传资料 、宣传栏 、展板配套</w:t>
            </w:r>
          </w:p>
          <w:p w14:paraId="1367B9D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设计源文件</w:t>
            </w:r>
          </w:p>
        </w:tc>
        <w:tc>
          <w:tcPr>
            <w:tcW w:w="1657" w:type="dxa"/>
            <w:shd w:val="clear" w:color="auto" w:fill="auto"/>
            <w:vAlign w:val="center"/>
          </w:tcPr>
          <w:p w14:paraId="6897749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100000.00</w:t>
            </w:r>
          </w:p>
        </w:tc>
      </w:tr>
      <w:tr w14:paraId="4B1A34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3" w:hRule="atLeast"/>
        </w:trPr>
        <w:tc>
          <w:tcPr>
            <w:tcW w:w="756" w:type="dxa"/>
            <w:shd w:val="clear" w:color="auto" w:fill="auto"/>
            <w:vAlign w:val="center"/>
          </w:tcPr>
          <w:p w14:paraId="370C7A8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8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2CC1B6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中小学生爱国主义双拥国防教学活动组织服务</w:t>
            </w:r>
          </w:p>
        </w:tc>
        <w:tc>
          <w:tcPr>
            <w:tcW w:w="3465" w:type="dxa"/>
            <w:shd w:val="clear" w:color="auto" w:fill="auto"/>
            <w:vAlign w:val="center"/>
          </w:tcPr>
          <w:p w14:paraId="4995DAF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基地具备教学接待条件后， 统筹开展中小学生主题参观学习全流程服务： 1. 统一分批次组织 、往返接送协调配套服务；年度组织不少于3 场各类双拥主题教学活动， 学生可有序参观基地各类主题宣传栏、展板、场景， 单场参与学生不少于 100 人；</w:t>
            </w:r>
          </w:p>
          <w:p w14:paraId="01A1C7A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邀请国防专家 、退役军人 、老军人结合宣传栏 、展板 、实景场景内容开展爱国主义专题授课； 备注：学生往返交通相关费用由甲方自行承担。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352C216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完整教学活动执行方案 、专题授课课件 、全流程现场组织服务 、活动影像归档资料</w:t>
            </w:r>
          </w:p>
        </w:tc>
        <w:tc>
          <w:tcPr>
            <w:tcW w:w="1657" w:type="dxa"/>
            <w:shd w:val="clear" w:color="auto" w:fill="auto"/>
            <w:vAlign w:val="center"/>
          </w:tcPr>
          <w:p w14:paraId="0BA743E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50000.00</w:t>
            </w:r>
          </w:p>
        </w:tc>
      </w:tr>
      <w:tr w14:paraId="3F116D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2" w:hRule="atLeast"/>
        </w:trPr>
        <w:tc>
          <w:tcPr>
            <w:tcW w:w="756" w:type="dxa"/>
            <w:shd w:val="clear" w:color="auto" w:fill="auto"/>
            <w:vAlign w:val="center"/>
          </w:tcPr>
          <w:p w14:paraId="51D9B59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9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A65EE97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退役军人军旅主题重温活动组织服务</w:t>
            </w:r>
          </w:p>
        </w:tc>
        <w:tc>
          <w:tcPr>
            <w:tcW w:w="3465" w:type="dxa"/>
            <w:shd w:val="clear" w:color="auto" w:fill="auto"/>
            <w:vAlign w:val="center"/>
          </w:tcPr>
          <w:p w14:paraId="756A9D9D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年度组织  1 场退伍老兵专场参观学习活动， 组织老兵参观基地双拥历程宣传栏 、展板 、军事场景， 统筹现场军旅主题分享 、退役军人宣誓等全流程组织工作， 不限参与人数， 提供活动流程策划 、现场引导 、氛围配套全流程服务。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1E2E13B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退役军人专场活动执行方案、现场全流程组织实施、活动影像归档资料</w:t>
            </w:r>
          </w:p>
        </w:tc>
        <w:tc>
          <w:tcPr>
            <w:tcW w:w="1657" w:type="dxa"/>
            <w:shd w:val="clear" w:color="auto" w:fill="auto"/>
            <w:vAlign w:val="center"/>
          </w:tcPr>
          <w:p w14:paraId="493D722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30000.00</w:t>
            </w:r>
          </w:p>
        </w:tc>
      </w:tr>
      <w:tr w14:paraId="61E819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9" w:hRule="atLeast"/>
        </w:trPr>
        <w:tc>
          <w:tcPr>
            <w:tcW w:w="756" w:type="dxa"/>
            <w:shd w:val="clear" w:color="auto" w:fill="auto"/>
            <w:vAlign w:val="center"/>
          </w:tcPr>
          <w:p w14:paraId="7A4E0C6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10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1802F0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预征青年国防双拥专题</w:t>
            </w:r>
          </w:p>
          <w:p w14:paraId="151D943D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活动组织服务</w:t>
            </w:r>
          </w:p>
        </w:tc>
        <w:tc>
          <w:tcPr>
            <w:tcW w:w="3465" w:type="dxa"/>
            <w:shd w:val="clear" w:color="auto" w:fill="auto"/>
            <w:vAlign w:val="center"/>
          </w:tcPr>
          <w:p w14:paraId="1F8A7F3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年度组织 1 场应征青年专题参观活动， 组织青年学习基地国防 、双拥主题宣传栏 、展板与实景场景， 统筹现场国防知识学习 、入伍宣誓 、征兵双拥政策宣讲全流程引导组织服务。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5816DE77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新兵专题活动执行方案 、现场全流程组织实施 、活动影像归档资料</w:t>
            </w:r>
          </w:p>
        </w:tc>
        <w:tc>
          <w:tcPr>
            <w:tcW w:w="1657" w:type="dxa"/>
            <w:shd w:val="clear" w:color="auto" w:fill="auto"/>
            <w:vAlign w:val="center"/>
          </w:tcPr>
          <w:p w14:paraId="06205E9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20000.00</w:t>
            </w:r>
          </w:p>
        </w:tc>
      </w:tr>
    </w:tbl>
    <w:p w14:paraId="445BC7DF">
      <w:pPr>
        <w:spacing w:before="79" w:line="225" w:lineRule="auto"/>
        <w:outlineLvl w:val="0"/>
        <w:rPr>
          <w:rFonts w:ascii="宋体" w:hAnsi="宋体" w:eastAsia="宋体" w:cs="宋体"/>
          <w:sz w:val="31"/>
          <w:szCs w:val="31"/>
        </w:rPr>
      </w:pPr>
    </w:p>
    <w:p w14:paraId="3A2620ED">
      <w:pPr>
        <w:spacing w:line="196" w:lineRule="exact"/>
      </w:pPr>
    </w:p>
    <w:p w14:paraId="13CF1F1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hint="eastAsia" w:asciiTheme="majorEastAsia" w:hAnsiTheme="majorEastAsia" w:eastAsiaTheme="majorEastAsia" w:cstheme="majorEastAsia"/>
          <w:b/>
          <w:bCs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4"/>
          <w:szCs w:val="24"/>
          <w:lang w:val="en-US" w:eastAsia="zh-CN"/>
        </w:rPr>
        <w:t>注：1、本项目分项需求</w:t>
      </w:r>
      <w:r>
        <w:rPr>
          <w:rFonts w:hint="eastAsia" w:asciiTheme="majorEastAsia" w:hAnsiTheme="majorEastAsia" w:eastAsiaTheme="majorEastAsia" w:cstheme="majorEastAsia"/>
          <w:b/>
          <w:bCs/>
          <w:sz w:val="24"/>
          <w:szCs w:val="24"/>
          <w:lang w:val="en-US" w:eastAsia="zh-CN"/>
        </w:rPr>
        <w:t>及分项控制价为变更新增内容，与招标文件具备同等法律效力。</w:t>
      </w:r>
    </w:p>
    <w:p w14:paraId="79F10D0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hint="default" w:asciiTheme="majorEastAsia" w:hAnsiTheme="majorEastAsia" w:eastAsiaTheme="minorEastAsia" w:cstheme="majorEastAsia"/>
          <w:b/>
          <w:bCs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4"/>
          <w:szCs w:val="24"/>
          <w:lang w:val="en-US" w:eastAsia="zh-CN"/>
        </w:rPr>
        <w:t>2、供应商中标后必须响应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核心服务细化内容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及交付成功中的要求。</w:t>
      </w:r>
    </w:p>
    <w:p w14:paraId="5F08CAD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hint="default" w:asciiTheme="majorEastAsia" w:hAnsiTheme="majorEastAsia" w:eastAsiaTheme="majorEastAsia" w:cstheme="majorEastAsia"/>
          <w:b/>
          <w:bCs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4"/>
          <w:szCs w:val="24"/>
          <w:lang w:val="en-US" w:eastAsia="zh-CN"/>
        </w:rPr>
        <w:t>3、供应商需在投标文件中必须按照本表内容进行分项报价，且不能超过分项控制价。如无分项报价会被否决投标。</w:t>
      </w:r>
    </w:p>
    <w:sectPr>
      <w:pgSz w:w="11911" w:h="16838"/>
      <w:pgMar w:top="1417" w:right="1242" w:bottom="1417" w:left="1242" w:header="0" w:footer="0" w:gutter="0"/>
      <w:paperSrc/>
      <w:cols w:space="0" w:num="1"/>
      <w:rtlGutter w:val="0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HorizontalSpacing w:val="210"/>
  <w:drawingGridVerticalSpacing w:val="99999990"/>
  <w:displayHorizontalDrawingGridEvery w:val="1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4D36DF"/>
    <w:rsid w:val="414D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2026-09-24T01:31:00Z</dcterms:created>
  <dc:creator>lenovo</dc:creator>
  <cp:lastModifiedBy>lenovo</cp:lastModifiedBy>
  <dcterms:modified xsi:type="dcterms:W3CDTF">2026-09-24T01:51:04Z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B6BA6D03E1D0459895EF1C99CF870009_11</vt:lpwstr>
  </property>
  <property fmtid="{D5CDD505-2E9C-101B-9397-08002B2CF9AE}" pid="4" name="KSOTemplateDocerSaveRecord">
    <vt:lpwstr>eyJoZGlkIjoiNWI2ODE4OGExYzFhNjZhNjNiYmU5Y2ZkYjFiOWM0ZjQiLCJ1c2VySWQiOiIxNzAzNzIzMTYzIn0=</vt:lpwstr>
  </property>
</Properties>
</file>