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A45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分项报价表（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包四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）</w:t>
      </w:r>
    </w:p>
    <w:tbl>
      <w:tblPr>
        <w:tblStyle w:val="2"/>
        <w:tblW w:w="144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2262"/>
        <w:gridCol w:w="2065"/>
        <w:gridCol w:w="2395"/>
        <w:gridCol w:w="2395"/>
        <w:gridCol w:w="2395"/>
        <w:gridCol w:w="2397"/>
      </w:tblGrid>
      <w:tr w14:paraId="0D85E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09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 w:colFirst="3" w:colLast="6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06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租赁内容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7E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数量（车道）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F9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数据服务费单价限价（元/月）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EC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12个月数据服务费总价限价（元/年）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4C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数据服务费报价单价（元/月）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9E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12个月数据服务费报价总价（元/年）</w:t>
            </w:r>
          </w:p>
        </w:tc>
      </w:tr>
      <w:bookmarkEnd w:id="0"/>
      <w:tr w14:paraId="4F4CA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44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4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一、乌海市政法委专线</w:t>
            </w:r>
          </w:p>
        </w:tc>
      </w:tr>
      <w:tr w14:paraId="06C1F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FE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C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100M线路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9C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22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BE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64800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86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AD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287A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51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8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合计/年</w:t>
            </w:r>
          </w:p>
        </w:tc>
        <w:tc>
          <w:tcPr>
            <w:tcW w:w="4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20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F1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64800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3E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3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E8B0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DA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包四费用合计/年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993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64800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86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2A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E79715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76601"/>
    <w:rsid w:val="1FBA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134</Characters>
  <Lines>0</Lines>
  <Paragraphs>0</Paragraphs>
  <TotalTime>0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2026-06-26T08:50:00Z</dcterms:created>
  <dc:creator>Administrator</dc:creator>
  <cp:lastModifiedBy>Administrator</cp:lastModifiedBy>
  <dcterms:modified xsi:type="dcterms:W3CDTF">2026-06-26T09:10:46Z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eyJoZGlkIjoiZWE3YjY2MGM5MjFlYWRlZGMxOWMzMWI5ZGQxNWNiZWYiLCJ1c2VySWQiOiI0NTQ0NjA2MDcifQ==</vt:lpwstr>
  </property>
  <property fmtid="{D5CDD505-2E9C-101B-9397-08002B2CF9AE}" pid="4" name="ICV">
    <vt:lpwstr>888CE381A3AF43DABE18DEEA2ECF506B_12</vt:lpwstr>
  </property>
</Properties>
</file>