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28546B">
      <w:pPr>
        <w:spacing w:line="360" w:lineRule="auto"/>
        <w:jc w:val="center"/>
        <w:rPr>
          <w:rFonts w:asciiTheme="minorEastAsia" w:hAnsiTheme="minorEastAsia" w:eastAsiaTheme="minorEastAsia" w:cstheme="minorEastAsia"/>
          <w:b/>
          <w:bCs/>
          <w:sz w:val="24"/>
          <w:szCs w:val="24"/>
        </w:rPr>
      </w:pPr>
    </w:p>
    <w:p w14:paraId="6190571C">
      <w:pPr>
        <w:spacing w:line="360" w:lineRule="auto"/>
        <w:jc w:val="center"/>
        <w:rPr>
          <w:rFonts w:asciiTheme="minorEastAsia" w:hAnsiTheme="minorEastAsia" w:eastAsiaTheme="minorEastAsia" w:cstheme="minorEastAsia"/>
          <w:b/>
          <w:bCs/>
          <w:sz w:val="24"/>
          <w:szCs w:val="24"/>
        </w:rPr>
      </w:pPr>
    </w:p>
    <w:p w14:paraId="1F4224BC">
      <w:pPr>
        <w:spacing w:line="360" w:lineRule="auto"/>
        <w:jc w:val="center"/>
        <w:rPr>
          <w:rFonts w:asciiTheme="minorEastAsia" w:hAnsiTheme="minorEastAsia" w:eastAsiaTheme="minorEastAsia" w:cstheme="minorEastAsia"/>
          <w:b/>
          <w:bCs/>
          <w:sz w:val="24"/>
          <w:szCs w:val="24"/>
        </w:rPr>
      </w:pPr>
    </w:p>
    <w:p w14:paraId="06EA0097">
      <w:pPr>
        <w:spacing w:line="360" w:lineRule="auto"/>
        <w:jc w:val="center"/>
        <w:rPr>
          <w:rFonts w:asciiTheme="minorEastAsia" w:hAnsiTheme="minorEastAsia" w:eastAsiaTheme="minorEastAsia" w:cstheme="minorEastAsia"/>
          <w:b/>
          <w:bCs/>
          <w:sz w:val="24"/>
          <w:szCs w:val="24"/>
        </w:rPr>
      </w:pPr>
    </w:p>
    <w:p w14:paraId="2FA0ABFC">
      <w:pPr>
        <w:spacing w:line="360" w:lineRule="auto"/>
        <w:jc w:val="center"/>
        <w:rPr>
          <w:rFonts w:hint="eastAsia" w:ascii="楷体" w:hAnsi="楷体" w:eastAsia="楷体" w:cs="楷体"/>
          <w:b/>
          <w:sz w:val="52"/>
          <w:szCs w:val="52"/>
        </w:rPr>
      </w:pPr>
      <w:r>
        <w:rPr>
          <w:rFonts w:hint="eastAsia" w:ascii="楷体" w:hAnsi="楷体" w:eastAsia="楷体" w:cs="楷体"/>
          <w:b/>
          <w:sz w:val="52"/>
          <w:szCs w:val="52"/>
        </w:rPr>
        <w:t>内蒙古自治区202</w:t>
      </w:r>
      <w:r>
        <w:rPr>
          <w:rFonts w:hint="eastAsia" w:ascii="楷体" w:hAnsi="楷体" w:eastAsia="楷体" w:cs="楷体"/>
          <w:b/>
          <w:sz w:val="52"/>
          <w:szCs w:val="52"/>
          <w:lang w:val="en-US" w:eastAsia="zh-CN"/>
        </w:rPr>
        <w:t>6</w:t>
      </w:r>
      <w:r>
        <w:rPr>
          <w:rFonts w:hint="eastAsia" w:ascii="楷体" w:hAnsi="楷体" w:eastAsia="楷体" w:cs="楷体"/>
          <w:b/>
          <w:sz w:val="52"/>
          <w:szCs w:val="52"/>
        </w:rPr>
        <w:t>年度山洪灾害</w:t>
      </w:r>
    </w:p>
    <w:p w14:paraId="008D52B0">
      <w:pPr>
        <w:spacing w:line="360" w:lineRule="auto"/>
        <w:jc w:val="center"/>
        <w:rPr>
          <w:rFonts w:hint="eastAsia" w:ascii="楷体" w:hAnsi="楷体" w:eastAsia="楷体" w:cs="楷体"/>
          <w:b/>
          <w:sz w:val="52"/>
          <w:szCs w:val="52"/>
        </w:rPr>
      </w:pPr>
      <w:r>
        <w:rPr>
          <w:rFonts w:hint="eastAsia" w:ascii="楷体" w:hAnsi="楷体" w:eastAsia="楷体" w:cs="楷体"/>
          <w:b/>
          <w:sz w:val="52"/>
          <w:szCs w:val="52"/>
        </w:rPr>
        <w:t>防治非工程措施运维实施方案</w:t>
      </w:r>
    </w:p>
    <w:p w14:paraId="5FF3D0D6">
      <w:pPr>
        <w:spacing w:line="360" w:lineRule="auto"/>
        <w:jc w:val="center"/>
        <w:rPr>
          <w:rFonts w:hint="eastAsia" w:ascii="楷体" w:hAnsi="楷体" w:eastAsia="楷体" w:cs="楷体"/>
          <w:b/>
          <w:sz w:val="52"/>
          <w:szCs w:val="52"/>
          <w:lang w:eastAsia="zh-CN"/>
        </w:rPr>
      </w:pPr>
      <w:r>
        <w:rPr>
          <w:rFonts w:hint="eastAsia" w:ascii="楷体" w:hAnsi="楷体" w:eastAsia="楷体" w:cs="楷体"/>
          <w:b/>
          <w:sz w:val="52"/>
          <w:szCs w:val="52"/>
          <w:lang w:eastAsia="zh-CN"/>
        </w:rPr>
        <w:t>（涉及该项目内容摘取）</w:t>
      </w:r>
    </w:p>
    <w:p w14:paraId="21B9DD09">
      <w:pPr>
        <w:spacing w:before="120" w:beforeLines="50" w:after="120" w:afterLines="50" w:line="360" w:lineRule="auto"/>
        <w:jc w:val="center"/>
        <w:rPr>
          <w:rFonts w:asciiTheme="minorEastAsia" w:hAnsiTheme="minorEastAsia" w:eastAsiaTheme="minorEastAsia" w:cstheme="minorEastAsia"/>
          <w:b/>
          <w:sz w:val="52"/>
          <w:szCs w:val="52"/>
        </w:rPr>
      </w:pPr>
    </w:p>
    <w:p w14:paraId="04F08273">
      <w:pPr>
        <w:spacing w:line="360" w:lineRule="auto"/>
        <w:jc w:val="center"/>
        <w:rPr>
          <w:rFonts w:asciiTheme="minorEastAsia" w:hAnsiTheme="minorEastAsia" w:eastAsiaTheme="minorEastAsia" w:cstheme="minorEastAsia"/>
          <w:b/>
          <w:bCs/>
          <w:sz w:val="24"/>
          <w:szCs w:val="24"/>
        </w:rPr>
      </w:pPr>
    </w:p>
    <w:p w14:paraId="644A081F">
      <w:pPr>
        <w:spacing w:line="360" w:lineRule="auto"/>
        <w:jc w:val="center"/>
        <w:rPr>
          <w:rFonts w:asciiTheme="minorEastAsia" w:hAnsiTheme="minorEastAsia" w:eastAsiaTheme="minorEastAsia" w:cstheme="minorEastAsia"/>
          <w:b/>
          <w:bCs/>
          <w:sz w:val="24"/>
          <w:szCs w:val="24"/>
        </w:rPr>
      </w:pPr>
    </w:p>
    <w:p w14:paraId="56F2DEFB">
      <w:pPr>
        <w:spacing w:line="360" w:lineRule="auto"/>
        <w:jc w:val="center"/>
        <w:rPr>
          <w:rFonts w:asciiTheme="minorEastAsia" w:hAnsiTheme="minorEastAsia" w:eastAsiaTheme="minorEastAsia" w:cstheme="minorEastAsia"/>
          <w:b/>
          <w:bCs/>
          <w:sz w:val="24"/>
          <w:szCs w:val="24"/>
        </w:rPr>
      </w:pPr>
    </w:p>
    <w:p w14:paraId="21471E78">
      <w:pPr>
        <w:spacing w:line="360" w:lineRule="auto"/>
        <w:jc w:val="center"/>
        <w:rPr>
          <w:rFonts w:asciiTheme="minorEastAsia" w:hAnsiTheme="minorEastAsia" w:eastAsiaTheme="minorEastAsia" w:cstheme="minorEastAsia"/>
          <w:b/>
          <w:bCs/>
          <w:sz w:val="24"/>
          <w:szCs w:val="24"/>
        </w:rPr>
      </w:pPr>
    </w:p>
    <w:p w14:paraId="5676F7E5">
      <w:pPr>
        <w:spacing w:line="360" w:lineRule="auto"/>
        <w:jc w:val="center"/>
        <w:rPr>
          <w:rFonts w:asciiTheme="minorEastAsia" w:hAnsiTheme="minorEastAsia" w:eastAsiaTheme="minorEastAsia" w:cstheme="minorEastAsia"/>
          <w:b/>
          <w:bCs/>
          <w:sz w:val="24"/>
          <w:szCs w:val="24"/>
        </w:rPr>
      </w:pPr>
    </w:p>
    <w:p w14:paraId="76AC527C">
      <w:pPr>
        <w:pStyle w:val="28"/>
        <w:jc w:val="both"/>
        <w:rPr>
          <w:rFonts w:asciiTheme="minorEastAsia" w:hAnsiTheme="minorEastAsia" w:eastAsiaTheme="minorEastAsia" w:cstheme="minorEastAsia"/>
        </w:rPr>
      </w:pPr>
    </w:p>
    <w:p w14:paraId="352403DB">
      <w:pPr>
        <w:pStyle w:val="28"/>
        <w:jc w:val="both"/>
        <w:rPr>
          <w:rFonts w:asciiTheme="minorEastAsia" w:hAnsiTheme="minorEastAsia" w:eastAsiaTheme="minorEastAsia" w:cstheme="minorEastAsia"/>
        </w:rPr>
      </w:pPr>
    </w:p>
    <w:p w14:paraId="4EA62CD4">
      <w:pPr>
        <w:pStyle w:val="28"/>
        <w:jc w:val="both"/>
        <w:rPr>
          <w:rFonts w:asciiTheme="minorEastAsia" w:hAnsiTheme="minorEastAsia" w:eastAsiaTheme="minorEastAsia" w:cstheme="minorEastAsia"/>
        </w:rPr>
      </w:pPr>
    </w:p>
    <w:p w14:paraId="48DF4E6E">
      <w:pPr>
        <w:pStyle w:val="28"/>
        <w:rPr>
          <w:rFonts w:asciiTheme="minorEastAsia" w:hAnsiTheme="minorEastAsia" w:eastAsiaTheme="minorEastAsia" w:cstheme="minorEastAsia"/>
        </w:rPr>
      </w:pPr>
    </w:p>
    <w:p w14:paraId="0A91BDDC">
      <w:pPr>
        <w:pStyle w:val="28"/>
        <w:rPr>
          <w:rFonts w:asciiTheme="minorEastAsia" w:hAnsiTheme="minorEastAsia" w:eastAsiaTheme="minorEastAsia" w:cstheme="minorEastAsia"/>
        </w:rPr>
      </w:pPr>
    </w:p>
    <w:p w14:paraId="7727E5D9">
      <w:pPr>
        <w:pStyle w:val="28"/>
        <w:rPr>
          <w:rFonts w:asciiTheme="minorEastAsia" w:hAnsiTheme="minorEastAsia" w:eastAsiaTheme="minorEastAsia" w:cstheme="minorEastAsia"/>
        </w:rPr>
      </w:pPr>
    </w:p>
    <w:p w14:paraId="5C8259C1">
      <w:pPr>
        <w:pStyle w:val="28"/>
        <w:rPr>
          <w:rFonts w:asciiTheme="minorEastAsia" w:hAnsiTheme="minorEastAsia" w:eastAsiaTheme="minorEastAsia" w:cstheme="minorEastAsia"/>
        </w:rPr>
      </w:pPr>
    </w:p>
    <w:p w14:paraId="2D6C328A">
      <w:pPr>
        <w:pStyle w:val="28"/>
        <w:rPr>
          <w:rFonts w:asciiTheme="minorEastAsia" w:hAnsiTheme="minorEastAsia" w:eastAsiaTheme="minorEastAsia" w:cstheme="minorEastAsia"/>
        </w:rPr>
      </w:pPr>
    </w:p>
    <w:p w14:paraId="60FDC64E">
      <w:pPr>
        <w:pStyle w:val="28"/>
        <w:rPr>
          <w:rFonts w:asciiTheme="minorEastAsia" w:hAnsiTheme="minorEastAsia" w:eastAsiaTheme="minorEastAsia" w:cstheme="minorEastAsia"/>
        </w:rPr>
      </w:pPr>
    </w:p>
    <w:p w14:paraId="32BF0F04">
      <w:pPr>
        <w:adjustRightInd w:val="0"/>
        <w:snapToGrid w:val="0"/>
        <w:spacing w:before="120" w:beforeLines="50" w:after="120" w:afterLines="50" w:line="360" w:lineRule="auto"/>
        <w:ind w:firstLine="1205" w:firstLineChars="400"/>
        <w:rPr>
          <w:rFonts w:ascii="楷体" w:hAnsi="楷体" w:eastAsia="楷体" w:cs="楷体"/>
          <w:b/>
          <w:color w:val="000000"/>
          <w:sz w:val="30"/>
          <w:szCs w:val="30"/>
        </w:rPr>
      </w:pPr>
      <w:r>
        <w:rPr>
          <w:rFonts w:hint="eastAsia" w:asciiTheme="minorEastAsia" w:hAnsiTheme="minorEastAsia" w:eastAsiaTheme="minorEastAsia" w:cstheme="minorEastAsia"/>
          <w:b/>
          <w:color w:val="000000"/>
          <w:sz w:val="30"/>
          <w:szCs w:val="30"/>
        </w:rPr>
        <w:t>编制单位：</w:t>
      </w:r>
      <w:r>
        <w:rPr>
          <w:rFonts w:hint="eastAsia" w:ascii="楷体" w:hAnsi="楷体" w:eastAsia="楷体" w:cs="楷体"/>
          <w:b/>
          <w:color w:val="000000"/>
          <w:sz w:val="30"/>
          <w:szCs w:val="30"/>
        </w:rPr>
        <w:t>内蒙古自治区水旱灾害防御技术中心</w:t>
      </w:r>
    </w:p>
    <w:p w14:paraId="4E2D56E9">
      <w:pPr>
        <w:adjustRightInd w:val="0"/>
        <w:snapToGrid w:val="0"/>
        <w:spacing w:before="120" w:beforeLines="50" w:after="120" w:afterLines="50" w:line="360" w:lineRule="auto"/>
        <w:ind w:firstLine="1205" w:firstLineChars="400"/>
        <w:jc w:val="left"/>
        <w:rPr>
          <w:rFonts w:asciiTheme="minorEastAsia" w:hAnsiTheme="minorEastAsia" w:eastAsiaTheme="minorEastAsia" w:cstheme="minorEastAsia"/>
          <w:b/>
          <w:sz w:val="30"/>
          <w:szCs w:val="30"/>
        </w:rPr>
      </w:pPr>
      <w:r>
        <w:rPr>
          <w:rFonts w:hint="eastAsia" w:asciiTheme="minorEastAsia" w:hAnsiTheme="minorEastAsia" w:eastAsiaTheme="minorEastAsia" w:cstheme="minorEastAsia"/>
          <w:b/>
          <w:color w:val="000000"/>
          <w:sz w:val="30"/>
          <w:szCs w:val="30"/>
        </w:rPr>
        <w:t>编制日期：</w:t>
      </w:r>
      <w:r>
        <w:rPr>
          <w:rFonts w:hint="default" w:asciiTheme="minorEastAsia" w:hAnsiTheme="minorEastAsia" w:eastAsiaTheme="minorEastAsia" w:cstheme="minorEastAsia"/>
          <w:b/>
          <w:color w:val="000000"/>
          <w:sz w:val="30"/>
          <w:szCs w:val="30"/>
          <w:lang w:val="en"/>
        </w:rPr>
        <w:t xml:space="preserve">         </w:t>
      </w:r>
      <w:r>
        <w:rPr>
          <w:rFonts w:hint="eastAsia" w:ascii="楷体" w:hAnsi="楷体" w:eastAsia="楷体" w:cs="楷体"/>
          <w:b/>
          <w:color w:val="000000"/>
          <w:sz w:val="30"/>
          <w:szCs w:val="30"/>
        </w:rPr>
        <w:t>202</w:t>
      </w:r>
      <w:r>
        <w:rPr>
          <w:rFonts w:hint="eastAsia" w:ascii="楷体" w:hAnsi="楷体" w:eastAsia="楷体" w:cs="楷体"/>
          <w:b/>
          <w:color w:val="000000"/>
          <w:sz w:val="30"/>
          <w:szCs w:val="30"/>
          <w:lang w:val="en-US" w:eastAsia="zh-CN"/>
        </w:rPr>
        <w:t>6</w:t>
      </w:r>
      <w:r>
        <w:rPr>
          <w:rFonts w:hint="eastAsia" w:ascii="楷体" w:hAnsi="楷体" w:eastAsia="楷体" w:cs="楷体"/>
          <w:b/>
          <w:color w:val="000000"/>
          <w:sz w:val="30"/>
          <w:szCs w:val="30"/>
        </w:rPr>
        <w:t>年</w:t>
      </w:r>
      <w:r>
        <w:rPr>
          <w:rFonts w:hint="eastAsia" w:ascii="楷体" w:hAnsi="楷体" w:eastAsia="楷体" w:cs="楷体"/>
          <w:b/>
          <w:color w:val="000000"/>
          <w:sz w:val="30"/>
          <w:szCs w:val="30"/>
          <w:lang w:val="en-US" w:eastAsia="zh-CN"/>
        </w:rPr>
        <w:t>1</w:t>
      </w:r>
      <w:r>
        <w:rPr>
          <w:rFonts w:hint="eastAsia" w:ascii="楷体" w:hAnsi="楷体" w:eastAsia="楷体" w:cs="楷体"/>
          <w:b/>
          <w:color w:val="000000"/>
          <w:sz w:val="30"/>
          <w:szCs w:val="30"/>
        </w:rPr>
        <w:t>月</w:t>
      </w:r>
    </w:p>
    <w:p w14:paraId="1407FDB1">
      <w:pPr>
        <w:pageBreakBefore/>
        <w:adjustRightInd w:val="0"/>
        <w:snapToGrid w:val="0"/>
        <w:spacing w:before="120" w:beforeLines="50" w:after="120" w:afterLines="50" w:line="360" w:lineRule="auto"/>
        <w:jc w:val="left"/>
        <w:rPr>
          <w:rFonts w:ascii="Times New Roman" w:hAnsi="Times New Roman"/>
          <w:b/>
          <w:bCs/>
          <w:color w:val="000000"/>
          <w:sz w:val="32"/>
          <w:szCs w:val="36"/>
        </w:rPr>
      </w:pPr>
    </w:p>
    <w:p w14:paraId="43F4A99A">
      <w:pPr>
        <w:pStyle w:val="30"/>
        <w:adjustRightInd/>
        <w:spacing w:line="600" w:lineRule="exact"/>
        <w:ind w:firstLine="0" w:firstLineChars="0"/>
        <w:jc w:val="both"/>
        <w:textAlignment w:val="auto"/>
        <w:rPr>
          <w:rFonts w:ascii="Times New Roman" w:hAnsi="Times New Roman"/>
          <w:b/>
          <w:bCs/>
          <w:color w:val="000000"/>
          <w:kern w:val="2"/>
          <w:sz w:val="32"/>
          <w:szCs w:val="36"/>
        </w:rPr>
      </w:pPr>
      <w:r>
        <w:rPr>
          <w:rFonts w:hint="eastAsia" w:ascii="Times New Roman" w:hAnsi="Times New Roman"/>
          <w:b/>
          <w:bCs/>
          <w:color w:val="000000"/>
          <w:kern w:val="2"/>
          <w:sz w:val="32"/>
          <w:szCs w:val="36"/>
        </w:rPr>
        <w:t>方案名称：</w:t>
      </w:r>
      <w:r>
        <w:rPr>
          <w:rFonts w:hint="eastAsia" w:ascii="楷体" w:hAnsi="楷体" w:eastAsia="楷体" w:cs="楷体"/>
          <w:color w:val="000000"/>
          <w:kern w:val="2"/>
          <w:sz w:val="32"/>
          <w:szCs w:val="36"/>
        </w:rPr>
        <w:t>《内蒙古自治区202</w:t>
      </w:r>
      <w:r>
        <w:rPr>
          <w:rFonts w:hint="eastAsia" w:ascii="楷体" w:hAnsi="楷体" w:eastAsia="楷体" w:cs="楷体"/>
          <w:color w:val="000000"/>
          <w:kern w:val="2"/>
          <w:sz w:val="32"/>
          <w:szCs w:val="36"/>
          <w:lang w:val="en-US" w:eastAsia="zh-CN"/>
        </w:rPr>
        <w:t>6</w:t>
      </w:r>
      <w:r>
        <w:rPr>
          <w:rFonts w:hint="eastAsia" w:ascii="楷体" w:hAnsi="楷体" w:eastAsia="楷体" w:cs="楷体"/>
          <w:color w:val="000000"/>
          <w:kern w:val="2"/>
          <w:sz w:val="32"/>
          <w:szCs w:val="36"/>
        </w:rPr>
        <w:t>年度山洪灾害防治非工程措施运维实施方案》</w:t>
      </w:r>
    </w:p>
    <w:p w14:paraId="6E8CE8B8">
      <w:pPr>
        <w:pStyle w:val="30"/>
        <w:spacing w:line="600" w:lineRule="exact"/>
        <w:ind w:firstLine="0" w:firstLineChars="0"/>
        <w:textAlignment w:val="auto"/>
        <w:rPr>
          <w:rFonts w:ascii="楷体" w:hAnsi="楷体" w:eastAsia="楷体" w:cs="楷体"/>
          <w:color w:val="000000"/>
          <w:sz w:val="32"/>
          <w:szCs w:val="36"/>
        </w:rPr>
      </w:pPr>
      <w:r>
        <w:rPr>
          <w:rFonts w:hint="eastAsia" w:ascii="Times New Roman" w:hAnsi="Times New Roman"/>
          <w:b/>
          <w:bCs/>
          <w:color w:val="000000"/>
          <w:sz w:val="32"/>
          <w:szCs w:val="36"/>
        </w:rPr>
        <w:t>编制单位：</w:t>
      </w:r>
      <w:r>
        <w:rPr>
          <w:rFonts w:hint="eastAsia" w:ascii="楷体" w:hAnsi="楷体" w:eastAsia="楷体" w:cs="楷体"/>
          <w:color w:val="000000"/>
          <w:sz w:val="32"/>
          <w:szCs w:val="36"/>
        </w:rPr>
        <w:t>内蒙古自治区水旱灾害防御技术中心</w:t>
      </w:r>
    </w:p>
    <w:p w14:paraId="63D43DC1">
      <w:pPr>
        <w:pStyle w:val="30"/>
        <w:spacing w:line="600" w:lineRule="exact"/>
        <w:ind w:firstLine="0" w:firstLineChars="0"/>
        <w:textAlignment w:val="auto"/>
        <w:rPr>
          <w:rFonts w:ascii="Times New Roman" w:hAnsi="Times New Roman"/>
          <w:b/>
          <w:bCs/>
          <w:color w:val="000000"/>
          <w:sz w:val="32"/>
          <w:szCs w:val="36"/>
        </w:rPr>
      </w:pPr>
    </w:p>
    <w:p w14:paraId="41C2D8F2">
      <w:pPr>
        <w:pStyle w:val="30"/>
        <w:spacing w:line="600" w:lineRule="exact"/>
        <w:ind w:firstLine="0" w:firstLineChars="0"/>
        <w:textAlignment w:val="auto"/>
        <w:rPr>
          <w:rFonts w:ascii="Times New Roman" w:hAnsi="Times New Roman"/>
          <w:b/>
          <w:bCs/>
          <w:color w:val="000000"/>
          <w:sz w:val="32"/>
          <w:szCs w:val="36"/>
        </w:rPr>
      </w:pPr>
      <w:r>
        <w:rPr>
          <w:rFonts w:hint="eastAsia" w:ascii="Times New Roman" w:hAnsi="Times New Roman"/>
          <w:b/>
          <w:bCs/>
          <w:color w:val="000000"/>
          <w:sz w:val="32"/>
          <w:szCs w:val="36"/>
        </w:rPr>
        <w:t>审        定：</w:t>
      </w:r>
      <w:r>
        <w:rPr>
          <w:rFonts w:hint="eastAsia" w:ascii="楷体" w:hAnsi="楷体" w:eastAsia="楷体" w:cs="楷体"/>
          <w:color w:val="000000"/>
          <w:sz w:val="32"/>
          <w:szCs w:val="36"/>
        </w:rPr>
        <w:t>包松林</w:t>
      </w:r>
    </w:p>
    <w:p w14:paraId="71E3BD6C">
      <w:pPr>
        <w:pStyle w:val="30"/>
        <w:spacing w:line="600" w:lineRule="exact"/>
        <w:ind w:firstLine="0" w:firstLineChars="0"/>
        <w:textAlignment w:val="auto"/>
        <w:rPr>
          <w:rFonts w:hint="eastAsia" w:ascii="楷体" w:hAnsi="楷体" w:eastAsia="楷体" w:cs="楷体"/>
          <w:color w:val="000000"/>
          <w:sz w:val="32"/>
          <w:szCs w:val="36"/>
          <w:lang w:val="en-US" w:eastAsia="zh-CN"/>
        </w:rPr>
      </w:pPr>
      <w:r>
        <w:rPr>
          <w:rFonts w:hint="eastAsia" w:ascii="Times New Roman" w:hAnsi="Times New Roman"/>
          <w:b/>
          <w:bCs/>
          <w:color w:val="000000"/>
          <w:sz w:val="32"/>
          <w:szCs w:val="36"/>
        </w:rPr>
        <w:t>审        核：</w:t>
      </w:r>
      <w:r>
        <w:rPr>
          <w:rFonts w:hint="eastAsia" w:ascii="楷体" w:hAnsi="楷体" w:eastAsia="楷体" w:cs="楷体"/>
          <w:color w:val="000000"/>
          <w:sz w:val="32"/>
          <w:szCs w:val="36"/>
          <w:lang w:val="en-US" w:eastAsia="zh-CN"/>
        </w:rPr>
        <w:t xml:space="preserve">刘春林 </w:t>
      </w:r>
    </w:p>
    <w:p w14:paraId="765BFCE2">
      <w:pPr>
        <w:pStyle w:val="30"/>
        <w:spacing w:line="600" w:lineRule="exact"/>
        <w:ind w:firstLine="0" w:firstLineChars="0"/>
        <w:textAlignment w:val="auto"/>
        <w:rPr>
          <w:rFonts w:hint="default" w:ascii="楷体" w:hAnsi="楷体" w:eastAsia="楷体" w:cs="楷体"/>
          <w:color w:val="000000"/>
          <w:sz w:val="32"/>
          <w:szCs w:val="36"/>
          <w:lang w:val="en-US" w:eastAsia="zh-CN"/>
        </w:rPr>
      </w:pPr>
      <w:r>
        <w:rPr>
          <w:rFonts w:hint="eastAsia" w:ascii="Times New Roman" w:hAnsi="Times New Roman"/>
          <w:b/>
          <w:bCs/>
          <w:color w:val="000000"/>
          <w:sz w:val="32"/>
          <w:szCs w:val="36"/>
          <w:lang w:val="en-US" w:eastAsia="zh-CN"/>
        </w:rPr>
        <w:t>校        核：</w:t>
      </w:r>
      <w:r>
        <w:rPr>
          <w:rFonts w:hint="eastAsia" w:ascii="楷体" w:hAnsi="楷体" w:eastAsia="楷体" w:cs="楷体"/>
          <w:color w:val="000000"/>
          <w:sz w:val="32"/>
          <w:szCs w:val="36"/>
          <w:lang w:val="en-US" w:eastAsia="zh-CN"/>
        </w:rPr>
        <w:t>赵泽峰 姜姝婷</w:t>
      </w:r>
    </w:p>
    <w:p w14:paraId="6D699D38">
      <w:pPr>
        <w:pStyle w:val="30"/>
        <w:spacing w:line="600" w:lineRule="exact"/>
        <w:ind w:firstLine="0" w:firstLineChars="0"/>
        <w:textAlignment w:val="auto"/>
        <w:rPr>
          <w:rFonts w:ascii="Times New Roman" w:hAnsi="Times New Roman"/>
          <w:b/>
          <w:bCs/>
          <w:color w:val="000000"/>
          <w:sz w:val="32"/>
          <w:szCs w:val="36"/>
        </w:rPr>
      </w:pPr>
    </w:p>
    <w:p w14:paraId="757E8E3C">
      <w:pPr>
        <w:pStyle w:val="30"/>
        <w:keepNext w:val="0"/>
        <w:keepLines w:val="0"/>
        <w:pageBreakBefore w:val="0"/>
        <w:widowControl w:val="0"/>
        <w:kinsoku/>
        <w:wordWrap/>
        <w:overflowPunct/>
        <w:topLinePunct w:val="0"/>
        <w:autoSpaceDE/>
        <w:autoSpaceDN/>
        <w:bidi w:val="0"/>
        <w:snapToGrid/>
        <w:spacing w:line="520" w:lineRule="exact"/>
        <w:ind w:firstLine="0" w:firstLineChars="0"/>
        <w:textAlignment w:val="auto"/>
        <w:rPr>
          <w:rFonts w:ascii="Times New Roman" w:hAnsi="Times New Roman"/>
          <w:b/>
          <w:bCs/>
          <w:color w:val="000000"/>
          <w:sz w:val="32"/>
          <w:szCs w:val="36"/>
        </w:rPr>
      </w:pPr>
      <w:r>
        <w:rPr>
          <w:rFonts w:hint="eastAsia" w:ascii="Times New Roman" w:hAnsi="Times New Roman"/>
          <w:b/>
          <w:bCs/>
          <w:color w:val="000000"/>
          <w:sz w:val="32"/>
          <w:szCs w:val="36"/>
        </w:rPr>
        <w:t>项目负责人：</w:t>
      </w:r>
      <w:r>
        <w:rPr>
          <w:rFonts w:hint="eastAsia" w:ascii="楷体" w:hAnsi="楷体" w:eastAsia="楷体" w:cs="楷体"/>
          <w:color w:val="000000"/>
          <w:sz w:val="32"/>
          <w:szCs w:val="36"/>
        </w:rPr>
        <w:t>杨  彬</w:t>
      </w:r>
    </w:p>
    <w:p w14:paraId="7F2C4ECC">
      <w:pPr>
        <w:pStyle w:val="30"/>
        <w:keepNext w:val="0"/>
        <w:keepLines w:val="0"/>
        <w:pageBreakBefore w:val="0"/>
        <w:widowControl w:val="0"/>
        <w:kinsoku/>
        <w:wordWrap/>
        <w:overflowPunct/>
        <w:topLinePunct w:val="0"/>
        <w:autoSpaceDE/>
        <w:autoSpaceDN/>
        <w:bidi w:val="0"/>
        <w:snapToGrid/>
        <w:spacing w:line="520" w:lineRule="exact"/>
        <w:ind w:firstLine="0" w:firstLineChars="0"/>
        <w:textAlignment w:val="auto"/>
        <w:rPr>
          <w:rFonts w:ascii="Times New Roman" w:hAnsi="Times New Roman"/>
          <w:b/>
          <w:bCs/>
          <w:color w:val="000000"/>
          <w:sz w:val="32"/>
          <w:szCs w:val="36"/>
        </w:rPr>
      </w:pPr>
    </w:p>
    <w:p w14:paraId="5F775BC0">
      <w:pPr>
        <w:pStyle w:val="30"/>
        <w:keepNext w:val="0"/>
        <w:keepLines w:val="0"/>
        <w:pageBreakBefore w:val="0"/>
        <w:widowControl w:val="0"/>
        <w:kinsoku/>
        <w:wordWrap/>
        <w:overflowPunct/>
        <w:topLinePunct w:val="0"/>
        <w:autoSpaceDE/>
        <w:autoSpaceDN/>
        <w:bidi w:val="0"/>
        <w:snapToGrid/>
        <w:spacing w:line="520" w:lineRule="exact"/>
        <w:ind w:firstLine="0" w:firstLineChars="0"/>
        <w:textAlignment w:val="auto"/>
        <w:rPr>
          <w:rFonts w:hint="eastAsia" w:ascii="楷体" w:hAnsi="楷体" w:eastAsia="楷体" w:cs="楷体"/>
          <w:color w:val="000000"/>
          <w:sz w:val="32"/>
          <w:szCs w:val="36"/>
          <w:lang w:val="en-US" w:eastAsia="zh-CN"/>
        </w:rPr>
      </w:pPr>
      <w:r>
        <w:rPr>
          <w:rFonts w:hint="eastAsia" w:ascii="Times New Roman" w:hAnsi="Times New Roman"/>
          <w:b/>
          <w:bCs/>
          <w:color w:val="000000"/>
          <w:sz w:val="32"/>
          <w:szCs w:val="36"/>
        </w:rPr>
        <w:t>主要编写人员：</w:t>
      </w:r>
      <w:r>
        <w:rPr>
          <w:rFonts w:hint="eastAsia" w:ascii="楷体" w:hAnsi="楷体" w:eastAsia="楷体" w:cs="楷体"/>
          <w:color w:val="000000"/>
          <w:sz w:val="32"/>
          <w:szCs w:val="36"/>
          <w:lang w:val="en-US" w:eastAsia="zh-CN"/>
        </w:rPr>
        <w:t xml:space="preserve">刘子嘉  聂  帅  </w:t>
      </w:r>
      <w:r>
        <w:rPr>
          <w:rFonts w:hint="eastAsia" w:ascii="楷体" w:hAnsi="楷体" w:eastAsia="楷体" w:cs="楷体"/>
          <w:color w:val="000000"/>
          <w:sz w:val="32"/>
          <w:szCs w:val="36"/>
          <w:highlight w:val="none"/>
          <w:lang w:val="en-US" w:eastAsia="zh-CN"/>
        </w:rPr>
        <w:t xml:space="preserve">乌尼尔达来  </w:t>
      </w:r>
      <w:r>
        <w:rPr>
          <w:rFonts w:hint="eastAsia" w:ascii="楷体" w:hAnsi="楷体" w:eastAsia="楷体" w:cs="楷体"/>
          <w:color w:val="000000"/>
          <w:sz w:val="32"/>
          <w:szCs w:val="36"/>
          <w:lang w:val="en-US" w:eastAsia="zh-CN"/>
        </w:rPr>
        <w:t>姜兆芳</w:t>
      </w:r>
    </w:p>
    <w:p w14:paraId="296D8F00">
      <w:pPr>
        <w:pStyle w:val="30"/>
        <w:keepNext w:val="0"/>
        <w:keepLines w:val="0"/>
        <w:pageBreakBefore w:val="0"/>
        <w:widowControl w:val="0"/>
        <w:kinsoku/>
        <w:wordWrap/>
        <w:overflowPunct/>
        <w:topLinePunct w:val="0"/>
        <w:autoSpaceDE/>
        <w:autoSpaceDN/>
        <w:bidi w:val="0"/>
        <w:snapToGrid/>
        <w:spacing w:line="520" w:lineRule="exact"/>
        <w:ind w:firstLine="2240" w:firstLineChars="700"/>
        <w:textAlignment w:val="auto"/>
        <w:rPr>
          <w:rFonts w:hint="default" w:ascii="Times New Roman" w:hAnsi="Times New Roman" w:eastAsia="楷体"/>
          <w:b/>
          <w:bCs/>
          <w:color w:val="000000"/>
          <w:sz w:val="32"/>
          <w:szCs w:val="36"/>
          <w:highlight w:val="none"/>
          <w:lang w:val="en-US" w:eastAsia="zh-CN"/>
        </w:rPr>
      </w:pPr>
      <w:r>
        <w:rPr>
          <w:rFonts w:hint="eastAsia" w:ascii="楷体" w:hAnsi="楷体" w:eastAsia="楷体" w:cs="楷体"/>
          <w:color w:val="000000"/>
          <w:sz w:val="32"/>
          <w:szCs w:val="36"/>
          <w:lang w:val="en-US" w:eastAsia="zh-CN"/>
        </w:rPr>
        <w:t xml:space="preserve">李丽娜  苗宏宇  </w:t>
      </w:r>
      <w:r>
        <w:rPr>
          <w:rFonts w:hint="eastAsia" w:ascii="楷体" w:hAnsi="楷体" w:eastAsia="楷体" w:cs="楷体"/>
          <w:color w:val="000000"/>
          <w:sz w:val="32"/>
          <w:szCs w:val="36"/>
          <w:highlight w:val="none"/>
        </w:rPr>
        <w:t>王慧敏</w:t>
      </w:r>
      <w:r>
        <w:rPr>
          <w:rFonts w:hint="eastAsia" w:ascii="楷体" w:hAnsi="楷体" w:eastAsia="楷体" w:cs="楷体"/>
          <w:color w:val="000000"/>
          <w:sz w:val="32"/>
          <w:szCs w:val="36"/>
          <w:highlight w:val="none"/>
          <w:lang w:val="en-US" w:eastAsia="zh-CN"/>
        </w:rPr>
        <w:t xml:space="preserve">  金洪竹</w:t>
      </w:r>
    </w:p>
    <w:p w14:paraId="40E5DA35">
      <w:pPr>
        <w:pStyle w:val="30"/>
        <w:keepNext w:val="0"/>
        <w:keepLines w:val="0"/>
        <w:pageBreakBefore w:val="0"/>
        <w:widowControl w:val="0"/>
        <w:kinsoku/>
        <w:wordWrap/>
        <w:overflowPunct/>
        <w:topLinePunct w:val="0"/>
        <w:autoSpaceDE/>
        <w:autoSpaceDN/>
        <w:bidi w:val="0"/>
        <w:snapToGrid/>
        <w:spacing w:line="520" w:lineRule="exact"/>
        <w:ind w:left="0" w:leftChars="0" w:firstLine="0" w:firstLineChars="0"/>
        <w:textAlignment w:val="auto"/>
        <w:rPr>
          <w:rFonts w:hint="eastAsia" w:ascii="楷体" w:hAnsi="楷体" w:eastAsia="楷体" w:cs="楷体"/>
          <w:color w:val="000000"/>
          <w:sz w:val="32"/>
          <w:szCs w:val="36"/>
          <w:highlight w:val="none"/>
        </w:rPr>
      </w:pPr>
      <w:r>
        <w:rPr>
          <w:rFonts w:hint="eastAsia" w:ascii="Times New Roman" w:hAnsi="Times New Roman"/>
          <w:b/>
          <w:bCs/>
          <w:color w:val="000000"/>
          <w:sz w:val="32"/>
          <w:szCs w:val="36"/>
          <w:highlight w:val="none"/>
        </w:rPr>
        <w:t>参与人员：</w:t>
      </w:r>
      <w:r>
        <w:rPr>
          <w:rFonts w:hint="eastAsia" w:ascii="楷体" w:hAnsi="楷体" w:eastAsia="楷体" w:cs="楷体"/>
          <w:color w:val="000000"/>
          <w:sz w:val="32"/>
          <w:szCs w:val="36"/>
          <w:highlight w:val="none"/>
          <w:lang w:val="en-US" w:eastAsia="zh-CN"/>
        </w:rPr>
        <w:t xml:space="preserve">潘劭博 赵文贵 </w:t>
      </w:r>
      <w:r>
        <w:rPr>
          <w:rFonts w:hint="eastAsia" w:ascii="楷体" w:hAnsi="楷体" w:eastAsia="楷体" w:cs="楷体"/>
          <w:color w:val="000000"/>
          <w:sz w:val="32"/>
          <w:szCs w:val="36"/>
          <w:highlight w:val="none"/>
        </w:rPr>
        <w:t>李倍诚</w:t>
      </w:r>
      <w:r>
        <w:rPr>
          <w:rFonts w:hint="eastAsia" w:ascii="楷体" w:hAnsi="楷体" w:eastAsia="楷体" w:cs="楷体"/>
          <w:color w:val="000000"/>
          <w:sz w:val="32"/>
          <w:szCs w:val="36"/>
          <w:highlight w:val="none"/>
          <w:lang w:val="en-US" w:eastAsia="zh-CN"/>
        </w:rPr>
        <w:t xml:space="preserve"> </w:t>
      </w:r>
      <w:r>
        <w:rPr>
          <w:rFonts w:hint="eastAsia" w:ascii="楷体" w:hAnsi="楷体" w:eastAsia="楷体" w:cs="楷体"/>
          <w:color w:val="000000"/>
          <w:sz w:val="32"/>
          <w:szCs w:val="36"/>
          <w:highlight w:val="none"/>
        </w:rPr>
        <w:t>王若华</w:t>
      </w:r>
      <w:r>
        <w:rPr>
          <w:rFonts w:hint="eastAsia" w:ascii="楷体" w:hAnsi="楷体" w:eastAsia="楷体" w:cs="楷体"/>
          <w:color w:val="000000"/>
          <w:sz w:val="32"/>
          <w:szCs w:val="36"/>
          <w:highlight w:val="none"/>
          <w:lang w:val="en-US" w:eastAsia="zh-CN"/>
        </w:rPr>
        <w:t xml:space="preserve"> </w:t>
      </w:r>
      <w:r>
        <w:rPr>
          <w:rFonts w:hint="eastAsia" w:ascii="楷体" w:hAnsi="楷体" w:eastAsia="楷体" w:cs="楷体"/>
          <w:color w:val="000000"/>
          <w:sz w:val="32"/>
          <w:szCs w:val="36"/>
          <w:highlight w:val="none"/>
        </w:rPr>
        <w:t>李彦忻</w:t>
      </w:r>
      <w:r>
        <w:rPr>
          <w:rFonts w:hint="eastAsia" w:ascii="楷体" w:hAnsi="楷体" w:eastAsia="楷体" w:cs="楷体"/>
          <w:color w:val="000000"/>
          <w:sz w:val="32"/>
          <w:szCs w:val="36"/>
          <w:highlight w:val="none"/>
          <w:lang w:val="en-US" w:eastAsia="zh-CN"/>
        </w:rPr>
        <w:t xml:space="preserve"> </w:t>
      </w:r>
      <w:r>
        <w:rPr>
          <w:rFonts w:hint="eastAsia" w:ascii="楷体" w:hAnsi="楷体" w:eastAsia="楷体" w:cs="楷体"/>
          <w:color w:val="000000"/>
          <w:sz w:val="32"/>
          <w:szCs w:val="36"/>
          <w:highlight w:val="none"/>
        </w:rPr>
        <w:t xml:space="preserve">王 </w:t>
      </w:r>
      <w:r>
        <w:rPr>
          <w:rFonts w:ascii="楷体" w:hAnsi="楷体" w:eastAsia="楷体" w:cs="楷体"/>
          <w:color w:val="000000"/>
          <w:sz w:val="32"/>
          <w:szCs w:val="36"/>
          <w:highlight w:val="none"/>
        </w:rPr>
        <w:t xml:space="preserve"> </w:t>
      </w:r>
      <w:r>
        <w:rPr>
          <w:rFonts w:hint="eastAsia" w:ascii="楷体" w:hAnsi="楷体" w:eastAsia="楷体" w:cs="楷体"/>
          <w:color w:val="000000"/>
          <w:sz w:val="32"/>
          <w:szCs w:val="36"/>
          <w:highlight w:val="none"/>
        </w:rPr>
        <w:t>庆</w:t>
      </w:r>
    </w:p>
    <w:p w14:paraId="2D0D408B">
      <w:pPr>
        <w:pStyle w:val="30"/>
        <w:keepNext w:val="0"/>
        <w:keepLines w:val="0"/>
        <w:pageBreakBefore w:val="0"/>
        <w:widowControl w:val="0"/>
        <w:kinsoku/>
        <w:wordWrap/>
        <w:overflowPunct/>
        <w:topLinePunct w:val="0"/>
        <w:autoSpaceDE/>
        <w:autoSpaceDN/>
        <w:bidi w:val="0"/>
        <w:snapToGrid/>
        <w:spacing w:line="520" w:lineRule="exact"/>
        <w:ind w:left="0" w:leftChars="0" w:firstLine="1600" w:firstLineChars="500"/>
        <w:textAlignment w:val="auto"/>
        <w:rPr>
          <w:rFonts w:hint="eastAsia" w:ascii="楷体" w:hAnsi="楷体" w:eastAsia="楷体" w:cs="楷体"/>
          <w:color w:val="000000"/>
          <w:sz w:val="32"/>
          <w:szCs w:val="36"/>
          <w:highlight w:val="none"/>
        </w:rPr>
      </w:pPr>
      <w:r>
        <w:rPr>
          <w:rFonts w:hint="eastAsia" w:ascii="楷体" w:hAnsi="楷体" w:eastAsia="楷体" w:cs="楷体"/>
          <w:color w:val="000000"/>
          <w:sz w:val="32"/>
          <w:szCs w:val="36"/>
          <w:highlight w:val="none"/>
        </w:rPr>
        <w:t>白  音</w:t>
      </w:r>
      <w:r>
        <w:rPr>
          <w:rFonts w:hint="eastAsia" w:ascii="楷体" w:hAnsi="楷体" w:eastAsia="楷体" w:cs="楷体"/>
          <w:color w:val="000000"/>
          <w:sz w:val="32"/>
          <w:szCs w:val="36"/>
          <w:highlight w:val="none"/>
          <w:lang w:val="en-US" w:eastAsia="zh-CN"/>
        </w:rPr>
        <w:t xml:space="preserve"> 郭宝丽 王晓雯 </w:t>
      </w:r>
      <w:r>
        <w:rPr>
          <w:rFonts w:hint="eastAsia" w:ascii="楷体" w:hAnsi="楷体" w:eastAsia="楷体" w:cs="楷体"/>
          <w:color w:val="000000"/>
          <w:sz w:val="32"/>
          <w:szCs w:val="36"/>
          <w:highlight w:val="none"/>
        </w:rPr>
        <w:t xml:space="preserve">徐 </w:t>
      </w:r>
      <w:r>
        <w:rPr>
          <w:rFonts w:ascii="楷体" w:hAnsi="楷体" w:eastAsia="楷体" w:cs="楷体"/>
          <w:color w:val="000000"/>
          <w:sz w:val="32"/>
          <w:szCs w:val="36"/>
          <w:highlight w:val="none"/>
        </w:rPr>
        <w:t xml:space="preserve"> </w:t>
      </w:r>
      <w:r>
        <w:rPr>
          <w:rFonts w:hint="eastAsia" w:ascii="楷体" w:hAnsi="楷体" w:eastAsia="楷体" w:cs="楷体"/>
          <w:color w:val="000000"/>
          <w:sz w:val="32"/>
          <w:szCs w:val="36"/>
          <w:highlight w:val="none"/>
        </w:rPr>
        <w:t>慧 庄</w:t>
      </w:r>
      <w:r>
        <w:rPr>
          <w:rFonts w:hint="eastAsia" w:ascii="楷体" w:hAnsi="楷体" w:eastAsia="楷体" w:cs="楷体"/>
          <w:color w:val="000000"/>
          <w:sz w:val="32"/>
          <w:szCs w:val="36"/>
          <w:highlight w:val="none"/>
          <w:lang w:val="en-US" w:eastAsia="zh-CN"/>
        </w:rPr>
        <w:t xml:space="preserve">  </w:t>
      </w:r>
      <w:r>
        <w:rPr>
          <w:rFonts w:hint="eastAsia" w:ascii="楷体" w:hAnsi="楷体" w:eastAsia="楷体" w:cs="楷体"/>
          <w:color w:val="000000"/>
          <w:sz w:val="32"/>
          <w:szCs w:val="36"/>
          <w:highlight w:val="none"/>
        </w:rPr>
        <w:t>健</w:t>
      </w:r>
      <w:r>
        <w:rPr>
          <w:rFonts w:hint="eastAsia" w:ascii="楷体" w:hAnsi="楷体" w:eastAsia="楷体" w:cs="楷体"/>
          <w:color w:val="000000"/>
          <w:sz w:val="32"/>
          <w:szCs w:val="36"/>
          <w:highlight w:val="none"/>
          <w:lang w:val="en-US" w:eastAsia="zh-CN"/>
        </w:rPr>
        <w:t xml:space="preserve"> </w:t>
      </w:r>
      <w:r>
        <w:rPr>
          <w:rFonts w:hint="eastAsia" w:ascii="楷体" w:hAnsi="楷体" w:eastAsia="楷体" w:cs="楷体"/>
          <w:color w:val="000000"/>
          <w:sz w:val="32"/>
          <w:szCs w:val="36"/>
          <w:highlight w:val="none"/>
        </w:rPr>
        <w:t xml:space="preserve">杨 </w:t>
      </w:r>
      <w:r>
        <w:rPr>
          <w:rFonts w:ascii="楷体" w:hAnsi="楷体" w:eastAsia="楷体" w:cs="楷体"/>
          <w:color w:val="000000"/>
          <w:sz w:val="32"/>
          <w:szCs w:val="36"/>
          <w:highlight w:val="none"/>
        </w:rPr>
        <w:t xml:space="preserve"> </w:t>
      </w:r>
      <w:r>
        <w:rPr>
          <w:rFonts w:hint="eastAsia" w:ascii="楷体" w:hAnsi="楷体" w:eastAsia="楷体" w:cs="楷体"/>
          <w:color w:val="000000"/>
          <w:sz w:val="32"/>
          <w:szCs w:val="36"/>
          <w:highlight w:val="none"/>
        </w:rPr>
        <w:t>欢</w:t>
      </w:r>
    </w:p>
    <w:p w14:paraId="10E71516">
      <w:pPr>
        <w:pStyle w:val="30"/>
        <w:keepNext w:val="0"/>
        <w:keepLines w:val="0"/>
        <w:pageBreakBefore w:val="0"/>
        <w:widowControl w:val="0"/>
        <w:kinsoku/>
        <w:wordWrap/>
        <w:overflowPunct/>
        <w:topLinePunct w:val="0"/>
        <w:autoSpaceDE/>
        <w:autoSpaceDN/>
        <w:bidi w:val="0"/>
        <w:snapToGrid/>
        <w:spacing w:line="520" w:lineRule="exact"/>
        <w:ind w:left="0" w:leftChars="0" w:firstLine="1600" w:firstLineChars="500"/>
        <w:textAlignment w:val="auto"/>
        <w:rPr>
          <w:rFonts w:hint="eastAsia" w:ascii="楷体" w:hAnsi="楷体" w:eastAsia="楷体" w:cs="楷体"/>
          <w:color w:val="000000"/>
          <w:sz w:val="32"/>
          <w:szCs w:val="36"/>
          <w:highlight w:val="none"/>
          <w:lang w:val="en-US" w:eastAsia="zh-CN"/>
        </w:rPr>
      </w:pPr>
      <w:r>
        <w:rPr>
          <w:rFonts w:hint="eastAsia" w:ascii="楷体" w:hAnsi="楷体" w:eastAsia="楷体" w:cs="楷体"/>
          <w:color w:val="000000"/>
          <w:sz w:val="32"/>
          <w:szCs w:val="36"/>
          <w:highlight w:val="none"/>
          <w:lang w:val="en-US" w:eastAsia="zh-CN"/>
        </w:rPr>
        <w:t xml:space="preserve">王  智 </w:t>
      </w:r>
      <w:r>
        <w:rPr>
          <w:rFonts w:hint="eastAsia" w:ascii="楷体" w:hAnsi="楷体" w:eastAsia="楷体" w:cs="楷体"/>
          <w:color w:val="000000"/>
          <w:sz w:val="32"/>
          <w:szCs w:val="36"/>
          <w:highlight w:val="none"/>
        </w:rPr>
        <w:t>邬海波</w:t>
      </w:r>
      <w:r>
        <w:rPr>
          <w:rFonts w:hint="eastAsia" w:ascii="楷体" w:hAnsi="楷体" w:eastAsia="楷体" w:cs="楷体"/>
          <w:color w:val="000000"/>
          <w:sz w:val="32"/>
          <w:szCs w:val="36"/>
          <w:highlight w:val="none"/>
          <w:lang w:val="en-US" w:eastAsia="zh-CN"/>
        </w:rPr>
        <w:t xml:space="preserve"> </w:t>
      </w:r>
      <w:r>
        <w:rPr>
          <w:rFonts w:hint="eastAsia" w:ascii="楷体" w:hAnsi="楷体" w:eastAsia="楷体" w:cs="楷体"/>
          <w:color w:val="000000"/>
          <w:sz w:val="32"/>
          <w:szCs w:val="36"/>
          <w:highlight w:val="none"/>
        </w:rPr>
        <w:t xml:space="preserve">周 </w:t>
      </w:r>
      <w:r>
        <w:rPr>
          <w:rFonts w:ascii="楷体" w:hAnsi="楷体" w:eastAsia="楷体" w:cs="楷体"/>
          <w:color w:val="000000"/>
          <w:sz w:val="32"/>
          <w:szCs w:val="36"/>
          <w:highlight w:val="none"/>
        </w:rPr>
        <w:t xml:space="preserve"> </w:t>
      </w:r>
      <w:r>
        <w:rPr>
          <w:rFonts w:hint="eastAsia" w:ascii="楷体" w:hAnsi="楷体" w:eastAsia="楷体" w:cs="楷体"/>
          <w:color w:val="000000"/>
          <w:sz w:val="32"/>
          <w:szCs w:val="36"/>
          <w:highlight w:val="none"/>
        </w:rPr>
        <w:t>航</w:t>
      </w:r>
      <w:r>
        <w:rPr>
          <w:rFonts w:hint="eastAsia" w:ascii="楷体" w:hAnsi="楷体" w:eastAsia="楷体" w:cs="楷体"/>
          <w:color w:val="000000"/>
          <w:sz w:val="32"/>
          <w:szCs w:val="36"/>
          <w:highlight w:val="none"/>
          <w:lang w:val="en-US" w:eastAsia="zh-CN"/>
        </w:rPr>
        <w:t xml:space="preserve"> 寇  雪 张美桃 马志远</w:t>
      </w:r>
    </w:p>
    <w:p w14:paraId="2F7808E2">
      <w:pPr>
        <w:keepNext w:val="0"/>
        <w:keepLines w:val="0"/>
        <w:pageBreakBefore w:val="0"/>
        <w:widowControl w:val="0"/>
        <w:kinsoku/>
        <w:wordWrap/>
        <w:overflowPunct/>
        <w:topLinePunct w:val="0"/>
        <w:autoSpaceDE/>
        <w:autoSpaceDN/>
        <w:bidi w:val="0"/>
        <w:snapToGrid/>
        <w:spacing w:line="520" w:lineRule="exact"/>
        <w:ind w:firstLine="1600" w:firstLineChars="500"/>
        <w:textAlignment w:val="auto"/>
        <w:rPr>
          <w:rFonts w:hint="eastAsia" w:ascii="楷体" w:hAnsi="楷体" w:eastAsia="楷体" w:cs="楷体"/>
          <w:color w:val="000000"/>
          <w:sz w:val="32"/>
          <w:szCs w:val="36"/>
          <w:highlight w:val="none"/>
          <w:lang w:val="en-US" w:eastAsia="zh-CN"/>
        </w:rPr>
      </w:pPr>
      <w:r>
        <w:rPr>
          <w:rFonts w:hint="eastAsia" w:ascii="楷体" w:hAnsi="楷体" w:eastAsia="楷体" w:cs="楷体"/>
          <w:color w:val="000000"/>
          <w:sz w:val="32"/>
          <w:szCs w:val="36"/>
          <w:highlight w:val="none"/>
          <w:lang w:val="en-US" w:eastAsia="zh-CN"/>
        </w:rPr>
        <w:t xml:space="preserve">高  扬 </w:t>
      </w:r>
      <w:r>
        <w:rPr>
          <w:rFonts w:hint="eastAsia" w:ascii="楷体" w:hAnsi="楷体" w:eastAsia="楷体" w:cs="楷体"/>
          <w:color w:val="000000"/>
          <w:sz w:val="32"/>
          <w:szCs w:val="36"/>
          <w:highlight w:val="none"/>
        </w:rPr>
        <w:t>吕紫安</w:t>
      </w:r>
      <w:r>
        <w:rPr>
          <w:rFonts w:hint="eastAsia" w:ascii="楷体" w:hAnsi="楷体" w:eastAsia="楷体" w:cs="楷体"/>
          <w:color w:val="000000"/>
          <w:sz w:val="32"/>
          <w:szCs w:val="36"/>
          <w:highlight w:val="none"/>
          <w:lang w:val="en-US" w:eastAsia="zh-CN"/>
        </w:rPr>
        <w:t xml:space="preserve"> 郭宇峥 昝曼华 周毓鹃 </w:t>
      </w:r>
      <w:r>
        <w:rPr>
          <w:rFonts w:hint="eastAsia" w:ascii="楷体" w:hAnsi="楷体" w:eastAsia="楷体" w:cs="楷体"/>
          <w:color w:val="000000"/>
          <w:sz w:val="32"/>
          <w:szCs w:val="36"/>
          <w:highlight w:val="none"/>
        </w:rPr>
        <w:t>王苏雅</w:t>
      </w:r>
    </w:p>
    <w:p w14:paraId="2BCAB6C5">
      <w:pPr>
        <w:keepNext w:val="0"/>
        <w:keepLines w:val="0"/>
        <w:pageBreakBefore w:val="0"/>
        <w:widowControl w:val="0"/>
        <w:kinsoku/>
        <w:wordWrap/>
        <w:overflowPunct/>
        <w:topLinePunct w:val="0"/>
        <w:autoSpaceDE/>
        <w:autoSpaceDN/>
        <w:bidi w:val="0"/>
        <w:snapToGrid/>
        <w:spacing w:line="520" w:lineRule="exact"/>
        <w:ind w:firstLine="1600" w:firstLineChars="500"/>
        <w:textAlignment w:val="auto"/>
        <w:rPr>
          <w:rFonts w:hint="eastAsia" w:ascii="楷体" w:hAnsi="楷体" w:eastAsia="楷体" w:cs="楷体"/>
          <w:color w:val="000000"/>
          <w:sz w:val="32"/>
          <w:szCs w:val="36"/>
          <w:highlight w:val="none"/>
          <w:lang w:val="en-US" w:eastAsia="zh-CN"/>
        </w:rPr>
      </w:pPr>
      <w:r>
        <w:rPr>
          <w:rFonts w:hint="eastAsia" w:ascii="楷体" w:hAnsi="楷体" w:eastAsia="楷体" w:cs="楷体"/>
          <w:color w:val="000000"/>
          <w:sz w:val="32"/>
          <w:szCs w:val="36"/>
          <w:highlight w:val="none"/>
          <w:lang w:val="en-US" w:eastAsia="zh-CN"/>
        </w:rPr>
        <w:t>尚尔旭 姬云辰 蔚鹏飞 刘鑫达 赵春光 刘世轩</w:t>
      </w:r>
    </w:p>
    <w:p w14:paraId="054D1DB5">
      <w:pPr>
        <w:keepNext w:val="0"/>
        <w:keepLines w:val="0"/>
        <w:pageBreakBefore w:val="0"/>
        <w:widowControl w:val="0"/>
        <w:kinsoku/>
        <w:wordWrap/>
        <w:overflowPunct/>
        <w:topLinePunct w:val="0"/>
        <w:autoSpaceDE/>
        <w:autoSpaceDN/>
        <w:bidi w:val="0"/>
        <w:snapToGrid/>
        <w:spacing w:line="520" w:lineRule="exact"/>
        <w:ind w:left="1596" w:leftChars="760" w:firstLine="0" w:firstLineChars="0"/>
        <w:textAlignment w:val="auto"/>
        <w:rPr>
          <w:rFonts w:hint="eastAsia" w:ascii="楷体" w:hAnsi="楷体" w:eastAsia="楷体" w:cs="楷体"/>
          <w:color w:val="000000"/>
          <w:sz w:val="32"/>
          <w:szCs w:val="36"/>
          <w:highlight w:val="none"/>
          <w:lang w:val="en-US" w:eastAsia="zh-CN"/>
        </w:rPr>
      </w:pPr>
      <w:r>
        <w:rPr>
          <w:rFonts w:hint="eastAsia" w:ascii="楷体" w:hAnsi="楷体" w:eastAsia="楷体" w:cs="楷体"/>
          <w:color w:val="000000"/>
          <w:sz w:val="32"/>
          <w:szCs w:val="36"/>
          <w:highlight w:val="none"/>
          <w:lang w:val="en-US" w:eastAsia="zh-CN"/>
        </w:rPr>
        <w:t xml:space="preserve">吴桐镜 武红磊 胡丽媛 </w:t>
      </w:r>
      <w:r>
        <w:rPr>
          <w:rFonts w:hint="eastAsia" w:ascii="楷体" w:hAnsi="楷体" w:eastAsia="楷体" w:cs="楷体"/>
          <w:color w:val="000000"/>
          <w:sz w:val="32"/>
          <w:szCs w:val="36"/>
          <w:highlight w:val="none"/>
        </w:rPr>
        <w:t>张晓燕</w:t>
      </w:r>
      <w:r>
        <w:rPr>
          <w:rFonts w:hint="eastAsia" w:ascii="楷体" w:hAnsi="楷体" w:eastAsia="楷体" w:cs="楷体"/>
          <w:color w:val="000000"/>
          <w:sz w:val="32"/>
          <w:szCs w:val="36"/>
          <w:highlight w:val="none"/>
          <w:lang w:val="en-US" w:eastAsia="zh-CN"/>
        </w:rPr>
        <w:t xml:space="preserve"> </w:t>
      </w:r>
      <w:r>
        <w:rPr>
          <w:rFonts w:hint="eastAsia" w:ascii="楷体" w:hAnsi="楷体" w:eastAsia="楷体" w:cs="楷体"/>
          <w:color w:val="000000"/>
          <w:sz w:val="32"/>
          <w:szCs w:val="36"/>
          <w:highlight w:val="none"/>
        </w:rPr>
        <w:t xml:space="preserve">杜建宇 </w:t>
      </w:r>
      <w:r>
        <w:rPr>
          <w:rFonts w:hint="eastAsia" w:ascii="楷体" w:hAnsi="楷体" w:eastAsia="楷体" w:cs="楷体"/>
          <w:color w:val="000000"/>
          <w:sz w:val="32"/>
          <w:szCs w:val="36"/>
          <w:highlight w:val="none"/>
          <w:lang w:val="en-US" w:eastAsia="zh-CN"/>
        </w:rPr>
        <w:t>李侗润</w:t>
      </w:r>
    </w:p>
    <w:p w14:paraId="066C742F">
      <w:pPr>
        <w:keepNext w:val="0"/>
        <w:keepLines w:val="0"/>
        <w:pageBreakBefore w:val="0"/>
        <w:widowControl w:val="0"/>
        <w:kinsoku/>
        <w:wordWrap/>
        <w:overflowPunct/>
        <w:topLinePunct w:val="0"/>
        <w:autoSpaceDE/>
        <w:autoSpaceDN/>
        <w:bidi w:val="0"/>
        <w:snapToGrid/>
        <w:spacing w:line="520" w:lineRule="exact"/>
        <w:ind w:left="1596" w:leftChars="760" w:firstLine="0" w:firstLineChars="0"/>
        <w:textAlignment w:val="auto"/>
        <w:rPr>
          <w:rFonts w:hint="eastAsia" w:ascii="楷体" w:hAnsi="楷体" w:eastAsia="楷体" w:cs="楷体"/>
          <w:color w:val="000000"/>
          <w:sz w:val="32"/>
          <w:szCs w:val="36"/>
          <w:highlight w:val="none"/>
          <w:lang w:val="en-US" w:eastAsia="zh-CN"/>
        </w:rPr>
      </w:pPr>
      <w:r>
        <w:rPr>
          <w:rFonts w:hint="eastAsia" w:ascii="楷体" w:hAnsi="楷体" w:eastAsia="楷体" w:cs="楷体"/>
          <w:color w:val="000000"/>
          <w:sz w:val="32"/>
          <w:szCs w:val="36"/>
          <w:highlight w:val="none"/>
        </w:rPr>
        <w:t xml:space="preserve">李 </w:t>
      </w:r>
      <w:r>
        <w:rPr>
          <w:rFonts w:ascii="楷体" w:hAnsi="楷体" w:eastAsia="楷体" w:cs="楷体"/>
          <w:color w:val="000000"/>
          <w:sz w:val="32"/>
          <w:szCs w:val="36"/>
          <w:highlight w:val="none"/>
        </w:rPr>
        <w:t xml:space="preserve"> </w:t>
      </w:r>
      <w:r>
        <w:rPr>
          <w:rFonts w:hint="eastAsia" w:ascii="楷体" w:hAnsi="楷体" w:eastAsia="楷体" w:cs="楷体"/>
          <w:color w:val="000000"/>
          <w:sz w:val="32"/>
          <w:szCs w:val="36"/>
          <w:highlight w:val="none"/>
        </w:rPr>
        <w:t>瑶</w:t>
      </w:r>
      <w:r>
        <w:rPr>
          <w:rFonts w:hint="eastAsia" w:ascii="楷体" w:hAnsi="楷体" w:eastAsia="楷体" w:cs="楷体"/>
          <w:color w:val="000000"/>
          <w:sz w:val="32"/>
          <w:szCs w:val="36"/>
          <w:highlight w:val="none"/>
          <w:lang w:val="en-US" w:eastAsia="zh-CN"/>
        </w:rPr>
        <w:t xml:space="preserve"> </w:t>
      </w:r>
      <w:r>
        <w:rPr>
          <w:rFonts w:hint="eastAsia" w:ascii="楷体" w:hAnsi="楷体" w:eastAsia="楷体" w:cs="楷体"/>
          <w:color w:val="000000"/>
          <w:sz w:val="32"/>
          <w:szCs w:val="36"/>
          <w:highlight w:val="none"/>
        </w:rPr>
        <w:t>王嘉贝</w:t>
      </w:r>
      <w:r>
        <w:rPr>
          <w:rFonts w:hint="eastAsia" w:ascii="楷体" w:hAnsi="楷体" w:eastAsia="楷体" w:cs="楷体"/>
          <w:color w:val="000000"/>
          <w:sz w:val="32"/>
          <w:szCs w:val="36"/>
          <w:highlight w:val="none"/>
          <w:lang w:val="en-US" w:eastAsia="zh-CN"/>
        </w:rPr>
        <w:t xml:space="preserve"> 聂和平 秦健云 王瑞骁 拓  颖</w:t>
      </w:r>
    </w:p>
    <w:p w14:paraId="27B58F4E">
      <w:pPr>
        <w:keepNext w:val="0"/>
        <w:keepLines w:val="0"/>
        <w:pageBreakBefore w:val="0"/>
        <w:widowControl w:val="0"/>
        <w:kinsoku/>
        <w:wordWrap/>
        <w:overflowPunct/>
        <w:topLinePunct w:val="0"/>
        <w:autoSpaceDE/>
        <w:autoSpaceDN/>
        <w:bidi w:val="0"/>
        <w:snapToGrid/>
        <w:spacing w:line="520" w:lineRule="exact"/>
        <w:ind w:left="1596" w:leftChars="760" w:firstLine="0" w:firstLineChars="0"/>
        <w:textAlignment w:val="auto"/>
        <w:rPr>
          <w:rFonts w:hint="eastAsia" w:asciiTheme="minorEastAsia" w:hAnsiTheme="minorEastAsia" w:eastAsiaTheme="minorEastAsia" w:cstheme="minorEastAsia"/>
          <w:bCs/>
          <w:sz w:val="32"/>
          <w:szCs w:val="32"/>
          <w:highlight w:val="none"/>
          <w:lang w:val="en-US" w:eastAsia="zh-CN"/>
        </w:rPr>
        <w:sectPr>
          <w:headerReference r:id="rId4" w:type="first"/>
          <w:headerReference r:id="rId3" w:type="default"/>
          <w:footerReference r:id="rId5" w:type="default"/>
          <w:pgSz w:w="11906" w:h="16838"/>
          <w:pgMar w:top="1440" w:right="1797" w:bottom="1440" w:left="1797" w:header="851" w:footer="992" w:gutter="0"/>
          <w:cols w:space="425" w:num="1"/>
          <w:titlePg/>
          <w:docGrid w:linePitch="312" w:charSpace="0"/>
        </w:sectPr>
      </w:pPr>
      <w:r>
        <w:rPr>
          <w:rFonts w:hint="eastAsia" w:ascii="楷体" w:hAnsi="楷体" w:eastAsia="楷体" w:cs="楷体"/>
          <w:color w:val="000000"/>
          <w:sz w:val="32"/>
          <w:szCs w:val="36"/>
          <w:highlight w:val="none"/>
          <w:lang w:val="en-US" w:eastAsia="zh-CN"/>
        </w:rPr>
        <w:t>张  颖斛晓宇 张  媛</w:t>
      </w:r>
      <w:bookmarkStart w:id="0" w:name="_Toc24435"/>
      <w:bookmarkStart w:id="1" w:name="_Toc488176998"/>
      <w:bookmarkStart w:id="2" w:name="_Toc23302"/>
      <w:bookmarkStart w:id="3" w:name="_Toc498173718"/>
      <w:bookmarkStart w:id="4" w:name="_Toc452387365"/>
      <w:bookmarkStart w:id="5" w:name="_Toc30325"/>
      <w:bookmarkStart w:id="6" w:name="_Toc13715"/>
    </w:p>
    <w:bookmarkEnd w:id="0"/>
    <w:bookmarkEnd w:id="1"/>
    <w:bookmarkEnd w:id="2"/>
    <w:bookmarkEnd w:id="3"/>
    <w:bookmarkEnd w:id="4"/>
    <w:bookmarkEnd w:id="5"/>
    <w:bookmarkEnd w:id="6"/>
    <w:p w14:paraId="1A0F4F3E">
      <w:pPr>
        <w:pStyle w:val="3"/>
        <w:spacing w:before="120" w:beforeLines="50" w:after="120" w:afterLines="50" w:line="360" w:lineRule="auto"/>
        <w:rPr>
          <w:rFonts w:asciiTheme="minorEastAsia" w:hAnsiTheme="minorEastAsia" w:eastAsiaTheme="minorEastAsia" w:cstheme="minorEastAsia"/>
          <w:bCs/>
          <w:sz w:val="30"/>
          <w:szCs w:val="30"/>
        </w:rPr>
      </w:pPr>
      <w:bookmarkStart w:id="7" w:name="_Toc8646"/>
      <w:r>
        <w:rPr>
          <w:rFonts w:hint="eastAsia" w:asciiTheme="minorEastAsia" w:hAnsiTheme="minorEastAsia" w:eastAsiaTheme="minorEastAsia" w:cstheme="minorEastAsia"/>
          <w:bCs/>
          <w:sz w:val="30"/>
          <w:szCs w:val="30"/>
        </w:rPr>
        <w:t>2.2运维任务</w:t>
      </w:r>
      <w:bookmarkEnd w:id="7"/>
    </w:p>
    <w:p w14:paraId="62DD3197">
      <w:pPr>
        <w:pStyle w:val="4"/>
        <w:spacing w:before="120" w:beforeLines="50" w:after="120" w:afterLines="50" w:line="360" w:lineRule="auto"/>
        <w:rPr>
          <w:rFonts w:asciiTheme="minorEastAsia" w:hAnsiTheme="minorEastAsia" w:eastAsiaTheme="minorEastAsia" w:cstheme="minorEastAsia"/>
          <w:sz w:val="28"/>
          <w:szCs w:val="28"/>
        </w:rPr>
      </w:pPr>
      <w:bookmarkStart w:id="8" w:name="_Toc9388"/>
      <w:r>
        <w:rPr>
          <w:rFonts w:hint="eastAsia" w:asciiTheme="minorEastAsia" w:hAnsiTheme="minorEastAsia" w:eastAsiaTheme="minorEastAsia" w:cstheme="minorEastAsia"/>
          <w:sz w:val="28"/>
          <w:szCs w:val="28"/>
        </w:rPr>
        <w:t>2.2.1自动监测站点运行维护</w:t>
      </w:r>
      <w:bookmarkEnd w:id="8"/>
    </w:p>
    <w:p w14:paraId="69322F65">
      <w:pPr>
        <w:shd w:val="clear" w:color="auto"/>
        <w:snapToGrid w:val="0"/>
        <w:spacing w:line="360" w:lineRule="auto"/>
        <w:ind w:firstLine="480" w:firstLineChars="200"/>
        <w:rPr>
          <w:rFonts w:hint="eastAsia" w:asciiTheme="minorEastAsia" w:hAnsiTheme="minorEastAsia" w:eastAsiaTheme="minorEastAsia" w:cstheme="minorEastAsia"/>
          <w:sz w:val="24"/>
          <w:szCs w:val="28"/>
          <w:lang w:eastAsia="zh-CN"/>
        </w:rPr>
      </w:pPr>
      <w:r>
        <w:rPr>
          <w:rFonts w:hint="eastAsia" w:asciiTheme="minorEastAsia" w:hAnsiTheme="minorEastAsia" w:eastAsiaTheme="minorEastAsia" w:cstheme="minorEastAsia"/>
          <w:sz w:val="24"/>
          <w:szCs w:val="28"/>
        </w:rPr>
        <w:t>根据水利部《关于加强山洪灾害防御工作的指导意见》（水防〔2022〕97号）</w:t>
      </w:r>
      <w:r>
        <w:rPr>
          <w:rFonts w:hint="eastAsia" w:asciiTheme="minorEastAsia" w:hAnsiTheme="minorEastAsia" w:eastAsiaTheme="minorEastAsia" w:cstheme="minorEastAsia"/>
          <w:sz w:val="24"/>
          <w:szCs w:val="28"/>
          <w:lang w:eastAsia="zh-CN"/>
        </w:rPr>
        <w:t>、</w:t>
      </w:r>
      <w:r>
        <w:rPr>
          <w:rFonts w:hint="eastAsia" w:asciiTheme="minorEastAsia" w:hAnsiTheme="minorEastAsia" w:eastAsiaTheme="minorEastAsia" w:cstheme="minorEastAsia"/>
          <w:sz w:val="24"/>
          <w:szCs w:val="28"/>
        </w:rPr>
        <w:t>《山洪灾害防治非工程措施运行维护指南》和《山洪灾害监测预警设施设备运行维护管理要求》</w:t>
      </w:r>
      <w:r>
        <w:rPr>
          <w:rFonts w:hint="eastAsia" w:asciiTheme="minorEastAsia" w:hAnsiTheme="minorEastAsia" w:eastAsiaTheme="minorEastAsia" w:cstheme="minorEastAsia"/>
          <w:sz w:val="24"/>
          <w:szCs w:val="28"/>
          <w:lang w:eastAsia="zh-CN"/>
        </w:rPr>
        <w:t>等文件要求</w:t>
      </w:r>
      <w:r>
        <w:rPr>
          <w:rFonts w:hint="eastAsia" w:asciiTheme="minorEastAsia" w:hAnsiTheme="minorEastAsia" w:eastAsiaTheme="minorEastAsia" w:cstheme="minorEastAsia"/>
          <w:sz w:val="24"/>
          <w:szCs w:val="28"/>
        </w:rPr>
        <w:t>，按规定可采用委托专业单位或政府购买服务等方式，逐步推进山洪灾害自动监测站点运行维护、日常管理尽快实现集约化、专业化</w:t>
      </w:r>
      <w:r>
        <w:rPr>
          <w:rFonts w:hint="eastAsia" w:asciiTheme="minorEastAsia" w:hAnsiTheme="minorEastAsia" w:eastAsiaTheme="minorEastAsia" w:cstheme="minorEastAsia"/>
          <w:sz w:val="24"/>
          <w:szCs w:val="28"/>
          <w:lang w:eastAsia="zh-CN"/>
        </w:rPr>
        <w:t>。</w:t>
      </w:r>
    </w:p>
    <w:p w14:paraId="1C6B20B1">
      <w:pPr>
        <w:shd w:val="clear" w:color="auto"/>
        <w:snapToGrid w:val="0"/>
        <w:spacing w:line="360" w:lineRule="auto"/>
        <w:ind w:firstLine="480" w:firstLineChars="200"/>
        <w:rPr>
          <w:rFonts w:asciiTheme="minorEastAsia" w:hAnsiTheme="minorEastAsia" w:eastAsiaTheme="minorEastAsia" w:cstheme="minorEastAsia"/>
          <w:b/>
          <w:bCs/>
          <w:color w:val="000000"/>
          <w:kern w:val="0"/>
          <w:sz w:val="24"/>
          <w:szCs w:val="24"/>
          <w:highlight w:val="none"/>
        </w:rPr>
      </w:pPr>
      <w:r>
        <w:rPr>
          <w:rFonts w:hint="eastAsia" w:asciiTheme="minorEastAsia" w:hAnsiTheme="minorEastAsia" w:eastAsiaTheme="minorEastAsia" w:cstheme="minorEastAsia"/>
          <w:sz w:val="24"/>
          <w:szCs w:val="28"/>
        </w:rPr>
        <w:t>202</w:t>
      </w:r>
      <w:r>
        <w:rPr>
          <w:rFonts w:hint="eastAsia" w:asciiTheme="minorEastAsia" w:hAnsiTheme="minorEastAsia" w:eastAsiaTheme="minorEastAsia" w:cstheme="minorEastAsia"/>
          <w:sz w:val="24"/>
          <w:szCs w:val="28"/>
          <w:lang w:val="en-US" w:eastAsia="zh-CN"/>
        </w:rPr>
        <w:t>6</w:t>
      </w:r>
      <w:r>
        <w:rPr>
          <w:rFonts w:hint="eastAsia" w:asciiTheme="minorEastAsia" w:hAnsiTheme="minorEastAsia" w:eastAsiaTheme="minorEastAsia" w:cstheme="minorEastAsia"/>
          <w:sz w:val="24"/>
          <w:szCs w:val="28"/>
        </w:rPr>
        <w:t>年</w:t>
      </w:r>
      <w:r>
        <w:rPr>
          <w:rFonts w:hint="eastAsia" w:asciiTheme="minorEastAsia" w:hAnsiTheme="minorEastAsia" w:eastAsiaTheme="minorEastAsia" w:cstheme="minorEastAsia"/>
          <w:sz w:val="24"/>
          <w:szCs w:val="28"/>
          <w:highlight w:val="none"/>
        </w:rPr>
        <w:t>度山洪灾害自动监测站点</w:t>
      </w:r>
      <w:r>
        <w:rPr>
          <w:rFonts w:hint="eastAsia" w:asciiTheme="minorEastAsia" w:hAnsiTheme="minorEastAsia" w:eastAsiaTheme="minorEastAsia" w:cstheme="minorEastAsia"/>
          <w:sz w:val="24"/>
          <w:szCs w:val="28"/>
        </w:rPr>
        <w:t>日常运行维护</w:t>
      </w:r>
      <w:r>
        <w:rPr>
          <w:rFonts w:hint="eastAsia" w:asciiTheme="minorEastAsia" w:hAnsiTheme="minorEastAsia" w:eastAsiaTheme="minorEastAsia" w:cstheme="minorEastAsia"/>
          <w:sz w:val="24"/>
          <w:szCs w:val="28"/>
          <w:highlight w:val="none"/>
        </w:rPr>
        <w:t>运维工作由盟市水利部门统一集中组织实施。</w:t>
      </w:r>
      <w:r>
        <w:rPr>
          <w:rFonts w:hint="eastAsia" w:asciiTheme="minorEastAsia" w:hAnsiTheme="minorEastAsia" w:eastAsiaTheme="minorEastAsia" w:cstheme="minorEastAsia"/>
          <w:b/>
          <w:bCs/>
          <w:color w:val="000000"/>
          <w:kern w:val="0"/>
          <w:sz w:val="24"/>
          <w:szCs w:val="24"/>
          <w:highlight w:val="none"/>
        </w:rPr>
        <w:t>同时，基层地方政府是山洪灾害防御的责任主体，各旗县区水利部门要实时主动监控自动监测站点运行情况，确保各级平台能接收展示自动监测站点数据，对发现的站点异常状况要及时上报相关盟市水利部门，联系运维单位进行维护。</w:t>
      </w:r>
    </w:p>
    <w:p w14:paraId="73D4DD5F">
      <w:pPr>
        <w:keepNext w:val="0"/>
        <w:keepLines w:val="0"/>
        <w:pageBreakBefore w:val="0"/>
        <w:widowControl w:val="0"/>
        <w:shd w:val="clear" w:color="auto"/>
        <w:kinsoku/>
        <w:wordWrap/>
        <w:overflowPunct/>
        <w:topLinePunct w:val="0"/>
        <w:autoSpaceDE/>
        <w:autoSpaceDN/>
        <w:bidi w:val="0"/>
        <w:adjustRightInd/>
        <w:snapToGrid w:val="0"/>
        <w:spacing w:before="157" w:beforeLines="50" w:line="360" w:lineRule="auto"/>
        <w:ind w:firstLine="480" w:firstLineChars="200"/>
        <w:textAlignment w:val="auto"/>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kern w:val="0"/>
          <w:sz w:val="24"/>
          <w:szCs w:val="24"/>
          <w:highlight w:val="none"/>
        </w:rPr>
        <w:t>本年度自动监测站点运行维护涉及全区</w:t>
      </w:r>
      <w:r>
        <w:rPr>
          <w:rFonts w:hint="eastAsia" w:asciiTheme="minorEastAsia" w:hAnsiTheme="minorEastAsia" w:eastAsiaTheme="minorEastAsia" w:cstheme="minorEastAsia"/>
          <w:kern w:val="0"/>
          <w:sz w:val="24"/>
          <w:szCs w:val="24"/>
          <w:highlight w:val="none"/>
          <w:lang w:val="en-US" w:eastAsia="zh-CN"/>
        </w:rPr>
        <w:t>3509</w:t>
      </w:r>
      <w:r>
        <w:rPr>
          <w:rFonts w:hint="eastAsia" w:asciiTheme="minorEastAsia" w:hAnsiTheme="minorEastAsia" w:eastAsiaTheme="minorEastAsia" w:cstheme="minorEastAsia"/>
          <w:kern w:val="0"/>
          <w:sz w:val="24"/>
          <w:szCs w:val="24"/>
          <w:highlight w:val="none"/>
        </w:rPr>
        <w:t>个</w:t>
      </w:r>
      <w:r>
        <w:rPr>
          <w:rFonts w:hint="eastAsia" w:asciiTheme="minorEastAsia" w:hAnsiTheme="minorEastAsia" w:eastAsiaTheme="minorEastAsia" w:cstheme="minorEastAsia"/>
          <w:kern w:val="0"/>
          <w:sz w:val="24"/>
          <w:szCs w:val="24"/>
          <w:highlight w:val="none"/>
          <w:lang w:eastAsia="zh-CN"/>
        </w:rPr>
        <w:t>（</w:t>
      </w:r>
      <w:r>
        <w:rPr>
          <w:rFonts w:hint="eastAsia" w:asciiTheme="minorEastAsia" w:hAnsiTheme="minorEastAsia" w:eastAsiaTheme="minorEastAsia" w:cstheme="minorEastAsia"/>
          <w:kern w:val="0"/>
          <w:sz w:val="24"/>
          <w:szCs w:val="24"/>
          <w:highlight w:val="none"/>
          <w:lang w:val="en-US" w:eastAsia="zh-CN"/>
        </w:rPr>
        <w:t>除2025年新建站</w:t>
      </w:r>
      <w:r>
        <w:rPr>
          <w:rFonts w:hint="eastAsia" w:asciiTheme="minorEastAsia" w:hAnsiTheme="minorEastAsia" w:eastAsiaTheme="minorEastAsia" w:cstheme="minorEastAsia"/>
          <w:kern w:val="0"/>
          <w:sz w:val="24"/>
          <w:szCs w:val="24"/>
          <w:highlight w:val="none"/>
          <w:lang w:eastAsia="zh-CN"/>
        </w:rPr>
        <w:t>）</w:t>
      </w:r>
      <w:r>
        <w:rPr>
          <w:rFonts w:hint="eastAsia" w:asciiTheme="minorEastAsia" w:hAnsiTheme="minorEastAsia" w:eastAsiaTheme="minorEastAsia" w:cstheme="minorEastAsia"/>
          <w:kern w:val="0"/>
          <w:sz w:val="24"/>
          <w:szCs w:val="24"/>
          <w:highlight w:val="none"/>
        </w:rPr>
        <w:t>自动监测站点</w:t>
      </w:r>
      <w:r>
        <w:rPr>
          <w:rFonts w:hint="eastAsia" w:asciiTheme="minorEastAsia" w:hAnsiTheme="minorEastAsia" w:eastAsiaTheme="minorEastAsia" w:cstheme="minorEastAsia"/>
          <w:kern w:val="0"/>
          <w:sz w:val="24"/>
          <w:szCs w:val="24"/>
          <w:highlight w:val="none"/>
          <w:lang w:eastAsia="zh-CN"/>
        </w:rPr>
        <w:t>（</w:t>
      </w:r>
      <w:r>
        <w:rPr>
          <w:rFonts w:hint="eastAsia" w:asciiTheme="minorEastAsia" w:hAnsiTheme="minorEastAsia" w:eastAsiaTheme="minorEastAsia" w:cstheme="minorEastAsia"/>
          <w:kern w:val="0"/>
          <w:sz w:val="24"/>
          <w:szCs w:val="24"/>
          <w:highlight w:val="none"/>
        </w:rPr>
        <w:t>包括全部雨量站、水位站、一体站</w:t>
      </w:r>
      <w:r>
        <w:rPr>
          <w:rFonts w:hint="eastAsia" w:asciiTheme="minorEastAsia" w:hAnsiTheme="minorEastAsia" w:eastAsiaTheme="minorEastAsia" w:cstheme="minorEastAsia"/>
          <w:kern w:val="0"/>
          <w:sz w:val="24"/>
          <w:szCs w:val="24"/>
          <w:highlight w:val="none"/>
          <w:lang w:eastAsia="zh-CN"/>
        </w:rPr>
        <w:t>、</w:t>
      </w:r>
      <w:r>
        <w:rPr>
          <w:rFonts w:hint="eastAsia" w:asciiTheme="minorEastAsia" w:hAnsiTheme="minorEastAsia" w:eastAsiaTheme="minorEastAsia" w:cstheme="minorEastAsia"/>
          <w:kern w:val="0"/>
          <w:sz w:val="24"/>
          <w:szCs w:val="24"/>
          <w:highlight w:val="none"/>
        </w:rPr>
        <w:t>图像视频站</w:t>
      </w:r>
      <w:r>
        <w:rPr>
          <w:rFonts w:hint="eastAsia" w:asciiTheme="minorEastAsia" w:hAnsiTheme="minorEastAsia" w:eastAsiaTheme="minorEastAsia" w:cstheme="minorEastAsia"/>
          <w:kern w:val="0"/>
          <w:sz w:val="24"/>
          <w:szCs w:val="24"/>
          <w:highlight w:val="none"/>
          <w:lang w:eastAsia="zh-CN"/>
        </w:rPr>
        <w:t>、</w:t>
      </w:r>
      <w:r>
        <w:rPr>
          <w:rFonts w:hint="eastAsia" w:asciiTheme="minorEastAsia" w:hAnsiTheme="minorEastAsia" w:eastAsiaTheme="minorEastAsia" w:cstheme="minorEastAsia"/>
          <w:kern w:val="0"/>
          <w:sz w:val="24"/>
          <w:szCs w:val="24"/>
          <w:highlight w:val="none"/>
          <w:lang w:val="en-US" w:eastAsia="zh-CN"/>
        </w:rPr>
        <w:t>声光电雨量站、声光电水位雨量一体站</w:t>
      </w:r>
      <w:r>
        <w:rPr>
          <w:rFonts w:hint="eastAsia" w:asciiTheme="minorEastAsia" w:hAnsiTheme="minorEastAsia" w:eastAsiaTheme="minorEastAsia" w:cstheme="minorEastAsia"/>
          <w:kern w:val="0"/>
          <w:sz w:val="24"/>
          <w:szCs w:val="24"/>
          <w:highlight w:val="none"/>
          <w:lang w:eastAsia="zh-CN"/>
        </w:rPr>
        <w:t>）</w:t>
      </w:r>
      <w:r>
        <w:rPr>
          <w:rFonts w:hint="eastAsia" w:asciiTheme="minorEastAsia" w:hAnsiTheme="minorEastAsia" w:eastAsiaTheme="minorEastAsia" w:cstheme="minorEastAsia"/>
          <w:kern w:val="0"/>
          <w:sz w:val="24"/>
          <w:szCs w:val="24"/>
          <w:highlight w:val="none"/>
        </w:rPr>
        <w:t>。运行维护主要工作为</w:t>
      </w:r>
      <w:r>
        <w:rPr>
          <w:rFonts w:hint="eastAsia" w:asciiTheme="minorEastAsia" w:hAnsiTheme="minorEastAsia" w:eastAsiaTheme="minorEastAsia" w:cstheme="minorEastAsia"/>
          <w:color w:val="000000"/>
          <w:kern w:val="0"/>
          <w:sz w:val="24"/>
          <w:szCs w:val="24"/>
          <w:highlight w:val="none"/>
        </w:rPr>
        <w:t>定期和不定期对站</w:t>
      </w:r>
      <w:r>
        <w:rPr>
          <w:rFonts w:hint="eastAsia" w:asciiTheme="minorEastAsia" w:hAnsiTheme="minorEastAsia" w:eastAsiaTheme="minorEastAsia" w:cstheme="minorEastAsia"/>
          <w:color w:val="000000"/>
          <w:kern w:val="0"/>
          <w:sz w:val="24"/>
          <w:szCs w:val="24"/>
          <w:highlight w:val="none"/>
          <w:lang w:val="en-US" w:eastAsia="zh-CN"/>
        </w:rPr>
        <w:t>点</w:t>
      </w:r>
      <w:r>
        <w:rPr>
          <w:rFonts w:hint="eastAsia" w:asciiTheme="minorEastAsia" w:hAnsiTheme="minorEastAsia" w:eastAsiaTheme="minorEastAsia" w:cstheme="minorEastAsia"/>
          <w:color w:val="000000"/>
          <w:kern w:val="0"/>
          <w:sz w:val="24"/>
          <w:szCs w:val="24"/>
          <w:highlight w:val="none"/>
        </w:rPr>
        <w:t>设备的运行状态进行全面检查和测试，发现和排除故障，更换存在问题的零部件</w:t>
      </w:r>
      <w:r>
        <w:rPr>
          <w:rFonts w:hint="eastAsia" w:asciiTheme="minorEastAsia" w:hAnsiTheme="minorEastAsia" w:eastAsiaTheme="minorEastAsia" w:cstheme="minorEastAsia"/>
          <w:color w:val="000000"/>
          <w:kern w:val="0"/>
          <w:sz w:val="24"/>
          <w:szCs w:val="24"/>
          <w:highlight w:val="none"/>
          <w:lang w:val="en-US" w:eastAsia="zh-CN"/>
        </w:rPr>
        <w:t>并使用</w:t>
      </w:r>
      <w:r>
        <w:rPr>
          <w:rFonts w:hint="eastAsia" w:asciiTheme="minorEastAsia" w:hAnsiTheme="minorEastAsia" w:eastAsiaTheme="minorEastAsia" w:cstheme="minorEastAsia"/>
          <w:color w:val="000000"/>
          <w:kern w:val="0"/>
          <w:sz w:val="24"/>
          <w:szCs w:val="24"/>
          <w:highlight w:val="none"/>
        </w:rPr>
        <w:t>山洪灾害自动监测站点运维APP</w:t>
      </w:r>
      <w:r>
        <w:rPr>
          <w:rFonts w:hint="eastAsia" w:asciiTheme="minorEastAsia" w:hAnsiTheme="minorEastAsia" w:eastAsiaTheme="minorEastAsia" w:cstheme="minorEastAsia"/>
          <w:color w:val="000000"/>
          <w:kern w:val="0"/>
          <w:sz w:val="24"/>
          <w:szCs w:val="24"/>
          <w:highlight w:val="none"/>
          <w:lang w:val="en-US" w:eastAsia="zh-CN"/>
        </w:rPr>
        <w:t>建立运维台账，</w:t>
      </w:r>
      <w:r>
        <w:rPr>
          <w:rFonts w:hint="eastAsia" w:asciiTheme="minorEastAsia" w:hAnsiTheme="minorEastAsia" w:eastAsiaTheme="minorEastAsia" w:cstheme="minorEastAsia"/>
          <w:kern w:val="0"/>
          <w:sz w:val="24"/>
          <w:szCs w:val="24"/>
          <w:highlight w:val="none"/>
        </w:rPr>
        <w:t>明确记录每个监测站点的设备清单、设备型号、设备更换时间等详细运维过程</w:t>
      </w:r>
      <w:r>
        <w:rPr>
          <w:rFonts w:hint="eastAsia" w:asciiTheme="minorEastAsia" w:hAnsiTheme="minorEastAsia" w:eastAsiaTheme="minorEastAsia" w:cstheme="minorEastAsia"/>
          <w:color w:val="000000"/>
          <w:kern w:val="0"/>
          <w:sz w:val="24"/>
          <w:szCs w:val="24"/>
          <w:highlight w:val="none"/>
        </w:rPr>
        <w:t>；定期缴纳站点通信费用确保通信通畅；对异常数据处理，保障系统功能正常</w:t>
      </w:r>
      <w:r>
        <w:rPr>
          <w:rFonts w:hint="eastAsia" w:asciiTheme="minorEastAsia" w:hAnsiTheme="minorEastAsia" w:eastAsiaTheme="minorEastAsia" w:cstheme="minorEastAsia"/>
          <w:color w:val="000000"/>
          <w:kern w:val="0"/>
          <w:sz w:val="24"/>
          <w:szCs w:val="24"/>
          <w:highlight w:val="none"/>
          <w:lang w:eastAsia="zh-CN"/>
        </w:rPr>
        <w:t>，</w:t>
      </w:r>
      <w:r>
        <w:rPr>
          <w:rFonts w:hint="eastAsia" w:asciiTheme="minorEastAsia" w:hAnsiTheme="minorEastAsia" w:eastAsiaTheme="minorEastAsia" w:cstheme="minorEastAsia"/>
          <w:b/>
          <w:bCs/>
          <w:kern w:val="0"/>
          <w:sz w:val="24"/>
          <w:szCs w:val="24"/>
          <w:lang w:eastAsia="zh-CN"/>
        </w:rPr>
        <w:t>同时</w:t>
      </w:r>
      <w:r>
        <w:rPr>
          <w:rFonts w:hint="eastAsia" w:asciiTheme="minorEastAsia" w:hAnsiTheme="minorEastAsia" w:eastAsiaTheme="minorEastAsia" w:cstheme="minorEastAsia"/>
          <w:b/>
          <w:bCs/>
          <w:kern w:val="0"/>
          <w:sz w:val="24"/>
          <w:szCs w:val="24"/>
        </w:rPr>
        <w:t>自动监测站点数据传输模式仍然采用“一站多发”，</w:t>
      </w:r>
      <w:r>
        <w:rPr>
          <w:rFonts w:hint="eastAsia" w:asciiTheme="minorEastAsia" w:hAnsiTheme="minorEastAsia" w:eastAsiaTheme="minorEastAsia" w:cstheme="minorEastAsia"/>
          <w:b/>
          <w:bCs/>
          <w:color w:val="000000"/>
          <w:kern w:val="0"/>
          <w:sz w:val="24"/>
          <w:szCs w:val="24"/>
          <w:highlight w:val="none"/>
          <w:lang w:val="en-US" w:eastAsia="zh-CN"/>
        </w:rPr>
        <w:t>保障</w:t>
      </w:r>
      <w:r>
        <w:rPr>
          <w:rFonts w:hint="eastAsia" w:asciiTheme="minorEastAsia" w:hAnsiTheme="minorEastAsia" w:eastAsiaTheme="minorEastAsia" w:cstheme="minorEastAsia"/>
          <w:b/>
          <w:bCs/>
          <w:kern w:val="0"/>
          <w:sz w:val="24"/>
          <w:szCs w:val="24"/>
        </w:rPr>
        <w:t>汛期站点到报率（以自治区平台中到报率为准）要达到95%以上。</w:t>
      </w:r>
    </w:p>
    <w:tbl>
      <w:tblPr>
        <w:tblStyle w:val="32"/>
        <w:tblW w:w="4971"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47"/>
        <w:gridCol w:w="815"/>
        <w:gridCol w:w="1017"/>
        <w:gridCol w:w="1003"/>
        <w:gridCol w:w="1328"/>
        <w:gridCol w:w="1288"/>
        <w:gridCol w:w="1030"/>
        <w:gridCol w:w="952"/>
      </w:tblGrid>
      <w:tr w14:paraId="72717E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blHeader/>
          <w:jc w:val="center"/>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5A5A5A"/>
            <w:vAlign w:val="center"/>
          </w:tcPr>
          <w:p w14:paraId="74A7BC59">
            <w:pPr>
              <w:keepNext w:val="0"/>
              <w:keepLines w:val="0"/>
              <w:widowControl/>
              <w:suppressLineNumbers w:val="0"/>
              <w:jc w:val="center"/>
              <w:textAlignment w:val="center"/>
              <w:rPr>
                <w:rFonts w:hint="eastAsia" w:ascii="微软雅黑" w:hAnsi="微软雅黑" w:eastAsia="微软雅黑" w:cs="微软雅黑"/>
                <w:b/>
                <w:bCs/>
                <w:i w:val="0"/>
                <w:iCs w:val="0"/>
                <w:color w:val="FFFFFF"/>
                <w:kern w:val="0"/>
                <w:sz w:val="32"/>
                <w:szCs w:val="32"/>
                <w:u w:val="none"/>
                <w:lang w:val="en-US" w:eastAsia="zh-CN" w:bidi="ar"/>
              </w:rPr>
            </w:pPr>
            <w:r>
              <w:rPr>
                <w:rFonts w:hint="eastAsia" w:ascii="微软雅黑" w:hAnsi="微软雅黑" w:eastAsia="微软雅黑" w:cs="微软雅黑"/>
                <w:b/>
                <w:bCs/>
                <w:i w:val="0"/>
                <w:iCs w:val="0"/>
                <w:color w:val="FFFFFF"/>
                <w:kern w:val="0"/>
                <w:sz w:val="32"/>
                <w:szCs w:val="32"/>
                <w:u w:val="none"/>
                <w:lang w:val="en-US" w:eastAsia="zh-CN" w:bidi="ar"/>
              </w:rPr>
              <w:t>自动监测站点运行维护</w:t>
            </w:r>
          </w:p>
        </w:tc>
      </w:tr>
      <w:tr w14:paraId="15979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1" w:hRule="atLeast"/>
          <w:jc w:val="center"/>
        </w:trPr>
        <w:tc>
          <w:tcPr>
            <w:tcW w:w="617" w:type="pct"/>
            <w:tcBorders>
              <w:top w:val="single" w:color="000000" w:sz="4" w:space="0"/>
              <w:left w:val="single" w:color="000000" w:sz="4" w:space="0"/>
              <w:bottom w:val="single" w:color="000000" w:sz="4" w:space="0"/>
              <w:right w:val="single" w:color="000000" w:sz="4" w:space="0"/>
            </w:tcBorders>
            <w:shd w:val="clear" w:color="auto" w:fill="D9D9D9"/>
            <w:vAlign w:val="center"/>
          </w:tcPr>
          <w:p w14:paraId="62B006DA">
            <w:pPr>
              <w:keepNext w:val="0"/>
              <w:keepLines w:val="0"/>
              <w:widowControl/>
              <w:suppressLineNumbers w:val="0"/>
              <w:jc w:val="center"/>
              <w:textAlignment w:val="center"/>
              <w:rPr>
                <w:rFonts w:hint="eastAsia" w:ascii="微软雅黑" w:hAnsi="微软雅黑" w:eastAsia="微软雅黑" w:cs="微软雅黑"/>
                <w:b/>
                <w:bCs/>
                <w:i w:val="0"/>
                <w:iCs w:val="0"/>
                <w:color w:val="000000"/>
                <w:kern w:val="0"/>
                <w:sz w:val="20"/>
                <w:szCs w:val="20"/>
                <w:u w:val="none"/>
                <w:lang w:val="en-US" w:eastAsia="zh-CN" w:bidi="ar"/>
              </w:rPr>
            </w:pPr>
            <w:r>
              <w:rPr>
                <w:rFonts w:hint="eastAsia" w:ascii="微软雅黑" w:hAnsi="微软雅黑" w:eastAsia="微软雅黑" w:cs="微软雅黑"/>
                <w:b/>
                <w:bCs/>
                <w:i w:val="0"/>
                <w:iCs w:val="0"/>
                <w:color w:val="000000"/>
                <w:kern w:val="0"/>
                <w:sz w:val="20"/>
                <w:szCs w:val="20"/>
                <w:u w:val="none"/>
                <w:lang w:val="en-US" w:eastAsia="zh-CN" w:bidi="ar"/>
              </w:rPr>
              <w:t>盟市</w:t>
            </w:r>
          </w:p>
        </w:tc>
        <w:tc>
          <w:tcPr>
            <w:tcW w:w="480" w:type="pct"/>
            <w:tcBorders>
              <w:top w:val="single" w:color="000000" w:sz="4" w:space="0"/>
              <w:left w:val="single" w:color="000000" w:sz="4" w:space="0"/>
              <w:bottom w:val="single" w:color="000000" w:sz="4" w:space="0"/>
              <w:right w:val="single" w:color="000000" w:sz="4" w:space="0"/>
            </w:tcBorders>
            <w:shd w:val="clear" w:color="auto" w:fill="D9D9D9"/>
            <w:vAlign w:val="center"/>
          </w:tcPr>
          <w:p w14:paraId="2EEF1C33">
            <w:pPr>
              <w:keepNext w:val="0"/>
              <w:keepLines w:val="0"/>
              <w:widowControl/>
              <w:suppressLineNumbers w:val="0"/>
              <w:jc w:val="center"/>
              <w:textAlignment w:val="center"/>
              <w:rPr>
                <w:rFonts w:hint="eastAsia" w:ascii="微软雅黑" w:hAnsi="微软雅黑" w:eastAsia="微软雅黑" w:cs="微软雅黑"/>
                <w:b/>
                <w:bCs/>
                <w:i w:val="0"/>
                <w:iCs w:val="0"/>
                <w:color w:val="000000"/>
                <w:kern w:val="0"/>
                <w:sz w:val="20"/>
                <w:szCs w:val="20"/>
                <w:u w:val="none"/>
                <w:lang w:val="en-US" w:eastAsia="zh-CN" w:bidi="ar"/>
              </w:rPr>
            </w:pPr>
            <w:r>
              <w:rPr>
                <w:rFonts w:hint="eastAsia" w:ascii="微软雅黑" w:hAnsi="微软雅黑" w:eastAsia="微软雅黑" w:cs="微软雅黑"/>
                <w:b/>
                <w:bCs/>
                <w:i w:val="0"/>
                <w:iCs w:val="0"/>
                <w:color w:val="000000"/>
                <w:kern w:val="0"/>
                <w:sz w:val="20"/>
                <w:szCs w:val="20"/>
                <w:u w:val="none"/>
                <w:lang w:val="en-US" w:eastAsia="zh-CN" w:bidi="ar"/>
              </w:rPr>
              <w:t>站点总数（个）</w:t>
            </w:r>
          </w:p>
        </w:tc>
        <w:tc>
          <w:tcPr>
            <w:tcW w:w="599" w:type="pct"/>
            <w:tcBorders>
              <w:top w:val="single" w:color="000000" w:sz="4" w:space="0"/>
              <w:left w:val="single" w:color="000000" w:sz="4" w:space="0"/>
              <w:bottom w:val="single" w:color="000000" w:sz="4" w:space="0"/>
              <w:right w:val="single" w:color="000000" w:sz="4" w:space="0"/>
            </w:tcBorders>
            <w:shd w:val="clear" w:color="auto" w:fill="D9D9D9"/>
            <w:vAlign w:val="center"/>
          </w:tcPr>
          <w:p w14:paraId="3E92133B">
            <w:pPr>
              <w:keepNext w:val="0"/>
              <w:keepLines w:val="0"/>
              <w:widowControl/>
              <w:suppressLineNumbers w:val="0"/>
              <w:jc w:val="center"/>
              <w:textAlignment w:val="center"/>
              <w:rPr>
                <w:rFonts w:hint="eastAsia" w:ascii="微软雅黑" w:hAnsi="微软雅黑" w:eastAsia="微软雅黑" w:cs="微软雅黑"/>
                <w:b/>
                <w:bCs/>
                <w:i w:val="0"/>
                <w:iCs w:val="0"/>
                <w:color w:val="000000"/>
                <w:kern w:val="0"/>
                <w:sz w:val="20"/>
                <w:szCs w:val="20"/>
                <w:u w:val="none"/>
                <w:lang w:val="en-US" w:eastAsia="zh-CN" w:bidi="ar"/>
              </w:rPr>
            </w:pPr>
            <w:r>
              <w:rPr>
                <w:rFonts w:hint="eastAsia" w:ascii="微软雅黑" w:hAnsi="微软雅黑" w:eastAsia="微软雅黑" w:cs="微软雅黑"/>
                <w:b/>
                <w:bCs/>
                <w:i w:val="0"/>
                <w:iCs w:val="0"/>
                <w:color w:val="000000"/>
                <w:kern w:val="0"/>
                <w:sz w:val="20"/>
                <w:szCs w:val="20"/>
                <w:u w:val="none"/>
                <w:lang w:val="en-US" w:eastAsia="zh-CN" w:bidi="ar"/>
              </w:rPr>
              <w:t>雨量站（个）</w:t>
            </w:r>
          </w:p>
        </w:tc>
        <w:tc>
          <w:tcPr>
            <w:tcW w:w="591" w:type="pct"/>
            <w:tcBorders>
              <w:top w:val="single" w:color="000000" w:sz="4" w:space="0"/>
              <w:left w:val="single" w:color="000000" w:sz="4" w:space="0"/>
              <w:bottom w:val="single" w:color="000000" w:sz="4" w:space="0"/>
              <w:right w:val="single" w:color="000000" w:sz="4" w:space="0"/>
            </w:tcBorders>
            <w:shd w:val="clear" w:color="auto" w:fill="D9D9D9"/>
            <w:vAlign w:val="center"/>
          </w:tcPr>
          <w:p w14:paraId="7797131C">
            <w:pPr>
              <w:keepNext w:val="0"/>
              <w:keepLines w:val="0"/>
              <w:widowControl/>
              <w:suppressLineNumbers w:val="0"/>
              <w:jc w:val="center"/>
              <w:textAlignment w:val="center"/>
              <w:rPr>
                <w:rFonts w:hint="eastAsia" w:ascii="微软雅黑" w:hAnsi="微软雅黑" w:eastAsia="微软雅黑" w:cs="微软雅黑"/>
                <w:b/>
                <w:bCs/>
                <w:i w:val="0"/>
                <w:iCs w:val="0"/>
                <w:color w:val="000000"/>
                <w:kern w:val="0"/>
                <w:sz w:val="20"/>
                <w:szCs w:val="20"/>
                <w:u w:val="none"/>
                <w:lang w:val="en-US" w:eastAsia="zh-CN" w:bidi="ar"/>
              </w:rPr>
            </w:pPr>
            <w:r>
              <w:rPr>
                <w:rFonts w:hint="eastAsia" w:ascii="微软雅黑" w:hAnsi="微软雅黑" w:eastAsia="微软雅黑" w:cs="微软雅黑"/>
                <w:b/>
                <w:bCs/>
                <w:i w:val="0"/>
                <w:iCs w:val="0"/>
                <w:color w:val="000000"/>
                <w:kern w:val="0"/>
                <w:sz w:val="20"/>
                <w:szCs w:val="20"/>
                <w:u w:val="none"/>
                <w:lang w:val="en-US" w:eastAsia="zh-CN" w:bidi="ar"/>
              </w:rPr>
              <w:t>水位站（个）</w:t>
            </w:r>
          </w:p>
        </w:tc>
        <w:tc>
          <w:tcPr>
            <w:tcW w:w="783" w:type="pct"/>
            <w:tcBorders>
              <w:top w:val="single" w:color="000000" w:sz="4" w:space="0"/>
              <w:left w:val="single" w:color="000000" w:sz="4" w:space="0"/>
              <w:bottom w:val="single" w:color="000000" w:sz="4" w:space="0"/>
              <w:right w:val="single" w:color="000000" w:sz="4" w:space="0"/>
            </w:tcBorders>
            <w:shd w:val="clear" w:color="auto" w:fill="D9D9D9"/>
            <w:vAlign w:val="center"/>
          </w:tcPr>
          <w:p w14:paraId="05B9A394">
            <w:pPr>
              <w:keepNext w:val="0"/>
              <w:keepLines w:val="0"/>
              <w:widowControl/>
              <w:suppressLineNumbers w:val="0"/>
              <w:jc w:val="center"/>
              <w:textAlignment w:val="center"/>
              <w:rPr>
                <w:rFonts w:hint="eastAsia" w:ascii="微软雅黑" w:hAnsi="微软雅黑" w:eastAsia="微软雅黑" w:cs="微软雅黑"/>
                <w:b/>
                <w:bCs/>
                <w:i w:val="0"/>
                <w:iCs w:val="0"/>
                <w:color w:val="000000"/>
                <w:kern w:val="0"/>
                <w:sz w:val="20"/>
                <w:szCs w:val="20"/>
                <w:u w:val="none"/>
                <w:lang w:val="en-US" w:eastAsia="zh-CN" w:bidi="ar"/>
              </w:rPr>
            </w:pPr>
            <w:r>
              <w:rPr>
                <w:rFonts w:hint="eastAsia" w:ascii="微软雅黑" w:hAnsi="微软雅黑" w:eastAsia="微软雅黑" w:cs="微软雅黑"/>
                <w:b/>
                <w:bCs/>
                <w:i w:val="0"/>
                <w:iCs w:val="0"/>
                <w:color w:val="000000"/>
                <w:kern w:val="0"/>
                <w:sz w:val="20"/>
                <w:szCs w:val="20"/>
                <w:u w:val="none"/>
                <w:lang w:val="en-US" w:eastAsia="zh-CN" w:bidi="ar"/>
              </w:rPr>
              <w:t>声光电雨量站（个）</w:t>
            </w:r>
          </w:p>
        </w:tc>
        <w:tc>
          <w:tcPr>
            <w:tcW w:w="759" w:type="pct"/>
            <w:tcBorders>
              <w:top w:val="single" w:color="000000" w:sz="4" w:space="0"/>
              <w:left w:val="single" w:color="000000" w:sz="4" w:space="0"/>
              <w:bottom w:val="single" w:color="000000" w:sz="4" w:space="0"/>
              <w:right w:val="single" w:color="000000" w:sz="4" w:space="0"/>
            </w:tcBorders>
            <w:shd w:val="clear" w:color="auto" w:fill="D9D9D9"/>
            <w:vAlign w:val="center"/>
          </w:tcPr>
          <w:p w14:paraId="1EF126F4">
            <w:pPr>
              <w:keepNext w:val="0"/>
              <w:keepLines w:val="0"/>
              <w:widowControl/>
              <w:suppressLineNumbers w:val="0"/>
              <w:jc w:val="center"/>
              <w:textAlignment w:val="center"/>
              <w:rPr>
                <w:rFonts w:hint="eastAsia" w:ascii="微软雅黑" w:hAnsi="微软雅黑" w:eastAsia="微软雅黑" w:cs="微软雅黑"/>
                <w:b/>
                <w:bCs/>
                <w:i w:val="0"/>
                <w:iCs w:val="0"/>
                <w:color w:val="000000"/>
                <w:kern w:val="0"/>
                <w:sz w:val="20"/>
                <w:szCs w:val="20"/>
                <w:u w:val="none"/>
                <w:lang w:val="en-US" w:eastAsia="zh-CN" w:bidi="ar"/>
              </w:rPr>
            </w:pPr>
            <w:r>
              <w:rPr>
                <w:rFonts w:hint="eastAsia" w:ascii="微软雅黑" w:hAnsi="微软雅黑" w:eastAsia="微软雅黑" w:cs="微软雅黑"/>
                <w:b/>
                <w:bCs/>
                <w:i w:val="0"/>
                <w:iCs w:val="0"/>
                <w:color w:val="000000"/>
                <w:kern w:val="0"/>
                <w:sz w:val="20"/>
                <w:szCs w:val="20"/>
                <w:u w:val="none"/>
                <w:lang w:val="en-US" w:eastAsia="zh-CN" w:bidi="ar"/>
              </w:rPr>
              <w:t>声光电水位雨量一体站（个）</w:t>
            </w:r>
          </w:p>
        </w:tc>
        <w:tc>
          <w:tcPr>
            <w:tcW w:w="607" w:type="pct"/>
            <w:tcBorders>
              <w:top w:val="single" w:color="000000" w:sz="4" w:space="0"/>
              <w:left w:val="single" w:color="000000" w:sz="4" w:space="0"/>
              <w:bottom w:val="single" w:color="000000" w:sz="4" w:space="0"/>
              <w:right w:val="single" w:color="000000" w:sz="4" w:space="0"/>
            </w:tcBorders>
            <w:shd w:val="clear" w:color="auto" w:fill="D9D9D9"/>
            <w:vAlign w:val="center"/>
          </w:tcPr>
          <w:p w14:paraId="7CE0D71D">
            <w:pPr>
              <w:keepNext w:val="0"/>
              <w:keepLines w:val="0"/>
              <w:widowControl/>
              <w:suppressLineNumbers w:val="0"/>
              <w:jc w:val="center"/>
              <w:textAlignment w:val="center"/>
              <w:rPr>
                <w:rFonts w:hint="eastAsia" w:ascii="微软雅黑" w:hAnsi="微软雅黑" w:eastAsia="微软雅黑" w:cs="微软雅黑"/>
                <w:b/>
                <w:bCs/>
                <w:i w:val="0"/>
                <w:iCs w:val="0"/>
                <w:color w:val="000000"/>
                <w:kern w:val="0"/>
                <w:sz w:val="20"/>
                <w:szCs w:val="20"/>
                <w:u w:val="none"/>
                <w:lang w:val="en-US" w:eastAsia="zh-CN" w:bidi="ar"/>
              </w:rPr>
            </w:pPr>
            <w:r>
              <w:rPr>
                <w:rFonts w:hint="eastAsia" w:ascii="微软雅黑" w:hAnsi="微软雅黑" w:eastAsia="微软雅黑" w:cs="微软雅黑"/>
                <w:b/>
                <w:bCs/>
                <w:i w:val="0"/>
                <w:iCs w:val="0"/>
                <w:color w:val="000000"/>
                <w:kern w:val="0"/>
                <w:sz w:val="20"/>
                <w:szCs w:val="20"/>
                <w:u w:val="none"/>
                <w:lang w:val="en-US" w:eastAsia="zh-CN" w:bidi="ar"/>
              </w:rPr>
              <w:t>一体站（个）</w:t>
            </w:r>
          </w:p>
        </w:tc>
        <w:tc>
          <w:tcPr>
            <w:tcW w:w="561" w:type="pct"/>
            <w:tcBorders>
              <w:top w:val="single" w:color="000000" w:sz="4" w:space="0"/>
              <w:left w:val="single" w:color="000000" w:sz="4" w:space="0"/>
              <w:bottom w:val="single" w:color="000000" w:sz="4" w:space="0"/>
              <w:right w:val="single" w:color="000000" w:sz="4" w:space="0"/>
            </w:tcBorders>
            <w:shd w:val="clear" w:color="auto" w:fill="D9D9D9"/>
            <w:vAlign w:val="center"/>
          </w:tcPr>
          <w:p w14:paraId="7C4AF310">
            <w:pPr>
              <w:keepNext w:val="0"/>
              <w:keepLines w:val="0"/>
              <w:widowControl/>
              <w:suppressLineNumbers w:val="0"/>
              <w:jc w:val="center"/>
              <w:textAlignment w:val="center"/>
              <w:rPr>
                <w:rFonts w:hint="eastAsia" w:ascii="微软雅黑" w:hAnsi="微软雅黑" w:eastAsia="微软雅黑" w:cs="微软雅黑"/>
                <w:b/>
                <w:bCs/>
                <w:i w:val="0"/>
                <w:iCs w:val="0"/>
                <w:color w:val="000000"/>
                <w:kern w:val="0"/>
                <w:sz w:val="20"/>
                <w:szCs w:val="20"/>
                <w:u w:val="none"/>
                <w:lang w:val="en-US" w:eastAsia="zh-CN" w:bidi="ar"/>
              </w:rPr>
            </w:pPr>
            <w:r>
              <w:rPr>
                <w:rFonts w:hint="eastAsia" w:ascii="微软雅黑" w:hAnsi="微软雅黑" w:eastAsia="微软雅黑" w:cs="微软雅黑"/>
                <w:b/>
                <w:bCs/>
                <w:i w:val="0"/>
                <w:iCs w:val="0"/>
                <w:color w:val="000000"/>
                <w:kern w:val="0"/>
                <w:sz w:val="20"/>
                <w:szCs w:val="20"/>
                <w:u w:val="none"/>
                <w:lang w:val="en-US" w:eastAsia="zh-CN" w:bidi="ar"/>
              </w:rPr>
              <w:t>图像视频站（个）</w:t>
            </w:r>
          </w:p>
        </w:tc>
      </w:tr>
      <w:tr w14:paraId="37EC96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jc w:val="center"/>
        </w:trPr>
        <w:tc>
          <w:tcPr>
            <w:tcW w:w="61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384921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呼伦贝尔</w:t>
            </w:r>
          </w:p>
        </w:tc>
        <w:tc>
          <w:tcPr>
            <w:tcW w:w="48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E91D2E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360</w:t>
            </w:r>
          </w:p>
        </w:tc>
        <w:tc>
          <w:tcPr>
            <w:tcW w:w="5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2AF5BC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243</w:t>
            </w:r>
          </w:p>
        </w:tc>
        <w:tc>
          <w:tcPr>
            <w:tcW w:w="5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E56ABB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w:t>
            </w:r>
          </w:p>
        </w:tc>
        <w:tc>
          <w:tcPr>
            <w:tcW w:w="78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3B9095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21</w:t>
            </w:r>
          </w:p>
        </w:tc>
        <w:tc>
          <w:tcPr>
            <w:tcW w:w="75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102618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w:t>
            </w:r>
          </w:p>
        </w:tc>
        <w:tc>
          <w:tcPr>
            <w:tcW w:w="60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FB44A4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w:t>
            </w:r>
          </w:p>
        </w:tc>
        <w:tc>
          <w:tcPr>
            <w:tcW w:w="56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4866849">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50</w:t>
            </w:r>
          </w:p>
        </w:tc>
      </w:tr>
    </w:tbl>
    <w:p w14:paraId="4E0FE26F">
      <w:pPr>
        <w:pStyle w:val="4"/>
        <w:spacing w:before="120" w:beforeLines="50" w:after="120" w:afterLines="50" w:line="360" w:lineRule="auto"/>
        <w:rPr>
          <w:rFonts w:hint="default" w:asciiTheme="minorEastAsia" w:hAnsiTheme="minorEastAsia" w:eastAsiaTheme="minorEastAsia" w:cstheme="minorEastAsia"/>
          <w:sz w:val="28"/>
          <w:szCs w:val="28"/>
          <w:highlight w:val="none"/>
          <w:lang w:val="en-US" w:eastAsia="zh-CN"/>
        </w:rPr>
      </w:pPr>
      <w:bookmarkStart w:id="9" w:name="_Toc10746"/>
      <w:r>
        <w:rPr>
          <w:rFonts w:hint="eastAsia" w:asciiTheme="minorEastAsia" w:hAnsiTheme="minorEastAsia" w:eastAsiaTheme="minorEastAsia" w:cstheme="minorEastAsia"/>
          <w:sz w:val="28"/>
          <w:szCs w:val="28"/>
          <w:lang w:val="en-US" w:eastAsia="zh-CN"/>
        </w:rPr>
        <w:t>2.2.2自动监测</w:t>
      </w:r>
      <w:r>
        <w:rPr>
          <w:rFonts w:hint="eastAsia" w:asciiTheme="minorEastAsia" w:hAnsiTheme="minorEastAsia" w:eastAsiaTheme="minorEastAsia" w:cstheme="minorEastAsia"/>
          <w:sz w:val="28"/>
          <w:szCs w:val="28"/>
          <w:highlight w:val="none"/>
          <w:lang w:val="en-US" w:eastAsia="zh-CN"/>
        </w:rPr>
        <w:t>站点布局优化</w:t>
      </w:r>
      <w:bookmarkEnd w:id="9"/>
    </w:p>
    <w:p w14:paraId="3AB0104D">
      <w:pPr>
        <w:shd w:val="clear" w:color="auto"/>
        <w:snapToGrid w:val="0"/>
        <w:spacing w:line="360" w:lineRule="auto"/>
        <w:ind w:firstLine="480" w:firstLineChars="200"/>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kern w:val="0"/>
          <w:sz w:val="24"/>
          <w:szCs w:val="24"/>
          <w:highlight w:val="none"/>
          <w:lang w:val="en-US" w:eastAsia="zh-CN"/>
        </w:rPr>
        <w:t>针对现有自动监测雨量站位置相近、站址处于山洪灾害危险区下游、站点下游无危险区存在无效监测预警的情况，要求充分对接旗县区实际需求，进一步分析站点迁移可行性后，对无效监测预警的站点进行迁移</w:t>
      </w:r>
      <w:r>
        <w:rPr>
          <w:rFonts w:hint="eastAsia" w:asciiTheme="minorEastAsia" w:hAnsiTheme="minorEastAsia" w:eastAsiaTheme="minorEastAsia" w:cstheme="minorEastAsia"/>
          <w:kern w:val="0"/>
          <w:sz w:val="24"/>
          <w:szCs w:val="24"/>
          <w:highlight w:val="none"/>
        </w:rPr>
        <w:t>，</w:t>
      </w:r>
      <w:r>
        <w:rPr>
          <w:rFonts w:hint="eastAsia" w:asciiTheme="minorEastAsia" w:hAnsiTheme="minorEastAsia" w:eastAsiaTheme="minorEastAsia" w:cstheme="minorEastAsia"/>
          <w:kern w:val="0"/>
          <w:sz w:val="24"/>
          <w:szCs w:val="24"/>
          <w:highlight w:val="none"/>
          <w:lang w:val="en-US" w:eastAsia="zh-CN"/>
        </w:rPr>
        <w:t>进一步优化站网布局。迁移后的站点要求同步</w:t>
      </w:r>
      <w:r>
        <w:rPr>
          <w:rFonts w:hint="eastAsia" w:asciiTheme="minorEastAsia" w:hAnsiTheme="minorEastAsia" w:eastAsiaTheme="minorEastAsia" w:cstheme="minorEastAsia"/>
          <w:kern w:val="0"/>
          <w:sz w:val="24"/>
          <w:szCs w:val="24"/>
          <w:highlight w:val="none"/>
        </w:rPr>
        <w:t>并</w:t>
      </w:r>
      <w:r>
        <w:rPr>
          <w:rFonts w:hint="eastAsia" w:asciiTheme="minorEastAsia" w:hAnsiTheme="minorEastAsia" w:eastAsiaTheme="minorEastAsia" w:cstheme="minorEastAsia"/>
          <w:kern w:val="0"/>
          <w:sz w:val="24"/>
          <w:szCs w:val="24"/>
          <w:highlight w:val="none"/>
          <w:lang w:val="en-US" w:eastAsia="zh-CN"/>
        </w:rPr>
        <w:t>在</w:t>
      </w:r>
      <w:r>
        <w:rPr>
          <w:rFonts w:hint="eastAsia" w:asciiTheme="minorEastAsia" w:hAnsiTheme="minorEastAsia" w:eastAsiaTheme="minorEastAsia" w:cstheme="minorEastAsia"/>
          <w:color w:val="000000"/>
          <w:kern w:val="0"/>
          <w:sz w:val="24"/>
          <w:szCs w:val="24"/>
          <w:highlight w:val="none"/>
        </w:rPr>
        <w:t>山洪灾害自动监测站点运维APP</w:t>
      </w:r>
      <w:r>
        <w:rPr>
          <w:rFonts w:hint="eastAsia" w:asciiTheme="minorEastAsia" w:hAnsiTheme="minorEastAsia" w:eastAsiaTheme="minorEastAsia" w:cstheme="minorEastAsia"/>
          <w:color w:val="000000"/>
          <w:kern w:val="0"/>
          <w:sz w:val="24"/>
          <w:szCs w:val="24"/>
          <w:highlight w:val="none"/>
          <w:lang w:val="en-US" w:eastAsia="zh-CN"/>
        </w:rPr>
        <w:t>中</w:t>
      </w:r>
      <w:r>
        <w:rPr>
          <w:rFonts w:hint="eastAsia" w:asciiTheme="minorEastAsia" w:hAnsiTheme="minorEastAsia" w:eastAsiaTheme="minorEastAsia" w:cstheme="minorEastAsia"/>
          <w:kern w:val="0"/>
          <w:sz w:val="24"/>
          <w:szCs w:val="24"/>
          <w:highlight w:val="none"/>
        </w:rPr>
        <w:t>做好</w:t>
      </w:r>
      <w:r>
        <w:rPr>
          <w:rFonts w:hint="eastAsia" w:asciiTheme="minorEastAsia" w:hAnsiTheme="minorEastAsia" w:eastAsiaTheme="minorEastAsia" w:cstheme="minorEastAsia"/>
          <w:kern w:val="0"/>
          <w:sz w:val="24"/>
          <w:szCs w:val="24"/>
          <w:highlight w:val="none"/>
          <w:lang w:val="en-US" w:eastAsia="zh-CN"/>
        </w:rPr>
        <w:t>迁移</w:t>
      </w:r>
      <w:r>
        <w:rPr>
          <w:rFonts w:hint="eastAsia" w:asciiTheme="minorEastAsia" w:hAnsiTheme="minorEastAsia" w:eastAsiaTheme="minorEastAsia" w:cstheme="minorEastAsia"/>
          <w:kern w:val="0"/>
          <w:sz w:val="24"/>
          <w:szCs w:val="24"/>
          <w:highlight w:val="none"/>
        </w:rPr>
        <w:t>记录</w:t>
      </w:r>
      <w:r>
        <w:rPr>
          <w:rFonts w:hint="eastAsia" w:asciiTheme="minorEastAsia" w:hAnsiTheme="minorEastAsia" w:eastAsiaTheme="minorEastAsia" w:cstheme="minorEastAsia"/>
          <w:kern w:val="0"/>
          <w:sz w:val="24"/>
          <w:szCs w:val="24"/>
          <w:highlight w:val="none"/>
          <w:lang w:eastAsia="zh-CN"/>
        </w:rPr>
        <w:t>，</w:t>
      </w:r>
      <w:r>
        <w:rPr>
          <w:rFonts w:hint="eastAsia" w:asciiTheme="minorEastAsia" w:hAnsiTheme="minorEastAsia" w:eastAsiaTheme="minorEastAsia" w:cstheme="minorEastAsia"/>
          <w:kern w:val="0"/>
          <w:sz w:val="24"/>
          <w:szCs w:val="24"/>
          <w:highlight w:val="none"/>
          <w:lang w:val="en-US" w:eastAsia="zh-CN"/>
        </w:rPr>
        <w:t>盟市同步做好自治区山洪平台内迁移后的站点与所处危险区关联关系，迁移后的站点基础信息同步更新至三级山洪灾害监测预警平台（自治区平台由水利厅防御中心统一收集后更新）</w:t>
      </w:r>
      <w:r>
        <w:rPr>
          <w:rFonts w:hint="eastAsia" w:asciiTheme="minorEastAsia" w:hAnsiTheme="minorEastAsia" w:eastAsiaTheme="minorEastAsia" w:cstheme="minorEastAsia"/>
          <w:color w:val="000000"/>
          <w:kern w:val="0"/>
          <w:sz w:val="24"/>
          <w:szCs w:val="24"/>
          <w:highlight w:val="none"/>
        </w:rPr>
        <w:t>。</w:t>
      </w:r>
    </w:p>
    <w:tbl>
      <w:tblPr>
        <w:tblStyle w:val="32"/>
        <w:tblW w:w="79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977"/>
        <w:gridCol w:w="3983"/>
      </w:tblGrid>
      <w:tr w14:paraId="7F0730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7" w:hRule="atLeast"/>
          <w:jc w:val="center"/>
        </w:trPr>
        <w:tc>
          <w:tcPr>
            <w:tcW w:w="7960" w:type="dxa"/>
            <w:gridSpan w:val="2"/>
            <w:tcBorders>
              <w:top w:val="single" w:color="000000" w:sz="4" w:space="0"/>
              <w:left w:val="single" w:color="000000" w:sz="4" w:space="0"/>
              <w:bottom w:val="single" w:color="000000" w:sz="4" w:space="0"/>
              <w:right w:val="single" w:color="000000" w:sz="4" w:space="0"/>
            </w:tcBorders>
            <w:shd w:val="clear" w:color="auto" w:fill="5A5A5A"/>
            <w:vAlign w:val="center"/>
          </w:tcPr>
          <w:p w14:paraId="7D649E7B">
            <w:pPr>
              <w:keepNext w:val="0"/>
              <w:keepLines w:val="0"/>
              <w:widowControl/>
              <w:suppressLineNumbers w:val="0"/>
              <w:jc w:val="center"/>
              <w:textAlignment w:val="center"/>
              <w:rPr>
                <w:rFonts w:hint="default" w:ascii="微软雅黑" w:hAnsi="微软雅黑" w:eastAsia="微软雅黑" w:cs="微软雅黑"/>
                <w:b/>
                <w:bCs/>
                <w:i w:val="0"/>
                <w:iCs w:val="0"/>
                <w:color w:val="FFFFFF"/>
                <w:kern w:val="0"/>
                <w:sz w:val="32"/>
                <w:szCs w:val="32"/>
                <w:u w:val="none"/>
                <w:lang w:val="en-US" w:eastAsia="zh-CN" w:bidi="ar"/>
              </w:rPr>
            </w:pPr>
            <w:r>
              <w:rPr>
                <w:rFonts w:hint="eastAsia" w:ascii="微软雅黑" w:hAnsi="微软雅黑" w:eastAsia="微软雅黑" w:cs="微软雅黑"/>
                <w:b/>
                <w:bCs/>
                <w:i w:val="0"/>
                <w:iCs w:val="0"/>
                <w:color w:val="FFFFFF"/>
                <w:kern w:val="0"/>
                <w:sz w:val="32"/>
                <w:szCs w:val="32"/>
                <w:u w:val="none"/>
                <w:lang w:val="en-US" w:eastAsia="zh-CN" w:bidi="ar"/>
              </w:rPr>
              <w:t>自动监测站点布局优化</w:t>
            </w:r>
          </w:p>
        </w:tc>
      </w:tr>
      <w:tr w14:paraId="796F5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jc w:val="center"/>
        </w:trPr>
        <w:tc>
          <w:tcPr>
            <w:tcW w:w="3977" w:type="dxa"/>
            <w:tcBorders>
              <w:top w:val="single" w:color="000000" w:sz="4" w:space="0"/>
              <w:left w:val="single" w:color="000000" w:sz="4" w:space="0"/>
              <w:bottom w:val="nil"/>
              <w:right w:val="single" w:color="000000" w:sz="4" w:space="0"/>
            </w:tcBorders>
            <w:shd w:val="clear" w:color="auto" w:fill="D9D9D9"/>
            <w:vAlign w:val="center"/>
          </w:tcPr>
          <w:p w14:paraId="16F95FB3">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盟市</w:t>
            </w:r>
          </w:p>
        </w:tc>
        <w:tc>
          <w:tcPr>
            <w:tcW w:w="3983" w:type="dxa"/>
            <w:tcBorders>
              <w:top w:val="single" w:color="000000" w:sz="4" w:space="0"/>
              <w:left w:val="single" w:color="000000" w:sz="4" w:space="0"/>
              <w:bottom w:val="nil"/>
              <w:right w:val="single" w:color="000000" w:sz="4" w:space="0"/>
            </w:tcBorders>
            <w:shd w:val="clear" w:color="auto" w:fill="D9D9D9"/>
            <w:vAlign w:val="center"/>
          </w:tcPr>
          <w:p w14:paraId="04EC7C75">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布局优化雨量站（个）</w:t>
            </w:r>
          </w:p>
        </w:tc>
      </w:tr>
      <w:tr w14:paraId="3ECC10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6" w:hRule="atLeast"/>
          <w:jc w:val="center"/>
        </w:trPr>
        <w:tc>
          <w:tcPr>
            <w:tcW w:w="39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DF5B92">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全区合计</w:t>
            </w:r>
          </w:p>
        </w:tc>
        <w:tc>
          <w:tcPr>
            <w:tcW w:w="39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E0B3EF">
            <w:pPr>
              <w:keepNext w:val="0"/>
              <w:keepLines w:val="0"/>
              <w:widowControl/>
              <w:suppressLineNumbers w:val="0"/>
              <w:jc w:val="center"/>
              <w:textAlignment w:val="center"/>
              <w:rPr>
                <w:rFonts w:hint="default" w:ascii="微软雅黑" w:hAnsi="微软雅黑" w:eastAsia="微软雅黑" w:cs="微软雅黑"/>
                <w:b/>
                <w:bCs/>
                <w:i w:val="0"/>
                <w:iCs w:val="0"/>
                <w:color w:val="000000"/>
                <w:sz w:val="20"/>
                <w:szCs w:val="20"/>
                <w:u w:val="none"/>
                <w:lang w:val="en-US"/>
              </w:rPr>
            </w:pPr>
            <w:r>
              <w:rPr>
                <w:rFonts w:hint="eastAsia" w:ascii="微软雅黑" w:hAnsi="微软雅黑" w:eastAsia="微软雅黑" w:cs="微软雅黑"/>
                <w:b/>
                <w:bCs/>
                <w:i w:val="0"/>
                <w:iCs w:val="0"/>
                <w:color w:val="000000"/>
                <w:kern w:val="0"/>
                <w:sz w:val="20"/>
                <w:szCs w:val="20"/>
                <w:u w:val="none"/>
                <w:lang w:val="en-US" w:eastAsia="zh-CN" w:bidi="ar"/>
              </w:rPr>
              <w:t>49</w:t>
            </w:r>
          </w:p>
        </w:tc>
      </w:tr>
      <w:tr w14:paraId="2FF2EC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6" w:hRule="atLeast"/>
          <w:jc w:val="center"/>
        </w:trPr>
        <w:tc>
          <w:tcPr>
            <w:tcW w:w="39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A840B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呼伦贝尔</w:t>
            </w:r>
          </w:p>
        </w:tc>
        <w:tc>
          <w:tcPr>
            <w:tcW w:w="39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FB415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49</w:t>
            </w:r>
          </w:p>
        </w:tc>
      </w:tr>
    </w:tbl>
    <w:p w14:paraId="5D07D5CB">
      <w:pPr>
        <w:pStyle w:val="4"/>
        <w:shd w:val="clear"/>
        <w:spacing w:before="120" w:beforeLines="50" w:after="120" w:afterLines="50" w:line="360" w:lineRule="auto"/>
        <w:rPr>
          <w:rFonts w:asciiTheme="minorEastAsia" w:hAnsiTheme="minorEastAsia" w:eastAsiaTheme="minorEastAsia" w:cstheme="minorEastAsia"/>
          <w:sz w:val="28"/>
          <w:szCs w:val="28"/>
        </w:rPr>
      </w:pPr>
      <w:bookmarkStart w:id="10" w:name="_Toc15999"/>
      <w:r>
        <w:rPr>
          <w:rFonts w:hint="eastAsia" w:asciiTheme="minorEastAsia" w:hAnsiTheme="minorEastAsia" w:eastAsiaTheme="minorEastAsia" w:cstheme="minorEastAsia"/>
          <w:sz w:val="28"/>
          <w:szCs w:val="28"/>
        </w:rPr>
        <w:t>2.2.</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山洪灾害防治体系运维</w:t>
      </w:r>
      <w:bookmarkEnd w:id="10"/>
    </w:p>
    <w:p w14:paraId="59EC5CAC">
      <w:pPr>
        <w:shd w:val="clear" w:color="auto"/>
        <w:snapToGrid w:val="0"/>
        <w:spacing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根据水利部山洪灾害防治非工程措施运行维护工作要求，每年均需开展非工程措施运行维护。根据全区运维任务分工安排，12个盟市76个山洪灾害防治县区继续开展山洪灾害防御非工程措施体系运维工作。</w:t>
      </w:r>
    </w:p>
    <w:p w14:paraId="08579950">
      <w:pPr>
        <w:numPr>
          <w:ilvl w:val="0"/>
          <w:numId w:val="6"/>
        </w:numPr>
        <w:shd w:val="clear" w:color="auto"/>
        <w:snapToGrid w:val="0"/>
        <w:spacing w:line="360" w:lineRule="auto"/>
        <w:ind w:firstLine="480" w:firstLineChars="200"/>
        <w:rPr>
          <w:rFonts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rPr>
        <w:t>盟市</w:t>
      </w:r>
      <w:r>
        <w:rPr>
          <w:rFonts w:hint="eastAsia" w:asciiTheme="minorEastAsia" w:hAnsiTheme="minorEastAsia" w:eastAsiaTheme="minorEastAsia" w:cstheme="minorEastAsia"/>
          <w:color w:val="000000"/>
          <w:kern w:val="0"/>
          <w:sz w:val="24"/>
          <w:szCs w:val="24"/>
          <w:highlight w:val="none"/>
        </w:rPr>
        <w:t>级山洪灾害防御非工程措施体系运行维护</w:t>
      </w:r>
    </w:p>
    <w:p w14:paraId="58B642E6">
      <w:pPr>
        <w:shd w:val="clear" w:color="auto"/>
        <w:snapToGrid w:val="0"/>
        <w:spacing w:line="360" w:lineRule="auto"/>
        <w:ind w:firstLine="480" w:firstLineChars="200"/>
        <w:rPr>
          <w:rFonts w:asciiTheme="minorEastAsia" w:hAnsiTheme="minorEastAsia" w:eastAsiaTheme="minorEastAsia" w:cstheme="minorEastAsia"/>
          <w:color w:val="0000FF"/>
          <w:kern w:val="0"/>
          <w:sz w:val="24"/>
          <w:szCs w:val="24"/>
          <w:highlight w:val="none"/>
        </w:rPr>
      </w:pPr>
      <w:r>
        <w:rPr>
          <w:rFonts w:hint="eastAsia" w:asciiTheme="minorEastAsia" w:hAnsiTheme="minorEastAsia" w:eastAsiaTheme="minorEastAsia" w:cstheme="minorEastAsia"/>
          <w:color w:val="000000"/>
          <w:kern w:val="0"/>
          <w:sz w:val="24"/>
          <w:szCs w:val="24"/>
          <w:highlight w:val="none"/>
        </w:rPr>
        <w:t>盟市级山洪灾害防御非工程措施体系运行维护主要包括盟市级平台（软硬件、预警发布、网络等）、机房日常维护</w:t>
      </w:r>
      <w:r>
        <w:rPr>
          <w:rFonts w:hint="eastAsia" w:asciiTheme="minorEastAsia" w:hAnsiTheme="minorEastAsia" w:eastAsiaTheme="minorEastAsia" w:cstheme="minorEastAsia"/>
          <w:color w:val="000000"/>
          <w:kern w:val="0"/>
          <w:sz w:val="24"/>
          <w:szCs w:val="24"/>
          <w:highlight w:val="none"/>
          <w:lang w:eastAsia="zh-CN"/>
        </w:rPr>
        <w:t>、</w:t>
      </w:r>
      <w:r>
        <w:rPr>
          <w:rFonts w:hint="eastAsia" w:asciiTheme="minorEastAsia" w:hAnsiTheme="minorEastAsia" w:eastAsiaTheme="minorEastAsia" w:cstheme="minorEastAsia"/>
          <w:color w:val="000000"/>
          <w:kern w:val="0"/>
          <w:sz w:val="24"/>
          <w:szCs w:val="24"/>
          <w:highlight w:val="none"/>
        </w:rPr>
        <w:t>视频</w:t>
      </w:r>
      <w:r>
        <w:rPr>
          <w:rFonts w:hint="eastAsia" w:asciiTheme="minorEastAsia" w:hAnsiTheme="minorEastAsia" w:eastAsiaTheme="minorEastAsia" w:cstheme="minorEastAsia"/>
          <w:color w:val="000000"/>
          <w:kern w:val="0"/>
          <w:sz w:val="24"/>
          <w:szCs w:val="24"/>
          <w:highlight w:val="none"/>
          <w:lang w:val="en-US" w:eastAsia="zh-CN"/>
        </w:rPr>
        <w:t>会商</w:t>
      </w:r>
      <w:r>
        <w:rPr>
          <w:rFonts w:hint="eastAsia" w:asciiTheme="minorEastAsia" w:hAnsiTheme="minorEastAsia" w:eastAsiaTheme="minorEastAsia" w:cstheme="minorEastAsia"/>
          <w:color w:val="000000"/>
          <w:kern w:val="0"/>
          <w:sz w:val="24"/>
          <w:szCs w:val="24"/>
          <w:highlight w:val="none"/>
        </w:rPr>
        <w:t>系统</w:t>
      </w:r>
      <w:r>
        <w:rPr>
          <w:rFonts w:hint="eastAsia" w:asciiTheme="minorEastAsia" w:hAnsiTheme="minorEastAsia" w:eastAsiaTheme="minorEastAsia" w:cstheme="minorEastAsia"/>
          <w:color w:val="000000"/>
          <w:kern w:val="0"/>
          <w:sz w:val="24"/>
          <w:szCs w:val="24"/>
          <w:highlight w:val="none"/>
          <w:lang w:val="en-US" w:eastAsia="zh-CN"/>
        </w:rPr>
        <w:t>运行维护</w:t>
      </w:r>
      <w:r>
        <w:rPr>
          <w:rFonts w:hint="eastAsia" w:asciiTheme="minorEastAsia" w:hAnsiTheme="minorEastAsia" w:eastAsiaTheme="minorEastAsia" w:cstheme="minorEastAsia"/>
          <w:kern w:val="0"/>
          <w:sz w:val="24"/>
          <w:szCs w:val="24"/>
          <w:highlight w:val="none"/>
        </w:rPr>
        <w:t>。</w:t>
      </w:r>
    </w:p>
    <w:p w14:paraId="737ED950">
      <w:pPr>
        <w:shd w:val="clear" w:color="auto"/>
        <w:snapToGrid w:val="0"/>
        <w:spacing w:line="360" w:lineRule="auto"/>
        <w:ind w:firstLine="480" w:firstLineChars="200"/>
        <w:rPr>
          <w:rFonts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应定期检查盟市级平台设备的运行情况，排除设备故障，修复、更换出现故障的零部件等，保障设备功能正常，通讯网络安全稳定，视频</w:t>
      </w:r>
      <w:r>
        <w:rPr>
          <w:rFonts w:hint="eastAsia" w:asciiTheme="minorEastAsia" w:hAnsiTheme="minorEastAsia" w:eastAsiaTheme="minorEastAsia" w:cstheme="minorEastAsia"/>
          <w:color w:val="000000"/>
          <w:kern w:val="0"/>
          <w:sz w:val="24"/>
          <w:szCs w:val="24"/>
          <w:highlight w:val="none"/>
          <w:lang w:val="en-US" w:eastAsia="zh-CN"/>
        </w:rPr>
        <w:t>会商</w:t>
      </w:r>
      <w:r>
        <w:rPr>
          <w:rFonts w:hint="eastAsia" w:asciiTheme="minorEastAsia" w:hAnsiTheme="minorEastAsia" w:eastAsiaTheme="minorEastAsia" w:cstheme="minorEastAsia"/>
          <w:color w:val="000000"/>
          <w:kern w:val="0"/>
          <w:sz w:val="24"/>
          <w:szCs w:val="24"/>
          <w:highlight w:val="none"/>
        </w:rPr>
        <w:t>系统正常运行，机房基础设施安全可靠，对软件进行必要的更新、维护，确保监测预警平台运行正常。</w:t>
      </w:r>
    </w:p>
    <w:p w14:paraId="6502042E">
      <w:pPr>
        <w:shd w:val="clear" w:color="auto"/>
        <w:snapToGrid w:val="0"/>
        <w:spacing w:line="360" w:lineRule="auto"/>
        <w:ind w:firstLine="480" w:firstLineChars="200"/>
        <w:rPr>
          <w:rFonts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各盟市应对管辖范围内的山洪灾害防治县开展群测群防体系指导工作，巩固基层山洪灾害防御基础，提升基层预报预警能力和自救水平。</w:t>
      </w:r>
    </w:p>
    <w:p w14:paraId="7FC7A23C">
      <w:pPr>
        <w:numPr>
          <w:ilvl w:val="0"/>
          <w:numId w:val="6"/>
        </w:numPr>
        <w:shd w:val="clear" w:color="auto"/>
        <w:snapToGrid w:val="0"/>
        <w:spacing w:line="360" w:lineRule="auto"/>
        <w:ind w:firstLine="480" w:firstLineChars="200"/>
        <w:rPr>
          <w:rFonts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旗县</w:t>
      </w:r>
      <w:r>
        <w:rPr>
          <w:rFonts w:hint="eastAsia" w:asciiTheme="minorEastAsia" w:hAnsiTheme="minorEastAsia" w:eastAsiaTheme="minorEastAsia" w:cstheme="minorEastAsia"/>
          <w:color w:val="000000"/>
          <w:kern w:val="0"/>
          <w:sz w:val="24"/>
          <w:szCs w:val="24"/>
          <w:highlight w:val="none"/>
          <w:lang w:eastAsia="zh-CN"/>
        </w:rPr>
        <w:t>（</w:t>
      </w:r>
      <w:r>
        <w:rPr>
          <w:rFonts w:hint="eastAsia" w:asciiTheme="minorEastAsia" w:hAnsiTheme="minorEastAsia" w:eastAsiaTheme="minorEastAsia" w:cstheme="minorEastAsia"/>
          <w:color w:val="000000"/>
          <w:kern w:val="0"/>
          <w:sz w:val="24"/>
          <w:szCs w:val="24"/>
          <w:highlight w:val="none"/>
          <w:lang w:val="en-US" w:eastAsia="zh-CN"/>
        </w:rPr>
        <w:t>区</w:t>
      </w:r>
      <w:r>
        <w:rPr>
          <w:rFonts w:hint="eastAsia" w:asciiTheme="minorEastAsia" w:hAnsiTheme="minorEastAsia" w:eastAsiaTheme="minorEastAsia" w:cstheme="minorEastAsia"/>
          <w:color w:val="000000"/>
          <w:kern w:val="0"/>
          <w:sz w:val="24"/>
          <w:szCs w:val="24"/>
          <w:highlight w:val="none"/>
          <w:lang w:eastAsia="zh-CN"/>
        </w:rPr>
        <w:t>）</w:t>
      </w:r>
      <w:r>
        <w:rPr>
          <w:rFonts w:hint="eastAsia" w:asciiTheme="minorEastAsia" w:hAnsiTheme="minorEastAsia" w:eastAsiaTheme="minorEastAsia" w:cstheme="minorEastAsia"/>
          <w:color w:val="000000"/>
          <w:kern w:val="0"/>
          <w:sz w:val="24"/>
          <w:szCs w:val="24"/>
          <w:highlight w:val="none"/>
        </w:rPr>
        <w:t>级山洪灾害防御非工程措施体系运行维护</w:t>
      </w:r>
    </w:p>
    <w:p w14:paraId="550CC8D0">
      <w:pPr>
        <w:shd w:val="clear" w:color="auto"/>
        <w:snapToGrid w:val="0"/>
        <w:spacing w:line="360" w:lineRule="auto"/>
        <w:ind w:firstLine="480" w:firstLineChars="200"/>
        <w:rPr>
          <w:rFonts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76个山洪灾害防治旗县</w:t>
      </w:r>
      <w:r>
        <w:rPr>
          <w:rFonts w:hint="eastAsia" w:asciiTheme="minorEastAsia" w:hAnsiTheme="minorEastAsia" w:eastAsiaTheme="minorEastAsia" w:cstheme="minorEastAsia"/>
          <w:color w:val="000000"/>
          <w:kern w:val="0"/>
          <w:sz w:val="24"/>
          <w:szCs w:val="24"/>
          <w:highlight w:val="none"/>
          <w:lang w:eastAsia="zh-CN"/>
        </w:rPr>
        <w:t>（</w:t>
      </w:r>
      <w:r>
        <w:rPr>
          <w:rFonts w:hint="eastAsia" w:asciiTheme="minorEastAsia" w:hAnsiTheme="minorEastAsia" w:eastAsiaTheme="minorEastAsia" w:cstheme="minorEastAsia"/>
          <w:color w:val="000000"/>
          <w:kern w:val="0"/>
          <w:sz w:val="24"/>
          <w:szCs w:val="24"/>
          <w:highlight w:val="none"/>
          <w:lang w:val="en-US" w:eastAsia="zh-CN"/>
        </w:rPr>
        <w:t>区</w:t>
      </w:r>
      <w:r>
        <w:rPr>
          <w:rFonts w:hint="eastAsia" w:asciiTheme="minorEastAsia" w:hAnsiTheme="minorEastAsia" w:eastAsiaTheme="minorEastAsia" w:cstheme="minorEastAsia"/>
          <w:color w:val="000000"/>
          <w:kern w:val="0"/>
          <w:sz w:val="24"/>
          <w:szCs w:val="24"/>
          <w:highlight w:val="none"/>
          <w:lang w:eastAsia="zh-CN"/>
        </w:rPr>
        <w:t>）</w:t>
      </w:r>
      <w:r>
        <w:rPr>
          <w:rFonts w:hint="eastAsia" w:asciiTheme="minorEastAsia" w:hAnsiTheme="minorEastAsia" w:eastAsiaTheme="minorEastAsia" w:cstheme="minorEastAsia"/>
          <w:color w:val="000000"/>
          <w:kern w:val="0"/>
          <w:sz w:val="24"/>
          <w:szCs w:val="24"/>
          <w:highlight w:val="none"/>
        </w:rPr>
        <w:t>（详见附表</w:t>
      </w:r>
      <w:r>
        <w:rPr>
          <w:rFonts w:hint="eastAsia" w:asciiTheme="minorEastAsia" w:hAnsiTheme="minorEastAsia" w:eastAsiaTheme="minorEastAsia" w:cstheme="minorEastAsia"/>
          <w:color w:val="000000"/>
          <w:kern w:val="0"/>
          <w:sz w:val="24"/>
          <w:szCs w:val="24"/>
          <w:highlight w:val="none"/>
          <w:lang w:val="en-US" w:eastAsia="zh-CN"/>
        </w:rPr>
        <w:t>2</w:t>
      </w:r>
      <w:r>
        <w:rPr>
          <w:rFonts w:hint="eastAsia" w:asciiTheme="minorEastAsia" w:hAnsiTheme="minorEastAsia" w:eastAsiaTheme="minorEastAsia" w:cstheme="minorEastAsia"/>
          <w:color w:val="000000"/>
          <w:kern w:val="0"/>
          <w:sz w:val="24"/>
          <w:szCs w:val="24"/>
          <w:highlight w:val="none"/>
        </w:rPr>
        <w:t>）旗县级山洪灾害防御非工程措施体系运行维护主要包括县级平台（软硬件、预警发布、网络等）、机房日常维护、</w:t>
      </w:r>
      <w:r>
        <w:rPr>
          <w:rFonts w:hint="eastAsia" w:asciiTheme="minorEastAsia" w:hAnsiTheme="minorEastAsia" w:eastAsiaTheme="minorEastAsia" w:cstheme="minorEastAsia"/>
          <w:color w:val="000000"/>
          <w:kern w:val="0"/>
          <w:sz w:val="24"/>
          <w:szCs w:val="24"/>
          <w:highlight w:val="none"/>
          <w:lang w:val="en-US" w:eastAsia="zh-CN"/>
        </w:rPr>
        <w:t>县级视频会商系统运维、乡镇视频会商配套设备配备、</w:t>
      </w:r>
      <w:r>
        <w:rPr>
          <w:rFonts w:hint="eastAsia" w:asciiTheme="minorEastAsia" w:hAnsiTheme="minorEastAsia" w:eastAsiaTheme="minorEastAsia" w:cstheme="minorEastAsia"/>
          <w:color w:val="000000"/>
          <w:kern w:val="0"/>
          <w:sz w:val="24"/>
          <w:szCs w:val="24"/>
          <w:highlight w:val="none"/>
        </w:rPr>
        <w:t>简易监测预警设备</w:t>
      </w:r>
      <w:r>
        <w:rPr>
          <w:rFonts w:hint="eastAsia" w:asciiTheme="minorEastAsia" w:hAnsiTheme="minorEastAsia" w:eastAsiaTheme="minorEastAsia" w:cstheme="minorEastAsia"/>
          <w:color w:val="000000"/>
          <w:kern w:val="0"/>
          <w:sz w:val="24"/>
          <w:szCs w:val="24"/>
          <w:highlight w:val="none"/>
          <w:lang w:eastAsia="zh-CN"/>
        </w:rPr>
        <w:t>及</w:t>
      </w:r>
      <w:r>
        <w:rPr>
          <w:rFonts w:hint="eastAsia" w:asciiTheme="minorEastAsia" w:hAnsiTheme="minorEastAsia" w:eastAsiaTheme="minorEastAsia" w:cstheme="minorEastAsia"/>
          <w:color w:val="000000"/>
          <w:kern w:val="0"/>
          <w:sz w:val="24"/>
          <w:szCs w:val="24"/>
          <w:highlight w:val="none"/>
        </w:rPr>
        <w:t>无线预警广播</w:t>
      </w:r>
      <w:r>
        <w:rPr>
          <w:rFonts w:hint="eastAsia" w:asciiTheme="minorEastAsia" w:hAnsiTheme="minorEastAsia" w:eastAsiaTheme="minorEastAsia" w:cstheme="minorEastAsia"/>
          <w:color w:val="000000"/>
          <w:kern w:val="0"/>
          <w:sz w:val="24"/>
          <w:szCs w:val="24"/>
          <w:highlight w:val="none"/>
          <w:lang w:eastAsia="zh-CN"/>
        </w:rPr>
        <w:t>设备维护、</w:t>
      </w:r>
      <w:r>
        <w:rPr>
          <w:rFonts w:hint="eastAsia" w:asciiTheme="minorEastAsia" w:hAnsiTheme="minorEastAsia" w:eastAsiaTheme="minorEastAsia" w:cstheme="minorEastAsia"/>
          <w:color w:val="000000"/>
          <w:kern w:val="0"/>
          <w:sz w:val="24"/>
          <w:szCs w:val="24"/>
          <w:highlight w:val="none"/>
        </w:rPr>
        <w:t>开展本地区预警指标检验复核、危险区动态管理清单更新等。</w:t>
      </w:r>
    </w:p>
    <w:p w14:paraId="618AB5CF">
      <w:pPr>
        <w:shd w:val="clear" w:color="auto"/>
        <w:snapToGrid w:val="0"/>
        <w:spacing w:line="360" w:lineRule="auto"/>
        <w:ind w:firstLine="480" w:firstLineChars="200"/>
        <w:rPr>
          <w:rFonts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应定期检查旗县级平台设备的运行情况，排除设备故障，修复、更换出现故障的零部件等，保障设备功能正常，通讯网络安全稳定，</w:t>
      </w:r>
      <w:r>
        <w:rPr>
          <w:rFonts w:hint="eastAsia" w:asciiTheme="minorEastAsia" w:hAnsiTheme="minorEastAsia" w:eastAsiaTheme="minorEastAsia" w:cstheme="minorEastAsia"/>
          <w:color w:val="000000"/>
          <w:kern w:val="0"/>
          <w:sz w:val="24"/>
          <w:szCs w:val="24"/>
          <w:highlight w:val="none"/>
          <w:lang w:val="en-US" w:eastAsia="zh-CN"/>
        </w:rPr>
        <w:t>县级</w:t>
      </w:r>
      <w:r>
        <w:rPr>
          <w:rFonts w:hint="eastAsia" w:asciiTheme="minorEastAsia" w:hAnsiTheme="minorEastAsia" w:eastAsiaTheme="minorEastAsia" w:cstheme="minorEastAsia"/>
          <w:color w:val="000000"/>
          <w:kern w:val="0"/>
          <w:sz w:val="24"/>
          <w:szCs w:val="24"/>
          <w:highlight w:val="none"/>
        </w:rPr>
        <w:t>视频会商系统正常运行</w:t>
      </w:r>
      <w:r>
        <w:rPr>
          <w:rFonts w:hint="eastAsia" w:asciiTheme="minorEastAsia" w:hAnsiTheme="minorEastAsia" w:eastAsiaTheme="minorEastAsia" w:cstheme="minorEastAsia"/>
          <w:color w:val="000000"/>
          <w:kern w:val="0"/>
          <w:sz w:val="24"/>
          <w:szCs w:val="24"/>
          <w:highlight w:val="none"/>
          <w:lang w:eastAsia="zh-CN"/>
        </w:rPr>
        <w:t>、</w:t>
      </w:r>
      <w:r>
        <w:rPr>
          <w:rFonts w:hint="eastAsia" w:asciiTheme="minorEastAsia" w:hAnsiTheme="minorEastAsia" w:eastAsiaTheme="minorEastAsia" w:cstheme="minorEastAsia"/>
          <w:color w:val="000000"/>
          <w:kern w:val="0"/>
          <w:sz w:val="24"/>
          <w:szCs w:val="24"/>
          <w:highlight w:val="none"/>
          <w:lang w:val="en-US" w:eastAsia="zh-CN"/>
        </w:rPr>
        <w:t>乡镇视频会商设备正常使用，</w:t>
      </w:r>
      <w:r>
        <w:rPr>
          <w:rFonts w:hint="eastAsia" w:asciiTheme="minorEastAsia" w:hAnsiTheme="minorEastAsia" w:eastAsiaTheme="minorEastAsia" w:cstheme="minorEastAsia"/>
          <w:color w:val="000000"/>
          <w:kern w:val="0"/>
          <w:sz w:val="24"/>
          <w:szCs w:val="24"/>
          <w:highlight w:val="none"/>
        </w:rPr>
        <w:t>机房基础设施安全可靠，对软件进行必要的更新、维护，确保监测预警平台运行正常。</w:t>
      </w:r>
    </w:p>
    <w:p w14:paraId="23F1E9C9">
      <w:pPr>
        <w:shd w:val="clear" w:color="auto"/>
        <w:snapToGrid w:val="0"/>
        <w:spacing w:line="360" w:lineRule="auto"/>
        <w:ind w:firstLine="480" w:firstLineChars="200"/>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应经常性检查</w:t>
      </w:r>
      <w:r>
        <w:rPr>
          <w:rFonts w:hint="eastAsia" w:asciiTheme="minorEastAsia" w:hAnsiTheme="minorEastAsia" w:eastAsiaTheme="minorEastAsia" w:cstheme="minorEastAsia"/>
          <w:color w:val="000000"/>
          <w:kern w:val="0"/>
          <w:sz w:val="24"/>
          <w:szCs w:val="24"/>
          <w:highlight w:val="none"/>
          <w:lang w:eastAsia="zh-CN"/>
        </w:rPr>
        <w:t>保养</w:t>
      </w:r>
      <w:r>
        <w:rPr>
          <w:rFonts w:hint="eastAsia" w:asciiTheme="minorEastAsia" w:hAnsiTheme="minorEastAsia" w:eastAsiaTheme="minorEastAsia" w:cstheme="minorEastAsia"/>
          <w:color w:val="000000"/>
          <w:kern w:val="0"/>
          <w:sz w:val="24"/>
          <w:szCs w:val="24"/>
          <w:highlight w:val="none"/>
        </w:rPr>
        <w:t>预警设施设备，定期测量和调整设备运行指标，及时修复、更换损坏的零部件，保障简易监测预警设备</w:t>
      </w:r>
      <w:r>
        <w:rPr>
          <w:rFonts w:hint="eastAsia" w:asciiTheme="minorEastAsia" w:hAnsiTheme="minorEastAsia" w:eastAsiaTheme="minorEastAsia" w:cstheme="minorEastAsia"/>
          <w:color w:val="000000"/>
          <w:kern w:val="0"/>
          <w:sz w:val="24"/>
          <w:szCs w:val="24"/>
          <w:highlight w:val="none"/>
          <w:lang w:eastAsia="zh-CN"/>
        </w:rPr>
        <w:t>及</w:t>
      </w:r>
      <w:r>
        <w:rPr>
          <w:rFonts w:hint="eastAsia" w:asciiTheme="minorEastAsia" w:hAnsiTheme="minorEastAsia" w:eastAsiaTheme="minorEastAsia" w:cstheme="minorEastAsia"/>
          <w:color w:val="000000"/>
          <w:kern w:val="0"/>
          <w:sz w:val="24"/>
          <w:szCs w:val="24"/>
          <w:highlight w:val="none"/>
        </w:rPr>
        <w:t>无线预警广播</w:t>
      </w:r>
      <w:r>
        <w:rPr>
          <w:rFonts w:hint="eastAsia" w:asciiTheme="minorEastAsia" w:hAnsiTheme="minorEastAsia" w:eastAsiaTheme="minorEastAsia" w:cstheme="minorEastAsia"/>
          <w:color w:val="000000"/>
          <w:kern w:val="0"/>
          <w:sz w:val="24"/>
          <w:szCs w:val="24"/>
          <w:highlight w:val="none"/>
          <w:lang w:eastAsia="zh-CN"/>
        </w:rPr>
        <w:t>设备</w:t>
      </w:r>
      <w:r>
        <w:rPr>
          <w:rFonts w:hint="eastAsia" w:asciiTheme="minorEastAsia" w:hAnsiTheme="minorEastAsia" w:eastAsiaTheme="minorEastAsia" w:cstheme="minorEastAsia"/>
          <w:color w:val="000000"/>
          <w:kern w:val="0"/>
          <w:sz w:val="24"/>
          <w:szCs w:val="24"/>
          <w:highlight w:val="none"/>
        </w:rPr>
        <w:t>功能正常，能够及时发布预警信息。</w:t>
      </w:r>
    </w:p>
    <w:p w14:paraId="0BE9E0A4">
      <w:pPr>
        <w:pStyle w:val="3"/>
        <w:spacing w:before="120" w:beforeLines="50" w:after="120" w:afterLines="50" w:line="360" w:lineRule="auto"/>
        <w:rPr>
          <w:rFonts w:asciiTheme="minorEastAsia" w:hAnsiTheme="minorEastAsia" w:eastAsiaTheme="minorEastAsia" w:cstheme="minorEastAsia"/>
          <w:bCs/>
          <w:sz w:val="30"/>
          <w:szCs w:val="30"/>
        </w:rPr>
      </w:pPr>
      <w:bookmarkStart w:id="11" w:name="_Toc28520"/>
      <w:r>
        <w:rPr>
          <w:rFonts w:hint="eastAsia" w:asciiTheme="minorEastAsia" w:hAnsiTheme="minorEastAsia" w:eastAsiaTheme="minorEastAsia" w:cstheme="minorEastAsia"/>
          <w:bCs/>
          <w:sz w:val="30"/>
          <w:szCs w:val="30"/>
        </w:rPr>
        <w:t>3.2自动监测站点日常运维</w:t>
      </w:r>
      <w:bookmarkEnd w:id="11"/>
    </w:p>
    <w:p w14:paraId="0ACC211D">
      <w:pPr>
        <w:spacing w:line="360" w:lineRule="auto"/>
        <w:ind w:firstLine="480" w:firstLineChars="200"/>
        <w:rPr>
          <w:rFonts w:hint="eastAsia" w:asciiTheme="minorEastAsia" w:hAnsiTheme="minorEastAsia" w:eastAsiaTheme="minorEastAsia" w:cstheme="minorEastAsia"/>
          <w:sz w:val="24"/>
          <w:szCs w:val="28"/>
        </w:rPr>
      </w:pPr>
      <w:r>
        <w:rPr>
          <w:rFonts w:hint="eastAsia" w:asciiTheme="minorEastAsia" w:hAnsiTheme="minorEastAsia" w:eastAsiaTheme="minorEastAsia" w:cstheme="minorEastAsia"/>
          <w:sz w:val="24"/>
          <w:szCs w:val="28"/>
        </w:rPr>
        <w:t>202</w:t>
      </w:r>
      <w:r>
        <w:rPr>
          <w:rFonts w:hint="eastAsia" w:asciiTheme="minorEastAsia" w:hAnsiTheme="minorEastAsia" w:eastAsiaTheme="minorEastAsia" w:cstheme="minorEastAsia"/>
          <w:sz w:val="24"/>
          <w:szCs w:val="28"/>
          <w:lang w:val="en-US" w:eastAsia="zh-CN"/>
        </w:rPr>
        <w:t>6</w:t>
      </w:r>
      <w:r>
        <w:rPr>
          <w:rFonts w:hint="eastAsia" w:asciiTheme="minorEastAsia" w:hAnsiTheme="minorEastAsia" w:eastAsiaTheme="minorEastAsia" w:cstheme="minorEastAsia"/>
          <w:sz w:val="24"/>
          <w:szCs w:val="28"/>
        </w:rPr>
        <w:t>年度主要开展全区</w:t>
      </w:r>
      <w:r>
        <w:rPr>
          <w:rFonts w:hint="eastAsia" w:asciiTheme="minorEastAsia" w:hAnsiTheme="minorEastAsia" w:eastAsiaTheme="minorEastAsia" w:cstheme="minorEastAsia"/>
          <w:sz w:val="24"/>
          <w:szCs w:val="28"/>
          <w:highlight w:val="none"/>
          <w:lang w:val="en-US" w:eastAsia="zh-CN"/>
        </w:rPr>
        <w:t>3509</w:t>
      </w:r>
      <w:r>
        <w:rPr>
          <w:rFonts w:hint="eastAsia" w:asciiTheme="minorEastAsia" w:hAnsiTheme="minorEastAsia" w:eastAsiaTheme="minorEastAsia" w:cstheme="minorEastAsia"/>
          <w:sz w:val="24"/>
          <w:szCs w:val="28"/>
          <w:highlight w:val="none"/>
        </w:rPr>
        <w:t>处</w:t>
      </w:r>
      <w:r>
        <w:rPr>
          <w:rFonts w:hint="eastAsia" w:asciiTheme="minorEastAsia" w:hAnsiTheme="minorEastAsia" w:eastAsiaTheme="minorEastAsia" w:cstheme="minorEastAsia"/>
          <w:sz w:val="24"/>
          <w:szCs w:val="28"/>
          <w:highlight w:val="none"/>
          <w:lang w:eastAsia="zh-CN"/>
        </w:rPr>
        <w:t>（</w:t>
      </w:r>
      <w:r>
        <w:rPr>
          <w:rFonts w:hint="eastAsia" w:asciiTheme="minorEastAsia" w:hAnsiTheme="minorEastAsia" w:eastAsiaTheme="minorEastAsia" w:cstheme="minorEastAsia"/>
          <w:sz w:val="24"/>
          <w:szCs w:val="28"/>
          <w:highlight w:val="none"/>
          <w:lang w:val="en-US" w:eastAsia="zh-CN"/>
        </w:rPr>
        <w:t>不包含2025年新建站点</w:t>
      </w:r>
      <w:r>
        <w:rPr>
          <w:rFonts w:hint="eastAsia" w:asciiTheme="minorEastAsia" w:hAnsiTheme="minorEastAsia" w:eastAsiaTheme="minorEastAsia" w:cstheme="minorEastAsia"/>
          <w:sz w:val="24"/>
          <w:szCs w:val="28"/>
          <w:highlight w:val="none"/>
          <w:lang w:eastAsia="zh-CN"/>
        </w:rPr>
        <w:t>）</w:t>
      </w:r>
      <w:r>
        <w:rPr>
          <w:rFonts w:hint="eastAsia" w:asciiTheme="minorEastAsia" w:hAnsiTheme="minorEastAsia" w:eastAsiaTheme="minorEastAsia" w:cstheme="minorEastAsia"/>
          <w:sz w:val="24"/>
          <w:szCs w:val="28"/>
          <w:highlight w:val="none"/>
        </w:rPr>
        <w:t>山洪灾害防治自动监测站点</w:t>
      </w:r>
      <w:r>
        <w:rPr>
          <w:rFonts w:hint="eastAsia" w:asciiTheme="minorEastAsia" w:hAnsiTheme="minorEastAsia" w:eastAsiaTheme="minorEastAsia" w:cstheme="minorEastAsia"/>
          <w:sz w:val="24"/>
          <w:szCs w:val="28"/>
          <w:highlight w:val="none"/>
          <w:lang w:eastAsia="zh-CN"/>
        </w:rPr>
        <w:t>（</w:t>
      </w:r>
      <w:r>
        <w:rPr>
          <w:rFonts w:hint="eastAsia" w:asciiTheme="minorEastAsia" w:hAnsiTheme="minorEastAsia" w:eastAsiaTheme="minorEastAsia" w:cstheme="minorEastAsia"/>
          <w:sz w:val="24"/>
          <w:szCs w:val="28"/>
        </w:rPr>
        <w:t>雨量站2</w:t>
      </w:r>
      <w:r>
        <w:rPr>
          <w:rFonts w:hint="eastAsia" w:asciiTheme="minorEastAsia" w:hAnsiTheme="minorEastAsia" w:eastAsiaTheme="minorEastAsia" w:cstheme="minorEastAsia"/>
          <w:sz w:val="24"/>
          <w:szCs w:val="28"/>
          <w:lang w:val="en-US" w:eastAsia="zh-CN"/>
        </w:rPr>
        <w:t>551</w:t>
      </w:r>
      <w:r>
        <w:rPr>
          <w:rFonts w:hint="eastAsia" w:asciiTheme="minorEastAsia" w:hAnsiTheme="minorEastAsia" w:eastAsiaTheme="minorEastAsia" w:cstheme="minorEastAsia"/>
          <w:sz w:val="24"/>
          <w:szCs w:val="28"/>
        </w:rPr>
        <w:t>处、水位站</w:t>
      </w:r>
      <w:r>
        <w:rPr>
          <w:rFonts w:hint="eastAsia" w:asciiTheme="minorEastAsia" w:hAnsiTheme="minorEastAsia" w:eastAsiaTheme="minorEastAsia" w:cstheme="minorEastAsia"/>
          <w:sz w:val="24"/>
          <w:szCs w:val="28"/>
          <w:lang w:val="en-US" w:eastAsia="zh-CN"/>
        </w:rPr>
        <w:t>225</w:t>
      </w:r>
      <w:r>
        <w:rPr>
          <w:rFonts w:hint="eastAsia" w:asciiTheme="minorEastAsia" w:hAnsiTheme="minorEastAsia" w:eastAsiaTheme="minorEastAsia" w:cstheme="minorEastAsia"/>
          <w:sz w:val="24"/>
          <w:szCs w:val="28"/>
        </w:rPr>
        <w:t>处、声光电雨量站</w:t>
      </w:r>
      <w:r>
        <w:rPr>
          <w:rFonts w:hint="eastAsia" w:asciiTheme="minorEastAsia" w:hAnsiTheme="minorEastAsia" w:eastAsiaTheme="minorEastAsia" w:cstheme="minorEastAsia"/>
          <w:sz w:val="24"/>
          <w:szCs w:val="28"/>
          <w:lang w:val="en-US" w:eastAsia="zh-CN"/>
        </w:rPr>
        <w:t>228处、声光电水位雨量一体站76处</w:t>
      </w:r>
      <w:r>
        <w:rPr>
          <w:rFonts w:hint="eastAsia" w:asciiTheme="minorEastAsia" w:hAnsiTheme="minorEastAsia" w:eastAsiaTheme="minorEastAsia" w:cstheme="minorEastAsia"/>
          <w:sz w:val="24"/>
          <w:szCs w:val="28"/>
        </w:rPr>
        <w:t>、一体站</w:t>
      </w:r>
      <w:r>
        <w:rPr>
          <w:rFonts w:hint="eastAsia" w:asciiTheme="minorEastAsia" w:hAnsiTheme="minorEastAsia" w:eastAsiaTheme="minorEastAsia" w:cstheme="minorEastAsia"/>
          <w:sz w:val="24"/>
          <w:szCs w:val="28"/>
          <w:lang w:val="en-US" w:eastAsia="zh-CN"/>
        </w:rPr>
        <w:t>294</w:t>
      </w:r>
      <w:r>
        <w:rPr>
          <w:rFonts w:hint="eastAsia" w:asciiTheme="minorEastAsia" w:hAnsiTheme="minorEastAsia" w:eastAsiaTheme="minorEastAsia" w:cstheme="minorEastAsia"/>
          <w:sz w:val="24"/>
          <w:szCs w:val="28"/>
        </w:rPr>
        <w:t>处、图像视频站13</w:t>
      </w:r>
      <w:r>
        <w:rPr>
          <w:rFonts w:hint="eastAsia" w:asciiTheme="minorEastAsia" w:hAnsiTheme="minorEastAsia" w:eastAsiaTheme="minorEastAsia" w:cstheme="minorEastAsia"/>
          <w:sz w:val="24"/>
          <w:szCs w:val="28"/>
          <w:lang w:val="en-US" w:eastAsia="zh-CN"/>
        </w:rPr>
        <w:t>5</w:t>
      </w:r>
      <w:r>
        <w:rPr>
          <w:rFonts w:hint="eastAsia" w:asciiTheme="minorEastAsia" w:hAnsiTheme="minorEastAsia" w:eastAsiaTheme="minorEastAsia" w:cstheme="minorEastAsia"/>
          <w:sz w:val="24"/>
          <w:szCs w:val="28"/>
        </w:rPr>
        <w:t>处</w:t>
      </w:r>
      <w:r>
        <w:rPr>
          <w:rFonts w:hint="eastAsia" w:asciiTheme="minorEastAsia" w:hAnsiTheme="minorEastAsia" w:eastAsiaTheme="minorEastAsia" w:cstheme="minorEastAsia"/>
          <w:sz w:val="24"/>
          <w:szCs w:val="28"/>
          <w:lang w:eastAsia="zh-CN"/>
        </w:rPr>
        <w:t>）</w:t>
      </w:r>
      <w:r>
        <w:rPr>
          <w:rFonts w:hint="eastAsia" w:asciiTheme="minorEastAsia" w:hAnsiTheme="minorEastAsia" w:eastAsiaTheme="minorEastAsia" w:cstheme="minorEastAsia"/>
          <w:sz w:val="24"/>
          <w:szCs w:val="28"/>
        </w:rPr>
        <w:t>运行维护工作，自动监测站点运维内容主要包括：监测站点日常看管、设备年检、运行调试、通讯费用缴纳、故障设备维修、老旧设备更换、数据校准等内容。</w:t>
      </w:r>
    </w:p>
    <w:p w14:paraId="06BDD960">
      <w:pPr>
        <w:spacing w:line="360" w:lineRule="auto"/>
        <w:ind w:firstLine="480" w:firstLineChars="200"/>
        <w:rPr>
          <w:rFonts w:asciiTheme="minorEastAsia" w:hAnsiTheme="minorEastAsia" w:eastAsiaTheme="minorEastAsia" w:cstheme="minorEastAsia"/>
          <w:sz w:val="24"/>
          <w:szCs w:val="28"/>
        </w:rPr>
      </w:pPr>
      <w:r>
        <w:rPr>
          <w:rFonts w:hint="eastAsia" w:asciiTheme="minorEastAsia" w:hAnsiTheme="minorEastAsia" w:eastAsiaTheme="minorEastAsia" w:cstheme="minorEastAsia"/>
          <w:sz w:val="24"/>
          <w:szCs w:val="28"/>
        </w:rPr>
        <w:t>根据水利部2022年3月印发的《关于加强山洪灾害防御工作的指导意见》（水防〔2022〕97号）有关要求，要采用统一购买服务的方式，逐步推进山洪灾害自动监测站点运行维护、日常管理尽快实现集约化、专业化，同时根据目前山洪灾害运维工作中实际存在的问题，202</w:t>
      </w:r>
      <w:r>
        <w:rPr>
          <w:rFonts w:hint="eastAsia" w:asciiTheme="minorEastAsia" w:hAnsiTheme="minorEastAsia" w:eastAsiaTheme="minorEastAsia" w:cstheme="minorEastAsia"/>
          <w:sz w:val="24"/>
          <w:szCs w:val="28"/>
          <w:lang w:val="en-US" w:eastAsia="zh-CN"/>
        </w:rPr>
        <w:t>6</w:t>
      </w:r>
      <w:r>
        <w:rPr>
          <w:rFonts w:hint="eastAsia" w:asciiTheme="minorEastAsia" w:hAnsiTheme="minorEastAsia" w:eastAsiaTheme="minorEastAsia" w:cstheme="minorEastAsia"/>
          <w:sz w:val="24"/>
          <w:szCs w:val="28"/>
        </w:rPr>
        <w:t>年山洪灾害自动监测站点运维工作由盟市水利部门统一集中组织实施。各盟市日常运维自动监测站点明细见表3-1。</w:t>
      </w:r>
    </w:p>
    <w:p w14:paraId="79D97966">
      <w:pPr>
        <w:widowControl/>
        <w:spacing w:before="120" w:beforeLines="50" w:after="120" w:afterLines="50" w:line="360" w:lineRule="auto"/>
        <w:contextualSpacing/>
        <w:jc w:val="center"/>
        <w:rPr>
          <w:rFonts w:hint="eastAsia" w:asciiTheme="minorEastAsia" w:hAnsiTheme="minorEastAsia" w:eastAsiaTheme="minorEastAsia" w:cstheme="minorEastAsia"/>
          <w:b/>
          <w:bCs/>
          <w:kern w:val="0"/>
          <w:sz w:val="24"/>
        </w:rPr>
      </w:pPr>
      <w:r>
        <w:rPr>
          <w:rFonts w:hint="eastAsia" w:asciiTheme="minorEastAsia" w:hAnsiTheme="minorEastAsia" w:eastAsiaTheme="minorEastAsia" w:cstheme="minorEastAsia"/>
          <w:b/>
          <w:bCs/>
          <w:kern w:val="0"/>
          <w:sz w:val="24"/>
        </w:rPr>
        <w:t>表3-1各盟市日常运维自动监测站点明细</w:t>
      </w:r>
    </w:p>
    <w:tbl>
      <w:tblPr>
        <w:tblStyle w:val="32"/>
        <w:tblW w:w="4973"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47"/>
        <w:gridCol w:w="815"/>
        <w:gridCol w:w="1017"/>
        <w:gridCol w:w="1004"/>
        <w:gridCol w:w="1328"/>
        <w:gridCol w:w="1288"/>
        <w:gridCol w:w="1030"/>
        <w:gridCol w:w="952"/>
      </w:tblGrid>
      <w:tr w14:paraId="58E61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921" w:hRule="atLeast"/>
          <w:jc w:val="center"/>
        </w:trPr>
        <w:tc>
          <w:tcPr>
            <w:tcW w:w="617" w:type="pct"/>
            <w:tcBorders>
              <w:top w:val="single" w:color="000000" w:sz="4" w:space="0"/>
              <w:left w:val="single" w:color="000000" w:sz="4" w:space="0"/>
              <w:bottom w:val="single" w:color="000000" w:sz="4" w:space="0"/>
              <w:right w:val="single" w:color="000000" w:sz="4" w:space="0"/>
            </w:tcBorders>
            <w:shd w:val="clear" w:color="auto" w:fill="D9D9D9"/>
            <w:vAlign w:val="center"/>
          </w:tcPr>
          <w:p w14:paraId="091F5061">
            <w:pPr>
              <w:keepNext w:val="0"/>
              <w:keepLines w:val="0"/>
              <w:widowControl/>
              <w:suppressLineNumbers w:val="0"/>
              <w:jc w:val="center"/>
              <w:textAlignment w:val="center"/>
              <w:rPr>
                <w:rFonts w:hint="eastAsia" w:ascii="微软雅黑" w:hAnsi="微软雅黑" w:eastAsia="微软雅黑" w:cs="微软雅黑"/>
                <w:b/>
                <w:bCs/>
                <w:i w:val="0"/>
                <w:iCs w:val="0"/>
                <w:color w:val="000000"/>
                <w:kern w:val="0"/>
                <w:sz w:val="22"/>
                <w:szCs w:val="22"/>
                <w:u w:val="none"/>
                <w:lang w:val="en-US" w:eastAsia="zh-CN" w:bidi="ar"/>
              </w:rPr>
            </w:pPr>
            <w:r>
              <w:rPr>
                <w:rFonts w:hint="eastAsia" w:ascii="微软雅黑" w:hAnsi="微软雅黑" w:eastAsia="微软雅黑" w:cs="微软雅黑"/>
                <w:b/>
                <w:bCs/>
                <w:i w:val="0"/>
                <w:iCs w:val="0"/>
                <w:color w:val="000000"/>
                <w:kern w:val="0"/>
                <w:sz w:val="22"/>
                <w:szCs w:val="22"/>
                <w:u w:val="none"/>
                <w:lang w:val="en-US" w:eastAsia="zh-CN" w:bidi="ar"/>
              </w:rPr>
              <w:t>盟市</w:t>
            </w:r>
          </w:p>
        </w:tc>
        <w:tc>
          <w:tcPr>
            <w:tcW w:w="480" w:type="pct"/>
            <w:tcBorders>
              <w:top w:val="single" w:color="000000" w:sz="4" w:space="0"/>
              <w:left w:val="single" w:color="000000" w:sz="4" w:space="0"/>
              <w:bottom w:val="single" w:color="000000" w:sz="4" w:space="0"/>
              <w:right w:val="single" w:color="000000" w:sz="4" w:space="0"/>
            </w:tcBorders>
            <w:shd w:val="clear" w:color="auto" w:fill="D9D9D9"/>
            <w:vAlign w:val="center"/>
          </w:tcPr>
          <w:p w14:paraId="28305B36">
            <w:pPr>
              <w:keepNext w:val="0"/>
              <w:keepLines w:val="0"/>
              <w:widowControl/>
              <w:suppressLineNumbers w:val="0"/>
              <w:jc w:val="center"/>
              <w:textAlignment w:val="center"/>
              <w:rPr>
                <w:rFonts w:hint="eastAsia" w:ascii="微软雅黑" w:hAnsi="微软雅黑" w:eastAsia="微软雅黑" w:cs="微软雅黑"/>
                <w:b/>
                <w:bCs/>
                <w:i w:val="0"/>
                <w:iCs w:val="0"/>
                <w:color w:val="000000"/>
                <w:kern w:val="0"/>
                <w:sz w:val="22"/>
                <w:szCs w:val="22"/>
                <w:u w:val="none"/>
                <w:lang w:val="en-US" w:eastAsia="zh-CN" w:bidi="ar"/>
              </w:rPr>
            </w:pPr>
            <w:r>
              <w:rPr>
                <w:rFonts w:hint="eastAsia" w:ascii="微软雅黑" w:hAnsi="微软雅黑" w:eastAsia="微软雅黑" w:cs="微软雅黑"/>
                <w:b/>
                <w:bCs/>
                <w:i w:val="0"/>
                <w:iCs w:val="0"/>
                <w:color w:val="000000"/>
                <w:kern w:val="0"/>
                <w:sz w:val="22"/>
                <w:szCs w:val="22"/>
                <w:u w:val="none"/>
                <w:lang w:val="en-US" w:eastAsia="zh-CN" w:bidi="ar"/>
              </w:rPr>
              <w:t>站点总数（个）</w:t>
            </w:r>
          </w:p>
        </w:tc>
        <w:tc>
          <w:tcPr>
            <w:tcW w:w="599" w:type="pct"/>
            <w:tcBorders>
              <w:top w:val="single" w:color="000000" w:sz="4" w:space="0"/>
              <w:left w:val="single" w:color="000000" w:sz="4" w:space="0"/>
              <w:bottom w:val="single" w:color="000000" w:sz="4" w:space="0"/>
              <w:right w:val="single" w:color="000000" w:sz="4" w:space="0"/>
            </w:tcBorders>
            <w:shd w:val="clear" w:color="auto" w:fill="D9D9D9"/>
            <w:vAlign w:val="center"/>
          </w:tcPr>
          <w:p w14:paraId="15353F91">
            <w:pPr>
              <w:keepNext w:val="0"/>
              <w:keepLines w:val="0"/>
              <w:widowControl/>
              <w:suppressLineNumbers w:val="0"/>
              <w:jc w:val="center"/>
              <w:textAlignment w:val="center"/>
              <w:rPr>
                <w:rFonts w:hint="eastAsia" w:ascii="微软雅黑" w:hAnsi="微软雅黑" w:eastAsia="微软雅黑" w:cs="微软雅黑"/>
                <w:b/>
                <w:bCs/>
                <w:i w:val="0"/>
                <w:iCs w:val="0"/>
                <w:color w:val="000000"/>
                <w:kern w:val="0"/>
                <w:sz w:val="22"/>
                <w:szCs w:val="22"/>
                <w:u w:val="none"/>
                <w:lang w:val="en-US" w:eastAsia="zh-CN" w:bidi="ar"/>
              </w:rPr>
            </w:pPr>
            <w:r>
              <w:rPr>
                <w:rFonts w:hint="eastAsia" w:ascii="微软雅黑" w:hAnsi="微软雅黑" w:eastAsia="微软雅黑" w:cs="微软雅黑"/>
                <w:b/>
                <w:bCs/>
                <w:i w:val="0"/>
                <w:iCs w:val="0"/>
                <w:color w:val="000000"/>
                <w:kern w:val="0"/>
                <w:sz w:val="22"/>
                <w:szCs w:val="22"/>
                <w:u w:val="none"/>
                <w:lang w:val="en-US" w:eastAsia="zh-CN" w:bidi="ar"/>
              </w:rPr>
              <w:t>雨量站（个）</w:t>
            </w:r>
          </w:p>
        </w:tc>
        <w:tc>
          <w:tcPr>
            <w:tcW w:w="591" w:type="pct"/>
            <w:tcBorders>
              <w:top w:val="single" w:color="000000" w:sz="4" w:space="0"/>
              <w:left w:val="single" w:color="000000" w:sz="4" w:space="0"/>
              <w:bottom w:val="single" w:color="000000" w:sz="4" w:space="0"/>
              <w:right w:val="single" w:color="000000" w:sz="4" w:space="0"/>
            </w:tcBorders>
            <w:shd w:val="clear" w:color="auto" w:fill="D9D9D9"/>
            <w:vAlign w:val="center"/>
          </w:tcPr>
          <w:p w14:paraId="5A93AB0F">
            <w:pPr>
              <w:keepNext w:val="0"/>
              <w:keepLines w:val="0"/>
              <w:widowControl/>
              <w:suppressLineNumbers w:val="0"/>
              <w:jc w:val="center"/>
              <w:textAlignment w:val="center"/>
              <w:rPr>
                <w:rFonts w:hint="eastAsia" w:ascii="微软雅黑" w:hAnsi="微软雅黑" w:eastAsia="微软雅黑" w:cs="微软雅黑"/>
                <w:b/>
                <w:bCs/>
                <w:i w:val="0"/>
                <w:iCs w:val="0"/>
                <w:color w:val="000000"/>
                <w:kern w:val="0"/>
                <w:sz w:val="22"/>
                <w:szCs w:val="22"/>
                <w:u w:val="none"/>
                <w:lang w:val="en-US" w:eastAsia="zh-CN" w:bidi="ar"/>
              </w:rPr>
            </w:pPr>
            <w:r>
              <w:rPr>
                <w:rFonts w:hint="eastAsia" w:ascii="微软雅黑" w:hAnsi="微软雅黑" w:eastAsia="微软雅黑" w:cs="微软雅黑"/>
                <w:b/>
                <w:bCs/>
                <w:i w:val="0"/>
                <w:iCs w:val="0"/>
                <w:color w:val="000000"/>
                <w:kern w:val="0"/>
                <w:sz w:val="22"/>
                <w:szCs w:val="22"/>
                <w:u w:val="none"/>
                <w:lang w:val="en-US" w:eastAsia="zh-CN" w:bidi="ar"/>
              </w:rPr>
              <w:t>水位站（个）</w:t>
            </w:r>
          </w:p>
        </w:tc>
        <w:tc>
          <w:tcPr>
            <w:tcW w:w="782" w:type="pct"/>
            <w:tcBorders>
              <w:top w:val="single" w:color="000000" w:sz="4" w:space="0"/>
              <w:left w:val="single" w:color="000000" w:sz="4" w:space="0"/>
              <w:bottom w:val="single" w:color="000000" w:sz="4" w:space="0"/>
              <w:right w:val="single" w:color="000000" w:sz="4" w:space="0"/>
            </w:tcBorders>
            <w:shd w:val="clear" w:color="auto" w:fill="D9D9D9"/>
            <w:vAlign w:val="center"/>
          </w:tcPr>
          <w:p w14:paraId="297D04F0">
            <w:pPr>
              <w:keepNext w:val="0"/>
              <w:keepLines w:val="0"/>
              <w:widowControl/>
              <w:suppressLineNumbers w:val="0"/>
              <w:jc w:val="center"/>
              <w:textAlignment w:val="center"/>
              <w:rPr>
                <w:rFonts w:hint="eastAsia" w:ascii="微软雅黑" w:hAnsi="微软雅黑" w:eastAsia="微软雅黑" w:cs="微软雅黑"/>
                <w:b/>
                <w:bCs/>
                <w:i w:val="0"/>
                <w:iCs w:val="0"/>
                <w:color w:val="000000"/>
                <w:kern w:val="0"/>
                <w:sz w:val="22"/>
                <w:szCs w:val="22"/>
                <w:u w:val="none"/>
                <w:lang w:val="en-US" w:eastAsia="zh-CN" w:bidi="ar"/>
              </w:rPr>
            </w:pPr>
            <w:r>
              <w:rPr>
                <w:rFonts w:hint="eastAsia" w:ascii="微软雅黑" w:hAnsi="微软雅黑" w:eastAsia="微软雅黑" w:cs="微软雅黑"/>
                <w:b/>
                <w:bCs/>
                <w:i w:val="0"/>
                <w:iCs w:val="0"/>
                <w:color w:val="000000"/>
                <w:kern w:val="0"/>
                <w:sz w:val="22"/>
                <w:szCs w:val="22"/>
                <w:u w:val="none"/>
                <w:lang w:val="en-US" w:eastAsia="zh-CN" w:bidi="ar"/>
              </w:rPr>
              <w:t>声光电雨量站（个）</w:t>
            </w:r>
          </w:p>
        </w:tc>
        <w:tc>
          <w:tcPr>
            <w:tcW w:w="759" w:type="pct"/>
            <w:tcBorders>
              <w:top w:val="single" w:color="000000" w:sz="4" w:space="0"/>
              <w:left w:val="single" w:color="000000" w:sz="4" w:space="0"/>
              <w:bottom w:val="single" w:color="000000" w:sz="4" w:space="0"/>
              <w:right w:val="single" w:color="000000" w:sz="4" w:space="0"/>
            </w:tcBorders>
            <w:shd w:val="clear" w:color="auto" w:fill="D9D9D9"/>
            <w:vAlign w:val="center"/>
          </w:tcPr>
          <w:p w14:paraId="7CF7C712">
            <w:pPr>
              <w:keepNext w:val="0"/>
              <w:keepLines w:val="0"/>
              <w:widowControl/>
              <w:suppressLineNumbers w:val="0"/>
              <w:jc w:val="center"/>
              <w:textAlignment w:val="center"/>
              <w:rPr>
                <w:rFonts w:hint="eastAsia" w:ascii="微软雅黑" w:hAnsi="微软雅黑" w:eastAsia="微软雅黑" w:cs="微软雅黑"/>
                <w:b/>
                <w:bCs/>
                <w:i w:val="0"/>
                <w:iCs w:val="0"/>
                <w:color w:val="000000"/>
                <w:kern w:val="0"/>
                <w:sz w:val="22"/>
                <w:szCs w:val="22"/>
                <w:u w:val="none"/>
                <w:lang w:val="en-US" w:eastAsia="zh-CN" w:bidi="ar"/>
              </w:rPr>
            </w:pPr>
            <w:r>
              <w:rPr>
                <w:rFonts w:hint="eastAsia" w:ascii="微软雅黑" w:hAnsi="微软雅黑" w:eastAsia="微软雅黑" w:cs="微软雅黑"/>
                <w:b/>
                <w:bCs/>
                <w:i w:val="0"/>
                <w:iCs w:val="0"/>
                <w:color w:val="000000"/>
                <w:kern w:val="0"/>
                <w:sz w:val="22"/>
                <w:szCs w:val="22"/>
                <w:u w:val="none"/>
                <w:lang w:val="en-US" w:eastAsia="zh-CN" w:bidi="ar"/>
              </w:rPr>
              <w:t>声光电水位雨量一体站（个）</w:t>
            </w:r>
          </w:p>
        </w:tc>
        <w:tc>
          <w:tcPr>
            <w:tcW w:w="607" w:type="pct"/>
            <w:tcBorders>
              <w:top w:val="single" w:color="000000" w:sz="4" w:space="0"/>
              <w:left w:val="single" w:color="000000" w:sz="4" w:space="0"/>
              <w:bottom w:val="single" w:color="000000" w:sz="4" w:space="0"/>
              <w:right w:val="single" w:color="000000" w:sz="4" w:space="0"/>
            </w:tcBorders>
            <w:shd w:val="clear" w:color="auto" w:fill="D9D9D9"/>
            <w:vAlign w:val="center"/>
          </w:tcPr>
          <w:p w14:paraId="075FBE41">
            <w:pPr>
              <w:keepNext w:val="0"/>
              <w:keepLines w:val="0"/>
              <w:widowControl/>
              <w:suppressLineNumbers w:val="0"/>
              <w:jc w:val="center"/>
              <w:textAlignment w:val="center"/>
              <w:rPr>
                <w:rFonts w:hint="eastAsia" w:ascii="微软雅黑" w:hAnsi="微软雅黑" w:eastAsia="微软雅黑" w:cs="微软雅黑"/>
                <w:b/>
                <w:bCs/>
                <w:i w:val="0"/>
                <w:iCs w:val="0"/>
                <w:color w:val="000000"/>
                <w:kern w:val="0"/>
                <w:sz w:val="22"/>
                <w:szCs w:val="22"/>
                <w:u w:val="none"/>
                <w:lang w:val="en-US" w:eastAsia="zh-CN" w:bidi="ar"/>
              </w:rPr>
            </w:pPr>
            <w:r>
              <w:rPr>
                <w:rFonts w:hint="eastAsia" w:ascii="微软雅黑" w:hAnsi="微软雅黑" w:eastAsia="微软雅黑" w:cs="微软雅黑"/>
                <w:b/>
                <w:bCs/>
                <w:i w:val="0"/>
                <w:iCs w:val="0"/>
                <w:color w:val="000000"/>
                <w:kern w:val="0"/>
                <w:sz w:val="22"/>
                <w:szCs w:val="22"/>
                <w:u w:val="none"/>
                <w:lang w:val="en-US" w:eastAsia="zh-CN" w:bidi="ar"/>
              </w:rPr>
              <w:t>一体站（个）</w:t>
            </w:r>
          </w:p>
        </w:tc>
        <w:tc>
          <w:tcPr>
            <w:tcW w:w="561" w:type="pct"/>
            <w:tcBorders>
              <w:top w:val="single" w:color="000000" w:sz="4" w:space="0"/>
              <w:left w:val="single" w:color="000000" w:sz="4" w:space="0"/>
              <w:bottom w:val="single" w:color="000000" w:sz="4" w:space="0"/>
              <w:right w:val="single" w:color="000000" w:sz="4" w:space="0"/>
            </w:tcBorders>
            <w:shd w:val="clear" w:color="auto" w:fill="D9D9D9"/>
            <w:vAlign w:val="center"/>
          </w:tcPr>
          <w:p w14:paraId="67D35AB3">
            <w:pPr>
              <w:keepNext w:val="0"/>
              <w:keepLines w:val="0"/>
              <w:widowControl/>
              <w:suppressLineNumbers w:val="0"/>
              <w:jc w:val="center"/>
              <w:textAlignment w:val="center"/>
              <w:rPr>
                <w:rFonts w:hint="eastAsia" w:ascii="微软雅黑" w:hAnsi="微软雅黑" w:eastAsia="微软雅黑" w:cs="微软雅黑"/>
                <w:b/>
                <w:bCs/>
                <w:i w:val="0"/>
                <w:iCs w:val="0"/>
                <w:color w:val="000000"/>
                <w:kern w:val="0"/>
                <w:sz w:val="22"/>
                <w:szCs w:val="22"/>
                <w:u w:val="none"/>
                <w:lang w:val="en-US" w:eastAsia="zh-CN" w:bidi="ar"/>
              </w:rPr>
            </w:pPr>
            <w:r>
              <w:rPr>
                <w:rFonts w:hint="eastAsia" w:ascii="微软雅黑" w:hAnsi="微软雅黑" w:eastAsia="微软雅黑" w:cs="微软雅黑"/>
                <w:b/>
                <w:bCs/>
                <w:i w:val="0"/>
                <w:iCs w:val="0"/>
                <w:color w:val="000000"/>
                <w:kern w:val="0"/>
                <w:sz w:val="22"/>
                <w:szCs w:val="22"/>
                <w:u w:val="none"/>
                <w:lang w:val="en-US" w:eastAsia="zh-CN" w:bidi="ar"/>
              </w:rPr>
              <w:t>图像视频站（个）</w:t>
            </w:r>
          </w:p>
        </w:tc>
      </w:tr>
      <w:tr w14:paraId="3E837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jc w:val="center"/>
        </w:trPr>
        <w:tc>
          <w:tcPr>
            <w:tcW w:w="61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6691F4C">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全区合计</w:t>
            </w:r>
          </w:p>
        </w:tc>
        <w:tc>
          <w:tcPr>
            <w:tcW w:w="48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7F55E48">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3509</w:t>
            </w:r>
          </w:p>
        </w:tc>
        <w:tc>
          <w:tcPr>
            <w:tcW w:w="5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3219C7E">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2551</w:t>
            </w:r>
          </w:p>
        </w:tc>
        <w:tc>
          <w:tcPr>
            <w:tcW w:w="5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6CB660D">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225</w:t>
            </w:r>
          </w:p>
        </w:tc>
        <w:tc>
          <w:tcPr>
            <w:tcW w:w="78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75D2A3E">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228</w:t>
            </w:r>
          </w:p>
        </w:tc>
        <w:tc>
          <w:tcPr>
            <w:tcW w:w="75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C5A3FFA">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76</w:t>
            </w:r>
          </w:p>
        </w:tc>
        <w:tc>
          <w:tcPr>
            <w:tcW w:w="60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69ADA9C">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294</w:t>
            </w:r>
          </w:p>
        </w:tc>
        <w:tc>
          <w:tcPr>
            <w:tcW w:w="56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2A08EA1">
            <w:pPr>
              <w:keepNext w:val="0"/>
              <w:keepLines w:val="0"/>
              <w:widowControl/>
              <w:suppressLineNumbers w:val="0"/>
              <w:jc w:val="center"/>
              <w:textAlignment w:val="center"/>
              <w:rPr>
                <w:rFonts w:hint="eastAsia" w:ascii="微软雅黑" w:hAnsi="微软雅黑" w:eastAsia="微软雅黑" w:cs="微软雅黑"/>
                <w:b/>
                <w:bCs/>
                <w:i w:val="0"/>
                <w:iCs w:val="0"/>
                <w:color w:val="000000"/>
                <w:kern w:val="0"/>
                <w:sz w:val="20"/>
                <w:szCs w:val="20"/>
                <w:u w:val="none"/>
                <w:lang w:val="en-US" w:eastAsia="zh-CN" w:bidi="ar"/>
              </w:rPr>
            </w:pPr>
            <w:r>
              <w:rPr>
                <w:rFonts w:hint="eastAsia" w:ascii="微软雅黑" w:hAnsi="微软雅黑" w:eastAsia="微软雅黑" w:cs="微软雅黑"/>
                <w:b/>
                <w:bCs/>
                <w:i w:val="0"/>
                <w:iCs w:val="0"/>
                <w:color w:val="000000"/>
                <w:kern w:val="0"/>
                <w:sz w:val="20"/>
                <w:szCs w:val="20"/>
                <w:u w:val="none"/>
                <w:lang w:val="en-US" w:eastAsia="zh-CN" w:bidi="ar"/>
              </w:rPr>
              <w:t>135</w:t>
            </w:r>
          </w:p>
        </w:tc>
      </w:tr>
      <w:tr w14:paraId="5E785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jc w:val="center"/>
        </w:trPr>
        <w:tc>
          <w:tcPr>
            <w:tcW w:w="61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89CA78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呼伦贝尔</w:t>
            </w:r>
          </w:p>
        </w:tc>
        <w:tc>
          <w:tcPr>
            <w:tcW w:w="48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904E48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360</w:t>
            </w:r>
          </w:p>
        </w:tc>
        <w:tc>
          <w:tcPr>
            <w:tcW w:w="5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3A9923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243</w:t>
            </w:r>
          </w:p>
        </w:tc>
        <w:tc>
          <w:tcPr>
            <w:tcW w:w="5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8E120D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w:t>
            </w:r>
          </w:p>
        </w:tc>
        <w:tc>
          <w:tcPr>
            <w:tcW w:w="78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5F9912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21</w:t>
            </w:r>
          </w:p>
        </w:tc>
        <w:tc>
          <w:tcPr>
            <w:tcW w:w="75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28382A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w:t>
            </w:r>
          </w:p>
        </w:tc>
        <w:tc>
          <w:tcPr>
            <w:tcW w:w="60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1ADD1C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w:t>
            </w:r>
          </w:p>
        </w:tc>
        <w:tc>
          <w:tcPr>
            <w:tcW w:w="56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527BA87">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50</w:t>
            </w:r>
          </w:p>
        </w:tc>
      </w:tr>
    </w:tbl>
    <w:p w14:paraId="4167436E">
      <w:pPr>
        <w:pStyle w:val="4"/>
        <w:spacing w:before="120" w:beforeLines="50" w:after="120" w:afterLines="50" w:line="360" w:lineRule="auto"/>
        <w:rPr>
          <w:rFonts w:asciiTheme="minorEastAsia" w:hAnsiTheme="minorEastAsia" w:eastAsiaTheme="minorEastAsia" w:cstheme="minorEastAsia"/>
          <w:sz w:val="28"/>
          <w:szCs w:val="28"/>
        </w:rPr>
      </w:pPr>
      <w:bookmarkStart w:id="12" w:name="_Toc16906"/>
      <w:r>
        <w:rPr>
          <w:rFonts w:hint="eastAsia" w:asciiTheme="minorEastAsia" w:hAnsiTheme="minorEastAsia" w:eastAsiaTheme="minorEastAsia" w:cstheme="minorEastAsia"/>
          <w:sz w:val="28"/>
          <w:szCs w:val="28"/>
        </w:rPr>
        <w:t>3.2.1总体要求</w:t>
      </w:r>
      <w:bookmarkEnd w:id="12"/>
    </w:p>
    <w:p w14:paraId="10489E4B">
      <w:pPr>
        <w:spacing w:line="360" w:lineRule="auto"/>
        <w:ind w:firstLine="480" w:firstLineChars="200"/>
        <w:rPr>
          <w:rFonts w:asciiTheme="minorEastAsia" w:hAnsiTheme="minorEastAsia" w:eastAsiaTheme="minorEastAsia" w:cstheme="minorEastAsia"/>
          <w:sz w:val="24"/>
          <w:szCs w:val="28"/>
          <w:highlight w:val="none"/>
        </w:rPr>
      </w:pPr>
      <w:r>
        <w:rPr>
          <w:rFonts w:hint="eastAsia" w:asciiTheme="minorEastAsia" w:hAnsiTheme="minorEastAsia" w:eastAsiaTheme="minorEastAsia" w:cstheme="minorEastAsia"/>
          <w:sz w:val="24"/>
          <w:szCs w:val="28"/>
        </w:rPr>
        <w:t>盟市水利部门统一组织实施本地区自动监测站点日常运维工作，运维工作要参照《水文自动测报系统技术规范》（SL61-2015）相关要求，及时清理雨量筒中的杂物、淤泥，清理水位计周边的水草、淤沙；对于工作中发现的站点问题，及时组织现场核查并反馈有关情况；定期校核水位、雨量等数据准</w:t>
      </w:r>
      <w:r>
        <w:rPr>
          <w:rFonts w:hint="eastAsia" w:asciiTheme="minorEastAsia" w:hAnsiTheme="minorEastAsia" w:eastAsiaTheme="minorEastAsia" w:cstheme="minorEastAsia"/>
          <w:sz w:val="24"/>
          <w:szCs w:val="28"/>
          <w:highlight w:val="none"/>
        </w:rPr>
        <w:t>确度；定期和不定期对设备的运行状态进行全面检查和测试，及时发现和排除故障，更换存在问题的零部件；及时缴纳站点通信费用，确保通信畅通，站点通信费用缴纳时间为1年；建立运维工作台账，自治区水利厅统一组织开发了自动监测站点运维APP，各地要组织运维单位利用APP开展运维工作，明确记录每个监测站点的设备清单、设备型号、设备更换时间等详细运维情况，对原有基础信息有误的站点要及时反馈相关信息；</w:t>
      </w:r>
      <w:r>
        <w:rPr>
          <w:rFonts w:hint="eastAsia" w:asciiTheme="minorEastAsia" w:hAnsiTheme="minorEastAsia" w:eastAsiaTheme="minorEastAsia" w:cstheme="minorEastAsia"/>
          <w:sz w:val="24"/>
          <w:szCs w:val="28"/>
          <w:highlight w:val="none"/>
          <w:lang w:val="en-US" w:eastAsia="zh-CN"/>
        </w:rPr>
        <w:t>地方</w:t>
      </w:r>
      <w:r>
        <w:rPr>
          <w:rFonts w:hint="eastAsia" w:asciiTheme="minorEastAsia" w:hAnsiTheme="minorEastAsia" w:eastAsiaTheme="minorEastAsia" w:cstheme="minorEastAsia"/>
          <w:sz w:val="24"/>
          <w:szCs w:val="28"/>
          <w:highlight w:val="none"/>
        </w:rPr>
        <w:t>水文部门</w:t>
      </w:r>
      <w:r>
        <w:rPr>
          <w:rFonts w:hint="eastAsia" w:asciiTheme="minorEastAsia" w:hAnsiTheme="minorEastAsia" w:eastAsiaTheme="minorEastAsia" w:cstheme="minorEastAsia"/>
          <w:sz w:val="24"/>
          <w:szCs w:val="28"/>
          <w:highlight w:val="none"/>
          <w:lang w:val="en-US" w:eastAsia="zh-CN"/>
        </w:rPr>
        <w:t>要</w:t>
      </w:r>
      <w:r>
        <w:rPr>
          <w:rFonts w:hint="eastAsia" w:asciiTheme="minorEastAsia" w:hAnsiTheme="minorEastAsia" w:eastAsiaTheme="minorEastAsia" w:cstheme="minorEastAsia"/>
          <w:sz w:val="24"/>
          <w:szCs w:val="28"/>
          <w:highlight w:val="none"/>
        </w:rPr>
        <w:t>配合对自动监测站点编码进行维护，对非水文编码和无编码的站点统一进行水文编码。</w:t>
      </w:r>
    </w:p>
    <w:p w14:paraId="2DED5093">
      <w:pPr>
        <w:spacing w:line="360" w:lineRule="auto"/>
        <w:ind w:firstLine="480" w:firstLineChars="200"/>
        <w:rPr>
          <w:rFonts w:asciiTheme="minorEastAsia" w:hAnsiTheme="minorEastAsia" w:eastAsiaTheme="minorEastAsia" w:cstheme="minorEastAsia"/>
          <w:sz w:val="24"/>
          <w:szCs w:val="28"/>
        </w:rPr>
      </w:pPr>
      <w:r>
        <w:rPr>
          <w:rFonts w:hint="eastAsia" w:asciiTheme="minorEastAsia" w:hAnsiTheme="minorEastAsia" w:eastAsiaTheme="minorEastAsia" w:cstheme="minorEastAsia"/>
          <w:sz w:val="24"/>
          <w:szCs w:val="28"/>
          <w:lang w:val="en-US" w:eastAsia="zh-CN"/>
        </w:rPr>
        <w:t>各盟市要做好上一年度运维衔接工作，</w:t>
      </w:r>
      <w:r>
        <w:rPr>
          <w:rFonts w:hint="eastAsia" w:asciiTheme="minorEastAsia" w:hAnsiTheme="minorEastAsia" w:eastAsiaTheme="minorEastAsia" w:cstheme="minorEastAsia"/>
          <w:sz w:val="24"/>
          <w:szCs w:val="28"/>
        </w:rPr>
        <w:t>山洪灾害自动监测站点数据传输采用“一站多发”，确保监测数据能够及时上传至各级山洪平台</w:t>
      </w:r>
      <w:r>
        <w:rPr>
          <w:rFonts w:hint="eastAsia" w:asciiTheme="minorEastAsia" w:hAnsiTheme="minorEastAsia" w:eastAsiaTheme="minorEastAsia" w:cstheme="minorEastAsia"/>
          <w:sz w:val="24"/>
          <w:szCs w:val="28"/>
          <w:lang w:eastAsia="zh-CN"/>
        </w:rPr>
        <w:t>，</w:t>
      </w:r>
      <w:r>
        <w:rPr>
          <w:rFonts w:hint="eastAsia" w:asciiTheme="minorEastAsia" w:hAnsiTheme="minorEastAsia" w:eastAsiaTheme="minorEastAsia" w:cstheme="minorEastAsia"/>
          <w:b/>
          <w:bCs/>
          <w:sz w:val="24"/>
          <w:szCs w:val="28"/>
          <w:highlight w:val="none"/>
        </w:rPr>
        <w:t>汛期站点到报率（以自治区</w:t>
      </w:r>
      <w:r>
        <w:rPr>
          <w:rFonts w:hint="eastAsia" w:asciiTheme="minorEastAsia" w:hAnsiTheme="minorEastAsia" w:eastAsiaTheme="minorEastAsia" w:cstheme="minorEastAsia"/>
          <w:b/>
          <w:bCs/>
          <w:sz w:val="24"/>
          <w:szCs w:val="28"/>
          <w:highlight w:val="none"/>
          <w:lang w:eastAsia="zh-CN"/>
        </w:rPr>
        <w:t>平台</w:t>
      </w:r>
      <w:r>
        <w:rPr>
          <w:rFonts w:hint="eastAsia" w:asciiTheme="minorEastAsia" w:hAnsiTheme="minorEastAsia" w:eastAsiaTheme="minorEastAsia" w:cstheme="minorEastAsia"/>
          <w:b/>
          <w:bCs/>
          <w:sz w:val="24"/>
          <w:szCs w:val="28"/>
          <w:highlight w:val="none"/>
        </w:rPr>
        <w:t>到报率为准）要达到95%以上。</w:t>
      </w:r>
      <w:r>
        <w:rPr>
          <w:rFonts w:hint="eastAsia" w:asciiTheme="minorEastAsia" w:hAnsiTheme="minorEastAsia" w:eastAsiaTheme="minorEastAsia" w:cstheme="minorEastAsia"/>
          <w:sz w:val="24"/>
          <w:szCs w:val="28"/>
        </w:rPr>
        <w:t>自动监测站点运行维护要满足自治区网络安全有关要求，为保证数据的安全性，监测数据必须按要求直传至各级水利部门建设的平台，严禁将监测数据传输至企业或公司数据平台。</w:t>
      </w:r>
    </w:p>
    <w:p w14:paraId="2987C145">
      <w:pPr>
        <w:spacing w:line="360" w:lineRule="auto"/>
        <w:ind w:firstLine="480" w:firstLineChars="200"/>
        <w:rPr>
          <w:rFonts w:asciiTheme="minorEastAsia" w:hAnsiTheme="minorEastAsia" w:eastAsiaTheme="minorEastAsia" w:cstheme="minorEastAsia"/>
          <w:sz w:val="24"/>
          <w:szCs w:val="28"/>
        </w:rPr>
      </w:pPr>
      <w:r>
        <w:rPr>
          <w:rFonts w:hint="eastAsia" w:asciiTheme="minorEastAsia" w:hAnsiTheme="minorEastAsia" w:eastAsiaTheme="minorEastAsia" w:cstheme="minorEastAsia"/>
          <w:sz w:val="24"/>
          <w:szCs w:val="28"/>
        </w:rPr>
        <w:t>定期巡检服务频次为：定期巡检服务每年至少进行三次。每年汛前完成一次现场巡检，汛期内完成二次现场巡检</w:t>
      </w:r>
      <w:r>
        <w:rPr>
          <w:rFonts w:hint="eastAsia" w:asciiTheme="minorEastAsia" w:hAnsiTheme="minorEastAsia" w:eastAsiaTheme="minorEastAsia" w:cstheme="minorEastAsia"/>
          <w:sz w:val="24"/>
          <w:szCs w:val="28"/>
          <w:lang w:eastAsia="zh-CN"/>
        </w:rPr>
        <w:t>，</w:t>
      </w:r>
      <w:r>
        <w:rPr>
          <w:rFonts w:hint="eastAsia" w:asciiTheme="minorEastAsia" w:hAnsiTheme="minorEastAsia" w:eastAsiaTheme="minorEastAsia" w:cstheme="minorEastAsia"/>
          <w:sz w:val="24"/>
          <w:szCs w:val="28"/>
          <w:lang w:val="en-US" w:eastAsia="zh-CN"/>
        </w:rPr>
        <w:t>每次巡检要覆盖全部站点</w:t>
      </w:r>
      <w:r>
        <w:rPr>
          <w:rFonts w:hint="eastAsia" w:asciiTheme="minorEastAsia" w:hAnsiTheme="minorEastAsia" w:eastAsiaTheme="minorEastAsia" w:cstheme="minorEastAsia"/>
          <w:sz w:val="24"/>
          <w:szCs w:val="28"/>
        </w:rPr>
        <w:t>。</w:t>
      </w:r>
      <w:r>
        <w:rPr>
          <w:rFonts w:hint="eastAsia" w:asciiTheme="minorEastAsia" w:hAnsiTheme="minorEastAsia" w:eastAsiaTheme="minorEastAsia" w:cstheme="minorEastAsia"/>
          <w:sz w:val="24"/>
          <w:szCs w:val="28"/>
          <w:lang w:val="en-US" w:eastAsia="zh-CN"/>
        </w:rPr>
        <w:t>其中汛前巡检重点做好站点设备上线、设备清淤、设备校准等工作。</w:t>
      </w:r>
      <w:r>
        <w:rPr>
          <w:rFonts w:hint="eastAsia" w:asciiTheme="minorEastAsia" w:hAnsiTheme="minorEastAsia" w:eastAsiaTheme="minorEastAsia" w:cstheme="minorEastAsia"/>
          <w:sz w:val="24"/>
          <w:szCs w:val="28"/>
        </w:rPr>
        <w:t>每次巡检发现的系统故障需要在巡检结束后一个月内完成维护、维修工作，并提供巡检工作报告。</w:t>
      </w:r>
    </w:p>
    <w:p w14:paraId="61ABE056">
      <w:pPr>
        <w:widowControl/>
        <w:spacing w:before="120" w:beforeLines="50" w:after="120" w:afterLines="50" w:line="360" w:lineRule="auto"/>
        <w:contextualSpacing/>
        <w:jc w:val="center"/>
        <w:rPr>
          <w:rFonts w:asciiTheme="minorEastAsia" w:hAnsiTheme="minorEastAsia" w:eastAsiaTheme="minorEastAsia" w:cstheme="minorEastAsia"/>
          <w:b/>
          <w:bCs/>
          <w:kern w:val="0"/>
          <w:sz w:val="24"/>
        </w:rPr>
      </w:pPr>
      <w:r>
        <w:rPr>
          <w:rFonts w:hint="eastAsia" w:asciiTheme="minorEastAsia" w:hAnsiTheme="minorEastAsia" w:eastAsiaTheme="minorEastAsia" w:cstheme="minorEastAsia"/>
          <w:b/>
          <w:bCs/>
          <w:kern w:val="0"/>
          <w:sz w:val="24"/>
        </w:rPr>
        <w:t>表3-2监测站点定期巡检主要内容</w:t>
      </w:r>
    </w:p>
    <w:tbl>
      <w:tblPr>
        <w:tblStyle w:val="33"/>
        <w:tblW w:w="864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0"/>
        <w:gridCol w:w="1731"/>
        <w:gridCol w:w="5386"/>
      </w:tblGrid>
      <w:tr w14:paraId="08DB1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14:paraId="3C68C409">
            <w:pPr>
              <w:snapToGrid w:val="0"/>
              <w:spacing w:line="520" w:lineRule="exact"/>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检查对象</w:t>
            </w:r>
          </w:p>
        </w:tc>
        <w:tc>
          <w:tcPr>
            <w:tcW w:w="1731" w:type="dxa"/>
            <w:vAlign w:val="center"/>
          </w:tcPr>
          <w:p w14:paraId="5EB8B265">
            <w:pPr>
              <w:snapToGrid w:val="0"/>
              <w:spacing w:line="520" w:lineRule="exact"/>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检查内容</w:t>
            </w:r>
          </w:p>
        </w:tc>
        <w:tc>
          <w:tcPr>
            <w:tcW w:w="5386" w:type="dxa"/>
            <w:vAlign w:val="center"/>
          </w:tcPr>
          <w:p w14:paraId="38CC382A">
            <w:pPr>
              <w:snapToGrid w:val="0"/>
              <w:spacing w:line="520" w:lineRule="exact"/>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维护内容</w:t>
            </w:r>
          </w:p>
        </w:tc>
      </w:tr>
      <w:tr w14:paraId="72234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530" w:type="dxa"/>
            <w:vMerge w:val="restart"/>
            <w:vAlign w:val="center"/>
          </w:tcPr>
          <w:p w14:paraId="556EDC75">
            <w:pPr>
              <w:snapToGrid w:val="0"/>
              <w:spacing w:line="520" w:lineRule="exact"/>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自动雨量站</w:t>
            </w:r>
          </w:p>
        </w:tc>
        <w:tc>
          <w:tcPr>
            <w:tcW w:w="1731" w:type="dxa"/>
            <w:vAlign w:val="center"/>
          </w:tcPr>
          <w:p w14:paraId="4BDE5CBD">
            <w:pPr>
              <w:snapToGrid w:val="0"/>
              <w:spacing w:line="520" w:lineRule="exact"/>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外观检查</w:t>
            </w:r>
          </w:p>
        </w:tc>
        <w:tc>
          <w:tcPr>
            <w:tcW w:w="5386" w:type="dxa"/>
            <w:vAlign w:val="center"/>
          </w:tcPr>
          <w:p w14:paraId="1118B9D5">
            <w:pPr>
              <w:snapToGrid w:val="0"/>
              <w:spacing w:line="520" w:lineRule="exact"/>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站点外观完好、堵塞物清理、传感器维护到位、平衡性良好、设备完整、除尘除锈</w:t>
            </w:r>
          </w:p>
        </w:tc>
      </w:tr>
      <w:tr w14:paraId="78041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Merge w:val="continue"/>
            <w:vAlign w:val="center"/>
          </w:tcPr>
          <w:p w14:paraId="69E0E3C9">
            <w:pPr>
              <w:snapToGrid w:val="0"/>
              <w:spacing w:line="520" w:lineRule="exact"/>
              <w:jc w:val="center"/>
              <w:rPr>
                <w:rFonts w:asciiTheme="minorEastAsia" w:hAnsiTheme="minorEastAsia" w:eastAsiaTheme="minorEastAsia" w:cstheme="minorEastAsia"/>
                <w:color w:val="000000"/>
                <w:kern w:val="0"/>
                <w:sz w:val="24"/>
                <w:szCs w:val="24"/>
              </w:rPr>
            </w:pPr>
          </w:p>
        </w:tc>
        <w:tc>
          <w:tcPr>
            <w:tcW w:w="1731" w:type="dxa"/>
            <w:vAlign w:val="center"/>
          </w:tcPr>
          <w:p w14:paraId="7808620A">
            <w:pPr>
              <w:snapToGrid w:val="0"/>
              <w:spacing w:line="520" w:lineRule="exact"/>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安全性检查</w:t>
            </w:r>
          </w:p>
        </w:tc>
        <w:tc>
          <w:tcPr>
            <w:tcW w:w="5386" w:type="dxa"/>
            <w:vAlign w:val="center"/>
          </w:tcPr>
          <w:p w14:paraId="10CC0EE6">
            <w:pPr>
              <w:snapToGrid w:val="0"/>
              <w:spacing w:line="520" w:lineRule="exact"/>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接地地阻正常、电源电压正常</w:t>
            </w:r>
          </w:p>
        </w:tc>
      </w:tr>
      <w:tr w14:paraId="669AD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Merge w:val="continue"/>
            <w:vAlign w:val="center"/>
          </w:tcPr>
          <w:p w14:paraId="7FF4779C">
            <w:pPr>
              <w:snapToGrid w:val="0"/>
              <w:spacing w:line="520" w:lineRule="exact"/>
              <w:jc w:val="center"/>
              <w:rPr>
                <w:rFonts w:asciiTheme="minorEastAsia" w:hAnsiTheme="minorEastAsia" w:eastAsiaTheme="minorEastAsia" w:cstheme="minorEastAsia"/>
                <w:color w:val="000000"/>
                <w:kern w:val="0"/>
                <w:sz w:val="24"/>
                <w:szCs w:val="24"/>
              </w:rPr>
            </w:pPr>
          </w:p>
        </w:tc>
        <w:tc>
          <w:tcPr>
            <w:tcW w:w="1731" w:type="dxa"/>
            <w:vAlign w:val="center"/>
          </w:tcPr>
          <w:p w14:paraId="57703656">
            <w:pPr>
              <w:snapToGrid w:val="0"/>
              <w:spacing w:line="520" w:lineRule="exact"/>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通信状态检查</w:t>
            </w:r>
          </w:p>
        </w:tc>
        <w:tc>
          <w:tcPr>
            <w:tcW w:w="5386" w:type="dxa"/>
            <w:vAlign w:val="center"/>
          </w:tcPr>
          <w:p w14:paraId="7CBEE9BD">
            <w:pPr>
              <w:snapToGrid w:val="0"/>
              <w:spacing w:line="520" w:lineRule="exact"/>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通信强度好、设备间线路正常、RTU 运行正常</w:t>
            </w:r>
          </w:p>
        </w:tc>
      </w:tr>
      <w:tr w14:paraId="2BF87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Merge w:val="continue"/>
            <w:vAlign w:val="center"/>
          </w:tcPr>
          <w:p w14:paraId="13DDB46D">
            <w:pPr>
              <w:snapToGrid w:val="0"/>
              <w:spacing w:line="520" w:lineRule="exact"/>
              <w:jc w:val="center"/>
              <w:rPr>
                <w:rFonts w:asciiTheme="minorEastAsia" w:hAnsiTheme="minorEastAsia" w:eastAsiaTheme="minorEastAsia" w:cstheme="minorEastAsia"/>
                <w:color w:val="000000"/>
                <w:kern w:val="0"/>
                <w:sz w:val="24"/>
                <w:szCs w:val="24"/>
              </w:rPr>
            </w:pPr>
          </w:p>
        </w:tc>
        <w:tc>
          <w:tcPr>
            <w:tcW w:w="1731" w:type="dxa"/>
            <w:vAlign w:val="center"/>
          </w:tcPr>
          <w:p w14:paraId="011A4C56">
            <w:pPr>
              <w:snapToGrid w:val="0"/>
              <w:spacing w:line="520" w:lineRule="exact"/>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数据检查</w:t>
            </w:r>
          </w:p>
        </w:tc>
        <w:tc>
          <w:tcPr>
            <w:tcW w:w="5386" w:type="dxa"/>
            <w:vAlign w:val="center"/>
          </w:tcPr>
          <w:p w14:paraId="002994F5">
            <w:pPr>
              <w:snapToGrid w:val="0"/>
              <w:spacing w:line="520" w:lineRule="exact"/>
              <w:rPr>
                <w:rFonts w:hint="eastAsia" w:asciiTheme="minorEastAsia" w:hAnsiTheme="minorEastAsia" w:eastAsiaTheme="minorEastAsia" w:cstheme="minorEastAsia"/>
                <w:color w:val="000000"/>
                <w:kern w:val="0"/>
                <w:sz w:val="24"/>
                <w:szCs w:val="24"/>
                <w:lang w:eastAsia="zh-CN"/>
              </w:rPr>
            </w:pPr>
            <w:r>
              <w:rPr>
                <w:rFonts w:hint="eastAsia" w:asciiTheme="minorEastAsia" w:hAnsiTheme="minorEastAsia" w:eastAsiaTheme="minorEastAsia" w:cstheme="minorEastAsia"/>
                <w:color w:val="000000"/>
                <w:kern w:val="0"/>
                <w:sz w:val="24"/>
                <w:szCs w:val="24"/>
              </w:rPr>
              <w:t>雨量校核、传输及时性，传感器经加水测试后正常</w:t>
            </w:r>
            <w:r>
              <w:rPr>
                <w:rFonts w:hint="eastAsia" w:asciiTheme="minorEastAsia" w:hAnsiTheme="minorEastAsia" w:eastAsiaTheme="minorEastAsia" w:cstheme="minorEastAsia"/>
                <w:color w:val="000000"/>
                <w:kern w:val="0"/>
                <w:sz w:val="24"/>
                <w:szCs w:val="24"/>
                <w:lang w:val="en-US" w:eastAsia="zh-CN"/>
              </w:rPr>
              <w:t>报汛</w:t>
            </w:r>
            <w:r>
              <w:rPr>
                <w:rFonts w:hint="eastAsia" w:asciiTheme="minorEastAsia" w:hAnsiTheme="minorEastAsia" w:eastAsiaTheme="minorEastAsia" w:cstheme="minorEastAsia"/>
                <w:color w:val="000000"/>
                <w:kern w:val="0"/>
                <w:sz w:val="24"/>
                <w:szCs w:val="24"/>
              </w:rPr>
              <w:t>，且加水量值与监测预警平台接收数据一致</w:t>
            </w:r>
          </w:p>
        </w:tc>
      </w:tr>
      <w:tr w14:paraId="4A759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Merge w:val="restart"/>
            <w:vAlign w:val="center"/>
          </w:tcPr>
          <w:p w14:paraId="2DD79ED4">
            <w:pPr>
              <w:snapToGrid w:val="0"/>
              <w:spacing w:line="520" w:lineRule="exact"/>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自动水位站</w:t>
            </w:r>
          </w:p>
        </w:tc>
        <w:tc>
          <w:tcPr>
            <w:tcW w:w="1731" w:type="dxa"/>
            <w:vAlign w:val="center"/>
          </w:tcPr>
          <w:p w14:paraId="54AFD7CC">
            <w:pPr>
              <w:snapToGrid w:val="0"/>
              <w:spacing w:line="520" w:lineRule="exact"/>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外观检查</w:t>
            </w:r>
          </w:p>
        </w:tc>
        <w:tc>
          <w:tcPr>
            <w:tcW w:w="5386" w:type="dxa"/>
            <w:vAlign w:val="center"/>
          </w:tcPr>
          <w:p w14:paraId="12B91025">
            <w:pPr>
              <w:snapToGrid w:val="0"/>
              <w:spacing w:line="520" w:lineRule="exact"/>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站点外观完好、传感器维护到位、平衡性良好、设备完整、除尘除锈、堵塞物清理</w:t>
            </w:r>
          </w:p>
        </w:tc>
      </w:tr>
      <w:tr w14:paraId="72F34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Merge w:val="continue"/>
            <w:vAlign w:val="center"/>
          </w:tcPr>
          <w:p w14:paraId="166AEF71">
            <w:pPr>
              <w:snapToGrid w:val="0"/>
              <w:spacing w:line="520" w:lineRule="exact"/>
              <w:jc w:val="center"/>
              <w:rPr>
                <w:rFonts w:asciiTheme="minorEastAsia" w:hAnsiTheme="minorEastAsia" w:eastAsiaTheme="minorEastAsia" w:cstheme="minorEastAsia"/>
                <w:color w:val="000000"/>
                <w:kern w:val="0"/>
                <w:sz w:val="24"/>
                <w:szCs w:val="24"/>
              </w:rPr>
            </w:pPr>
          </w:p>
        </w:tc>
        <w:tc>
          <w:tcPr>
            <w:tcW w:w="1731" w:type="dxa"/>
            <w:vAlign w:val="center"/>
          </w:tcPr>
          <w:p w14:paraId="21B88C26">
            <w:pPr>
              <w:snapToGrid w:val="0"/>
              <w:spacing w:line="520" w:lineRule="exact"/>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安全性检查</w:t>
            </w:r>
          </w:p>
        </w:tc>
        <w:tc>
          <w:tcPr>
            <w:tcW w:w="5386" w:type="dxa"/>
            <w:vAlign w:val="center"/>
          </w:tcPr>
          <w:p w14:paraId="535181A8">
            <w:pPr>
              <w:snapToGrid w:val="0"/>
              <w:spacing w:line="520" w:lineRule="exact"/>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接地地阻正常、电源电压正常、RTU 运行正常</w:t>
            </w:r>
          </w:p>
        </w:tc>
      </w:tr>
      <w:tr w14:paraId="0D900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Merge w:val="continue"/>
            <w:vAlign w:val="center"/>
          </w:tcPr>
          <w:p w14:paraId="79D47DCF">
            <w:pPr>
              <w:snapToGrid w:val="0"/>
              <w:spacing w:line="520" w:lineRule="exact"/>
              <w:jc w:val="center"/>
              <w:rPr>
                <w:rFonts w:asciiTheme="minorEastAsia" w:hAnsiTheme="minorEastAsia" w:eastAsiaTheme="minorEastAsia" w:cstheme="minorEastAsia"/>
                <w:color w:val="000000"/>
                <w:kern w:val="0"/>
                <w:sz w:val="24"/>
                <w:szCs w:val="24"/>
              </w:rPr>
            </w:pPr>
          </w:p>
        </w:tc>
        <w:tc>
          <w:tcPr>
            <w:tcW w:w="1731" w:type="dxa"/>
            <w:vAlign w:val="center"/>
          </w:tcPr>
          <w:p w14:paraId="797C2BDA">
            <w:pPr>
              <w:snapToGrid w:val="0"/>
              <w:spacing w:line="520" w:lineRule="exact"/>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通信状态检查</w:t>
            </w:r>
          </w:p>
        </w:tc>
        <w:tc>
          <w:tcPr>
            <w:tcW w:w="5386" w:type="dxa"/>
            <w:vAlign w:val="center"/>
          </w:tcPr>
          <w:p w14:paraId="1D66DAA4">
            <w:pPr>
              <w:snapToGrid w:val="0"/>
              <w:spacing w:line="520" w:lineRule="exact"/>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通信强度好、设备间线路正常</w:t>
            </w:r>
          </w:p>
        </w:tc>
      </w:tr>
      <w:tr w14:paraId="19069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Merge w:val="continue"/>
            <w:vAlign w:val="center"/>
          </w:tcPr>
          <w:p w14:paraId="5ED50737">
            <w:pPr>
              <w:snapToGrid w:val="0"/>
              <w:spacing w:line="520" w:lineRule="exact"/>
              <w:jc w:val="center"/>
              <w:rPr>
                <w:rFonts w:asciiTheme="minorEastAsia" w:hAnsiTheme="minorEastAsia" w:eastAsiaTheme="minorEastAsia" w:cstheme="minorEastAsia"/>
                <w:color w:val="000000"/>
                <w:kern w:val="0"/>
                <w:sz w:val="24"/>
                <w:szCs w:val="24"/>
              </w:rPr>
            </w:pPr>
          </w:p>
        </w:tc>
        <w:tc>
          <w:tcPr>
            <w:tcW w:w="1731" w:type="dxa"/>
            <w:vAlign w:val="center"/>
          </w:tcPr>
          <w:p w14:paraId="35EC8E54">
            <w:pPr>
              <w:snapToGrid w:val="0"/>
              <w:spacing w:line="520" w:lineRule="exact"/>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数据检查</w:t>
            </w:r>
          </w:p>
        </w:tc>
        <w:tc>
          <w:tcPr>
            <w:tcW w:w="5386" w:type="dxa"/>
            <w:vAlign w:val="center"/>
          </w:tcPr>
          <w:p w14:paraId="1293818F">
            <w:pPr>
              <w:snapToGrid w:val="0"/>
              <w:spacing w:line="520" w:lineRule="exact"/>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水位校核、传输及时性</w:t>
            </w:r>
          </w:p>
        </w:tc>
      </w:tr>
      <w:tr w14:paraId="167FE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Merge w:val="restart"/>
            <w:vAlign w:val="center"/>
          </w:tcPr>
          <w:p w14:paraId="3DD848FE">
            <w:pPr>
              <w:snapToGrid w:val="0"/>
              <w:spacing w:line="520" w:lineRule="exact"/>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自动图像视频站</w:t>
            </w:r>
          </w:p>
        </w:tc>
        <w:tc>
          <w:tcPr>
            <w:tcW w:w="1731" w:type="dxa"/>
            <w:vAlign w:val="center"/>
          </w:tcPr>
          <w:p w14:paraId="0FFF77CC">
            <w:pPr>
              <w:snapToGrid w:val="0"/>
              <w:spacing w:line="520" w:lineRule="exact"/>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外观检查</w:t>
            </w:r>
          </w:p>
        </w:tc>
        <w:tc>
          <w:tcPr>
            <w:tcW w:w="5386" w:type="dxa"/>
            <w:vAlign w:val="center"/>
          </w:tcPr>
          <w:p w14:paraId="25DB0B33">
            <w:pPr>
              <w:snapToGrid w:val="0"/>
              <w:spacing w:line="520" w:lineRule="exact"/>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站点外观完好、传感器维护到位、平衡性良好、设备完整、除尘除锈、影响观测的障碍物清理</w:t>
            </w:r>
          </w:p>
        </w:tc>
      </w:tr>
      <w:tr w14:paraId="79768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Merge w:val="continue"/>
            <w:vAlign w:val="center"/>
          </w:tcPr>
          <w:p w14:paraId="565EACE3">
            <w:pPr>
              <w:snapToGrid w:val="0"/>
              <w:spacing w:line="520" w:lineRule="exact"/>
              <w:jc w:val="center"/>
              <w:rPr>
                <w:rFonts w:asciiTheme="minorEastAsia" w:hAnsiTheme="minorEastAsia" w:eastAsiaTheme="minorEastAsia" w:cstheme="minorEastAsia"/>
                <w:color w:val="000000"/>
                <w:kern w:val="0"/>
                <w:sz w:val="24"/>
                <w:szCs w:val="24"/>
              </w:rPr>
            </w:pPr>
          </w:p>
        </w:tc>
        <w:tc>
          <w:tcPr>
            <w:tcW w:w="1731" w:type="dxa"/>
            <w:vAlign w:val="center"/>
          </w:tcPr>
          <w:p w14:paraId="56344F95">
            <w:pPr>
              <w:snapToGrid w:val="0"/>
              <w:spacing w:line="520" w:lineRule="exact"/>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安全性检查</w:t>
            </w:r>
          </w:p>
        </w:tc>
        <w:tc>
          <w:tcPr>
            <w:tcW w:w="5386" w:type="dxa"/>
            <w:vAlign w:val="center"/>
          </w:tcPr>
          <w:p w14:paraId="676C173B">
            <w:pPr>
              <w:snapToGrid w:val="0"/>
              <w:spacing w:line="520" w:lineRule="exact"/>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接地地阻正常、电源电压正常</w:t>
            </w:r>
          </w:p>
        </w:tc>
      </w:tr>
      <w:tr w14:paraId="248C5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Merge w:val="continue"/>
            <w:vAlign w:val="center"/>
          </w:tcPr>
          <w:p w14:paraId="2E388991">
            <w:pPr>
              <w:snapToGrid w:val="0"/>
              <w:spacing w:line="520" w:lineRule="exact"/>
              <w:jc w:val="center"/>
              <w:rPr>
                <w:rFonts w:asciiTheme="minorEastAsia" w:hAnsiTheme="minorEastAsia" w:eastAsiaTheme="minorEastAsia" w:cstheme="minorEastAsia"/>
                <w:color w:val="000000"/>
                <w:kern w:val="0"/>
                <w:sz w:val="24"/>
                <w:szCs w:val="24"/>
              </w:rPr>
            </w:pPr>
          </w:p>
        </w:tc>
        <w:tc>
          <w:tcPr>
            <w:tcW w:w="1731" w:type="dxa"/>
            <w:vAlign w:val="center"/>
          </w:tcPr>
          <w:p w14:paraId="6C738693">
            <w:pPr>
              <w:snapToGrid w:val="0"/>
              <w:spacing w:line="520" w:lineRule="exact"/>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通信状态检查</w:t>
            </w:r>
          </w:p>
        </w:tc>
        <w:tc>
          <w:tcPr>
            <w:tcW w:w="5386" w:type="dxa"/>
            <w:vAlign w:val="center"/>
          </w:tcPr>
          <w:p w14:paraId="772C0C58">
            <w:pPr>
              <w:snapToGrid w:val="0"/>
              <w:spacing w:line="520" w:lineRule="exact"/>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通信强度好、设备间线路正常</w:t>
            </w:r>
          </w:p>
        </w:tc>
      </w:tr>
      <w:tr w14:paraId="79991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Merge w:val="continue"/>
            <w:vAlign w:val="center"/>
          </w:tcPr>
          <w:p w14:paraId="214AD875">
            <w:pPr>
              <w:snapToGrid w:val="0"/>
              <w:spacing w:line="520" w:lineRule="exact"/>
              <w:jc w:val="center"/>
              <w:rPr>
                <w:rFonts w:asciiTheme="minorEastAsia" w:hAnsiTheme="minorEastAsia" w:eastAsiaTheme="minorEastAsia" w:cstheme="minorEastAsia"/>
                <w:color w:val="000000"/>
                <w:kern w:val="0"/>
                <w:sz w:val="24"/>
                <w:szCs w:val="24"/>
              </w:rPr>
            </w:pPr>
          </w:p>
        </w:tc>
        <w:tc>
          <w:tcPr>
            <w:tcW w:w="1731" w:type="dxa"/>
            <w:vAlign w:val="center"/>
          </w:tcPr>
          <w:p w14:paraId="4824B5C6">
            <w:pPr>
              <w:snapToGrid w:val="0"/>
              <w:spacing w:line="520" w:lineRule="exact"/>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数据检查</w:t>
            </w:r>
          </w:p>
        </w:tc>
        <w:tc>
          <w:tcPr>
            <w:tcW w:w="5386" w:type="dxa"/>
            <w:vAlign w:val="center"/>
          </w:tcPr>
          <w:p w14:paraId="6D3CD1AB">
            <w:pPr>
              <w:snapToGrid w:val="0"/>
              <w:spacing w:line="520" w:lineRule="exact"/>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图像画面清晰、传输及时</w:t>
            </w:r>
          </w:p>
        </w:tc>
      </w:tr>
      <w:tr w14:paraId="423F6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47" w:type="dxa"/>
            <w:gridSpan w:val="3"/>
            <w:vAlign w:val="center"/>
          </w:tcPr>
          <w:p w14:paraId="2BCBDF59">
            <w:pPr>
              <w:spacing w:line="360" w:lineRule="auto"/>
              <w:ind w:firstLine="482" w:firstLineChars="20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b/>
                <w:bCs/>
                <w:sz w:val="24"/>
                <w:szCs w:val="28"/>
                <w:highlight w:val="none"/>
              </w:rPr>
              <w:t>其他类型的站点的运行维护内容与水雨情监测站点的运行维护内容类似，参照执行。</w:t>
            </w:r>
          </w:p>
        </w:tc>
      </w:tr>
    </w:tbl>
    <w:p w14:paraId="3DDE745F">
      <w:pPr>
        <w:pStyle w:val="4"/>
        <w:spacing w:before="120" w:beforeLines="50" w:after="120" w:afterLines="50" w:line="360" w:lineRule="auto"/>
        <w:rPr>
          <w:rFonts w:asciiTheme="minorEastAsia" w:hAnsiTheme="minorEastAsia" w:eastAsiaTheme="minorEastAsia" w:cstheme="minorEastAsia"/>
          <w:sz w:val="28"/>
          <w:szCs w:val="28"/>
        </w:rPr>
      </w:pPr>
      <w:bookmarkStart w:id="13" w:name="_Toc1538"/>
      <w:r>
        <w:rPr>
          <w:rFonts w:hint="eastAsia" w:asciiTheme="minorEastAsia" w:hAnsiTheme="minorEastAsia" w:eastAsiaTheme="minorEastAsia" w:cstheme="minorEastAsia"/>
          <w:sz w:val="28"/>
          <w:szCs w:val="28"/>
        </w:rPr>
        <w:t>3.2.2自动雨量站</w:t>
      </w:r>
      <w:bookmarkEnd w:id="13"/>
    </w:p>
    <w:p w14:paraId="5CBEC859">
      <w:pPr>
        <w:spacing w:line="360" w:lineRule="auto"/>
        <w:ind w:firstLine="480" w:firstLineChars="200"/>
        <w:rPr>
          <w:rFonts w:asciiTheme="minorEastAsia" w:hAnsiTheme="minorEastAsia" w:eastAsiaTheme="minorEastAsia" w:cstheme="minorEastAsia"/>
          <w:sz w:val="24"/>
          <w:szCs w:val="28"/>
        </w:rPr>
      </w:pPr>
      <w:r>
        <w:rPr>
          <w:rFonts w:hint="eastAsia" w:asciiTheme="minorEastAsia" w:hAnsiTheme="minorEastAsia" w:eastAsiaTheme="minorEastAsia" w:cstheme="minorEastAsia"/>
          <w:sz w:val="24"/>
          <w:szCs w:val="28"/>
        </w:rPr>
        <w:t>自动雨量站一般由传感器、传输单元、供电单元、防雷系统、基础设施等五个部分构成，数据传输方式一般采用 GPRS/GSM、超短波、卫星等。</w:t>
      </w:r>
    </w:p>
    <w:p w14:paraId="31435FEF">
      <w:pPr>
        <w:spacing w:line="360" w:lineRule="auto"/>
        <w:ind w:firstLine="480" w:firstLineChars="200"/>
        <w:rPr>
          <w:rFonts w:asciiTheme="minorEastAsia" w:hAnsiTheme="minorEastAsia" w:eastAsiaTheme="minorEastAsia" w:cstheme="minorEastAsia"/>
          <w:sz w:val="24"/>
          <w:szCs w:val="28"/>
        </w:rPr>
      </w:pPr>
      <w:r>
        <w:rPr>
          <w:rFonts w:hint="eastAsia" w:asciiTheme="minorEastAsia" w:hAnsiTheme="minorEastAsia" w:eastAsiaTheme="minorEastAsia" w:cstheme="minorEastAsia"/>
          <w:sz w:val="24"/>
          <w:szCs w:val="28"/>
        </w:rPr>
        <w:t>（1）巡检频次</w:t>
      </w:r>
    </w:p>
    <w:p w14:paraId="44895DFB">
      <w:pPr>
        <w:spacing w:line="360" w:lineRule="auto"/>
        <w:ind w:firstLine="480" w:firstLineChars="200"/>
        <w:rPr>
          <w:rFonts w:asciiTheme="minorEastAsia" w:hAnsiTheme="minorEastAsia" w:eastAsiaTheme="minorEastAsia" w:cstheme="minorEastAsia"/>
          <w:sz w:val="24"/>
          <w:szCs w:val="28"/>
          <w:highlight w:val="none"/>
        </w:rPr>
      </w:pPr>
      <w:r>
        <w:rPr>
          <w:rFonts w:hint="eastAsia" w:asciiTheme="minorEastAsia" w:hAnsiTheme="minorEastAsia" w:eastAsiaTheme="minorEastAsia" w:cstheme="minorEastAsia"/>
          <w:sz w:val="24"/>
          <w:szCs w:val="28"/>
          <w:highlight w:val="none"/>
        </w:rPr>
        <w:t>每年巡检至少3次，汛前完成1次现场巡检，汛期内完成2次现场巡检。</w:t>
      </w:r>
    </w:p>
    <w:p w14:paraId="12980B31">
      <w:pPr>
        <w:spacing w:line="360" w:lineRule="auto"/>
        <w:ind w:firstLine="480" w:firstLineChars="200"/>
        <w:rPr>
          <w:rFonts w:asciiTheme="minorEastAsia" w:hAnsiTheme="minorEastAsia" w:eastAsiaTheme="minorEastAsia" w:cstheme="minorEastAsia"/>
          <w:sz w:val="24"/>
          <w:szCs w:val="28"/>
        </w:rPr>
      </w:pPr>
      <w:r>
        <w:rPr>
          <w:rFonts w:hint="eastAsia" w:asciiTheme="minorEastAsia" w:hAnsiTheme="minorEastAsia" w:eastAsiaTheme="minorEastAsia" w:cstheme="minorEastAsia"/>
          <w:sz w:val="24"/>
          <w:szCs w:val="28"/>
        </w:rPr>
        <w:t>（2）巡检任务</w:t>
      </w:r>
    </w:p>
    <w:p w14:paraId="0B9E6035">
      <w:pPr>
        <w:spacing w:line="360" w:lineRule="auto"/>
        <w:ind w:firstLine="480" w:firstLineChars="200"/>
        <w:rPr>
          <w:rFonts w:asciiTheme="minorEastAsia" w:hAnsiTheme="minorEastAsia" w:eastAsiaTheme="minorEastAsia" w:cstheme="minorEastAsia"/>
          <w:sz w:val="24"/>
          <w:szCs w:val="28"/>
        </w:rPr>
      </w:pPr>
      <w:r>
        <w:rPr>
          <w:rFonts w:hint="eastAsia" w:asciiTheme="minorEastAsia" w:hAnsiTheme="minorEastAsia" w:eastAsiaTheme="minorEastAsia" w:cstheme="minorEastAsia"/>
          <w:sz w:val="24"/>
          <w:szCs w:val="28"/>
        </w:rPr>
        <w:t>设备加电运行、除尘、清理、电压测试、设备运行状况观察；硬件安装、设置、升级、故障修复；注水试验，数据调试等。</w:t>
      </w:r>
    </w:p>
    <w:p w14:paraId="2D06E38A">
      <w:pPr>
        <w:spacing w:line="360" w:lineRule="auto"/>
        <w:ind w:firstLine="480" w:firstLineChars="200"/>
        <w:rPr>
          <w:rFonts w:asciiTheme="minorEastAsia" w:hAnsiTheme="minorEastAsia" w:eastAsiaTheme="minorEastAsia" w:cstheme="minorEastAsia"/>
          <w:sz w:val="24"/>
          <w:szCs w:val="28"/>
        </w:rPr>
      </w:pPr>
      <w:r>
        <w:rPr>
          <w:rFonts w:hint="eastAsia" w:asciiTheme="minorEastAsia" w:hAnsiTheme="minorEastAsia" w:eastAsiaTheme="minorEastAsia" w:cstheme="minorEastAsia"/>
          <w:sz w:val="24"/>
          <w:szCs w:val="28"/>
        </w:rPr>
        <w:t>（3）应急维修</w:t>
      </w:r>
    </w:p>
    <w:p w14:paraId="5BE99A08">
      <w:pPr>
        <w:spacing w:line="360" w:lineRule="auto"/>
        <w:ind w:firstLine="480" w:firstLineChars="200"/>
        <w:rPr>
          <w:rFonts w:asciiTheme="minorEastAsia" w:hAnsiTheme="minorEastAsia" w:eastAsiaTheme="minorEastAsia" w:cstheme="minorEastAsia"/>
          <w:sz w:val="24"/>
          <w:szCs w:val="28"/>
          <w:highlight w:val="yellow"/>
        </w:rPr>
      </w:pPr>
      <w:r>
        <w:rPr>
          <w:rFonts w:hint="eastAsia" w:asciiTheme="minorEastAsia" w:hAnsiTheme="minorEastAsia" w:eastAsiaTheme="minorEastAsia" w:cstheme="minorEastAsia"/>
          <w:sz w:val="24"/>
          <w:szCs w:val="28"/>
        </w:rPr>
        <w:t>站点出现故障应及时进行维修调试，对部分设备损坏、丢失的站点及时更换相应设</w:t>
      </w:r>
      <w:r>
        <w:rPr>
          <w:rFonts w:hint="eastAsia" w:asciiTheme="minorEastAsia" w:hAnsiTheme="minorEastAsia" w:eastAsiaTheme="minorEastAsia" w:cstheme="minorEastAsia"/>
          <w:sz w:val="24"/>
          <w:szCs w:val="28"/>
          <w:highlight w:val="none"/>
        </w:rPr>
        <w:t>备。</w:t>
      </w:r>
    </w:p>
    <w:p w14:paraId="1E501ED7">
      <w:pPr>
        <w:spacing w:line="360" w:lineRule="auto"/>
        <w:ind w:firstLine="480" w:firstLineChars="200"/>
        <w:rPr>
          <w:rFonts w:asciiTheme="minorEastAsia" w:hAnsiTheme="minorEastAsia" w:eastAsiaTheme="minorEastAsia" w:cstheme="minorEastAsia"/>
          <w:sz w:val="24"/>
          <w:szCs w:val="28"/>
        </w:rPr>
      </w:pPr>
      <w:r>
        <w:rPr>
          <w:rFonts w:hint="eastAsia" w:asciiTheme="minorEastAsia" w:hAnsiTheme="minorEastAsia" w:eastAsiaTheme="minorEastAsia" w:cstheme="minorEastAsia"/>
          <w:sz w:val="24"/>
          <w:szCs w:val="28"/>
        </w:rPr>
        <w:t>（4）响应时间</w:t>
      </w:r>
    </w:p>
    <w:p w14:paraId="793BE091">
      <w:pPr>
        <w:spacing w:line="360" w:lineRule="auto"/>
        <w:ind w:firstLine="480" w:firstLineChars="200"/>
        <w:rPr>
          <w:rFonts w:asciiTheme="minorEastAsia" w:hAnsiTheme="minorEastAsia" w:eastAsiaTheme="minorEastAsia" w:cstheme="minorEastAsia"/>
          <w:sz w:val="24"/>
          <w:szCs w:val="28"/>
        </w:rPr>
      </w:pPr>
      <w:r>
        <w:rPr>
          <w:rFonts w:hint="eastAsia" w:asciiTheme="minorEastAsia" w:hAnsiTheme="minorEastAsia" w:eastAsiaTheme="minorEastAsia" w:cstheme="minorEastAsia"/>
          <w:sz w:val="24"/>
          <w:szCs w:val="28"/>
        </w:rPr>
        <w:t>遥测设备应急维修，运维单位应在</w:t>
      </w:r>
      <w:r>
        <w:rPr>
          <w:rFonts w:hint="eastAsia" w:asciiTheme="minorEastAsia" w:hAnsiTheme="minorEastAsia" w:eastAsiaTheme="minorEastAsia" w:cstheme="minorEastAsia"/>
          <w:sz w:val="24"/>
          <w:szCs w:val="28"/>
          <w:lang w:val="en-US" w:eastAsia="zh-CN"/>
        </w:rPr>
        <w:t>2</w:t>
      </w:r>
      <w:r>
        <w:rPr>
          <w:rFonts w:hint="eastAsia" w:asciiTheme="minorEastAsia" w:hAnsiTheme="minorEastAsia" w:eastAsiaTheme="minorEastAsia" w:cstheme="minorEastAsia"/>
          <w:sz w:val="24"/>
          <w:szCs w:val="28"/>
        </w:rPr>
        <w:t>小时内响应，汛期雨量站</w:t>
      </w:r>
      <w:r>
        <w:rPr>
          <w:rFonts w:hint="eastAsia" w:asciiTheme="minorEastAsia" w:hAnsiTheme="minorEastAsia" w:eastAsiaTheme="minorEastAsia" w:cstheme="minorEastAsia"/>
          <w:sz w:val="24"/>
          <w:szCs w:val="28"/>
          <w:lang w:val="en-US" w:eastAsia="zh-CN"/>
        </w:rPr>
        <w:t>24</w:t>
      </w:r>
      <w:r>
        <w:rPr>
          <w:rFonts w:hint="eastAsia" w:asciiTheme="minorEastAsia" w:hAnsiTheme="minorEastAsia" w:eastAsiaTheme="minorEastAsia" w:cstheme="minorEastAsia"/>
          <w:sz w:val="24"/>
          <w:szCs w:val="28"/>
        </w:rPr>
        <w:t>小时恢复，非汛期</w:t>
      </w:r>
      <w:r>
        <w:rPr>
          <w:rFonts w:hint="eastAsia" w:asciiTheme="minorEastAsia" w:hAnsiTheme="minorEastAsia" w:eastAsiaTheme="minorEastAsia" w:cstheme="minorEastAsia"/>
          <w:sz w:val="24"/>
          <w:szCs w:val="28"/>
          <w:lang w:val="en-US" w:eastAsia="zh-CN"/>
        </w:rPr>
        <w:t>72</w:t>
      </w:r>
      <w:r>
        <w:rPr>
          <w:rFonts w:hint="eastAsia" w:asciiTheme="minorEastAsia" w:hAnsiTheme="minorEastAsia" w:eastAsiaTheme="minorEastAsia" w:cstheme="minorEastAsia"/>
          <w:sz w:val="24"/>
          <w:szCs w:val="28"/>
        </w:rPr>
        <w:t>小时内恢复正常。</w:t>
      </w:r>
    </w:p>
    <w:p w14:paraId="26AFA3FE">
      <w:pPr>
        <w:spacing w:line="360" w:lineRule="auto"/>
        <w:ind w:firstLine="480" w:firstLineChars="200"/>
        <w:rPr>
          <w:rFonts w:asciiTheme="minorEastAsia" w:hAnsiTheme="minorEastAsia" w:eastAsiaTheme="minorEastAsia" w:cstheme="minorEastAsia"/>
          <w:sz w:val="24"/>
          <w:szCs w:val="28"/>
        </w:rPr>
      </w:pPr>
      <w:r>
        <w:rPr>
          <w:rFonts w:hint="eastAsia" w:asciiTheme="minorEastAsia" w:hAnsiTheme="minorEastAsia" w:eastAsiaTheme="minorEastAsia" w:cstheme="minorEastAsia"/>
          <w:sz w:val="24"/>
          <w:szCs w:val="28"/>
        </w:rPr>
        <w:t>（5）设备维护耗材管理</w:t>
      </w:r>
    </w:p>
    <w:p w14:paraId="10E6D7BB">
      <w:pPr>
        <w:spacing w:line="360" w:lineRule="auto"/>
        <w:ind w:firstLine="480" w:firstLineChars="200"/>
        <w:rPr>
          <w:rFonts w:asciiTheme="minorEastAsia" w:hAnsiTheme="minorEastAsia" w:eastAsiaTheme="minorEastAsia" w:cstheme="minorEastAsia"/>
          <w:sz w:val="24"/>
          <w:szCs w:val="28"/>
        </w:rPr>
      </w:pPr>
      <w:r>
        <w:rPr>
          <w:rFonts w:hint="eastAsia" w:asciiTheme="minorEastAsia" w:hAnsiTheme="minorEastAsia" w:eastAsiaTheme="minorEastAsia" w:cstheme="minorEastAsia"/>
          <w:sz w:val="24"/>
          <w:szCs w:val="28"/>
        </w:rPr>
        <w:t>设备维护耗材应由设备管理单位统一管理，运维单位根据实际需求</w:t>
      </w:r>
      <w:r>
        <w:rPr>
          <w:rFonts w:hint="eastAsia" w:asciiTheme="minorEastAsia" w:hAnsiTheme="minorEastAsia" w:eastAsiaTheme="minorEastAsia" w:cstheme="minorEastAsia"/>
          <w:sz w:val="24"/>
          <w:szCs w:val="28"/>
          <w:lang w:val="en-US" w:eastAsia="zh-CN"/>
        </w:rPr>
        <w:t>采购</w:t>
      </w:r>
      <w:r>
        <w:rPr>
          <w:rFonts w:hint="eastAsia" w:asciiTheme="minorEastAsia" w:hAnsiTheme="minorEastAsia" w:eastAsiaTheme="minorEastAsia" w:cstheme="minorEastAsia"/>
          <w:sz w:val="24"/>
          <w:szCs w:val="28"/>
        </w:rPr>
        <w:t>更换，并提交耗材更换证明材料。运维</w:t>
      </w:r>
      <w:r>
        <w:rPr>
          <w:rFonts w:hint="eastAsia" w:asciiTheme="minorEastAsia" w:hAnsiTheme="minorEastAsia" w:eastAsiaTheme="minorEastAsia" w:cstheme="minorEastAsia"/>
          <w:sz w:val="24"/>
          <w:szCs w:val="28"/>
          <w:lang w:eastAsia="zh-CN"/>
        </w:rPr>
        <w:t>更换的</w:t>
      </w:r>
      <w:r>
        <w:rPr>
          <w:rFonts w:hint="eastAsia" w:asciiTheme="minorEastAsia" w:hAnsiTheme="minorEastAsia" w:eastAsiaTheme="minorEastAsia" w:cstheme="minorEastAsia"/>
          <w:sz w:val="24"/>
          <w:szCs w:val="28"/>
        </w:rPr>
        <w:t>耗材</w:t>
      </w:r>
      <w:r>
        <w:rPr>
          <w:rFonts w:hint="eastAsia" w:asciiTheme="minorEastAsia" w:hAnsiTheme="minorEastAsia" w:eastAsiaTheme="minorEastAsia" w:cstheme="minorEastAsia"/>
          <w:sz w:val="24"/>
          <w:szCs w:val="28"/>
          <w:lang w:val="en-US" w:eastAsia="zh-CN"/>
        </w:rPr>
        <w:t>以及备品备件</w:t>
      </w:r>
      <w:r>
        <w:rPr>
          <w:rFonts w:hint="eastAsia" w:asciiTheme="minorEastAsia" w:hAnsiTheme="minorEastAsia" w:eastAsiaTheme="minorEastAsia" w:cstheme="minorEastAsia"/>
          <w:sz w:val="24"/>
          <w:szCs w:val="28"/>
        </w:rPr>
        <w:t>应交还管理单位统一保管。</w:t>
      </w:r>
    </w:p>
    <w:p w14:paraId="560B592C">
      <w:pPr>
        <w:pStyle w:val="4"/>
        <w:spacing w:before="120" w:beforeLines="50" w:after="120" w:afterLines="50" w:line="360" w:lineRule="auto"/>
        <w:rPr>
          <w:rFonts w:asciiTheme="minorEastAsia" w:hAnsiTheme="minorEastAsia" w:eastAsiaTheme="minorEastAsia" w:cstheme="minorEastAsia"/>
          <w:sz w:val="28"/>
          <w:szCs w:val="28"/>
        </w:rPr>
      </w:pPr>
      <w:bookmarkStart w:id="14" w:name="_Toc31027"/>
      <w:r>
        <w:rPr>
          <w:rFonts w:hint="eastAsia" w:asciiTheme="minorEastAsia" w:hAnsiTheme="minorEastAsia" w:eastAsiaTheme="minorEastAsia" w:cstheme="minorEastAsia"/>
          <w:sz w:val="28"/>
          <w:szCs w:val="28"/>
        </w:rPr>
        <w:t>3.2.3自动水位站</w:t>
      </w:r>
      <w:bookmarkEnd w:id="14"/>
    </w:p>
    <w:p w14:paraId="7008A4B9">
      <w:pPr>
        <w:spacing w:line="360" w:lineRule="auto"/>
        <w:ind w:firstLine="480" w:firstLineChars="200"/>
        <w:rPr>
          <w:rFonts w:asciiTheme="minorEastAsia" w:hAnsiTheme="minorEastAsia" w:eastAsiaTheme="minorEastAsia" w:cstheme="minorEastAsia"/>
          <w:sz w:val="24"/>
          <w:szCs w:val="28"/>
        </w:rPr>
      </w:pPr>
      <w:r>
        <w:rPr>
          <w:rFonts w:hint="eastAsia" w:asciiTheme="minorEastAsia" w:hAnsiTheme="minorEastAsia" w:eastAsiaTheme="minorEastAsia" w:cstheme="minorEastAsia"/>
          <w:sz w:val="24"/>
          <w:szCs w:val="28"/>
        </w:rPr>
        <w:t>自动水位站一般由传感器、传输单元、供电单元、防雷系统、基础设施等五个部分构成，按照传感器类型一般可分为浮子式、压力式、雷达式、气泡式等，数据传输方式一般采用 GPRS/GSM、超短波、卫星等。</w:t>
      </w:r>
    </w:p>
    <w:p w14:paraId="0D81C951">
      <w:pPr>
        <w:spacing w:line="360" w:lineRule="auto"/>
        <w:ind w:firstLine="480" w:firstLineChars="200"/>
        <w:rPr>
          <w:rFonts w:asciiTheme="minorEastAsia" w:hAnsiTheme="minorEastAsia" w:eastAsiaTheme="minorEastAsia" w:cstheme="minorEastAsia"/>
          <w:sz w:val="24"/>
          <w:szCs w:val="28"/>
        </w:rPr>
      </w:pPr>
      <w:r>
        <w:rPr>
          <w:rFonts w:hint="eastAsia" w:asciiTheme="minorEastAsia" w:hAnsiTheme="minorEastAsia" w:eastAsiaTheme="minorEastAsia" w:cstheme="minorEastAsia"/>
          <w:sz w:val="24"/>
          <w:szCs w:val="28"/>
        </w:rPr>
        <w:t>（1）巡检频次</w:t>
      </w:r>
    </w:p>
    <w:p w14:paraId="1E613906">
      <w:pPr>
        <w:spacing w:line="360" w:lineRule="auto"/>
        <w:ind w:firstLine="480" w:firstLineChars="200"/>
        <w:rPr>
          <w:rFonts w:asciiTheme="minorEastAsia" w:hAnsiTheme="minorEastAsia" w:eastAsiaTheme="minorEastAsia" w:cstheme="minorEastAsia"/>
          <w:sz w:val="24"/>
          <w:szCs w:val="28"/>
          <w:highlight w:val="none"/>
        </w:rPr>
      </w:pPr>
      <w:r>
        <w:rPr>
          <w:rFonts w:hint="eastAsia" w:asciiTheme="minorEastAsia" w:hAnsiTheme="minorEastAsia" w:eastAsiaTheme="minorEastAsia" w:cstheme="minorEastAsia"/>
          <w:sz w:val="24"/>
          <w:szCs w:val="28"/>
          <w:highlight w:val="none"/>
        </w:rPr>
        <w:t>每年巡检至少</w:t>
      </w:r>
      <w:r>
        <w:rPr>
          <w:rFonts w:hint="eastAsia" w:asciiTheme="minorEastAsia" w:hAnsiTheme="minorEastAsia" w:eastAsiaTheme="minorEastAsia" w:cstheme="minorEastAsia"/>
          <w:sz w:val="24"/>
          <w:szCs w:val="28"/>
          <w:highlight w:val="none"/>
          <w:lang w:val="en-US" w:eastAsia="zh-CN"/>
        </w:rPr>
        <w:t>2</w:t>
      </w:r>
      <w:r>
        <w:rPr>
          <w:rFonts w:hint="eastAsia" w:asciiTheme="minorEastAsia" w:hAnsiTheme="minorEastAsia" w:eastAsiaTheme="minorEastAsia" w:cstheme="minorEastAsia"/>
          <w:sz w:val="24"/>
          <w:szCs w:val="28"/>
          <w:highlight w:val="none"/>
        </w:rPr>
        <w:t>次，汛前完成1次现场巡检，汛期内完成</w:t>
      </w:r>
      <w:r>
        <w:rPr>
          <w:rFonts w:hint="eastAsia" w:asciiTheme="minorEastAsia" w:hAnsiTheme="minorEastAsia" w:eastAsiaTheme="minorEastAsia" w:cstheme="minorEastAsia"/>
          <w:sz w:val="24"/>
          <w:szCs w:val="28"/>
          <w:highlight w:val="none"/>
          <w:lang w:val="en-US" w:eastAsia="zh-CN"/>
        </w:rPr>
        <w:t>1</w:t>
      </w:r>
      <w:r>
        <w:rPr>
          <w:rFonts w:hint="eastAsia" w:asciiTheme="minorEastAsia" w:hAnsiTheme="minorEastAsia" w:eastAsiaTheme="minorEastAsia" w:cstheme="minorEastAsia"/>
          <w:sz w:val="24"/>
          <w:szCs w:val="28"/>
          <w:highlight w:val="none"/>
        </w:rPr>
        <w:t>次现场巡检。</w:t>
      </w:r>
    </w:p>
    <w:p w14:paraId="78703C3C">
      <w:pPr>
        <w:spacing w:line="360" w:lineRule="auto"/>
        <w:ind w:firstLine="480" w:firstLineChars="200"/>
        <w:rPr>
          <w:rFonts w:asciiTheme="minorEastAsia" w:hAnsiTheme="minorEastAsia" w:eastAsiaTheme="minorEastAsia" w:cstheme="minorEastAsia"/>
          <w:sz w:val="24"/>
          <w:szCs w:val="28"/>
          <w:highlight w:val="none"/>
        </w:rPr>
      </w:pPr>
      <w:r>
        <w:rPr>
          <w:rFonts w:hint="eastAsia" w:asciiTheme="minorEastAsia" w:hAnsiTheme="minorEastAsia" w:eastAsiaTheme="minorEastAsia" w:cstheme="minorEastAsia"/>
          <w:sz w:val="24"/>
          <w:szCs w:val="28"/>
          <w:highlight w:val="none"/>
        </w:rPr>
        <w:t>（2）巡检任务</w:t>
      </w:r>
    </w:p>
    <w:p w14:paraId="341A26EA">
      <w:pPr>
        <w:spacing w:line="360" w:lineRule="auto"/>
        <w:ind w:firstLine="480" w:firstLineChars="200"/>
        <w:rPr>
          <w:rFonts w:asciiTheme="minorEastAsia" w:hAnsiTheme="minorEastAsia" w:eastAsiaTheme="minorEastAsia" w:cstheme="minorEastAsia"/>
          <w:sz w:val="24"/>
          <w:szCs w:val="28"/>
          <w:highlight w:val="none"/>
        </w:rPr>
      </w:pPr>
      <w:r>
        <w:rPr>
          <w:rFonts w:hint="eastAsia" w:asciiTheme="minorEastAsia" w:hAnsiTheme="minorEastAsia" w:eastAsiaTheme="minorEastAsia" w:cstheme="minorEastAsia"/>
          <w:sz w:val="24"/>
          <w:szCs w:val="28"/>
          <w:highlight w:val="none"/>
        </w:rPr>
        <w:t>遥测水位（浮子式）：设备加电运行、除尘、清理、电压测试、设备运行状况观察；硬件安装、设置、升级、故障修复；码头及水尺清理、每年汛前对水位井清淤（浮子）1次、注水试验（雨量），人工水位校核，数据调试等。</w:t>
      </w:r>
    </w:p>
    <w:p w14:paraId="74F77A2C">
      <w:pPr>
        <w:spacing w:line="360" w:lineRule="auto"/>
        <w:ind w:firstLine="480" w:firstLineChars="200"/>
        <w:rPr>
          <w:rFonts w:asciiTheme="minorEastAsia" w:hAnsiTheme="minorEastAsia" w:eastAsiaTheme="minorEastAsia" w:cstheme="minorEastAsia"/>
          <w:sz w:val="24"/>
          <w:szCs w:val="28"/>
          <w:highlight w:val="none"/>
        </w:rPr>
      </w:pPr>
      <w:r>
        <w:rPr>
          <w:rFonts w:hint="eastAsia" w:asciiTheme="minorEastAsia" w:hAnsiTheme="minorEastAsia" w:eastAsiaTheme="minorEastAsia" w:cstheme="minorEastAsia"/>
          <w:sz w:val="24"/>
          <w:szCs w:val="28"/>
          <w:highlight w:val="none"/>
        </w:rPr>
        <w:t>遥测水位（雷达式）：设备加电运行、除尘、清理、电压测试、设备运行状况观察；硬件安装、设置、升级、故障修复；码头及水尺清理、清理雷达水位计下方的漂浮物、注水试验（雨量），人工水位校核，数据调试等。</w:t>
      </w:r>
    </w:p>
    <w:p w14:paraId="1D13826F">
      <w:pPr>
        <w:spacing w:line="360" w:lineRule="auto"/>
        <w:ind w:firstLine="480" w:firstLineChars="200"/>
        <w:rPr>
          <w:rFonts w:asciiTheme="minorEastAsia" w:hAnsiTheme="minorEastAsia" w:eastAsiaTheme="minorEastAsia" w:cstheme="minorEastAsia"/>
          <w:sz w:val="24"/>
          <w:szCs w:val="28"/>
          <w:highlight w:val="none"/>
        </w:rPr>
      </w:pPr>
      <w:r>
        <w:rPr>
          <w:rFonts w:hint="eastAsia" w:asciiTheme="minorEastAsia" w:hAnsiTheme="minorEastAsia" w:eastAsiaTheme="minorEastAsia" w:cstheme="minorEastAsia"/>
          <w:sz w:val="24"/>
          <w:szCs w:val="28"/>
          <w:highlight w:val="none"/>
        </w:rPr>
        <w:t>遥测雨量：设备加电运行、除尘、清理、电压测试、设备运行状况观察；硬件安装、设置、升级、故障修复；注水试验，数据调试等。</w:t>
      </w:r>
    </w:p>
    <w:p w14:paraId="37300C86">
      <w:pPr>
        <w:spacing w:line="360" w:lineRule="auto"/>
        <w:ind w:firstLine="480" w:firstLineChars="200"/>
        <w:rPr>
          <w:rFonts w:asciiTheme="minorEastAsia" w:hAnsiTheme="minorEastAsia" w:eastAsiaTheme="minorEastAsia" w:cstheme="minorEastAsia"/>
          <w:sz w:val="24"/>
          <w:szCs w:val="28"/>
          <w:highlight w:val="none"/>
        </w:rPr>
      </w:pPr>
      <w:r>
        <w:rPr>
          <w:rFonts w:hint="eastAsia" w:asciiTheme="minorEastAsia" w:hAnsiTheme="minorEastAsia" w:eastAsiaTheme="minorEastAsia" w:cstheme="minorEastAsia"/>
          <w:sz w:val="24"/>
          <w:szCs w:val="28"/>
          <w:highlight w:val="none"/>
        </w:rPr>
        <w:t>（3）应急维修</w:t>
      </w:r>
    </w:p>
    <w:p w14:paraId="324A329C">
      <w:pPr>
        <w:spacing w:line="360" w:lineRule="auto"/>
        <w:ind w:firstLine="480" w:firstLineChars="200"/>
        <w:rPr>
          <w:rFonts w:asciiTheme="minorEastAsia" w:hAnsiTheme="minorEastAsia" w:eastAsiaTheme="minorEastAsia" w:cstheme="minorEastAsia"/>
          <w:sz w:val="24"/>
          <w:szCs w:val="28"/>
          <w:highlight w:val="none"/>
        </w:rPr>
      </w:pPr>
      <w:r>
        <w:rPr>
          <w:rFonts w:hint="eastAsia" w:asciiTheme="minorEastAsia" w:hAnsiTheme="minorEastAsia" w:eastAsiaTheme="minorEastAsia" w:cstheme="minorEastAsia"/>
          <w:sz w:val="24"/>
          <w:szCs w:val="28"/>
          <w:highlight w:val="none"/>
        </w:rPr>
        <w:t>站点出现故障应及时进行维修调试，对部分设备损坏、丢失的站点及时更换相应设备。</w:t>
      </w:r>
    </w:p>
    <w:p w14:paraId="031AA1DC">
      <w:pPr>
        <w:spacing w:line="360" w:lineRule="auto"/>
        <w:ind w:firstLine="480" w:firstLineChars="200"/>
        <w:rPr>
          <w:rFonts w:asciiTheme="minorEastAsia" w:hAnsiTheme="minorEastAsia" w:eastAsiaTheme="minorEastAsia" w:cstheme="minorEastAsia"/>
          <w:sz w:val="24"/>
          <w:szCs w:val="28"/>
          <w:highlight w:val="none"/>
        </w:rPr>
      </w:pPr>
      <w:r>
        <w:rPr>
          <w:rFonts w:hint="eastAsia" w:asciiTheme="minorEastAsia" w:hAnsiTheme="minorEastAsia" w:eastAsiaTheme="minorEastAsia" w:cstheme="minorEastAsia"/>
          <w:sz w:val="24"/>
          <w:szCs w:val="28"/>
          <w:highlight w:val="none"/>
        </w:rPr>
        <w:t>（4）响应时间</w:t>
      </w:r>
    </w:p>
    <w:p w14:paraId="7DC6B263">
      <w:pPr>
        <w:spacing w:line="360" w:lineRule="auto"/>
        <w:ind w:firstLine="480" w:firstLineChars="200"/>
        <w:rPr>
          <w:rFonts w:asciiTheme="minorEastAsia" w:hAnsiTheme="minorEastAsia" w:eastAsiaTheme="minorEastAsia" w:cstheme="minorEastAsia"/>
          <w:sz w:val="24"/>
          <w:szCs w:val="28"/>
          <w:highlight w:val="none"/>
        </w:rPr>
      </w:pPr>
      <w:r>
        <w:rPr>
          <w:rFonts w:hint="eastAsia" w:asciiTheme="minorEastAsia" w:hAnsiTheme="minorEastAsia" w:eastAsiaTheme="minorEastAsia" w:cstheme="minorEastAsia"/>
          <w:sz w:val="24"/>
          <w:szCs w:val="28"/>
          <w:highlight w:val="none"/>
        </w:rPr>
        <w:t>遥测设备应急维修，运维单位应在</w:t>
      </w:r>
      <w:r>
        <w:rPr>
          <w:rFonts w:hint="eastAsia" w:asciiTheme="minorEastAsia" w:hAnsiTheme="minorEastAsia" w:eastAsiaTheme="minorEastAsia" w:cstheme="minorEastAsia"/>
          <w:sz w:val="24"/>
          <w:szCs w:val="28"/>
          <w:highlight w:val="none"/>
          <w:lang w:val="en-US" w:eastAsia="zh-CN"/>
        </w:rPr>
        <w:t>2</w:t>
      </w:r>
      <w:r>
        <w:rPr>
          <w:rFonts w:hint="eastAsia" w:asciiTheme="minorEastAsia" w:hAnsiTheme="minorEastAsia" w:eastAsiaTheme="minorEastAsia" w:cstheme="minorEastAsia"/>
          <w:sz w:val="24"/>
          <w:szCs w:val="28"/>
          <w:highlight w:val="none"/>
        </w:rPr>
        <w:t>小时内响应，汛期水位站</w:t>
      </w:r>
      <w:r>
        <w:rPr>
          <w:rFonts w:hint="eastAsia" w:asciiTheme="minorEastAsia" w:hAnsiTheme="minorEastAsia" w:eastAsiaTheme="minorEastAsia" w:cstheme="minorEastAsia"/>
          <w:sz w:val="24"/>
          <w:szCs w:val="28"/>
          <w:highlight w:val="none"/>
          <w:lang w:val="en-US" w:eastAsia="zh-CN"/>
        </w:rPr>
        <w:t>24</w:t>
      </w:r>
      <w:r>
        <w:rPr>
          <w:rFonts w:hint="eastAsia" w:asciiTheme="minorEastAsia" w:hAnsiTheme="minorEastAsia" w:eastAsiaTheme="minorEastAsia" w:cstheme="minorEastAsia"/>
          <w:sz w:val="24"/>
          <w:szCs w:val="28"/>
          <w:highlight w:val="none"/>
        </w:rPr>
        <w:t>小时恢复，非汛期</w:t>
      </w:r>
      <w:r>
        <w:rPr>
          <w:rFonts w:hint="eastAsia" w:asciiTheme="minorEastAsia" w:hAnsiTheme="minorEastAsia" w:eastAsiaTheme="minorEastAsia" w:cstheme="minorEastAsia"/>
          <w:sz w:val="24"/>
          <w:szCs w:val="28"/>
          <w:highlight w:val="none"/>
          <w:lang w:val="en-US" w:eastAsia="zh-CN"/>
        </w:rPr>
        <w:t>72</w:t>
      </w:r>
      <w:r>
        <w:rPr>
          <w:rFonts w:hint="eastAsia" w:asciiTheme="minorEastAsia" w:hAnsiTheme="minorEastAsia" w:eastAsiaTheme="minorEastAsia" w:cstheme="minorEastAsia"/>
          <w:sz w:val="24"/>
          <w:szCs w:val="28"/>
          <w:highlight w:val="none"/>
        </w:rPr>
        <w:t>小时内恢复正常。</w:t>
      </w:r>
    </w:p>
    <w:p w14:paraId="2A860921">
      <w:pPr>
        <w:spacing w:line="360" w:lineRule="auto"/>
        <w:ind w:firstLine="480" w:firstLineChars="200"/>
        <w:rPr>
          <w:rFonts w:asciiTheme="minorEastAsia" w:hAnsiTheme="minorEastAsia" w:eastAsiaTheme="minorEastAsia" w:cstheme="minorEastAsia"/>
          <w:sz w:val="24"/>
          <w:szCs w:val="28"/>
          <w:highlight w:val="none"/>
        </w:rPr>
      </w:pPr>
      <w:r>
        <w:rPr>
          <w:rFonts w:hint="eastAsia" w:asciiTheme="minorEastAsia" w:hAnsiTheme="minorEastAsia" w:eastAsiaTheme="minorEastAsia" w:cstheme="minorEastAsia"/>
          <w:sz w:val="24"/>
          <w:szCs w:val="28"/>
          <w:highlight w:val="none"/>
        </w:rPr>
        <w:t>（5）设备维护耗材管理</w:t>
      </w:r>
    </w:p>
    <w:p w14:paraId="0FB4C358">
      <w:pPr>
        <w:spacing w:line="360" w:lineRule="auto"/>
        <w:ind w:firstLine="480" w:firstLineChars="200"/>
        <w:rPr>
          <w:rFonts w:asciiTheme="minorEastAsia" w:hAnsiTheme="minorEastAsia" w:eastAsiaTheme="minorEastAsia" w:cstheme="minorEastAsia"/>
          <w:sz w:val="24"/>
          <w:szCs w:val="28"/>
          <w:highlight w:val="none"/>
        </w:rPr>
      </w:pPr>
      <w:r>
        <w:rPr>
          <w:rFonts w:hint="eastAsia" w:asciiTheme="minorEastAsia" w:hAnsiTheme="minorEastAsia" w:eastAsiaTheme="minorEastAsia" w:cstheme="minorEastAsia"/>
          <w:sz w:val="24"/>
          <w:szCs w:val="28"/>
          <w:highlight w:val="none"/>
        </w:rPr>
        <w:t>设备维护耗材应由设备管理单位统一管理，运维单位根据实际需求</w:t>
      </w:r>
      <w:r>
        <w:rPr>
          <w:rFonts w:hint="eastAsia" w:asciiTheme="minorEastAsia" w:hAnsiTheme="minorEastAsia" w:eastAsiaTheme="minorEastAsia" w:cstheme="minorEastAsia"/>
          <w:sz w:val="24"/>
          <w:szCs w:val="28"/>
          <w:highlight w:val="none"/>
          <w:lang w:val="en-US" w:eastAsia="zh-CN"/>
        </w:rPr>
        <w:t>采购</w:t>
      </w:r>
      <w:r>
        <w:rPr>
          <w:rFonts w:hint="eastAsia" w:asciiTheme="minorEastAsia" w:hAnsiTheme="minorEastAsia" w:eastAsiaTheme="minorEastAsia" w:cstheme="minorEastAsia"/>
          <w:sz w:val="24"/>
          <w:szCs w:val="28"/>
          <w:highlight w:val="none"/>
        </w:rPr>
        <w:t>更换，并提交耗材更换证明材料。运维</w:t>
      </w:r>
      <w:r>
        <w:rPr>
          <w:rFonts w:hint="eastAsia" w:asciiTheme="minorEastAsia" w:hAnsiTheme="minorEastAsia" w:eastAsiaTheme="minorEastAsia" w:cstheme="minorEastAsia"/>
          <w:sz w:val="24"/>
          <w:szCs w:val="28"/>
          <w:highlight w:val="none"/>
          <w:lang w:eastAsia="zh-CN"/>
        </w:rPr>
        <w:t>更换的</w:t>
      </w:r>
      <w:r>
        <w:rPr>
          <w:rFonts w:hint="eastAsia" w:asciiTheme="minorEastAsia" w:hAnsiTheme="minorEastAsia" w:eastAsiaTheme="minorEastAsia" w:cstheme="minorEastAsia"/>
          <w:sz w:val="24"/>
          <w:szCs w:val="28"/>
          <w:highlight w:val="none"/>
        </w:rPr>
        <w:t>耗材</w:t>
      </w:r>
      <w:r>
        <w:rPr>
          <w:rFonts w:hint="eastAsia" w:asciiTheme="minorEastAsia" w:hAnsiTheme="minorEastAsia" w:eastAsiaTheme="minorEastAsia" w:cstheme="minorEastAsia"/>
          <w:sz w:val="24"/>
          <w:szCs w:val="28"/>
          <w:highlight w:val="none"/>
          <w:lang w:val="en-US" w:eastAsia="zh-CN"/>
        </w:rPr>
        <w:t>以及备品备件</w:t>
      </w:r>
      <w:r>
        <w:rPr>
          <w:rFonts w:hint="eastAsia" w:asciiTheme="minorEastAsia" w:hAnsiTheme="minorEastAsia" w:eastAsiaTheme="minorEastAsia" w:cstheme="minorEastAsia"/>
          <w:sz w:val="24"/>
          <w:szCs w:val="28"/>
          <w:highlight w:val="none"/>
        </w:rPr>
        <w:t>应交还管理单位统一保管。</w:t>
      </w:r>
    </w:p>
    <w:p w14:paraId="53F2DDA6">
      <w:pPr>
        <w:pStyle w:val="4"/>
        <w:spacing w:before="120" w:beforeLines="50" w:after="120" w:afterLines="50" w:line="360" w:lineRule="auto"/>
        <w:rPr>
          <w:rFonts w:asciiTheme="minorEastAsia" w:hAnsiTheme="minorEastAsia" w:eastAsiaTheme="minorEastAsia" w:cstheme="minorEastAsia"/>
          <w:sz w:val="28"/>
          <w:szCs w:val="28"/>
          <w:highlight w:val="none"/>
        </w:rPr>
      </w:pPr>
      <w:bookmarkStart w:id="15" w:name="_Toc19012"/>
      <w:r>
        <w:rPr>
          <w:rFonts w:hint="eastAsia" w:asciiTheme="minorEastAsia" w:hAnsiTheme="minorEastAsia" w:eastAsiaTheme="minorEastAsia" w:cstheme="minorEastAsia"/>
          <w:sz w:val="28"/>
          <w:szCs w:val="28"/>
          <w:highlight w:val="none"/>
        </w:rPr>
        <w:t>3.2.4自动视频/图像监测站</w:t>
      </w:r>
      <w:bookmarkEnd w:id="15"/>
    </w:p>
    <w:p w14:paraId="0407EBA8">
      <w:pPr>
        <w:spacing w:line="360" w:lineRule="auto"/>
        <w:ind w:firstLine="480" w:firstLineChars="200"/>
        <w:rPr>
          <w:rFonts w:asciiTheme="minorEastAsia" w:hAnsiTheme="minorEastAsia" w:eastAsiaTheme="minorEastAsia" w:cstheme="minorEastAsia"/>
          <w:sz w:val="24"/>
          <w:szCs w:val="28"/>
          <w:highlight w:val="none"/>
        </w:rPr>
      </w:pPr>
      <w:r>
        <w:rPr>
          <w:rFonts w:hint="eastAsia" w:asciiTheme="minorEastAsia" w:hAnsiTheme="minorEastAsia" w:eastAsiaTheme="minorEastAsia" w:cstheme="minorEastAsia"/>
          <w:sz w:val="24"/>
          <w:szCs w:val="28"/>
          <w:highlight w:val="none"/>
        </w:rPr>
        <w:t>自动视频/图像监测站一般由摄像头、编码器、视频存储介质、光端机、供电系统、安装基础支架、防雷接地等七个部分构成。</w:t>
      </w:r>
    </w:p>
    <w:p w14:paraId="621A9EA1">
      <w:pPr>
        <w:spacing w:line="360" w:lineRule="auto"/>
        <w:ind w:firstLine="480" w:firstLineChars="200"/>
        <w:rPr>
          <w:rFonts w:asciiTheme="minorEastAsia" w:hAnsiTheme="minorEastAsia" w:eastAsiaTheme="minorEastAsia" w:cstheme="minorEastAsia"/>
          <w:sz w:val="24"/>
          <w:szCs w:val="28"/>
          <w:highlight w:val="none"/>
        </w:rPr>
      </w:pPr>
      <w:r>
        <w:rPr>
          <w:rFonts w:hint="eastAsia" w:asciiTheme="minorEastAsia" w:hAnsiTheme="minorEastAsia" w:eastAsiaTheme="minorEastAsia" w:cstheme="minorEastAsia"/>
          <w:sz w:val="24"/>
          <w:szCs w:val="28"/>
          <w:highlight w:val="none"/>
        </w:rPr>
        <w:t>（1）巡检频次</w:t>
      </w:r>
    </w:p>
    <w:p w14:paraId="536739CD">
      <w:pPr>
        <w:spacing w:line="360" w:lineRule="auto"/>
        <w:ind w:firstLine="480" w:firstLineChars="200"/>
        <w:rPr>
          <w:rFonts w:asciiTheme="minorEastAsia" w:hAnsiTheme="minorEastAsia" w:eastAsiaTheme="minorEastAsia" w:cstheme="minorEastAsia"/>
          <w:sz w:val="24"/>
          <w:szCs w:val="28"/>
          <w:highlight w:val="none"/>
        </w:rPr>
      </w:pPr>
      <w:r>
        <w:rPr>
          <w:rFonts w:hint="eastAsia" w:asciiTheme="minorEastAsia" w:hAnsiTheme="minorEastAsia" w:eastAsiaTheme="minorEastAsia" w:cstheme="minorEastAsia"/>
          <w:sz w:val="24"/>
          <w:szCs w:val="28"/>
          <w:highlight w:val="none"/>
        </w:rPr>
        <w:t>每年巡检至少3次，汛前完成1次现场巡检，汛期内完成2次现场巡检。</w:t>
      </w:r>
    </w:p>
    <w:p w14:paraId="7D39AF66">
      <w:pPr>
        <w:spacing w:line="360" w:lineRule="auto"/>
        <w:ind w:firstLine="480" w:firstLineChars="200"/>
        <w:rPr>
          <w:rFonts w:asciiTheme="minorEastAsia" w:hAnsiTheme="minorEastAsia" w:eastAsiaTheme="minorEastAsia" w:cstheme="minorEastAsia"/>
          <w:sz w:val="24"/>
          <w:szCs w:val="28"/>
          <w:highlight w:val="none"/>
        </w:rPr>
      </w:pPr>
      <w:r>
        <w:rPr>
          <w:rFonts w:hint="eastAsia" w:asciiTheme="minorEastAsia" w:hAnsiTheme="minorEastAsia" w:eastAsiaTheme="minorEastAsia" w:cstheme="minorEastAsia"/>
          <w:sz w:val="24"/>
          <w:szCs w:val="28"/>
          <w:highlight w:val="none"/>
        </w:rPr>
        <w:t>（2）巡检任务</w:t>
      </w:r>
    </w:p>
    <w:p w14:paraId="28BA5DDA">
      <w:pPr>
        <w:spacing w:line="360" w:lineRule="auto"/>
        <w:ind w:firstLine="480" w:firstLineChars="200"/>
        <w:rPr>
          <w:rFonts w:asciiTheme="minorEastAsia" w:hAnsiTheme="minorEastAsia" w:eastAsiaTheme="minorEastAsia" w:cstheme="minorEastAsia"/>
          <w:sz w:val="24"/>
          <w:szCs w:val="28"/>
          <w:highlight w:val="none"/>
        </w:rPr>
      </w:pPr>
      <w:r>
        <w:rPr>
          <w:rFonts w:hint="eastAsia" w:asciiTheme="minorEastAsia" w:hAnsiTheme="minorEastAsia" w:eastAsiaTheme="minorEastAsia" w:cstheme="minorEastAsia"/>
          <w:sz w:val="24"/>
          <w:szCs w:val="28"/>
          <w:highlight w:val="none"/>
        </w:rPr>
        <w:t>设备加电运行、除尘、清理、电压测试、设备运行状况观察；硬件安装、设置、升级、光纤电路的连接测试及维护；支架等零部件更换、故障处理修复等。</w:t>
      </w:r>
    </w:p>
    <w:p w14:paraId="3FE5D419">
      <w:pPr>
        <w:spacing w:line="360" w:lineRule="auto"/>
        <w:ind w:firstLine="480" w:firstLineChars="200"/>
        <w:rPr>
          <w:rFonts w:asciiTheme="minorEastAsia" w:hAnsiTheme="minorEastAsia" w:eastAsiaTheme="minorEastAsia" w:cstheme="minorEastAsia"/>
          <w:sz w:val="24"/>
          <w:szCs w:val="28"/>
          <w:highlight w:val="none"/>
        </w:rPr>
      </w:pPr>
      <w:r>
        <w:rPr>
          <w:rFonts w:hint="eastAsia" w:asciiTheme="minorEastAsia" w:hAnsiTheme="minorEastAsia" w:eastAsiaTheme="minorEastAsia" w:cstheme="minorEastAsia"/>
          <w:sz w:val="24"/>
          <w:szCs w:val="28"/>
          <w:highlight w:val="none"/>
        </w:rPr>
        <w:t>（3）应急维修</w:t>
      </w:r>
    </w:p>
    <w:p w14:paraId="79765307">
      <w:pPr>
        <w:spacing w:line="360" w:lineRule="auto"/>
        <w:ind w:firstLine="480" w:firstLineChars="200"/>
        <w:rPr>
          <w:rFonts w:asciiTheme="minorEastAsia" w:hAnsiTheme="minorEastAsia" w:eastAsiaTheme="minorEastAsia" w:cstheme="minorEastAsia"/>
          <w:sz w:val="24"/>
          <w:szCs w:val="28"/>
          <w:highlight w:val="none"/>
        </w:rPr>
      </w:pPr>
      <w:r>
        <w:rPr>
          <w:rFonts w:hint="eastAsia" w:asciiTheme="minorEastAsia" w:hAnsiTheme="minorEastAsia" w:eastAsiaTheme="minorEastAsia" w:cstheme="minorEastAsia"/>
          <w:sz w:val="24"/>
          <w:szCs w:val="28"/>
          <w:highlight w:val="none"/>
        </w:rPr>
        <w:t>站点出现故障应及时进行维修调试，对部分设备损坏、丢失的站点及时更换相应设备。</w:t>
      </w:r>
    </w:p>
    <w:p w14:paraId="715545BA">
      <w:pPr>
        <w:spacing w:line="360" w:lineRule="auto"/>
        <w:ind w:firstLine="480" w:firstLineChars="200"/>
        <w:rPr>
          <w:rFonts w:asciiTheme="minorEastAsia" w:hAnsiTheme="minorEastAsia" w:eastAsiaTheme="minorEastAsia" w:cstheme="minorEastAsia"/>
          <w:sz w:val="24"/>
          <w:szCs w:val="28"/>
          <w:highlight w:val="none"/>
        </w:rPr>
      </w:pPr>
      <w:r>
        <w:rPr>
          <w:rFonts w:hint="eastAsia" w:asciiTheme="minorEastAsia" w:hAnsiTheme="minorEastAsia" w:eastAsiaTheme="minorEastAsia" w:cstheme="minorEastAsia"/>
          <w:sz w:val="24"/>
          <w:szCs w:val="28"/>
          <w:highlight w:val="none"/>
        </w:rPr>
        <w:t>（4）响应时间</w:t>
      </w:r>
    </w:p>
    <w:p w14:paraId="6C6135BE">
      <w:pPr>
        <w:spacing w:line="360" w:lineRule="auto"/>
        <w:ind w:firstLine="480" w:firstLineChars="200"/>
        <w:rPr>
          <w:rFonts w:asciiTheme="minorEastAsia" w:hAnsiTheme="minorEastAsia" w:eastAsiaTheme="minorEastAsia" w:cstheme="minorEastAsia"/>
          <w:sz w:val="24"/>
          <w:szCs w:val="28"/>
          <w:highlight w:val="none"/>
        </w:rPr>
      </w:pPr>
      <w:r>
        <w:rPr>
          <w:rFonts w:hint="eastAsia" w:asciiTheme="minorEastAsia" w:hAnsiTheme="minorEastAsia" w:eastAsiaTheme="minorEastAsia" w:cstheme="minorEastAsia"/>
          <w:sz w:val="24"/>
          <w:szCs w:val="28"/>
          <w:highlight w:val="none"/>
        </w:rPr>
        <w:t>视频监控设备应急维修，运维单位应在</w:t>
      </w:r>
      <w:r>
        <w:rPr>
          <w:rFonts w:hint="eastAsia" w:asciiTheme="minorEastAsia" w:hAnsiTheme="minorEastAsia" w:eastAsiaTheme="minorEastAsia" w:cstheme="minorEastAsia"/>
          <w:sz w:val="24"/>
          <w:szCs w:val="28"/>
          <w:highlight w:val="none"/>
          <w:lang w:val="en-US" w:eastAsia="zh-CN"/>
        </w:rPr>
        <w:t>2</w:t>
      </w:r>
      <w:r>
        <w:rPr>
          <w:rFonts w:hint="eastAsia" w:asciiTheme="minorEastAsia" w:hAnsiTheme="minorEastAsia" w:eastAsiaTheme="minorEastAsia" w:cstheme="minorEastAsia"/>
          <w:sz w:val="24"/>
          <w:szCs w:val="28"/>
          <w:highlight w:val="none"/>
        </w:rPr>
        <w:t>小时内响应，汛期监测站24小时恢复，非汛期</w:t>
      </w:r>
      <w:r>
        <w:rPr>
          <w:rFonts w:hint="eastAsia" w:asciiTheme="minorEastAsia" w:hAnsiTheme="minorEastAsia" w:eastAsiaTheme="minorEastAsia" w:cstheme="minorEastAsia"/>
          <w:sz w:val="24"/>
          <w:szCs w:val="28"/>
          <w:highlight w:val="none"/>
          <w:lang w:val="en-US" w:eastAsia="zh-CN"/>
        </w:rPr>
        <w:t>72</w:t>
      </w:r>
      <w:r>
        <w:rPr>
          <w:rFonts w:hint="eastAsia" w:asciiTheme="minorEastAsia" w:hAnsiTheme="minorEastAsia" w:eastAsiaTheme="minorEastAsia" w:cstheme="minorEastAsia"/>
          <w:sz w:val="24"/>
          <w:szCs w:val="28"/>
          <w:highlight w:val="none"/>
        </w:rPr>
        <w:t>小时内恢复正常。</w:t>
      </w:r>
    </w:p>
    <w:p w14:paraId="1AEBB1F1">
      <w:pPr>
        <w:spacing w:line="360" w:lineRule="auto"/>
        <w:ind w:firstLine="480" w:firstLineChars="200"/>
        <w:rPr>
          <w:rFonts w:asciiTheme="minorEastAsia" w:hAnsiTheme="minorEastAsia" w:eastAsiaTheme="minorEastAsia" w:cstheme="minorEastAsia"/>
          <w:sz w:val="24"/>
          <w:szCs w:val="28"/>
          <w:highlight w:val="none"/>
        </w:rPr>
      </w:pPr>
      <w:r>
        <w:rPr>
          <w:rFonts w:hint="eastAsia" w:asciiTheme="minorEastAsia" w:hAnsiTheme="minorEastAsia" w:eastAsiaTheme="minorEastAsia" w:cstheme="minorEastAsia"/>
          <w:sz w:val="24"/>
          <w:szCs w:val="28"/>
          <w:highlight w:val="none"/>
        </w:rPr>
        <w:t>（5）设备维护耗材管理</w:t>
      </w:r>
    </w:p>
    <w:p w14:paraId="49E3EA54">
      <w:pPr>
        <w:spacing w:line="360" w:lineRule="auto"/>
        <w:ind w:firstLine="480" w:firstLineChars="200"/>
        <w:rPr>
          <w:rFonts w:asciiTheme="minorEastAsia" w:hAnsiTheme="minorEastAsia" w:eastAsiaTheme="minorEastAsia" w:cstheme="minorEastAsia"/>
          <w:sz w:val="24"/>
          <w:szCs w:val="28"/>
          <w:highlight w:val="none"/>
        </w:rPr>
      </w:pPr>
      <w:r>
        <w:rPr>
          <w:rFonts w:hint="eastAsia" w:asciiTheme="minorEastAsia" w:hAnsiTheme="minorEastAsia" w:eastAsiaTheme="minorEastAsia" w:cstheme="minorEastAsia"/>
          <w:sz w:val="24"/>
          <w:szCs w:val="28"/>
          <w:highlight w:val="none"/>
        </w:rPr>
        <w:t>设备维护耗材应由设备管理单位统一管理，运维单位根据实际需求</w:t>
      </w:r>
      <w:r>
        <w:rPr>
          <w:rFonts w:hint="eastAsia" w:asciiTheme="minorEastAsia" w:hAnsiTheme="minorEastAsia" w:eastAsiaTheme="minorEastAsia" w:cstheme="minorEastAsia"/>
          <w:sz w:val="24"/>
          <w:szCs w:val="28"/>
          <w:highlight w:val="none"/>
          <w:lang w:val="en-US" w:eastAsia="zh-CN"/>
        </w:rPr>
        <w:t>采购</w:t>
      </w:r>
      <w:r>
        <w:rPr>
          <w:rFonts w:hint="eastAsia" w:asciiTheme="minorEastAsia" w:hAnsiTheme="minorEastAsia" w:eastAsiaTheme="minorEastAsia" w:cstheme="minorEastAsia"/>
          <w:sz w:val="24"/>
          <w:szCs w:val="28"/>
          <w:highlight w:val="none"/>
        </w:rPr>
        <w:t>更换，并提交耗材更换证明材料。运维</w:t>
      </w:r>
      <w:r>
        <w:rPr>
          <w:rFonts w:hint="eastAsia" w:asciiTheme="minorEastAsia" w:hAnsiTheme="minorEastAsia" w:eastAsiaTheme="minorEastAsia" w:cstheme="minorEastAsia"/>
          <w:sz w:val="24"/>
          <w:szCs w:val="28"/>
          <w:highlight w:val="none"/>
          <w:lang w:eastAsia="zh-CN"/>
        </w:rPr>
        <w:t>更换的</w:t>
      </w:r>
      <w:r>
        <w:rPr>
          <w:rFonts w:hint="eastAsia" w:asciiTheme="minorEastAsia" w:hAnsiTheme="minorEastAsia" w:eastAsiaTheme="minorEastAsia" w:cstheme="minorEastAsia"/>
          <w:sz w:val="24"/>
          <w:szCs w:val="28"/>
          <w:highlight w:val="none"/>
        </w:rPr>
        <w:t>耗材</w:t>
      </w:r>
      <w:r>
        <w:rPr>
          <w:rFonts w:hint="eastAsia" w:asciiTheme="minorEastAsia" w:hAnsiTheme="minorEastAsia" w:eastAsiaTheme="minorEastAsia" w:cstheme="minorEastAsia"/>
          <w:sz w:val="24"/>
          <w:szCs w:val="28"/>
          <w:highlight w:val="none"/>
          <w:lang w:val="en-US" w:eastAsia="zh-CN"/>
        </w:rPr>
        <w:t>以及备品备件</w:t>
      </w:r>
      <w:r>
        <w:rPr>
          <w:rFonts w:hint="eastAsia" w:asciiTheme="minorEastAsia" w:hAnsiTheme="minorEastAsia" w:eastAsiaTheme="minorEastAsia" w:cstheme="minorEastAsia"/>
          <w:sz w:val="24"/>
          <w:szCs w:val="28"/>
          <w:highlight w:val="none"/>
        </w:rPr>
        <w:t>应交还管理单位统一保管。</w:t>
      </w:r>
    </w:p>
    <w:p w14:paraId="3C625D33">
      <w:pPr>
        <w:spacing w:line="360" w:lineRule="auto"/>
        <w:ind w:firstLine="480" w:firstLineChars="200"/>
        <w:rPr>
          <w:rFonts w:hint="eastAsia" w:asciiTheme="minorEastAsia" w:hAnsiTheme="minorEastAsia" w:eastAsiaTheme="minorEastAsia" w:cstheme="minorEastAsia"/>
          <w:sz w:val="24"/>
          <w:szCs w:val="28"/>
          <w:highlight w:val="none"/>
          <w:lang w:val="en-US" w:eastAsia="zh-CN"/>
        </w:rPr>
      </w:pPr>
      <w:r>
        <w:rPr>
          <w:rFonts w:hint="eastAsia" w:asciiTheme="minorEastAsia" w:hAnsiTheme="minorEastAsia" w:eastAsiaTheme="minorEastAsia" w:cstheme="minorEastAsia"/>
          <w:sz w:val="24"/>
          <w:szCs w:val="28"/>
          <w:highlight w:val="none"/>
          <w:lang w:eastAsia="zh-CN"/>
        </w:rPr>
        <w:t>（</w:t>
      </w:r>
      <w:r>
        <w:rPr>
          <w:rFonts w:hint="eastAsia" w:asciiTheme="minorEastAsia" w:hAnsiTheme="minorEastAsia" w:eastAsiaTheme="minorEastAsia" w:cstheme="minorEastAsia"/>
          <w:sz w:val="24"/>
          <w:szCs w:val="28"/>
          <w:highlight w:val="none"/>
          <w:lang w:val="en-US" w:eastAsia="zh-CN"/>
        </w:rPr>
        <w:t>6</w:t>
      </w:r>
      <w:r>
        <w:rPr>
          <w:rFonts w:hint="eastAsia" w:asciiTheme="minorEastAsia" w:hAnsiTheme="minorEastAsia" w:eastAsiaTheme="minorEastAsia" w:cstheme="minorEastAsia"/>
          <w:sz w:val="24"/>
          <w:szCs w:val="28"/>
          <w:highlight w:val="none"/>
          <w:lang w:eastAsia="zh-CN"/>
        </w:rPr>
        <w:t>）</w:t>
      </w:r>
      <w:r>
        <w:rPr>
          <w:rFonts w:hint="eastAsia" w:asciiTheme="minorEastAsia" w:hAnsiTheme="minorEastAsia" w:eastAsiaTheme="minorEastAsia" w:cstheme="minorEastAsia"/>
          <w:sz w:val="24"/>
          <w:szCs w:val="28"/>
          <w:highlight w:val="none"/>
          <w:lang w:val="en-US" w:eastAsia="zh-CN"/>
        </w:rPr>
        <w:t>视频数据接入：</w:t>
      </w:r>
    </w:p>
    <w:p w14:paraId="13AE667C">
      <w:pPr>
        <w:spacing w:line="360" w:lineRule="auto"/>
        <w:ind w:firstLine="482" w:firstLineChars="200"/>
        <w:rPr>
          <w:rFonts w:hint="eastAsia" w:asciiTheme="minorEastAsia" w:hAnsiTheme="minorEastAsia" w:eastAsiaTheme="minorEastAsia" w:cstheme="minorEastAsia"/>
          <w:b/>
          <w:bCs/>
          <w:sz w:val="24"/>
          <w:szCs w:val="28"/>
          <w:highlight w:val="none"/>
          <w:lang w:val="en-US" w:eastAsia="zh-CN"/>
        </w:rPr>
      </w:pPr>
      <w:r>
        <w:rPr>
          <w:rFonts w:hint="eastAsia" w:asciiTheme="minorEastAsia" w:hAnsiTheme="minorEastAsia" w:eastAsiaTheme="minorEastAsia" w:cstheme="minorEastAsia"/>
          <w:b/>
          <w:bCs/>
          <w:sz w:val="24"/>
          <w:szCs w:val="28"/>
          <w:highlight w:val="none"/>
          <w:lang w:val="en-US" w:eastAsia="zh-CN"/>
        </w:rPr>
        <w:t>本年度视频站要实现4G网络传输并统一接入自治区山洪灾害监测预警平台。对本年度未接入自治区山洪灾害监测预警平台的视频站，下一年度不再安排运维经费。</w:t>
      </w:r>
    </w:p>
    <w:tbl>
      <w:tblPr>
        <w:tblStyle w:val="33"/>
        <w:tblW w:w="85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93"/>
        <w:gridCol w:w="2096"/>
        <w:gridCol w:w="2529"/>
      </w:tblGrid>
      <w:tr w14:paraId="0CF3D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3893" w:type="dxa"/>
            <w:shd w:val="clear" w:color="auto" w:fill="auto"/>
            <w:vAlign w:val="center"/>
          </w:tcPr>
          <w:p w14:paraId="641F2CC0">
            <w:pPr>
              <w:snapToGrid w:val="0"/>
              <w:spacing w:line="520" w:lineRule="exact"/>
              <w:jc w:val="center"/>
              <w:rPr>
                <w:rFonts w:hint="default"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rPr>
              <w:t>类型</w:t>
            </w:r>
          </w:p>
        </w:tc>
        <w:tc>
          <w:tcPr>
            <w:tcW w:w="2096" w:type="dxa"/>
            <w:shd w:val="clear" w:color="auto" w:fill="auto"/>
            <w:vAlign w:val="center"/>
          </w:tcPr>
          <w:p w14:paraId="1F69FBC7">
            <w:pPr>
              <w:snapToGrid w:val="0"/>
              <w:spacing w:line="520" w:lineRule="exact"/>
              <w:jc w:val="center"/>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rPr>
              <w:t>IP</w:t>
            </w:r>
          </w:p>
        </w:tc>
        <w:tc>
          <w:tcPr>
            <w:tcW w:w="2529" w:type="dxa"/>
            <w:shd w:val="clear" w:color="auto" w:fill="auto"/>
            <w:vAlign w:val="center"/>
          </w:tcPr>
          <w:p w14:paraId="6C8AAD4C">
            <w:pPr>
              <w:snapToGrid w:val="0"/>
              <w:spacing w:line="520" w:lineRule="exact"/>
              <w:jc w:val="center"/>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rPr>
              <w:t>端口</w:t>
            </w:r>
          </w:p>
        </w:tc>
      </w:tr>
      <w:tr w14:paraId="59D1F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3893" w:type="dxa"/>
            <w:vAlign w:val="center"/>
          </w:tcPr>
          <w:p w14:paraId="626D2184">
            <w:pPr>
              <w:spacing w:line="360" w:lineRule="auto"/>
              <w:jc w:val="center"/>
              <w:rPr>
                <w:rFonts w:hint="eastAsia" w:asciiTheme="minorEastAsia" w:hAnsiTheme="minorEastAsia" w:eastAsiaTheme="minorEastAsia" w:cstheme="minorEastAsia"/>
                <w:sz w:val="24"/>
                <w:szCs w:val="28"/>
                <w:highlight w:val="none"/>
                <w:vertAlign w:val="baseline"/>
                <w:lang w:val="en-US" w:eastAsia="zh-CN"/>
              </w:rPr>
            </w:pPr>
            <w:r>
              <w:rPr>
                <w:rFonts w:hint="eastAsia" w:asciiTheme="minorEastAsia" w:hAnsiTheme="minorEastAsia" w:eastAsiaTheme="minorEastAsia" w:cstheme="minorEastAsia"/>
                <w:sz w:val="24"/>
                <w:szCs w:val="28"/>
                <w:highlight w:val="none"/>
                <w:lang w:val="en-US" w:eastAsia="zh-CN"/>
              </w:rPr>
              <w:t>EHOME（4.0以下）视频接入地址</w:t>
            </w:r>
          </w:p>
        </w:tc>
        <w:tc>
          <w:tcPr>
            <w:tcW w:w="2096" w:type="dxa"/>
            <w:vAlign w:val="center"/>
          </w:tcPr>
          <w:p w14:paraId="2A541A1A">
            <w:pPr>
              <w:spacing w:line="360" w:lineRule="auto"/>
              <w:jc w:val="center"/>
              <w:rPr>
                <w:rFonts w:hint="eastAsia" w:asciiTheme="minorEastAsia" w:hAnsiTheme="minorEastAsia" w:eastAsiaTheme="minorEastAsia" w:cstheme="minorEastAsia"/>
                <w:sz w:val="24"/>
                <w:szCs w:val="28"/>
                <w:highlight w:val="none"/>
                <w:vertAlign w:val="baseline"/>
                <w:lang w:val="en-US" w:eastAsia="zh-CN"/>
              </w:rPr>
            </w:pPr>
            <w:r>
              <w:rPr>
                <w:rFonts w:hint="eastAsia" w:asciiTheme="minorEastAsia" w:hAnsiTheme="minorEastAsia" w:eastAsiaTheme="minorEastAsia" w:cstheme="minorEastAsia"/>
                <w:sz w:val="24"/>
                <w:szCs w:val="28"/>
                <w:highlight w:val="none"/>
                <w:lang w:val="en-US" w:eastAsia="zh-CN"/>
              </w:rPr>
              <w:t>116.113.33.53</w:t>
            </w:r>
          </w:p>
        </w:tc>
        <w:tc>
          <w:tcPr>
            <w:tcW w:w="2529" w:type="dxa"/>
            <w:vAlign w:val="center"/>
          </w:tcPr>
          <w:p w14:paraId="5B33133F">
            <w:pPr>
              <w:spacing w:line="360" w:lineRule="auto"/>
              <w:jc w:val="center"/>
              <w:rPr>
                <w:rFonts w:hint="eastAsia" w:asciiTheme="minorEastAsia" w:hAnsiTheme="minorEastAsia" w:eastAsiaTheme="minorEastAsia" w:cstheme="minorEastAsia"/>
                <w:sz w:val="24"/>
                <w:szCs w:val="28"/>
                <w:highlight w:val="none"/>
                <w:vertAlign w:val="baseline"/>
                <w:lang w:val="en-US" w:eastAsia="zh-CN"/>
              </w:rPr>
            </w:pPr>
            <w:r>
              <w:rPr>
                <w:rFonts w:hint="eastAsia" w:asciiTheme="minorEastAsia" w:hAnsiTheme="minorEastAsia" w:eastAsiaTheme="minorEastAsia" w:cstheme="minorEastAsia"/>
                <w:sz w:val="24"/>
                <w:szCs w:val="28"/>
                <w:highlight w:val="none"/>
                <w:lang w:val="en-US" w:eastAsia="zh-CN"/>
              </w:rPr>
              <w:t>7660</w:t>
            </w:r>
          </w:p>
        </w:tc>
      </w:tr>
      <w:tr w14:paraId="087CA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3893" w:type="dxa"/>
            <w:vAlign w:val="center"/>
          </w:tcPr>
          <w:p w14:paraId="38E56B68">
            <w:pPr>
              <w:spacing w:line="360" w:lineRule="auto"/>
              <w:jc w:val="center"/>
              <w:rPr>
                <w:rFonts w:hint="eastAsia" w:asciiTheme="minorEastAsia" w:hAnsiTheme="minorEastAsia" w:eastAsiaTheme="minorEastAsia" w:cstheme="minorEastAsia"/>
                <w:sz w:val="24"/>
                <w:szCs w:val="28"/>
                <w:highlight w:val="none"/>
                <w:vertAlign w:val="baseline"/>
                <w:lang w:val="en-US" w:eastAsia="zh-CN"/>
              </w:rPr>
            </w:pPr>
            <w:r>
              <w:rPr>
                <w:rFonts w:hint="eastAsia" w:asciiTheme="minorEastAsia" w:hAnsiTheme="minorEastAsia" w:eastAsiaTheme="minorEastAsia" w:cstheme="minorEastAsia"/>
                <w:sz w:val="24"/>
                <w:szCs w:val="28"/>
                <w:highlight w:val="none"/>
                <w:lang w:val="en-US" w:eastAsia="zh-CN"/>
              </w:rPr>
              <w:t>EHOME（5.0）视频接入地址</w:t>
            </w:r>
          </w:p>
        </w:tc>
        <w:tc>
          <w:tcPr>
            <w:tcW w:w="2096" w:type="dxa"/>
            <w:vAlign w:val="center"/>
          </w:tcPr>
          <w:p w14:paraId="79B23F53">
            <w:pPr>
              <w:spacing w:line="360" w:lineRule="auto"/>
              <w:jc w:val="center"/>
              <w:rPr>
                <w:rFonts w:hint="eastAsia" w:asciiTheme="minorEastAsia" w:hAnsiTheme="minorEastAsia" w:eastAsiaTheme="minorEastAsia" w:cstheme="minorEastAsia"/>
                <w:sz w:val="24"/>
                <w:szCs w:val="28"/>
                <w:highlight w:val="none"/>
                <w:vertAlign w:val="baseline"/>
                <w:lang w:val="en-US" w:eastAsia="zh-CN"/>
              </w:rPr>
            </w:pPr>
            <w:r>
              <w:rPr>
                <w:rFonts w:hint="eastAsia" w:asciiTheme="minorEastAsia" w:hAnsiTheme="minorEastAsia" w:eastAsiaTheme="minorEastAsia" w:cstheme="minorEastAsia"/>
                <w:sz w:val="24"/>
                <w:szCs w:val="28"/>
                <w:highlight w:val="none"/>
                <w:lang w:val="en-US" w:eastAsia="zh-CN"/>
              </w:rPr>
              <w:t>116.113.33.53</w:t>
            </w:r>
          </w:p>
        </w:tc>
        <w:tc>
          <w:tcPr>
            <w:tcW w:w="2529" w:type="dxa"/>
            <w:vAlign w:val="center"/>
          </w:tcPr>
          <w:p w14:paraId="25E38039">
            <w:pPr>
              <w:spacing w:line="360" w:lineRule="auto"/>
              <w:jc w:val="center"/>
              <w:rPr>
                <w:rFonts w:hint="eastAsia" w:asciiTheme="minorEastAsia" w:hAnsiTheme="minorEastAsia" w:eastAsiaTheme="minorEastAsia" w:cstheme="minorEastAsia"/>
                <w:sz w:val="24"/>
                <w:szCs w:val="28"/>
                <w:highlight w:val="none"/>
                <w:vertAlign w:val="baseline"/>
                <w:lang w:val="en-US" w:eastAsia="zh-CN"/>
              </w:rPr>
            </w:pPr>
            <w:r>
              <w:rPr>
                <w:rFonts w:hint="eastAsia" w:asciiTheme="minorEastAsia" w:hAnsiTheme="minorEastAsia" w:eastAsiaTheme="minorEastAsia" w:cstheme="minorEastAsia"/>
                <w:sz w:val="24"/>
                <w:szCs w:val="28"/>
                <w:highlight w:val="none"/>
                <w:lang w:val="en-US" w:eastAsia="zh-CN"/>
              </w:rPr>
              <w:t>7031</w:t>
            </w:r>
          </w:p>
        </w:tc>
      </w:tr>
      <w:tr w14:paraId="44BDC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jc w:val="center"/>
        </w:trPr>
        <w:tc>
          <w:tcPr>
            <w:tcW w:w="3893" w:type="dxa"/>
            <w:vAlign w:val="center"/>
          </w:tcPr>
          <w:p w14:paraId="23027BE2">
            <w:pPr>
              <w:spacing w:line="360" w:lineRule="auto"/>
              <w:jc w:val="center"/>
              <w:rPr>
                <w:rFonts w:hint="eastAsia" w:asciiTheme="minorEastAsia" w:hAnsiTheme="minorEastAsia" w:eastAsiaTheme="minorEastAsia" w:cstheme="minorEastAsia"/>
                <w:sz w:val="24"/>
                <w:szCs w:val="28"/>
                <w:highlight w:val="none"/>
                <w:lang w:val="en-US" w:eastAsia="zh-CN"/>
              </w:rPr>
            </w:pPr>
            <w:r>
              <w:rPr>
                <w:rFonts w:hint="eastAsia" w:asciiTheme="minorEastAsia" w:hAnsiTheme="minorEastAsia" w:eastAsiaTheme="minorEastAsia" w:cstheme="minorEastAsia"/>
                <w:sz w:val="24"/>
                <w:szCs w:val="28"/>
                <w:highlight w:val="none"/>
                <w:lang w:val="en-US" w:eastAsia="zh-CN"/>
              </w:rPr>
              <w:t>国标协议发送</w:t>
            </w:r>
          </w:p>
          <w:p w14:paraId="1EC02607">
            <w:pPr>
              <w:spacing w:line="360" w:lineRule="auto"/>
              <w:jc w:val="center"/>
              <w:rPr>
                <w:rFonts w:hint="eastAsia" w:asciiTheme="minorEastAsia" w:hAnsiTheme="minorEastAsia" w:eastAsiaTheme="minorEastAsia" w:cstheme="minorEastAsia"/>
                <w:sz w:val="24"/>
                <w:szCs w:val="28"/>
                <w:highlight w:val="none"/>
                <w:vertAlign w:val="baseline"/>
                <w:lang w:val="en-US" w:eastAsia="zh-CN"/>
              </w:rPr>
            </w:pPr>
            <w:r>
              <w:rPr>
                <w:rFonts w:hint="eastAsia" w:asciiTheme="minorEastAsia" w:hAnsiTheme="minorEastAsia" w:eastAsiaTheme="minorEastAsia" w:cstheme="minorEastAsia"/>
                <w:sz w:val="24"/>
                <w:szCs w:val="28"/>
                <w:highlight w:val="none"/>
                <w:lang w:val="en-US" w:eastAsia="zh-CN"/>
              </w:rPr>
              <w:t>服务编号：34020000002000000001</w:t>
            </w:r>
          </w:p>
        </w:tc>
        <w:tc>
          <w:tcPr>
            <w:tcW w:w="2096" w:type="dxa"/>
            <w:vAlign w:val="center"/>
          </w:tcPr>
          <w:p w14:paraId="1CEE4CBB">
            <w:pPr>
              <w:spacing w:line="360" w:lineRule="auto"/>
              <w:jc w:val="center"/>
              <w:rPr>
                <w:rFonts w:hint="eastAsia" w:asciiTheme="minorEastAsia" w:hAnsiTheme="minorEastAsia" w:eastAsiaTheme="minorEastAsia" w:cstheme="minorEastAsia"/>
                <w:sz w:val="24"/>
                <w:szCs w:val="28"/>
                <w:highlight w:val="none"/>
                <w:vertAlign w:val="baseline"/>
                <w:lang w:val="en-US" w:eastAsia="zh-CN"/>
              </w:rPr>
            </w:pPr>
            <w:r>
              <w:rPr>
                <w:rFonts w:hint="eastAsia" w:asciiTheme="minorEastAsia" w:hAnsiTheme="minorEastAsia" w:eastAsiaTheme="minorEastAsia" w:cstheme="minorEastAsia"/>
                <w:sz w:val="24"/>
                <w:szCs w:val="28"/>
                <w:highlight w:val="none"/>
                <w:lang w:val="en-US" w:eastAsia="zh-CN"/>
              </w:rPr>
              <w:t>116.113.33.53</w:t>
            </w:r>
          </w:p>
        </w:tc>
        <w:tc>
          <w:tcPr>
            <w:tcW w:w="2529" w:type="dxa"/>
            <w:vAlign w:val="center"/>
          </w:tcPr>
          <w:p w14:paraId="0BADDB26">
            <w:pPr>
              <w:spacing w:line="360" w:lineRule="auto"/>
              <w:jc w:val="center"/>
              <w:rPr>
                <w:rFonts w:hint="eastAsia" w:asciiTheme="minorEastAsia" w:hAnsiTheme="minorEastAsia" w:eastAsiaTheme="minorEastAsia" w:cstheme="minorEastAsia"/>
                <w:sz w:val="24"/>
                <w:szCs w:val="28"/>
                <w:highlight w:val="none"/>
                <w:vertAlign w:val="baseline"/>
                <w:lang w:val="en-US" w:eastAsia="zh-CN"/>
              </w:rPr>
            </w:pPr>
            <w:r>
              <w:rPr>
                <w:rFonts w:hint="eastAsia" w:asciiTheme="minorEastAsia" w:hAnsiTheme="minorEastAsia" w:eastAsiaTheme="minorEastAsia" w:cstheme="minorEastAsia"/>
                <w:sz w:val="24"/>
                <w:szCs w:val="28"/>
                <w:highlight w:val="none"/>
                <w:lang w:val="en-US" w:eastAsia="zh-CN"/>
              </w:rPr>
              <w:t>5060</w:t>
            </w:r>
          </w:p>
        </w:tc>
      </w:tr>
    </w:tbl>
    <w:p w14:paraId="117FCBD8">
      <w:pPr>
        <w:spacing w:line="360" w:lineRule="auto"/>
        <w:ind w:firstLine="480" w:firstLineChars="200"/>
        <w:rPr>
          <w:rFonts w:hint="eastAsia" w:asciiTheme="minorEastAsia" w:hAnsiTheme="minorEastAsia" w:eastAsiaTheme="minorEastAsia" w:cstheme="minorEastAsia"/>
          <w:sz w:val="24"/>
          <w:szCs w:val="28"/>
          <w:highlight w:val="none"/>
          <w:lang w:val="en-US" w:eastAsia="zh-CN"/>
        </w:rPr>
      </w:pPr>
    </w:p>
    <w:p w14:paraId="09607C0C">
      <w:pPr>
        <w:spacing w:line="360" w:lineRule="auto"/>
        <w:ind w:firstLine="482" w:firstLineChars="200"/>
        <w:rPr>
          <w:rFonts w:hint="eastAsia" w:asciiTheme="minorEastAsia" w:hAnsiTheme="minorEastAsia" w:eastAsiaTheme="minorEastAsia" w:cstheme="minorEastAsia"/>
          <w:b/>
          <w:bCs/>
          <w:sz w:val="24"/>
          <w:szCs w:val="28"/>
          <w:highlight w:val="none"/>
        </w:rPr>
      </w:pPr>
      <w:r>
        <w:rPr>
          <w:rFonts w:hint="eastAsia" w:asciiTheme="minorEastAsia" w:hAnsiTheme="minorEastAsia" w:eastAsiaTheme="minorEastAsia" w:cstheme="minorEastAsia"/>
          <w:b/>
          <w:bCs/>
          <w:sz w:val="24"/>
          <w:szCs w:val="28"/>
          <w:highlight w:val="none"/>
        </w:rPr>
        <w:t>其他类型的站点的运行维护内容与水雨情监测站点的运行维护内容类似，参照执行。</w:t>
      </w:r>
      <w:bookmarkStart w:id="16" w:name="_Toc488105035"/>
    </w:p>
    <w:p w14:paraId="4B1858F1">
      <w:pPr>
        <w:pStyle w:val="3"/>
        <w:spacing w:before="120" w:beforeLines="50" w:after="120" w:afterLines="50" w:line="360" w:lineRule="auto"/>
        <w:rPr>
          <w:rFonts w:hint="eastAsia" w:asciiTheme="minorEastAsia" w:hAnsiTheme="minorEastAsia" w:eastAsiaTheme="minorEastAsia" w:cstheme="minorEastAsia"/>
          <w:bCs/>
          <w:sz w:val="30"/>
          <w:szCs w:val="30"/>
          <w:lang w:val="en-US" w:eastAsia="zh-CN"/>
        </w:rPr>
      </w:pPr>
      <w:bookmarkStart w:id="17" w:name="_Toc24403"/>
      <w:r>
        <w:rPr>
          <w:rFonts w:hint="eastAsia" w:asciiTheme="minorEastAsia" w:hAnsiTheme="minorEastAsia" w:eastAsiaTheme="minorEastAsia" w:cstheme="minorEastAsia"/>
          <w:bCs/>
          <w:sz w:val="30"/>
          <w:szCs w:val="30"/>
        </w:rPr>
        <w:t>3.</w:t>
      </w:r>
      <w:r>
        <w:rPr>
          <w:rFonts w:hint="eastAsia" w:asciiTheme="minorEastAsia" w:hAnsiTheme="minorEastAsia" w:eastAsiaTheme="minorEastAsia" w:cstheme="minorEastAsia"/>
          <w:bCs/>
          <w:sz w:val="30"/>
          <w:szCs w:val="30"/>
          <w:lang w:val="en-US" w:eastAsia="zh-CN"/>
        </w:rPr>
        <w:t>3自动监测站点布局优化</w:t>
      </w:r>
      <w:bookmarkEnd w:id="17"/>
    </w:p>
    <w:p w14:paraId="62AFFD7F">
      <w:pPr>
        <w:spacing w:line="360" w:lineRule="auto"/>
        <w:ind w:firstLine="480" w:firstLineChars="200"/>
        <w:rPr>
          <w:rFonts w:hint="eastAsia" w:asciiTheme="minorEastAsia" w:hAnsiTheme="minorEastAsia" w:eastAsiaTheme="minorEastAsia" w:cstheme="minorEastAsia"/>
          <w:sz w:val="24"/>
          <w:szCs w:val="28"/>
          <w:highlight w:val="none"/>
          <w:lang w:val="en-US" w:eastAsia="zh-CN"/>
        </w:rPr>
      </w:pPr>
      <w:r>
        <w:rPr>
          <w:rFonts w:hint="eastAsia" w:asciiTheme="minorEastAsia" w:hAnsiTheme="minorEastAsia" w:eastAsiaTheme="minorEastAsia" w:cstheme="minorEastAsia"/>
          <w:sz w:val="24"/>
          <w:szCs w:val="28"/>
          <w:highlight w:val="none"/>
          <w:lang w:val="en-US" w:eastAsia="zh-CN"/>
        </w:rPr>
        <w:t>各盟市需对</w:t>
      </w:r>
      <w:r>
        <w:rPr>
          <w:rFonts w:hint="default" w:asciiTheme="minorEastAsia" w:hAnsiTheme="minorEastAsia" w:eastAsiaTheme="minorEastAsia" w:cstheme="minorEastAsia"/>
          <w:sz w:val="24"/>
          <w:szCs w:val="28"/>
          <w:highlight w:val="none"/>
          <w:lang w:val="en-US"/>
        </w:rPr>
        <w:t>现有站网</w:t>
      </w:r>
      <w:r>
        <w:rPr>
          <w:rFonts w:hint="eastAsia" w:asciiTheme="minorEastAsia" w:hAnsiTheme="minorEastAsia" w:eastAsiaTheme="minorEastAsia" w:cstheme="minorEastAsia"/>
          <w:sz w:val="24"/>
          <w:szCs w:val="28"/>
          <w:highlight w:val="none"/>
          <w:lang w:val="en-US" w:eastAsia="zh-CN"/>
        </w:rPr>
        <w:t>（包括气象站、水文站等可用于山洪灾害监测预警的站点）</w:t>
      </w:r>
      <w:r>
        <w:rPr>
          <w:rFonts w:hint="default" w:asciiTheme="minorEastAsia" w:hAnsiTheme="minorEastAsia" w:eastAsiaTheme="minorEastAsia" w:cstheme="minorEastAsia"/>
          <w:sz w:val="24"/>
          <w:szCs w:val="28"/>
          <w:highlight w:val="none"/>
          <w:lang w:val="en-US"/>
        </w:rPr>
        <w:t>布局进行评估，按照区域内山洪灾害雨水情监测现状，评估现有自动监测站点布局情况，</w:t>
      </w:r>
      <w:r>
        <w:rPr>
          <w:rFonts w:hint="eastAsia" w:asciiTheme="minorEastAsia" w:hAnsiTheme="minorEastAsia" w:eastAsiaTheme="minorEastAsia" w:cstheme="minorEastAsia"/>
          <w:sz w:val="24"/>
          <w:szCs w:val="28"/>
          <w:highlight w:val="none"/>
          <w:lang w:val="en-US" w:eastAsia="zh-CN"/>
        </w:rPr>
        <w:t>分析需要迁移的自动监测站点名录，同步</w:t>
      </w:r>
      <w:r>
        <w:rPr>
          <w:rFonts w:hint="default" w:asciiTheme="minorEastAsia" w:hAnsiTheme="minorEastAsia" w:eastAsiaTheme="minorEastAsia" w:cstheme="minorEastAsia"/>
          <w:sz w:val="24"/>
          <w:szCs w:val="28"/>
          <w:highlight w:val="none"/>
          <w:lang w:val="en-US"/>
        </w:rPr>
        <w:t>确定监测盲区</w:t>
      </w:r>
      <w:r>
        <w:rPr>
          <w:rFonts w:hint="eastAsia" w:asciiTheme="minorEastAsia" w:hAnsiTheme="minorEastAsia" w:eastAsiaTheme="minorEastAsia" w:cstheme="minorEastAsia"/>
          <w:sz w:val="24"/>
          <w:szCs w:val="28"/>
          <w:highlight w:val="none"/>
          <w:lang w:val="en-US" w:eastAsia="zh-CN"/>
        </w:rPr>
        <w:t>，按照站岗放哨原则，确定迁移位置并进行迁移。</w:t>
      </w:r>
    </w:p>
    <w:p w14:paraId="12892388">
      <w:pPr>
        <w:shd w:val="clear" w:color="auto"/>
        <w:snapToGrid w:val="0"/>
        <w:spacing w:line="360" w:lineRule="auto"/>
        <w:ind w:firstLine="482" w:firstLineChars="200"/>
        <w:rPr>
          <w:rFonts w:hint="eastAsia" w:asciiTheme="minorEastAsia" w:hAnsiTheme="minorEastAsia" w:eastAsiaTheme="minorEastAsia" w:cstheme="minorEastAsia"/>
          <w:b/>
          <w:bCs/>
          <w:color w:val="000000"/>
          <w:kern w:val="0"/>
          <w:sz w:val="24"/>
          <w:szCs w:val="24"/>
          <w:highlight w:val="none"/>
        </w:rPr>
      </w:pPr>
      <w:r>
        <w:rPr>
          <w:rFonts w:hint="eastAsia" w:asciiTheme="minorEastAsia" w:hAnsiTheme="minorEastAsia" w:eastAsiaTheme="minorEastAsia" w:cstheme="minorEastAsia"/>
          <w:b/>
          <w:bCs/>
          <w:kern w:val="0"/>
          <w:sz w:val="24"/>
          <w:szCs w:val="24"/>
          <w:highlight w:val="none"/>
          <w:lang w:val="en-US" w:eastAsia="zh-CN"/>
        </w:rPr>
        <w:t>迁移后的站点要求同步</w:t>
      </w:r>
      <w:r>
        <w:rPr>
          <w:rFonts w:hint="eastAsia" w:asciiTheme="minorEastAsia" w:hAnsiTheme="minorEastAsia" w:eastAsiaTheme="minorEastAsia" w:cstheme="minorEastAsia"/>
          <w:b/>
          <w:bCs/>
          <w:kern w:val="0"/>
          <w:sz w:val="24"/>
          <w:szCs w:val="24"/>
          <w:highlight w:val="none"/>
        </w:rPr>
        <w:t>并</w:t>
      </w:r>
      <w:r>
        <w:rPr>
          <w:rFonts w:hint="eastAsia" w:asciiTheme="minorEastAsia" w:hAnsiTheme="minorEastAsia" w:eastAsiaTheme="minorEastAsia" w:cstheme="minorEastAsia"/>
          <w:b/>
          <w:bCs/>
          <w:kern w:val="0"/>
          <w:sz w:val="24"/>
          <w:szCs w:val="24"/>
          <w:highlight w:val="none"/>
          <w:lang w:val="en-US" w:eastAsia="zh-CN"/>
        </w:rPr>
        <w:t>在</w:t>
      </w:r>
      <w:r>
        <w:rPr>
          <w:rFonts w:hint="eastAsia" w:asciiTheme="minorEastAsia" w:hAnsiTheme="minorEastAsia" w:eastAsiaTheme="minorEastAsia" w:cstheme="minorEastAsia"/>
          <w:b/>
          <w:bCs/>
          <w:color w:val="000000"/>
          <w:kern w:val="0"/>
          <w:sz w:val="24"/>
          <w:szCs w:val="24"/>
          <w:highlight w:val="none"/>
        </w:rPr>
        <w:t>山洪灾害自动监测站点运维APP</w:t>
      </w:r>
      <w:r>
        <w:rPr>
          <w:rFonts w:hint="eastAsia" w:asciiTheme="minorEastAsia" w:hAnsiTheme="minorEastAsia" w:eastAsiaTheme="minorEastAsia" w:cstheme="minorEastAsia"/>
          <w:b/>
          <w:bCs/>
          <w:color w:val="000000"/>
          <w:kern w:val="0"/>
          <w:sz w:val="24"/>
          <w:szCs w:val="24"/>
          <w:highlight w:val="none"/>
          <w:lang w:val="en-US" w:eastAsia="zh-CN"/>
        </w:rPr>
        <w:t>中</w:t>
      </w:r>
      <w:r>
        <w:rPr>
          <w:rFonts w:hint="eastAsia" w:asciiTheme="minorEastAsia" w:hAnsiTheme="minorEastAsia" w:eastAsiaTheme="minorEastAsia" w:cstheme="minorEastAsia"/>
          <w:b/>
          <w:bCs/>
          <w:kern w:val="0"/>
          <w:sz w:val="24"/>
          <w:szCs w:val="24"/>
          <w:highlight w:val="none"/>
        </w:rPr>
        <w:t>做好</w:t>
      </w:r>
      <w:r>
        <w:rPr>
          <w:rFonts w:hint="eastAsia" w:asciiTheme="minorEastAsia" w:hAnsiTheme="minorEastAsia" w:eastAsiaTheme="minorEastAsia" w:cstheme="minorEastAsia"/>
          <w:b/>
          <w:bCs/>
          <w:kern w:val="0"/>
          <w:sz w:val="24"/>
          <w:szCs w:val="24"/>
          <w:highlight w:val="none"/>
          <w:lang w:val="en-US" w:eastAsia="zh-CN"/>
        </w:rPr>
        <w:t>迁移</w:t>
      </w:r>
      <w:r>
        <w:rPr>
          <w:rFonts w:hint="eastAsia" w:asciiTheme="minorEastAsia" w:hAnsiTheme="minorEastAsia" w:eastAsiaTheme="minorEastAsia" w:cstheme="minorEastAsia"/>
          <w:b/>
          <w:bCs/>
          <w:kern w:val="0"/>
          <w:sz w:val="24"/>
          <w:szCs w:val="24"/>
          <w:highlight w:val="none"/>
        </w:rPr>
        <w:t>记录</w:t>
      </w:r>
      <w:r>
        <w:rPr>
          <w:rFonts w:hint="eastAsia" w:asciiTheme="minorEastAsia" w:hAnsiTheme="minorEastAsia" w:eastAsiaTheme="minorEastAsia" w:cstheme="minorEastAsia"/>
          <w:b/>
          <w:bCs/>
          <w:kern w:val="0"/>
          <w:sz w:val="24"/>
          <w:szCs w:val="24"/>
          <w:highlight w:val="none"/>
          <w:lang w:eastAsia="zh-CN"/>
        </w:rPr>
        <w:t>，盟市同步做好自治区山洪平台内迁移后的站点与所处危险区关联关系，</w:t>
      </w:r>
      <w:r>
        <w:rPr>
          <w:rFonts w:hint="eastAsia" w:asciiTheme="minorEastAsia" w:hAnsiTheme="minorEastAsia" w:eastAsiaTheme="minorEastAsia" w:cstheme="minorEastAsia"/>
          <w:b/>
          <w:bCs/>
          <w:kern w:val="0"/>
          <w:sz w:val="24"/>
          <w:szCs w:val="24"/>
          <w:highlight w:val="none"/>
          <w:lang w:val="en-US" w:eastAsia="zh-CN"/>
        </w:rPr>
        <w:t>迁移后的站点基础信息同步更新至三级山洪灾害监测预警平台（自治区平台由水利厅防御中心统一收集后更新）</w:t>
      </w:r>
      <w:r>
        <w:rPr>
          <w:rFonts w:hint="eastAsia" w:asciiTheme="minorEastAsia" w:hAnsiTheme="minorEastAsia" w:eastAsiaTheme="minorEastAsia" w:cstheme="minorEastAsia"/>
          <w:b/>
          <w:bCs/>
          <w:color w:val="000000"/>
          <w:kern w:val="0"/>
          <w:sz w:val="24"/>
          <w:szCs w:val="24"/>
          <w:highlight w:val="none"/>
        </w:rPr>
        <w:t>。</w:t>
      </w:r>
    </w:p>
    <w:p w14:paraId="04394FA1">
      <w:pPr>
        <w:spacing w:line="360" w:lineRule="auto"/>
        <w:ind w:firstLine="480" w:firstLineChars="200"/>
        <w:rPr>
          <w:rFonts w:hint="eastAsia" w:asciiTheme="minorEastAsia" w:hAnsiTheme="minorEastAsia" w:eastAsiaTheme="minorEastAsia" w:cstheme="minorEastAsia"/>
          <w:sz w:val="24"/>
          <w:szCs w:val="28"/>
          <w:highlight w:val="none"/>
        </w:rPr>
      </w:pPr>
      <w:r>
        <w:rPr>
          <w:rFonts w:hint="eastAsia" w:asciiTheme="minorEastAsia" w:hAnsiTheme="minorEastAsia" w:eastAsiaTheme="minorEastAsia" w:cstheme="minorEastAsia"/>
          <w:sz w:val="24"/>
          <w:szCs w:val="28"/>
          <w:highlight w:val="none"/>
        </w:rPr>
        <w:t>各盟市自动监测站点</w:t>
      </w:r>
      <w:r>
        <w:rPr>
          <w:rFonts w:hint="eastAsia" w:asciiTheme="minorEastAsia" w:hAnsiTheme="minorEastAsia" w:eastAsiaTheme="minorEastAsia" w:cstheme="minorEastAsia"/>
          <w:sz w:val="24"/>
          <w:szCs w:val="28"/>
          <w:highlight w:val="none"/>
          <w:lang w:val="en-US" w:eastAsia="zh-CN"/>
        </w:rPr>
        <w:t>布局优化</w:t>
      </w:r>
      <w:r>
        <w:rPr>
          <w:rFonts w:hint="eastAsia" w:asciiTheme="minorEastAsia" w:hAnsiTheme="minorEastAsia" w:eastAsiaTheme="minorEastAsia" w:cstheme="minorEastAsia"/>
          <w:sz w:val="24"/>
          <w:szCs w:val="28"/>
          <w:highlight w:val="none"/>
        </w:rPr>
        <w:t>数量见表3-3。</w:t>
      </w:r>
    </w:p>
    <w:p w14:paraId="4C53D82C">
      <w:pPr>
        <w:widowControl/>
        <w:spacing w:before="120" w:beforeLines="50" w:after="120" w:afterLines="50" w:line="360" w:lineRule="auto"/>
        <w:contextualSpacing/>
        <w:jc w:val="center"/>
        <w:rPr>
          <w:rFonts w:hint="eastAsia" w:asciiTheme="minorEastAsia" w:hAnsiTheme="minorEastAsia" w:eastAsiaTheme="minorEastAsia" w:cstheme="minorEastAsia"/>
          <w:b/>
          <w:bCs/>
          <w:color w:val="000000"/>
          <w:kern w:val="0"/>
          <w:sz w:val="24"/>
          <w:szCs w:val="24"/>
          <w:highlight w:val="yellow"/>
        </w:rPr>
      </w:pPr>
      <w:r>
        <w:rPr>
          <w:rFonts w:hint="eastAsia" w:asciiTheme="minorEastAsia" w:hAnsiTheme="minorEastAsia" w:eastAsiaTheme="minorEastAsia" w:cstheme="minorEastAsia"/>
          <w:b/>
          <w:bCs/>
          <w:kern w:val="0"/>
          <w:sz w:val="24"/>
          <w:highlight w:val="none"/>
        </w:rPr>
        <w:t>表3-3各盟市自动监测站点</w:t>
      </w:r>
      <w:r>
        <w:rPr>
          <w:rFonts w:hint="eastAsia" w:asciiTheme="minorEastAsia" w:hAnsiTheme="minorEastAsia" w:eastAsiaTheme="minorEastAsia" w:cstheme="minorEastAsia"/>
          <w:b/>
          <w:bCs/>
          <w:kern w:val="0"/>
          <w:sz w:val="24"/>
          <w:highlight w:val="none"/>
          <w:lang w:val="en-US" w:eastAsia="zh-CN"/>
        </w:rPr>
        <w:t>布局优化</w:t>
      </w:r>
      <w:r>
        <w:rPr>
          <w:rFonts w:hint="eastAsia" w:asciiTheme="minorEastAsia" w:hAnsiTheme="minorEastAsia" w:eastAsiaTheme="minorEastAsia" w:cstheme="minorEastAsia"/>
          <w:b/>
          <w:bCs/>
          <w:kern w:val="0"/>
          <w:sz w:val="24"/>
          <w:highlight w:val="none"/>
        </w:rPr>
        <w:t>数量</w:t>
      </w:r>
    </w:p>
    <w:tbl>
      <w:tblPr>
        <w:tblStyle w:val="32"/>
        <w:tblW w:w="79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977"/>
        <w:gridCol w:w="3983"/>
      </w:tblGrid>
      <w:tr w14:paraId="5BC57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jc w:val="center"/>
        </w:trPr>
        <w:tc>
          <w:tcPr>
            <w:tcW w:w="7960" w:type="dxa"/>
            <w:gridSpan w:val="2"/>
            <w:tcBorders>
              <w:top w:val="single" w:color="000000" w:sz="4" w:space="0"/>
              <w:left w:val="single" w:color="000000" w:sz="4" w:space="0"/>
              <w:bottom w:val="single" w:color="000000" w:sz="4" w:space="0"/>
              <w:right w:val="single" w:color="000000" w:sz="4" w:space="0"/>
            </w:tcBorders>
            <w:shd w:val="clear" w:color="auto" w:fill="5A5A5A"/>
            <w:vAlign w:val="center"/>
          </w:tcPr>
          <w:p w14:paraId="7B8B3A67">
            <w:pPr>
              <w:keepNext w:val="0"/>
              <w:keepLines w:val="0"/>
              <w:widowControl/>
              <w:suppressLineNumbers w:val="0"/>
              <w:jc w:val="center"/>
              <w:textAlignment w:val="center"/>
              <w:rPr>
                <w:rFonts w:hint="default" w:ascii="微软雅黑" w:hAnsi="微软雅黑" w:eastAsia="微软雅黑" w:cs="微软雅黑"/>
                <w:b/>
                <w:bCs/>
                <w:i w:val="0"/>
                <w:iCs w:val="0"/>
                <w:color w:val="FFFFFF"/>
                <w:kern w:val="0"/>
                <w:sz w:val="32"/>
                <w:szCs w:val="32"/>
                <w:u w:val="none"/>
                <w:lang w:val="en-US" w:eastAsia="zh-CN" w:bidi="ar"/>
              </w:rPr>
            </w:pPr>
            <w:r>
              <w:rPr>
                <w:rFonts w:hint="eastAsia" w:ascii="微软雅黑" w:hAnsi="微软雅黑" w:eastAsia="微软雅黑" w:cs="微软雅黑"/>
                <w:b/>
                <w:bCs/>
                <w:i w:val="0"/>
                <w:iCs w:val="0"/>
                <w:color w:val="FFFFFF"/>
                <w:kern w:val="0"/>
                <w:sz w:val="32"/>
                <w:szCs w:val="32"/>
                <w:u w:val="none"/>
                <w:lang w:val="en-US" w:eastAsia="zh-CN" w:bidi="ar"/>
              </w:rPr>
              <w:t>自动监测站点布局优化</w:t>
            </w:r>
          </w:p>
        </w:tc>
      </w:tr>
      <w:tr w14:paraId="4F2DBC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jc w:val="center"/>
        </w:trPr>
        <w:tc>
          <w:tcPr>
            <w:tcW w:w="3977" w:type="dxa"/>
            <w:tcBorders>
              <w:top w:val="single" w:color="000000" w:sz="4" w:space="0"/>
              <w:left w:val="single" w:color="000000" w:sz="4" w:space="0"/>
              <w:bottom w:val="nil"/>
              <w:right w:val="single" w:color="000000" w:sz="4" w:space="0"/>
            </w:tcBorders>
            <w:shd w:val="clear" w:color="auto" w:fill="D9D9D9"/>
            <w:vAlign w:val="center"/>
          </w:tcPr>
          <w:p w14:paraId="0218115B">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盟市</w:t>
            </w:r>
          </w:p>
        </w:tc>
        <w:tc>
          <w:tcPr>
            <w:tcW w:w="3983" w:type="dxa"/>
            <w:tcBorders>
              <w:top w:val="single" w:color="000000" w:sz="4" w:space="0"/>
              <w:left w:val="single" w:color="000000" w:sz="4" w:space="0"/>
              <w:bottom w:val="nil"/>
              <w:right w:val="single" w:color="000000" w:sz="4" w:space="0"/>
            </w:tcBorders>
            <w:shd w:val="clear" w:color="auto" w:fill="D9D9D9"/>
            <w:vAlign w:val="center"/>
          </w:tcPr>
          <w:p w14:paraId="6EB52EEB">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布局优化雨量站（个）</w:t>
            </w:r>
          </w:p>
        </w:tc>
      </w:tr>
      <w:tr w14:paraId="017A4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6" w:hRule="atLeast"/>
          <w:jc w:val="center"/>
        </w:trPr>
        <w:tc>
          <w:tcPr>
            <w:tcW w:w="39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62D656">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全区合计</w:t>
            </w:r>
          </w:p>
        </w:tc>
        <w:tc>
          <w:tcPr>
            <w:tcW w:w="39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C112A6">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511</w:t>
            </w:r>
          </w:p>
        </w:tc>
      </w:tr>
      <w:tr w14:paraId="412E3C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6" w:hRule="atLeast"/>
          <w:jc w:val="center"/>
        </w:trPr>
        <w:tc>
          <w:tcPr>
            <w:tcW w:w="39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265BC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呼伦贝尔</w:t>
            </w:r>
          </w:p>
        </w:tc>
        <w:tc>
          <w:tcPr>
            <w:tcW w:w="39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98E08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49</w:t>
            </w:r>
          </w:p>
        </w:tc>
      </w:tr>
      <w:bookmarkEnd w:id="16"/>
    </w:tbl>
    <w:p w14:paraId="157F5DB0">
      <w:pPr>
        <w:keepNext w:val="0"/>
        <w:keepLines w:val="0"/>
        <w:pageBreakBefore w:val="0"/>
        <w:widowControl w:val="0"/>
        <w:numPr>
          <w:ilvl w:val="0"/>
          <w:numId w:val="7"/>
        </w:numPr>
        <w:kinsoku/>
        <w:wordWrap/>
        <w:overflowPunct/>
        <w:topLinePunct w:val="0"/>
        <w:autoSpaceDE/>
        <w:autoSpaceDN/>
        <w:bidi w:val="0"/>
        <w:adjustRightInd/>
        <w:snapToGrid/>
        <w:spacing w:before="157" w:beforeLines="50" w:line="360" w:lineRule="auto"/>
        <w:ind w:firstLine="482" w:firstLineChars="200"/>
        <w:textAlignment w:val="auto"/>
        <w:rPr>
          <w:rFonts w:hint="eastAsia" w:asciiTheme="minorEastAsia" w:hAnsiTheme="minorEastAsia" w:eastAsiaTheme="minorEastAsia" w:cstheme="minorEastAsia"/>
          <w:b/>
          <w:bCs/>
          <w:sz w:val="24"/>
          <w:szCs w:val="28"/>
          <w:highlight w:val="none"/>
          <w:lang w:val="en-US" w:eastAsia="zh-CN"/>
        </w:rPr>
      </w:pPr>
      <w:r>
        <w:rPr>
          <w:rFonts w:hint="eastAsia" w:asciiTheme="minorEastAsia" w:hAnsiTheme="minorEastAsia" w:eastAsiaTheme="minorEastAsia" w:cstheme="minorEastAsia"/>
          <w:b/>
          <w:bCs/>
          <w:sz w:val="24"/>
          <w:szCs w:val="28"/>
          <w:highlight w:val="none"/>
          <w:lang w:val="en-US" w:eastAsia="zh-CN"/>
        </w:rPr>
        <w:t>站点迁移原则</w:t>
      </w:r>
    </w:p>
    <w:p w14:paraId="610BD2B9">
      <w:pPr>
        <w:spacing w:line="360" w:lineRule="auto"/>
        <w:ind w:firstLine="480" w:firstLineChars="200"/>
        <w:rPr>
          <w:rFonts w:hint="eastAsia" w:asciiTheme="minorEastAsia" w:hAnsiTheme="minorEastAsia" w:eastAsiaTheme="minorEastAsia" w:cstheme="minorEastAsia"/>
          <w:sz w:val="24"/>
          <w:szCs w:val="28"/>
          <w:highlight w:val="none"/>
          <w:lang w:val="en-US" w:eastAsia="zh-CN"/>
        </w:rPr>
      </w:pPr>
      <w:r>
        <w:rPr>
          <w:rFonts w:hint="eastAsia" w:asciiTheme="minorEastAsia" w:hAnsiTheme="minorEastAsia" w:eastAsiaTheme="minorEastAsia" w:cstheme="minorEastAsia"/>
          <w:sz w:val="24"/>
          <w:szCs w:val="28"/>
          <w:highlight w:val="none"/>
          <w:lang w:val="en-US" w:eastAsia="zh-CN"/>
        </w:rPr>
        <w:t>站点迁移前应对现有站网布局进行评估，评估工作以内业分析为主，按照区域内山洪灾害雨水情监测现状，评估现有自动监测站点布局情况。</w:t>
      </w:r>
    </w:p>
    <w:p w14:paraId="3E0F063A">
      <w:pPr>
        <w:spacing w:line="360" w:lineRule="auto"/>
        <w:ind w:firstLine="480" w:firstLineChars="200"/>
        <w:rPr>
          <w:rFonts w:hint="eastAsia" w:asciiTheme="minorEastAsia" w:hAnsiTheme="minorEastAsia" w:eastAsiaTheme="minorEastAsia" w:cstheme="minorEastAsia"/>
          <w:sz w:val="24"/>
          <w:szCs w:val="28"/>
          <w:highlight w:val="none"/>
          <w:lang w:val="en-US" w:eastAsia="zh-CN"/>
        </w:rPr>
      </w:pPr>
      <w:r>
        <w:rPr>
          <w:rFonts w:hint="eastAsia" w:asciiTheme="minorEastAsia" w:hAnsiTheme="minorEastAsia" w:eastAsiaTheme="minorEastAsia" w:cstheme="minorEastAsia"/>
          <w:sz w:val="24"/>
          <w:szCs w:val="28"/>
          <w:highlight w:val="none"/>
          <w:lang w:val="en-US" w:eastAsia="zh-CN"/>
        </w:rPr>
        <w:t>分析已建自动监测雨量站是否存在位置相近、与气象站位置重复、站点处于山洪灾害危险区下游、站点下游无危险区，以及控制性工程上游非山洪灾害监测预警范围内存在雨量站等情况，需对上述位置站点进行迁移调整。</w:t>
      </w:r>
    </w:p>
    <w:p w14:paraId="3F6AC511">
      <w:pPr>
        <w:keepNext w:val="0"/>
        <w:keepLines w:val="0"/>
        <w:pageBreakBefore w:val="0"/>
        <w:widowControl w:val="0"/>
        <w:numPr>
          <w:ilvl w:val="0"/>
          <w:numId w:val="7"/>
        </w:numPr>
        <w:kinsoku/>
        <w:wordWrap/>
        <w:overflowPunct/>
        <w:topLinePunct w:val="0"/>
        <w:autoSpaceDE/>
        <w:autoSpaceDN/>
        <w:bidi w:val="0"/>
        <w:adjustRightInd/>
        <w:snapToGrid/>
        <w:spacing w:after="0" w:line="360" w:lineRule="auto"/>
        <w:ind w:left="0" w:leftChars="0" w:firstLine="482" w:firstLineChars="200"/>
        <w:textAlignment w:val="auto"/>
        <w:rPr>
          <w:rFonts w:hint="eastAsia" w:asciiTheme="minorEastAsia" w:hAnsiTheme="minorEastAsia" w:eastAsiaTheme="minorEastAsia" w:cstheme="minorEastAsia"/>
          <w:b/>
          <w:bCs/>
          <w:sz w:val="24"/>
          <w:szCs w:val="28"/>
          <w:highlight w:val="none"/>
          <w:lang w:val="en-US" w:eastAsia="zh-CN"/>
        </w:rPr>
      </w:pPr>
      <w:r>
        <w:rPr>
          <w:rFonts w:hint="eastAsia" w:asciiTheme="minorEastAsia" w:hAnsiTheme="minorEastAsia" w:eastAsiaTheme="minorEastAsia" w:cstheme="minorEastAsia"/>
          <w:b/>
          <w:bCs/>
          <w:sz w:val="24"/>
          <w:szCs w:val="28"/>
          <w:highlight w:val="none"/>
          <w:lang w:val="en-US" w:eastAsia="zh-CN"/>
        </w:rPr>
        <w:t>迁移位置选址要求</w:t>
      </w:r>
    </w:p>
    <w:p w14:paraId="3DBBA1DC">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1）观测场地应避开强风区，其周围应空旷、平坦、不受突变地形、树木和建筑物以及烟尘的影响。</w:t>
      </w:r>
    </w:p>
    <w:p w14:paraId="08EFD15D">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2）观测场不能完全避开建筑物，树木等障碍物的影响时，要求雨量器</w:t>
      </w:r>
      <w:r>
        <w:rPr>
          <w:rFonts w:hint="eastAsia" w:ascii="宋体" w:hAnsi="宋体" w:eastAsia="宋体" w:cs="宋体"/>
          <w:sz w:val="24"/>
          <w:szCs w:val="28"/>
          <w:lang w:eastAsia="zh-CN"/>
        </w:rPr>
        <w:t>（</w:t>
      </w:r>
      <w:r>
        <w:rPr>
          <w:rFonts w:hint="eastAsia" w:ascii="宋体" w:hAnsi="宋体" w:eastAsia="宋体" w:cs="宋体"/>
          <w:sz w:val="24"/>
          <w:szCs w:val="28"/>
        </w:rPr>
        <w:t>计）离开障碍物边缘的距离，至少为障碍物顶部与仪器口高差的2倍。</w:t>
      </w:r>
    </w:p>
    <w:p w14:paraId="50C1FA07">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3）在山区，观测场不宜设在陡坡上、峡谷内和风口处，要选择相对平坦的场地，使承雨器口至山顶的仰角不大于30°。</w:t>
      </w:r>
    </w:p>
    <w:p w14:paraId="24FD253A">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4）杆式雨量器</w:t>
      </w:r>
      <w:r>
        <w:rPr>
          <w:rFonts w:hint="eastAsia" w:ascii="宋体" w:hAnsi="宋体" w:eastAsia="宋体" w:cs="宋体"/>
          <w:sz w:val="24"/>
          <w:szCs w:val="28"/>
          <w:lang w:eastAsia="zh-CN"/>
        </w:rPr>
        <w:t>（</w:t>
      </w:r>
      <w:r>
        <w:rPr>
          <w:rFonts w:hint="eastAsia" w:ascii="宋体" w:hAnsi="宋体" w:eastAsia="宋体" w:cs="宋体"/>
          <w:sz w:val="24"/>
          <w:szCs w:val="28"/>
        </w:rPr>
        <w:t>计）应设置在当地雨期常年盛行风向的障碍物的侧风区，杆位离开障碍物边缘的距离，至少为障碍物高度的1.5倍。在多风的高山、出山口、近海岸地区的雨量站，不宜设置杆式雨量器</w:t>
      </w:r>
      <w:r>
        <w:rPr>
          <w:rFonts w:hint="eastAsia" w:ascii="宋体" w:hAnsi="宋体" w:eastAsia="宋体" w:cs="宋体"/>
          <w:sz w:val="24"/>
          <w:szCs w:val="28"/>
          <w:lang w:eastAsia="zh-CN"/>
        </w:rPr>
        <w:t>（</w:t>
      </w:r>
      <w:r>
        <w:rPr>
          <w:rFonts w:hint="eastAsia" w:ascii="宋体" w:hAnsi="宋体" w:eastAsia="宋体" w:cs="宋体"/>
          <w:sz w:val="24"/>
          <w:szCs w:val="28"/>
        </w:rPr>
        <w:t>计）。</w:t>
      </w:r>
    </w:p>
    <w:p w14:paraId="3DE56A56">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lang w:val="en-US" w:eastAsia="zh-CN"/>
        </w:rPr>
        <w:t>5</w:t>
      </w:r>
      <w:r>
        <w:rPr>
          <w:rFonts w:hint="eastAsia" w:ascii="宋体" w:hAnsi="宋体" w:eastAsia="宋体" w:cs="宋体"/>
          <w:sz w:val="24"/>
          <w:szCs w:val="28"/>
        </w:rPr>
        <w:t>）应测试观测场所在位置的通信条件。</w:t>
      </w:r>
    </w:p>
    <w:p w14:paraId="45201658">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lang w:val="en-US" w:eastAsia="zh-CN"/>
        </w:rPr>
        <w:t>6</w:t>
      </w:r>
      <w:r>
        <w:rPr>
          <w:rFonts w:hint="eastAsia" w:ascii="宋体" w:hAnsi="宋体" w:eastAsia="宋体" w:cs="宋体"/>
          <w:sz w:val="24"/>
          <w:szCs w:val="28"/>
        </w:rPr>
        <w:t>）原有观测场地如受各种建设影响已经不符合要求时，应重新选择，选择范围在2～3km</w:t>
      </w:r>
      <w:r>
        <w:rPr>
          <w:rFonts w:hint="eastAsia" w:ascii="宋体" w:hAnsi="宋体" w:eastAsia="宋体" w:cs="宋体"/>
          <w:sz w:val="24"/>
          <w:szCs w:val="28"/>
          <w:vertAlign w:val="superscript"/>
        </w:rPr>
        <w:t xml:space="preserve">2 </w:t>
      </w:r>
      <w:r>
        <w:rPr>
          <w:rFonts w:hint="eastAsia" w:ascii="宋体" w:hAnsi="宋体" w:eastAsia="宋体" w:cs="宋体"/>
          <w:sz w:val="24"/>
          <w:szCs w:val="28"/>
        </w:rPr>
        <w:t>内，并应符合上述要求。</w:t>
      </w:r>
    </w:p>
    <w:p w14:paraId="328853B1">
      <w:pPr>
        <w:keepNext w:val="0"/>
        <w:keepLines w:val="0"/>
        <w:pageBreakBefore w:val="0"/>
        <w:widowControl w:val="0"/>
        <w:numPr>
          <w:ilvl w:val="0"/>
          <w:numId w:val="7"/>
        </w:numPr>
        <w:kinsoku/>
        <w:wordWrap/>
        <w:overflowPunct/>
        <w:topLinePunct w:val="0"/>
        <w:autoSpaceDE/>
        <w:autoSpaceDN/>
        <w:bidi w:val="0"/>
        <w:adjustRightInd/>
        <w:snapToGrid/>
        <w:spacing w:after="0" w:line="360" w:lineRule="auto"/>
        <w:ind w:left="0" w:leftChars="0" w:firstLine="482" w:firstLineChars="200"/>
        <w:textAlignment w:val="auto"/>
        <w:rPr>
          <w:rFonts w:hint="default" w:asciiTheme="minorEastAsia" w:hAnsiTheme="minorEastAsia" w:eastAsiaTheme="minorEastAsia" w:cstheme="minorEastAsia"/>
          <w:b/>
          <w:bCs/>
          <w:sz w:val="24"/>
          <w:szCs w:val="28"/>
          <w:highlight w:val="none"/>
          <w:lang w:val="en-US" w:eastAsia="zh-CN"/>
        </w:rPr>
      </w:pPr>
      <w:r>
        <w:rPr>
          <w:rFonts w:hint="eastAsia" w:asciiTheme="minorEastAsia" w:hAnsiTheme="minorEastAsia" w:eastAsiaTheme="minorEastAsia" w:cstheme="minorEastAsia"/>
          <w:b/>
          <w:bCs/>
          <w:sz w:val="24"/>
          <w:szCs w:val="28"/>
          <w:highlight w:val="none"/>
          <w:lang w:val="en-US" w:eastAsia="zh-CN"/>
        </w:rPr>
        <w:t>迁移站点安装调试</w:t>
      </w:r>
    </w:p>
    <w:p w14:paraId="0B184954">
      <w:pPr>
        <w:spacing w:line="360" w:lineRule="auto"/>
        <w:ind w:firstLine="480" w:firstLineChars="200"/>
        <w:rPr>
          <w:rFonts w:hint="default" w:ascii="宋体" w:hAnsi="宋体" w:eastAsia="宋体" w:cs="宋体"/>
          <w:b/>
          <w:bCs/>
          <w:sz w:val="24"/>
          <w:szCs w:val="28"/>
          <w:highlight w:val="none"/>
          <w:lang w:val="en-US" w:eastAsia="zh-CN"/>
        </w:rPr>
      </w:pPr>
      <w:r>
        <w:rPr>
          <w:rFonts w:hint="eastAsia" w:asciiTheme="minorEastAsia" w:hAnsiTheme="minorEastAsia" w:eastAsiaTheme="minorEastAsia" w:cstheme="minorEastAsia"/>
          <w:sz w:val="24"/>
          <w:szCs w:val="28"/>
          <w:highlight w:val="none"/>
          <w:lang w:val="en-US" w:eastAsia="zh-CN"/>
        </w:rPr>
        <w:t>雨量站整体迁移，新地点位置重新建设基础。运输过程中需保证</w:t>
      </w:r>
      <w:r>
        <w:rPr>
          <w:rFonts w:hint="eastAsia" w:ascii="宋体" w:hAnsi="宋体" w:eastAsia="宋体" w:cs="宋体"/>
          <w:sz w:val="24"/>
          <w:szCs w:val="28"/>
        </w:rPr>
        <w:t>仪器各部分完整无损，</w:t>
      </w:r>
      <w:r>
        <w:rPr>
          <w:rFonts w:hint="eastAsia" w:ascii="宋体" w:hAnsi="宋体" w:eastAsia="宋体" w:cs="宋体"/>
          <w:sz w:val="24"/>
          <w:szCs w:val="28"/>
          <w:lang w:val="en-US" w:eastAsia="zh-CN"/>
        </w:rPr>
        <w:t>安装前</w:t>
      </w:r>
      <w:r>
        <w:rPr>
          <w:rFonts w:hint="eastAsia" w:ascii="宋体" w:hAnsi="宋体" w:eastAsia="宋体" w:cs="宋体"/>
          <w:sz w:val="24"/>
          <w:szCs w:val="28"/>
        </w:rPr>
        <w:t>检查确认仪器各部分传感器、显示记录器工作正常</w:t>
      </w:r>
      <w:r>
        <w:rPr>
          <w:rFonts w:hint="eastAsia" w:ascii="宋体" w:hAnsi="宋体" w:eastAsia="宋体" w:cs="宋体"/>
          <w:sz w:val="24"/>
          <w:szCs w:val="28"/>
          <w:lang w:val="en-US" w:eastAsia="zh-CN"/>
        </w:rPr>
        <w:t>后</w:t>
      </w:r>
      <w:r>
        <w:rPr>
          <w:rFonts w:hint="eastAsia" w:ascii="宋体" w:hAnsi="宋体" w:eastAsia="宋体" w:cs="宋体"/>
          <w:sz w:val="24"/>
          <w:szCs w:val="28"/>
        </w:rPr>
        <w:t>，方可投入安装。</w:t>
      </w:r>
      <w:r>
        <w:rPr>
          <w:rFonts w:hint="eastAsia" w:ascii="宋体" w:hAnsi="宋体" w:eastAsia="宋体" w:cs="宋体"/>
          <w:sz w:val="24"/>
          <w:szCs w:val="28"/>
          <w:lang w:val="en-US" w:eastAsia="zh-CN"/>
        </w:rPr>
        <w:t>安装完毕后需对雨量计进行调整，核准RTU显示雨量计数值与自治区山洪灾害监测预警平台数据相一致，保证汛期站点到报率（以自治区平台中到报率为准）达到95%以上</w:t>
      </w:r>
      <w:r>
        <w:rPr>
          <w:rFonts w:hint="eastAsia" w:ascii="宋体" w:hAnsi="宋体" w:eastAsia="宋体" w:cs="宋体"/>
          <w:sz w:val="24"/>
          <w:szCs w:val="28"/>
          <w:highlight w:val="none"/>
          <w:lang w:val="en-US" w:eastAsia="zh-CN"/>
        </w:rPr>
        <w:t>。</w:t>
      </w:r>
      <w:r>
        <w:rPr>
          <w:rFonts w:hint="eastAsia" w:asciiTheme="minorEastAsia" w:hAnsiTheme="minorEastAsia" w:eastAsiaTheme="minorEastAsia" w:cstheme="minorEastAsia"/>
          <w:b/>
          <w:bCs/>
          <w:kern w:val="0"/>
          <w:sz w:val="24"/>
          <w:szCs w:val="24"/>
          <w:highlight w:val="none"/>
          <w:lang w:val="en-US" w:eastAsia="zh-CN"/>
        </w:rPr>
        <w:t>迁移后的站点要求同步</w:t>
      </w:r>
      <w:r>
        <w:rPr>
          <w:rFonts w:hint="eastAsia" w:asciiTheme="minorEastAsia" w:hAnsiTheme="minorEastAsia" w:eastAsiaTheme="minorEastAsia" w:cstheme="minorEastAsia"/>
          <w:b/>
          <w:bCs/>
          <w:kern w:val="0"/>
          <w:sz w:val="24"/>
          <w:szCs w:val="24"/>
          <w:highlight w:val="none"/>
        </w:rPr>
        <w:t>并</w:t>
      </w:r>
      <w:r>
        <w:rPr>
          <w:rFonts w:hint="eastAsia" w:asciiTheme="minorEastAsia" w:hAnsiTheme="minorEastAsia" w:eastAsiaTheme="minorEastAsia" w:cstheme="minorEastAsia"/>
          <w:b/>
          <w:bCs/>
          <w:kern w:val="0"/>
          <w:sz w:val="24"/>
          <w:szCs w:val="24"/>
          <w:highlight w:val="none"/>
          <w:lang w:val="en-US" w:eastAsia="zh-CN"/>
        </w:rPr>
        <w:t>在</w:t>
      </w:r>
      <w:r>
        <w:rPr>
          <w:rFonts w:hint="eastAsia" w:asciiTheme="minorEastAsia" w:hAnsiTheme="minorEastAsia" w:eastAsiaTheme="minorEastAsia" w:cstheme="minorEastAsia"/>
          <w:b/>
          <w:bCs/>
          <w:color w:val="000000"/>
          <w:kern w:val="0"/>
          <w:sz w:val="24"/>
          <w:szCs w:val="24"/>
          <w:highlight w:val="none"/>
        </w:rPr>
        <w:t>山洪灾害自动监测站点运维APP</w:t>
      </w:r>
      <w:r>
        <w:rPr>
          <w:rFonts w:hint="eastAsia" w:asciiTheme="minorEastAsia" w:hAnsiTheme="minorEastAsia" w:eastAsiaTheme="minorEastAsia" w:cstheme="minorEastAsia"/>
          <w:b/>
          <w:bCs/>
          <w:color w:val="000000"/>
          <w:kern w:val="0"/>
          <w:sz w:val="24"/>
          <w:szCs w:val="24"/>
          <w:highlight w:val="none"/>
          <w:lang w:val="en-US" w:eastAsia="zh-CN"/>
        </w:rPr>
        <w:t>中</w:t>
      </w:r>
      <w:r>
        <w:rPr>
          <w:rFonts w:hint="eastAsia" w:asciiTheme="minorEastAsia" w:hAnsiTheme="minorEastAsia" w:eastAsiaTheme="minorEastAsia" w:cstheme="minorEastAsia"/>
          <w:b/>
          <w:bCs/>
          <w:kern w:val="0"/>
          <w:sz w:val="24"/>
          <w:szCs w:val="24"/>
          <w:highlight w:val="none"/>
        </w:rPr>
        <w:t>做好</w:t>
      </w:r>
      <w:r>
        <w:rPr>
          <w:rFonts w:hint="eastAsia" w:asciiTheme="minorEastAsia" w:hAnsiTheme="minorEastAsia" w:eastAsiaTheme="minorEastAsia" w:cstheme="minorEastAsia"/>
          <w:b/>
          <w:bCs/>
          <w:kern w:val="0"/>
          <w:sz w:val="24"/>
          <w:szCs w:val="24"/>
          <w:highlight w:val="none"/>
          <w:lang w:val="en-US" w:eastAsia="zh-CN"/>
        </w:rPr>
        <w:t>迁移</w:t>
      </w:r>
      <w:r>
        <w:rPr>
          <w:rFonts w:hint="eastAsia" w:asciiTheme="minorEastAsia" w:hAnsiTheme="minorEastAsia" w:eastAsiaTheme="minorEastAsia" w:cstheme="minorEastAsia"/>
          <w:b/>
          <w:bCs/>
          <w:kern w:val="0"/>
          <w:sz w:val="24"/>
          <w:szCs w:val="24"/>
          <w:highlight w:val="none"/>
        </w:rPr>
        <w:t>记</w:t>
      </w:r>
      <w:r>
        <w:rPr>
          <w:rFonts w:hint="eastAsia" w:asciiTheme="minorEastAsia" w:hAnsiTheme="minorEastAsia" w:eastAsiaTheme="minorEastAsia" w:cstheme="minorEastAsia"/>
          <w:b/>
          <w:bCs/>
          <w:kern w:val="0"/>
          <w:sz w:val="24"/>
          <w:szCs w:val="24"/>
          <w:highlight w:val="none"/>
          <w:lang w:val="en-US" w:eastAsia="zh-CN"/>
        </w:rPr>
        <w:t>录</w:t>
      </w:r>
      <w:r>
        <w:rPr>
          <w:rFonts w:hint="eastAsia" w:asciiTheme="minorEastAsia" w:hAnsiTheme="minorEastAsia" w:eastAsiaTheme="minorEastAsia" w:cstheme="minorEastAsia"/>
          <w:b/>
          <w:bCs/>
          <w:kern w:val="0"/>
          <w:sz w:val="24"/>
          <w:szCs w:val="24"/>
          <w:highlight w:val="none"/>
          <w:lang w:eastAsia="zh-CN"/>
        </w:rPr>
        <w:t>，</w:t>
      </w:r>
      <w:r>
        <w:rPr>
          <w:rFonts w:hint="eastAsia" w:asciiTheme="minorEastAsia" w:hAnsiTheme="minorEastAsia" w:eastAsiaTheme="minorEastAsia" w:cstheme="minorEastAsia"/>
          <w:b/>
          <w:bCs/>
          <w:kern w:val="0"/>
          <w:sz w:val="24"/>
          <w:szCs w:val="24"/>
          <w:highlight w:val="none"/>
          <w:lang w:val="en-US" w:eastAsia="zh-CN"/>
        </w:rPr>
        <w:t>盟市同步做好自治区山洪平台内迁移后的站点与所处危险区关联关系相关工作。各</w:t>
      </w:r>
      <w:r>
        <w:rPr>
          <w:rFonts w:hint="eastAsia" w:ascii="宋体" w:hAnsi="宋体" w:eastAsia="宋体" w:cs="宋体"/>
          <w:b/>
          <w:bCs/>
          <w:sz w:val="24"/>
          <w:szCs w:val="28"/>
          <w:highlight w:val="none"/>
          <w:lang w:val="en-US" w:eastAsia="zh-CN"/>
        </w:rPr>
        <w:t>盟市统一提交核定</w:t>
      </w:r>
      <w:r>
        <w:rPr>
          <w:rFonts w:hint="eastAsia" w:asciiTheme="minorEastAsia" w:hAnsiTheme="minorEastAsia" w:eastAsiaTheme="minorEastAsia" w:cstheme="minorEastAsia"/>
          <w:b/>
          <w:bCs/>
          <w:kern w:val="0"/>
          <w:sz w:val="24"/>
          <w:szCs w:val="24"/>
          <w:highlight w:val="none"/>
          <w:lang w:val="en-US" w:eastAsia="zh-CN"/>
        </w:rPr>
        <w:t>迁移后的站点基础信息后同步更新至三级山洪灾害监测预警平台，</w:t>
      </w:r>
      <w:r>
        <w:rPr>
          <w:rFonts w:hint="eastAsia" w:ascii="宋体" w:hAnsi="宋体" w:eastAsia="宋体" w:cs="宋体"/>
          <w:b/>
          <w:bCs/>
          <w:sz w:val="24"/>
          <w:szCs w:val="28"/>
          <w:highlight w:val="none"/>
          <w:lang w:val="en-US" w:eastAsia="zh-CN"/>
        </w:rPr>
        <w:t>如出现基础信息不准确等情况，经核定视实际情况次年不再安排运维经费。</w:t>
      </w:r>
    </w:p>
    <w:p w14:paraId="0C012072">
      <w:pPr>
        <w:keepNext w:val="0"/>
        <w:keepLines w:val="0"/>
        <w:pageBreakBefore w:val="0"/>
        <w:widowControl w:val="0"/>
        <w:numPr>
          <w:ilvl w:val="0"/>
          <w:numId w:val="7"/>
        </w:numPr>
        <w:kinsoku/>
        <w:wordWrap/>
        <w:overflowPunct/>
        <w:topLinePunct w:val="0"/>
        <w:autoSpaceDE/>
        <w:autoSpaceDN/>
        <w:bidi w:val="0"/>
        <w:adjustRightInd/>
        <w:snapToGrid/>
        <w:spacing w:after="0" w:line="360" w:lineRule="auto"/>
        <w:ind w:left="0" w:leftChars="0" w:firstLine="482" w:firstLineChars="200"/>
        <w:textAlignment w:val="auto"/>
        <w:rPr>
          <w:rFonts w:hint="eastAsia" w:asciiTheme="minorEastAsia" w:hAnsiTheme="minorEastAsia" w:eastAsiaTheme="minorEastAsia" w:cstheme="minorEastAsia"/>
          <w:b/>
          <w:bCs/>
          <w:sz w:val="24"/>
          <w:szCs w:val="28"/>
          <w:highlight w:val="none"/>
          <w:lang w:val="en-US" w:eastAsia="zh-CN"/>
        </w:rPr>
      </w:pPr>
      <w:r>
        <w:rPr>
          <w:rFonts w:hint="eastAsia" w:asciiTheme="minorEastAsia" w:hAnsiTheme="minorEastAsia" w:eastAsiaTheme="minorEastAsia" w:cstheme="minorEastAsia"/>
          <w:b/>
          <w:bCs/>
          <w:sz w:val="24"/>
          <w:szCs w:val="28"/>
          <w:highlight w:val="none"/>
          <w:lang w:val="en-US" w:eastAsia="zh-CN"/>
        </w:rPr>
        <w:t>迁移站点土建方案</w:t>
      </w:r>
    </w:p>
    <w:p w14:paraId="7C16A1DD">
      <w:pPr>
        <w:spacing w:line="360" w:lineRule="auto"/>
        <w:ind w:firstLine="480" w:firstLineChars="200"/>
        <w:rPr>
          <w:rFonts w:hint="eastAsia" w:ascii="宋体" w:hAnsi="宋体" w:eastAsia="宋体" w:cs="宋体"/>
          <w:sz w:val="24"/>
          <w:szCs w:val="28"/>
          <w:lang w:eastAsia="zh-CN"/>
        </w:rPr>
      </w:pPr>
      <w:r>
        <w:rPr>
          <w:rFonts w:hint="eastAsia" w:ascii="宋体" w:hAnsi="宋体" w:eastAsia="宋体" w:cs="宋体"/>
          <w:sz w:val="24"/>
          <w:szCs w:val="28"/>
          <w:lang w:eastAsia="zh-CN"/>
        </w:rPr>
        <w:t>立杆混凝土基础尺寸</w:t>
      </w:r>
      <w:r>
        <w:rPr>
          <w:rFonts w:hint="eastAsia" w:ascii="宋体" w:hAnsi="宋体" w:eastAsia="宋体" w:cs="宋体"/>
          <w:sz w:val="24"/>
          <w:szCs w:val="28"/>
          <w:lang w:val="en-US" w:eastAsia="zh-CN"/>
        </w:rPr>
        <w:t>为</w:t>
      </w:r>
      <w:r>
        <w:rPr>
          <w:rFonts w:hint="eastAsia" w:ascii="宋体" w:hAnsi="宋体" w:eastAsia="宋体" w:cs="宋体"/>
          <w:sz w:val="24"/>
          <w:szCs w:val="28"/>
          <w:lang w:eastAsia="zh-CN"/>
        </w:rPr>
        <w:t>600×600×800mm（地面下600mm，地上200mm）C25混凝土浇筑，立杆混凝土模板尺寸</w:t>
      </w:r>
      <w:r>
        <w:rPr>
          <w:rFonts w:hint="eastAsia" w:ascii="宋体" w:hAnsi="宋体" w:eastAsia="宋体" w:cs="宋体"/>
          <w:sz w:val="24"/>
          <w:szCs w:val="28"/>
          <w:lang w:val="en-US" w:eastAsia="zh-CN"/>
        </w:rPr>
        <w:t>为</w:t>
      </w:r>
      <w:r>
        <w:rPr>
          <w:rFonts w:hint="eastAsia" w:ascii="宋体" w:hAnsi="宋体" w:eastAsia="宋体" w:cs="宋体"/>
          <w:sz w:val="24"/>
          <w:szCs w:val="28"/>
          <w:lang w:eastAsia="zh-CN"/>
        </w:rPr>
        <w:t>600×600×200mm；立杆地笼钢筋采用4根DN20钢螺栓L=630mm（含10mm弯钩），地笼法兰采用400×400×10mm钢板，中间预留出线孔；金属围栏3</w:t>
      </w:r>
      <w:r>
        <w:rPr>
          <w:rFonts w:hint="eastAsia" w:ascii="宋体" w:hAnsi="宋体" w:eastAsia="宋体" w:cs="宋体"/>
          <w:sz w:val="24"/>
          <w:szCs w:val="28"/>
          <w:lang w:val="en-US" w:eastAsia="zh-CN"/>
        </w:rPr>
        <w:t>263</w:t>
      </w:r>
      <w:r>
        <w:rPr>
          <w:rFonts w:hint="eastAsia" w:ascii="宋体" w:hAnsi="宋体" w:eastAsia="宋体" w:cs="宋体"/>
          <w:sz w:val="24"/>
          <w:szCs w:val="28"/>
          <w:lang w:eastAsia="zh-CN"/>
        </w:rPr>
        <w:t>mm×</w:t>
      </w:r>
      <w:r>
        <w:rPr>
          <w:rFonts w:hint="eastAsia" w:ascii="宋体" w:hAnsi="宋体" w:eastAsia="宋体" w:cs="宋体"/>
          <w:sz w:val="24"/>
          <w:szCs w:val="28"/>
          <w:lang w:val="en-US" w:eastAsia="zh-CN"/>
        </w:rPr>
        <w:t>18</w:t>
      </w:r>
      <w:r>
        <w:rPr>
          <w:rFonts w:hint="eastAsia" w:ascii="宋体" w:hAnsi="宋体" w:eastAsia="宋体" w:cs="宋体"/>
          <w:sz w:val="24"/>
          <w:szCs w:val="28"/>
          <w:lang w:eastAsia="zh-CN"/>
        </w:rPr>
        <w:t>00mm×</w:t>
      </w:r>
      <w:r>
        <w:rPr>
          <w:rFonts w:hint="eastAsia" w:ascii="宋体" w:hAnsi="宋体" w:eastAsia="宋体" w:cs="宋体"/>
          <w:sz w:val="24"/>
          <w:szCs w:val="28"/>
          <w:lang w:val="en-US" w:eastAsia="zh-CN"/>
        </w:rPr>
        <w:t>4</w:t>
      </w:r>
      <w:r>
        <w:rPr>
          <w:rFonts w:hint="eastAsia" w:ascii="宋体" w:hAnsi="宋体" w:eastAsia="宋体" w:cs="宋体"/>
          <w:sz w:val="24"/>
          <w:szCs w:val="28"/>
          <w:lang w:eastAsia="zh-CN"/>
        </w:rPr>
        <w:t>，围栏采用铁艺式，四面封闭，西侧北角为入口门；金属围栏基础土方400mm×400mm×500mm；金属围栏基础混凝土围栏基础采用5个嵌入地下的梯形混凝土基础墩，预埋焊接件，围栏四边角及大门立柱各设一墩基础（上口300mm×300mm×200mm，下口400mm×400mm×500mm）；金属围栏混凝土模板</w:t>
      </w:r>
      <w:r>
        <w:rPr>
          <w:rFonts w:hint="eastAsia" w:ascii="宋体" w:hAnsi="宋体" w:eastAsia="宋体" w:cs="宋体"/>
          <w:sz w:val="24"/>
          <w:szCs w:val="28"/>
          <w:lang w:val="en-US" w:eastAsia="zh-CN"/>
        </w:rPr>
        <w:t>为</w:t>
      </w:r>
      <w:r>
        <w:rPr>
          <w:rFonts w:hint="eastAsia" w:ascii="宋体" w:hAnsi="宋体" w:eastAsia="宋体" w:cs="宋体"/>
          <w:sz w:val="24"/>
          <w:szCs w:val="28"/>
          <w:lang w:eastAsia="zh-CN"/>
        </w:rPr>
        <w:t>300mm×300mm×200mm，金属围栏基础主柱</w:t>
      </w:r>
      <w:r>
        <w:rPr>
          <w:rFonts w:hint="eastAsia" w:ascii="宋体" w:hAnsi="宋体" w:eastAsia="宋体" w:cs="宋体"/>
          <w:sz w:val="24"/>
          <w:szCs w:val="28"/>
          <w:lang w:val="en-US" w:eastAsia="zh-CN"/>
        </w:rPr>
        <w:t>为</w:t>
      </w:r>
      <w:r>
        <w:rPr>
          <w:rFonts w:hint="eastAsia" w:ascii="宋体" w:hAnsi="宋体" w:eastAsia="宋体" w:cs="宋体"/>
          <w:sz w:val="24"/>
          <w:szCs w:val="28"/>
          <w:lang w:eastAsia="zh-CN"/>
        </w:rPr>
        <w:t>立柱镀锌方钢采用80mm×80mm×1800mm；金属围栏门</w:t>
      </w:r>
      <w:r>
        <w:rPr>
          <w:rFonts w:hint="eastAsia" w:ascii="宋体" w:hAnsi="宋体" w:eastAsia="宋体" w:cs="宋体"/>
          <w:sz w:val="24"/>
          <w:szCs w:val="28"/>
          <w:lang w:val="en-US" w:eastAsia="zh-CN"/>
        </w:rPr>
        <w:t>为</w:t>
      </w:r>
      <w:r>
        <w:rPr>
          <w:rFonts w:hint="eastAsia" w:ascii="宋体" w:hAnsi="宋体" w:eastAsia="宋体" w:cs="宋体"/>
          <w:sz w:val="24"/>
          <w:szCs w:val="28"/>
          <w:lang w:eastAsia="zh-CN"/>
        </w:rPr>
        <w:t>1050mm×1800mm（含门五金配件）。</w:t>
      </w:r>
    </w:p>
    <w:p w14:paraId="7A6F85D7">
      <w:pPr>
        <w:spacing w:line="360" w:lineRule="auto"/>
        <w:ind w:firstLine="480" w:firstLineChars="200"/>
        <w:rPr>
          <w:rFonts w:hint="eastAsia" w:ascii="宋体" w:hAnsi="宋体" w:eastAsia="宋体" w:cs="宋体"/>
          <w:sz w:val="24"/>
          <w:szCs w:val="28"/>
          <w:lang w:val="en-US" w:eastAsia="zh-CN"/>
        </w:rPr>
        <w:sectPr>
          <w:footerReference r:id="rId6" w:type="default"/>
          <w:pgSz w:w="11910" w:h="16840"/>
          <w:pgMar w:top="1440" w:right="1800" w:bottom="1440" w:left="1800" w:header="851" w:footer="992" w:gutter="0"/>
          <w:pgNumType w:fmt="decimal"/>
          <w:cols w:space="720" w:num="1"/>
          <w:docGrid w:linePitch="312" w:charSpace="0"/>
        </w:sectPr>
      </w:pPr>
    </w:p>
    <w:p w14:paraId="7FF62B61">
      <w:pPr>
        <w:spacing w:line="360" w:lineRule="auto"/>
        <w:ind w:firstLine="420" w:firstLineChars="200"/>
        <w:rPr>
          <w:rFonts w:hint="eastAsia" w:eastAsia="宋体"/>
          <w:lang w:val="en" w:eastAsia="zh-CN"/>
        </w:rPr>
      </w:pPr>
      <w:r>
        <w:rPr>
          <w:rFonts w:hint="eastAsia" w:eastAsia="宋体"/>
          <w:lang w:val="en" w:eastAsia="zh-CN"/>
        </w:rPr>
        <w:drawing>
          <wp:inline distT="0" distB="0" distL="114300" distR="114300">
            <wp:extent cx="8856980" cy="4473575"/>
            <wp:effectExtent l="0" t="0" r="1270" b="3175"/>
            <wp:docPr id="5" name="图片 1" descr="1711933924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1711933924529"/>
                    <pic:cNvPicPr>
                      <a:picLocks noChangeAspect="1"/>
                    </pic:cNvPicPr>
                  </pic:nvPicPr>
                  <pic:blipFill>
                    <a:blip r:embed="rId8"/>
                    <a:stretch>
                      <a:fillRect/>
                    </a:stretch>
                  </pic:blipFill>
                  <pic:spPr>
                    <a:xfrm>
                      <a:off x="0" y="0"/>
                      <a:ext cx="8856980" cy="4473575"/>
                    </a:xfrm>
                    <a:prstGeom prst="rect">
                      <a:avLst/>
                    </a:prstGeom>
                    <a:noFill/>
                    <a:ln>
                      <a:noFill/>
                    </a:ln>
                  </pic:spPr>
                </pic:pic>
              </a:graphicData>
            </a:graphic>
          </wp:inline>
        </w:drawing>
      </w:r>
    </w:p>
    <w:p w14:paraId="410280DB">
      <w:pPr>
        <w:spacing w:line="360" w:lineRule="auto"/>
        <w:jc w:val="center"/>
        <w:rPr>
          <w:rFonts w:hint="eastAsia" w:eastAsia="宋体"/>
          <w:lang w:val="en-US" w:eastAsia="zh-CN"/>
        </w:rPr>
      </w:pPr>
      <w:r>
        <w:rPr>
          <w:rFonts w:hint="eastAsia" w:ascii="宋体" w:hAnsi="宋体" w:eastAsia="宋体" w:cs="宋体"/>
          <w:kern w:val="0"/>
          <w:sz w:val="24"/>
          <w:szCs w:val="24"/>
          <w:lang w:val="zh-CN"/>
        </w:rPr>
        <w:t>图 3-</w:t>
      </w:r>
      <w:r>
        <w:rPr>
          <w:rFonts w:hint="eastAsia" w:ascii="宋体" w:hAnsi="宋体" w:eastAsia="宋体" w:cs="宋体"/>
          <w:kern w:val="0"/>
          <w:sz w:val="24"/>
          <w:szCs w:val="24"/>
          <w:lang w:val="en-US" w:eastAsia="zh-CN"/>
        </w:rPr>
        <w:t>3-1 雨量站安装示意图</w:t>
      </w:r>
    </w:p>
    <w:p w14:paraId="544C0EBC">
      <w:pPr>
        <w:spacing w:line="360" w:lineRule="auto"/>
        <w:ind w:firstLine="480" w:firstLineChars="200"/>
        <w:rPr>
          <w:rFonts w:hint="eastAsia" w:ascii="宋体" w:hAnsi="宋体" w:eastAsia="宋体" w:cs="宋体"/>
          <w:sz w:val="24"/>
          <w:szCs w:val="28"/>
          <w:lang w:val="en-US" w:eastAsia="zh-CN"/>
        </w:rPr>
      </w:pPr>
    </w:p>
    <w:p w14:paraId="2945395E">
      <w:pPr>
        <w:spacing w:line="360" w:lineRule="auto"/>
        <w:ind w:firstLine="480" w:firstLineChars="200"/>
        <w:rPr>
          <w:rFonts w:hint="eastAsia" w:ascii="宋体" w:hAnsi="宋体" w:eastAsia="宋体" w:cs="宋体"/>
          <w:sz w:val="24"/>
          <w:szCs w:val="28"/>
          <w:lang w:val="en-US" w:eastAsia="zh-CN"/>
        </w:rPr>
        <w:sectPr>
          <w:pgSz w:w="16840" w:h="11910" w:orient="landscape"/>
          <w:pgMar w:top="1800" w:right="1440" w:bottom="1800" w:left="1440" w:header="851" w:footer="992" w:gutter="0"/>
          <w:pgNumType w:fmt="decimal"/>
          <w:cols w:space="720" w:num="1"/>
          <w:docGrid w:linePitch="312" w:charSpace="0"/>
        </w:sectPr>
      </w:pPr>
    </w:p>
    <w:p w14:paraId="2CC9137C">
      <w:pPr>
        <w:keepNext w:val="0"/>
        <w:keepLines w:val="0"/>
        <w:pageBreakBefore w:val="0"/>
        <w:widowControl w:val="0"/>
        <w:numPr>
          <w:ilvl w:val="0"/>
          <w:numId w:val="7"/>
        </w:numPr>
        <w:kinsoku/>
        <w:wordWrap/>
        <w:overflowPunct/>
        <w:topLinePunct w:val="0"/>
        <w:autoSpaceDE/>
        <w:autoSpaceDN/>
        <w:bidi w:val="0"/>
        <w:adjustRightInd/>
        <w:snapToGrid/>
        <w:spacing w:after="0" w:line="360" w:lineRule="auto"/>
        <w:ind w:left="0" w:leftChars="0" w:firstLine="482" w:firstLineChars="200"/>
        <w:textAlignment w:val="auto"/>
        <w:rPr>
          <w:rFonts w:hint="default" w:asciiTheme="minorEastAsia" w:hAnsiTheme="minorEastAsia" w:eastAsiaTheme="minorEastAsia" w:cstheme="minorEastAsia"/>
          <w:b/>
          <w:bCs/>
          <w:sz w:val="24"/>
          <w:szCs w:val="28"/>
          <w:highlight w:val="none"/>
          <w:lang w:val="en-US" w:eastAsia="zh-CN"/>
        </w:rPr>
      </w:pPr>
      <w:r>
        <w:rPr>
          <w:rFonts w:hint="eastAsia" w:asciiTheme="minorEastAsia" w:hAnsiTheme="minorEastAsia" w:eastAsiaTheme="minorEastAsia" w:cstheme="minorEastAsia"/>
          <w:b/>
          <w:bCs/>
          <w:sz w:val="24"/>
          <w:szCs w:val="28"/>
          <w:highlight w:val="none"/>
          <w:lang w:val="en-US" w:eastAsia="zh-CN"/>
        </w:rPr>
        <w:t>迁移站点名录</w:t>
      </w:r>
    </w:p>
    <w:p w14:paraId="35BB3867">
      <w:pPr>
        <w:widowControl/>
        <w:spacing w:before="156" w:beforeLines="50" w:line="360" w:lineRule="auto"/>
        <w:ind w:firstLine="480" w:firstLineChars="200"/>
        <w:rPr>
          <w:rFonts w:hint="default" w:asciiTheme="minorEastAsia" w:hAnsiTheme="minorEastAsia" w:eastAsiaTheme="minorEastAsia" w:cstheme="minorEastAsia"/>
          <w:sz w:val="24"/>
          <w:szCs w:val="28"/>
          <w:highlight w:val="none"/>
          <w:lang w:val="en-US" w:eastAsia="zh-CN"/>
        </w:rPr>
      </w:pPr>
      <w:r>
        <w:rPr>
          <w:rFonts w:hint="eastAsia" w:ascii="宋体" w:hAnsi="宋体" w:eastAsia="宋体" w:cs="宋体"/>
          <w:sz w:val="24"/>
          <w:szCs w:val="24"/>
        </w:rPr>
        <w:t>根据雨量站</w:t>
      </w:r>
      <w:r>
        <w:rPr>
          <w:rFonts w:hint="eastAsia" w:ascii="宋体" w:hAnsi="宋体" w:eastAsia="宋体" w:cs="宋体"/>
          <w:sz w:val="24"/>
          <w:szCs w:val="24"/>
          <w:lang w:val="en-US" w:eastAsia="zh-CN"/>
        </w:rPr>
        <w:t>迁移</w:t>
      </w:r>
      <w:r>
        <w:rPr>
          <w:rFonts w:hint="eastAsia" w:ascii="宋体" w:hAnsi="宋体" w:eastAsia="宋体" w:cs="宋体"/>
          <w:sz w:val="24"/>
          <w:szCs w:val="24"/>
        </w:rPr>
        <w:t>原则，</w:t>
      </w:r>
      <w:r>
        <w:rPr>
          <w:rFonts w:hint="eastAsia" w:ascii="宋体" w:hAnsi="宋体" w:eastAsia="宋体" w:cs="宋体"/>
          <w:sz w:val="24"/>
          <w:szCs w:val="24"/>
          <w:lang w:val="en-US" w:eastAsia="zh-CN"/>
        </w:rPr>
        <w:t>对本</w:t>
      </w:r>
      <w:r>
        <w:rPr>
          <w:rFonts w:hint="eastAsia" w:ascii="宋体" w:hAnsi="宋体" w:eastAsia="宋体" w:cs="宋体"/>
          <w:sz w:val="24"/>
          <w:szCs w:val="24"/>
        </w:rPr>
        <w:t>年度</w:t>
      </w:r>
      <w:r>
        <w:rPr>
          <w:rFonts w:hint="eastAsia" w:ascii="宋体" w:hAnsi="宋体" w:eastAsia="宋体" w:cs="宋体"/>
          <w:sz w:val="24"/>
          <w:szCs w:val="24"/>
          <w:lang w:val="en-US" w:eastAsia="zh-CN"/>
        </w:rPr>
        <w:t>迁移</w:t>
      </w:r>
      <w:r>
        <w:rPr>
          <w:rFonts w:hint="eastAsia" w:ascii="宋体" w:hAnsi="宋体" w:eastAsia="宋体" w:cs="宋体"/>
          <w:sz w:val="24"/>
          <w:szCs w:val="24"/>
        </w:rPr>
        <w:t>雨量站进行初步</w:t>
      </w:r>
      <w:r>
        <w:rPr>
          <w:rFonts w:hint="eastAsia" w:ascii="宋体" w:hAnsi="宋体" w:eastAsia="宋体" w:cs="宋体"/>
          <w:sz w:val="24"/>
          <w:szCs w:val="24"/>
          <w:lang w:val="en-US" w:eastAsia="zh-CN"/>
        </w:rPr>
        <w:t>布设</w:t>
      </w:r>
      <w:r>
        <w:rPr>
          <w:rFonts w:hint="eastAsia" w:ascii="宋体" w:hAnsi="宋体" w:eastAsia="宋体" w:cs="宋体"/>
          <w:sz w:val="24"/>
          <w:szCs w:val="24"/>
        </w:rPr>
        <w:t>，各盟市在具体实施过程中可</w:t>
      </w:r>
      <w:r>
        <w:rPr>
          <w:rFonts w:hint="eastAsia" w:ascii="宋体" w:hAnsi="宋体" w:eastAsia="宋体" w:cs="宋体"/>
          <w:sz w:val="24"/>
          <w:szCs w:val="24"/>
          <w:highlight w:val="none"/>
        </w:rPr>
        <w:t>对站点位置结合实际情况进行调整，调整后的站点基础信息报水利厅。具体</w:t>
      </w:r>
      <w:r>
        <w:rPr>
          <w:rFonts w:hint="eastAsia" w:ascii="宋体" w:hAnsi="宋体" w:eastAsia="宋体" w:cs="宋体"/>
          <w:sz w:val="24"/>
          <w:szCs w:val="24"/>
          <w:highlight w:val="none"/>
          <w:lang w:val="en-US" w:eastAsia="zh-CN"/>
        </w:rPr>
        <w:t>迁移</w:t>
      </w:r>
      <w:r>
        <w:rPr>
          <w:rFonts w:hint="eastAsia" w:ascii="宋体" w:hAnsi="宋体" w:eastAsia="宋体" w:cs="宋体"/>
          <w:sz w:val="24"/>
          <w:szCs w:val="24"/>
          <w:highlight w:val="none"/>
        </w:rPr>
        <w:t>位置见下</w:t>
      </w:r>
      <w:r>
        <w:rPr>
          <w:rFonts w:hint="eastAsia" w:ascii="宋体" w:hAnsi="宋体" w:eastAsia="宋体" w:cs="宋体"/>
          <w:sz w:val="24"/>
          <w:szCs w:val="24"/>
          <w:highlight w:val="none"/>
          <w:lang w:val="en-US" w:eastAsia="zh-CN"/>
        </w:rPr>
        <w:t>表和</w:t>
      </w:r>
      <w:r>
        <w:rPr>
          <w:rFonts w:hint="eastAsia" w:ascii="宋体" w:hAnsi="宋体" w:eastAsia="宋体" w:cs="宋体"/>
          <w:sz w:val="24"/>
          <w:szCs w:val="24"/>
          <w:highlight w:val="none"/>
        </w:rPr>
        <w:t>图。</w:t>
      </w:r>
    </w:p>
    <w:p w14:paraId="00A3A382">
      <w:pPr>
        <w:pStyle w:val="28"/>
        <w:rPr>
          <w:highlight w:val="none"/>
        </w:rPr>
      </w:pPr>
    </w:p>
    <w:tbl>
      <w:tblPr>
        <w:tblStyle w:val="32"/>
        <w:tblW w:w="216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26"/>
        <w:gridCol w:w="1459"/>
        <w:gridCol w:w="2359"/>
        <w:gridCol w:w="1498"/>
        <w:gridCol w:w="1351"/>
        <w:gridCol w:w="1366"/>
        <w:gridCol w:w="2065"/>
        <w:gridCol w:w="626"/>
        <w:gridCol w:w="1355"/>
        <w:gridCol w:w="2910"/>
        <w:gridCol w:w="1348"/>
        <w:gridCol w:w="1223"/>
        <w:gridCol w:w="1323"/>
        <w:gridCol w:w="2111"/>
      </w:tblGrid>
      <w:tr w14:paraId="0AD2B7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8" w:hRule="atLeast"/>
        </w:trPr>
        <w:tc>
          <w:tcPr>
            <w:tcW w:w="21620" w:type="dxa"/>
            <w:gridSpan w:val="1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B753F">
            <w:pPr>
              <w:keepNext w:val="0"/>
              <w:keepLines w:val="0"/>
              <w:widowControl/>
              <w:suppressLineNumbers w:val="0"/>
              <w:jc w:val="center"/>
              <w:textAlignment w:val="center"/>
              <w:rPr>
                <w:rFonts w:hint="eastAsia" w:ascii="宋体" w:hAnsi="宋体" w:eastAsia="宋体" w:cs="宋体"/>
                <w:i w:val="0"/>
                <w:iCs w:val="0"/>
                <w:color w:val="000000"/>
                <w:sz w:val="40"/>
                <w:szCs w:val="40"/>
                <w:u w:val="none"/>
              </w:rPr>
            </w:pPr>
            <w:r>
              <w:rPr>
                <w:rFonts w:hint="eastAsia" w:ascii="宋体" w:hAnsi="宋体" w:eastAsia="宋体" w:cs="宋体"/>
                <w:i w:val="0"/>
                <w:iCs w:val="0"/>
                <w:color w:val="000000"/>
                <w:kern w:val="0"/>
                <w:sz w:val="32"/>
                <w:szCs w:val="32"/>
                <w:u w:val="none"/>
                <w:lang w:val="en-US" w:eastAsia="zh-CN" w:bidi="ar"/>
              </w:rPr>
              <w:t>站点迁移名录</w:t>
            </w:r>
          </w:p>
        </w:tc>
      </w:tr>
      <w:tr w14:paraId="51FEA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8" w:hRule="atLeast"/>
        </w:trPr>
        <w:tc>
          <w:tcPr>
            <w:tcW w:w="10724"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406BB">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原站点位置</w:t>
            </w:r>
          </w:p>
        </w:tc>
        <w:tc>
          <w:tcPr>
            <w:tcW w:w="10896"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2DB96">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计划迁移位置</w:t>
            </w:r>
          </w:p>
        </w:tc>
      </w:tr>
      <w:tr w14:paraId="22BBBD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55D1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5DBD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 xml:space="preserve">测站编码 </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94492">
            <w:pPr>
              <w:keepNext w:val="0"/>
              <w:keepLines w:val="0"/>
              <w:widowControl/>
              <w:suppressLineNumbers w:val="0"/>
              <w:jc w:val="center"/>
              <w:textAlignment w:val="center"/>
              <w:rPr>
                <w:rFonts w:hint="default" w:ascii="宋体" w:hAnsi="宋体" w:eastAsia="宋体" w:cs="宋体"/>
                <w:b/>
                <w:bCs/>
                <w:i w:val="0"/>
                <w:iCs w:val="0"/>
                <w:color w:val="000000"/>
                <w:sz w:val="24"/>
                <w:szCs w:val="24"/>
                <w:u w:val="none"/>
                <w:lang w:val="en-US"/>
              </w:rPr>
            </w:pPr>
            <w:r>
              <w:rPr>
                <w:rFonts w:hint="eastAsia" w:ascii="宋体" w:hAnsi="宋体" w:eastAsia="宋体" w:cs="宋体"/>
                <w:b/>
                <w:bCs/>
                <w:i w:val="0"/>
                <w:iCs w:val="0"/>
                <w:color w:val="000000"/>
                <w:kern w:val="0"/>
                <w:sz w:val="24"/>
                <w:szCs w:val="24"/>
                <w:u w:val="none"/>
                <w:lang w:val="en-US" w:eastAsia="zh-CN" w:bidi="ar"/>
              </w:rPr>
              <w:t>测站名称</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6530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经度</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BF59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cs="宋体"/>
                <w:b/>
                <w:bCs/>
                <w:i w:val="0"/>
                <w:iCs w:val="0"/>
                <w:color w:val="000000"/>
                <w:kern w:val="0"/>
                <w:sz w:val="24"/>
                <w:szCs w:val="24"/>
                <w:u w:val="none"/>
                <w:lang w:val="en-US" w:eastAsia="zh-CN" w:bidi="ar"/>
              </w:rPr>
              <w:t>纬度</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B666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盟市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2CB4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旗县</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83D4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0CBF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 xml:space="preserve">测站编码 </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A839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测站名称</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961F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经度</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D3AB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cs="宋体"/>
                <w:b/>
                <w:bCs/>
                <w:i w:val="0"/>
                <w:iCs w:val="0"/>
                <w:color w:val="000000"/>
                <w:kern w:val="0"/>
                <w:sz w:val="24"/>
                <w:szCs w:val="24"/>
                <w:u w:val="none"/>
                <w:lang w:val="en-US" w:eastAsia="zh-CN" w:bidi="ar"/>
              </w:rPr>
              <w:t>纬度</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1448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盟市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F6B5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旗县</w:t>
            </w:r>
          </w:p>
        </w:tc>
      </w:tr>
      <w:tr w14:paraId="5393E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2F1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276</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FD3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10322300</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01E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库原</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9F2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121.388667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DF5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49.881167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AB5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8DE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牙克石市</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FDB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276</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EA5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10322300</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F84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库原</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5A7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121.385380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924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49.863900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C0A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D24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牙克石市</w:t>
            </w:r>
          </w:p>
        </w:tc>
      </w:tr>
      <w:tr w14:paraId="0ABED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EC9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277</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D8D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10322400</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9F9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岩山</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A88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121.268444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13A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49.706528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890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F65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牙克石市</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1A4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277</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AC4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10322400</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53F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岩山</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64A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121.301346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349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49.814032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C34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8C8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牙克石市</w:t>
            </w:r>
          </w:p>
        </w:tc>
      </w:tr>
      <w:tr w14:paraId="09614F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7CE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278</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187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10322600</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DD9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西乌旗</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DE4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121.395167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23F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49.640250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079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AF5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牙克石市</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629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278</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FC3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10322600</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F6B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西乌旗</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48E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121.414250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93C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49.649622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277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9FC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牙克石市</w:t>
            </w:r>
          </w:p>
        </w:tc>
      </w:tr>
      <w:tr w14:paraId="677D3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516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279</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37B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11226050</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7C3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大门庄</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CD9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124.305833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054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48.990000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58B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2EC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莫力达瓦达斡尔族自治旗</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FE3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279</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D77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11226050</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AB4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大门庄</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5CB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124.300520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6AE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48.994000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AD8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905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莫力达瓦达斡尔族自治旗</w:t>
            </w:r>
          </w:p>
        </w:tc>
      </w:tr>
      <w:tr w14:paraId="63ACB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0F3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280</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FC1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10210100</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650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西乌齐亚河</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913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121.463400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495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50.780000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B5C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53F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根河市</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FF1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280</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C94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10210100</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D33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西乌齐亚河</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4D4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121.454558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476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50.795174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203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F49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根河市</w:t>
            </w:r>
          </w:p>
        </w:tc>
      </w:tr>
      <w:tr w14:paraId="5D0C0C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F59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281</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8A0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10215600</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E2D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金河</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373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121.518600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C48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51.335500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60E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0EE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根河市</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7F9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281</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4E0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10215600</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245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金河</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C3F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121.463538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993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51.317097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F4E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171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根河市</w:t>
            </w:r>
          </w:p>
        </w:tc>
      </w:tr>
      <w:tr w14:paraId="1DEE47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933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282</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8FC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11322550</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41A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双北村七组</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F17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122.433767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068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48.180467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FB5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7DC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扎兰屯市</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A42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282</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BC0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11322550</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556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双北村七组</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BC3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122.432595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6F2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48.216677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26C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FBF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扎兰屯市</w:t>
            </w:r>
          </w:p>
        </w:tc>
      </w:tr>
      <w:tr w14:paraId="03AAA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358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283</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714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11225820</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665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宜里农场4队</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E80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124.029153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913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49.551422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A55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FB5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鄂伦春自治旗</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073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283</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00E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11225820</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B6A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宜里农场4队</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3E6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123.961673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37E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49.586492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06B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9FD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鄂伦春自治旗</w:t>
            </w:r>
          </w:p>
        </w:tc>
      </w:tr>
      <w:tr w14:paraId="6E3EB8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74A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284</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5FD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10324600</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EC6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八号农场</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113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120.951667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3CD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49.302778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8E9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D0F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牙克石市</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CF3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284</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E28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10324600</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732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八号农场</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984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120.766625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B23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49.259185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0D3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EAC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牙克石市</w:t>
            </w:r>
          </w:p>
        </w:tc>
      </w:tr>
      <w:tr w14:paraId="6B11F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3E7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285</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8FA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11225860</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FE2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卧罗河村二组</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279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124.271958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0D1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49.473025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F76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2B3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鄂伦春自治旗</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9CD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285</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B8F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11225860</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1A7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卧罗河村二组</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5FB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124.249538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8F9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49.504484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F48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27F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鄂伦春自治旗</w:t>
            </w:r>
          </w:p>
        </w:tc>
      </w:tr>
      <w:tr w14:paraId="7CFDA7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13B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286</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AB9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11225940</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BBC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葛根台</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E19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124.788889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F73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49.430000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4D3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AC8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莫力达瓦达斡尔族自治旗</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3C5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286</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FEF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11225940</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62F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葛根台</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E56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124.652070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D6B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49.593348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616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35D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莫力达瓦达斡尔族自治旗</w:t>
            </w:r>
          </w:p>
        </w:tc>
      </w:tr>
      <w:tr w14:paraId="6CBEA6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1D7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287</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2CE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11340320</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BA2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塔政</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B60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121.196694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05A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47.972389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2AC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25C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牙克石市</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1EA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287</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169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11340320</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C47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塔政</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A73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121.173056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795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47.967139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EB5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24B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牙克石市</w:t>
            </w:r>
          </w:p>
        </w:tc>
      </w:tr>
      <w:tr w14:paraId="6DAFD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B16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288</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009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11340340</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D2C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东山</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5C3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121.246389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C34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47.960278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B1B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1B6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牙克石市</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0E6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288</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7F0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11340340</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6EA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东山</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DC4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121.211801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39E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47.972625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ACF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1B6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牙克石市</w:t>
            </w:r>
          </w:p>
        </w:tc>
      </w:tr>
      <w:tr w14:paraId="65B13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5D6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289</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8E8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10241300</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14F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北山屯（第八生产队</w:t>
            </w:r>
            <w:r>
              <w:rPr>
                <w:rFonts w:hint="eastAsia" w:ascii="宋体" w:hAnsi="宋体" w:cs="宋体"/>
                <w:i w:val="0"/>
                <w:iCs w:val="0"/>
                <w:color w:val="000000"/>
                <w:kern w:val="0"/>
                <w:sz w:val="22"/>
                <w:szCs w:val="22"/>
                <w:u w:val="none"/>
                <w:lang w:val="en-US" w:eastAsia="zh-CN" w:bidi="ar"/>
              </w:rPr>
              <w:t>）</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6EF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119.824284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8CE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50.247722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15A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8A2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额尔古纳市</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8FD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289</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FA0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10241300</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3A5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北山屯（第八生产队</w:t>
            </w:r>
            <w:r>
              <w:rPr>
                <w:rFonts w:hint="eastAsia" w:ascii="宋体" w:hAnsi="宋体" w:cs="宋体"/>
                <w:i w:val="0"/>
                <w:iCs w:val="0"/>
                <w:color w:val="000000"/>
                <w:kern w:val="0"/>
                <w:sz w:val="22"/>
                <w:szCs w:val="22"/>
                <w:u w:val="none"/>
                <w:lang w:val="en-US" w:eastAsia="zh-CN" w:bidi="ar"/>
              </w:rPr>
              <w:t>）</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7FE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119.839836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1D4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50.270878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B2C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9EF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额尔古纳市</w:t>
            </w:r>
          </w:p>
        </w:tc>
      </w:tr>
      <w:tr w14:paraId="34FA11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DDD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290</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B19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10241500</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DF3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第三生产队</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50D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120.078460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A0F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50.456706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870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16A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额尔古纳市</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3BA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290</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918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10241500</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B1E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第三生产队</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C4A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120.097075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6B5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50.430041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D32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322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额尔古纳市</w:t>
            </w:r>
          </w:p>
        </w:tc>
      </w:tr>
      <w:tr w14:paraId="7AE09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95A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291</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698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10244550</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9BE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天骄社区居委会</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044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119.890859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156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51.334130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0F7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0D6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额尔古纳市</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5A0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291</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29F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10244550</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F5D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天骄社区居委会</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ECD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119.593440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5DB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50.369550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E02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57F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额尔古纳市</w:t>
            </w:r>
          </w:p>
        </w:tc>
      </w:tr>
      <w:tr w14:paraId="6D0581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4D8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292</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BD6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10245600</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E86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太平屯</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574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120.284574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F5C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51.496810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B1E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762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额尔古纳市</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677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292</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4BA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10245600</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64D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太平屯</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E81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120.314482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8A6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51.512454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D5B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410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额尔古纳市</w:t>
            </w:r>
          </w:p>
        </w:tc>
      </w:tr>
      <w:tr w14:paraId="2FA0A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576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293</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DD3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10246150</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DBA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临江村</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FD4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119.972025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CE7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51.415216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52E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01D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额尔古纳市</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334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293</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95F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10246150</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3D7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临江村</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17A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120.044881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EB0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51.407704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3E5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3EC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额尔古纳市</w:t>
            </w:r>
          </w:p>
        </w:tc>
      </w:tr>
      <w:tr w14:paraId="05609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CDF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294</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EB0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10327000</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A7B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乌东二小区</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852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121.242944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A5C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48.875167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6A3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60B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牙克石市</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C32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294</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BEA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10327000</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78C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乌东二小区</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9F8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121.260035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367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48.871233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9EB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C86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牙克石市</w:t>
            </w:r>
          </w:p>
        </w:tc>
      </w:tr>
      <w:tr w14:paraId="48D5B8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B02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295</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745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10329200</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BB8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免祥</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44C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121.059500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81B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49.098944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AA3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C28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牙克石市</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62C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295</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2CF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10329200</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D35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免祥</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8E1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121.083696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5D8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49.096116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D42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E63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牙克石市</w:t>
            </w:r>
          </w:p>
        </w:tc>
      </w:tr>
      <w:tr w14:paraId="196941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1C7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296</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366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10331000</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7B7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护林</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AA0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121.028022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8B8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49.364067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2BA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052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牙克石市</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135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296</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A5F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10331000</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579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护林</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286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120.948964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837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49.420996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0B8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F8D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牙克石市</w:t>
            </w:r>
          </w:p>
        </w:tc>
      </w:tr>
      <w:tr w14:paraId="74A807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90F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297</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66D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10215800</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FEA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孟贵河</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608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122.084000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B62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52.041900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B63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C68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根河市</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458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297</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FFA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10215800</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3F9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孟贵河</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130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122.132625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78B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52.032035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1D9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26D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根河市</w:t>
            </w:r>
          </w:p>
        </w:tc>
      </w:tr>
      <w:tr w14:paraId="5FDE5D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082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298</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8F7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10231500</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E24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五峰北林场</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DD7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121.513153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8F6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50.782736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1A3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D34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根河市</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6E7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298</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987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10231500</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21F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五峰北林场</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905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121.547707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D9E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50.798748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247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CB1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根河市</w:t>
            </w:r>
          </w:p>
        </w:tc>
      </w:tr>
      <w:tr w14:paraId="681AE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8A7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299</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D22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10235500</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9B1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小乌尔根屯（第八生产队）</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F2E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120.517074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447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50.382184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EE7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E9F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额尔古纳市</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3F2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299</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3D7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10235500</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6AE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小乌尔根屯（第八生产队）</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82A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120.521754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B2F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50.396894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AF7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04B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额尔古纳市</w:t>
            </w:r>
          </w:p>
        </w:tc>
      </w:tr>
      <w:tr w14:paraId="30E9F6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346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0E8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10237500</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7E2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南山屯（一0五生产队）</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193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120.175356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793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50.062957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9B4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856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额尔古纳市</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776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DC1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10237500</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746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南山屯（一0五生产队）</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84F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120.087853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316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50.024576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ED2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4E6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额尔古纳市</w:t>
            </w:r>
          </w:p>
        </w:tc>
      </w:tr>
      <w:tr w14:paraId="3BE807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055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238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11333280</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0AA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铁东办事处</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AE5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122.752017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E8D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48.018425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604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E3B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扎兰屯市</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92F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36B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11333280</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1F3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铁东办事处</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CCA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122.778649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ADD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47.999123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BF2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A71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扎兰屯市</w:t>
            </w:r>
          </w:p>
        </w:tc>
      </w:tr>
      <w:tr w14:paraId="0EED5D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E6A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F55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11333300</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8C6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近郊大队</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75A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122.798703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B83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47.972183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400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6BD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扎兰屯市</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255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4E3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11333300</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FC8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近郊大队</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A6E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122.819245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AEA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47.943412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C5C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BEB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扎兰屯市</w:t>
            </w:r>
          </w:p>
        </w:tc>
      </w:tr>
      <w:tr w14:paraId="0D417F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454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543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11333340</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0E4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甸心</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7E7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122.526833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3F3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47.792867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BF2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149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扎兰屯市</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3C6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71E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11333340</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059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甸心</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DC8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122.529312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780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47.811358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7EF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3BD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扎兰屯市</w:t>
            </w:r>
          </w:p>
        </w:tc>
      </w:tr>
      <w:tr w14:paraId="5F7E81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B37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304</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A9C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11333440</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BF7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龙头村三组</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26C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122.559667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FCD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47.629550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89F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45B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扎兰屯市</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6C5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304</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513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11333440</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25B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龙头村三组</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196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122.536792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E92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47.637192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FF4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7E1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扎兰屯市</w:t>
            </w:r>
          </w:p>
        </w:tc>
      </w:tr>
      <w:tr w14:paraId="6C1540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729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305</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C14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11333460</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444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关门砬子十组</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0AD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122.622583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BBD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47.597833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F56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8E3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扎兰屯市</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CCE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305</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88B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11333460</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805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关门砬子十组</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507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122.643158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A2E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47.611292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FFC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ADD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扎兰屯市</w:t>
            </w:r>
          </w:p>
        </w:tc>
      </w:tr>
      <w:tr w14:paraId="30C5E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3F7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306</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5E6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11325063</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7ED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中升</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B67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122.986417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D10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48.075500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746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2D4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扎兰屯市</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DE9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306</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299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11325063</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BF8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中升</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231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122.945801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BFB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48.067827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B7B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E5D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扎兰屯市</w:t>
            </w:r>
          </w:p>
        </w:tc>
      </w:tr>
      <w:tr w14:paraId="21175B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AF0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307</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4E9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11334050</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709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蘑菇气水厂</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E57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122.355617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E41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47.491150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3A3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909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扎兰屯市</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1E6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307</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6B7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11334050</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0A0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蘑菇气水厂</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757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122.395647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CD9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47.503145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539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2CA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扎兰屯市</w:t>
            </w:r>
          </w:p>
        </w:tc>
      </w:tr>
      <w:tr w14:paraId="1D2FC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ED0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308</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1B7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10236010</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189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坤库力村（110生产队）</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B7C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120.197062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48C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50.092957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E8A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3D3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额尔古纳市</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FFE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308</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5A1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10236010</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9E3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坤库力村（110生产队）</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22E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120.286132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C69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50.016883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A8C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27E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额尔古纳市</w:t>
            </w:r>
          </w:p>
        </w:tc>
      </w:tr>
      <w:tr w14:paraId="429A1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044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309</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F59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11235900</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1EB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特温浅</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B8D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123.756667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476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48.923889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5AB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2E2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莫力达瓦达斡尔族自治旗</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481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309</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267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11235900</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31F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特温浅</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BAB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123.729184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7C3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48.924629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3DB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2EA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莫力达瓦达斡尔族自治旗</w:t>
            </w:r>
          </w:p>
        </w:tc>
      </w:tr>
      <w:tr w14:paraId="14897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14A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CB6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11236100</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A95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前沃尔其</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3FC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123.895000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6C4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48.725833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39E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173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莫力达瓦达斡尔族自治旗</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770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708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11236100</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F6C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前沃尔其</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3A0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123.866970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210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48.677732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9E5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452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莫力达瓦达斡尔族自治旗</w:t>
            </w:r>
          </w:p>
        </w:tc>
      </w:tr>
      <w:tr w14:paraId="74970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F50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311</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6F8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11236150</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350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喀牙都尔本</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12F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123.968889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A9B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48.752500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DF6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DB3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莫力达瓦达斡尔族自治旗</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C30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311</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0DB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11236150</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4D0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喀牙都尔本</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EED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123.996596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EA8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48.777314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35B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647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莫力达瓦达斡尔族自治旗</w:t>
            </w:r>
          </w:p>
        </w:tc>
      </w:tr>
      <w:tr w14:paraId="1E320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F55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312</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30F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11322450</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01A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南木铁道北</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021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122.370433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680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48.176733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E86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A60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扎兰屯市</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8EE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312</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86D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11322450</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4C5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南木铁道北</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C57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122.368988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A64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48.188302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807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638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扎兰屯市</w:t>
            </w:r>
          </w:p>
        </w:tc>
      </w:tr>
      <w:tr w14:paraId="6EE84E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EF3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313</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F06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11236688</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3A8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北林泉</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082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124.070556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82F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48.878056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FD3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B80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莫力达瓦达斡尔族自治旗</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69A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313</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FEF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11236688</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5FC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北林泉</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274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124.035379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34C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48.864961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FC4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961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莫力达瓦达斡尔族自治旗</w:t>
            </w:r>
          </w:p>
        </w:tc>
      </w:tr>
      <w:tr w14:paraId="1B96A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247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314</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584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11235760</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72A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兰巴库村</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BF0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123.581839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257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49.177567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196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59E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鄂伦春自治旗</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483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314</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43C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11235760</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E12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兰巴库村</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195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123.489186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96C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49.120180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472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57B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鄂伦春自治旗</w:t>
            </w:r>
          </w:p>
        </w:tc>
      </w:tr>
      <w:tr w14:paraId="6BEC6D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F59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315</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DCF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11235600</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BCA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北烟筒石</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47D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123.812608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0E3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49.311703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0E7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EDF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鄂伦春自治旗</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5B3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315</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8B0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11235600</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455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北烟筒石</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958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123.889394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37D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49.335142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4FD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96F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鄂伦春自治旗</w:t>
            </w:r>
          </w:p>
        </w:tc>
      </w:tr>
      <w:tr w14:paraId="227A25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6BC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316</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C1B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11235750</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626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卧罗迪</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160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123.683581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913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49.196600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701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06E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鄂伦春自治旗</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3EA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316</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AE4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11235750</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32E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卧罗迪</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90E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123.675852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B39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49.196900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BE0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4FA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鄂伦春自治旗</w:t>
            </w:r>
          </w:p>
        </w:tc>
      </w:tr>
      <w:tr w14:paraId="54F7E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0D1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317</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0C9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11235770</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D39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吾都海拉松</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60C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123.750833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28A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49.006667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92B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3DE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莫力达瓦达斡尔族自治旗</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D71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317</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48D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11235770</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51F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吾都海拉松</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7AF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123.756498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C99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49.054289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426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B29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鄂伦春自治旗</w:t>
            </w:r>
          </w:p>
        </w:tc>
      </w:tr>
      <w:tr w14:paraId="6B45B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700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318</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7A9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11320925</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C85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莫尔顶村</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9CE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123.312655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4FB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48.342646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0DB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578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阿荣旗</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451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318</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6DA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11320925</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E27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莫尔顶村</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D91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123.453874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77B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48.309924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BCD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63C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阿荣旗</w:t>
            </w:r>
          </w:p>
        </w:tc>
      </w:tr>
      <w:tr w14:paraId="663BD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5D6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319</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2B7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11236672</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049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山里屯</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7C4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123.795152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9CA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48.538500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EAB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A2C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阿荣旗</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EC4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319</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333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11236672</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B4C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山里屯</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80F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123.789990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FFE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48.468247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708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FDB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阿荣旗</w:t>
            </w:r>
          </w:p>
        </w:tc>
      </w:tr>
      <w:tr w14:paraId="30374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105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320</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418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11236675</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3A2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万兴</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9E6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123.616033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8B3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48.498634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F1A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9EA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阿荣旗</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A22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320</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EE9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11236675</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636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万兴</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766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123.670885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C8A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48.533849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042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27D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阿荣旗</w:t>
            </w:r>
          </w:p>
        </w:tc>
      </w:tr>
      <w:tr w14:paraId="7E8C87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7DE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321</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2A9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11221450</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434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古里农场二队</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7B1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125.034361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D40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50.008417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303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6B2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鄂伦春自治旗</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713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321</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7BC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11221450</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EF5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古里农场二队</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950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125.050171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E49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50.012815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969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961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鄂伦春自治旗</w:t>
            </w:r>
          </w:p>
        </w:tc>
      </w:tr>
      <w:tr w14:paraId="733CC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49D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322</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C39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11225720</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219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阿东</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4AA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123.804542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982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50.564831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7EE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761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鄂伦春自治旗</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22B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322</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6C2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11225720</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0AA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阿东</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0DA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123.766240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7EB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50.531906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AAB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6EB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鄂伦春自治旗</w:t>
            </w:r>
          </w:p>
        </w:tc>
      </w:tr>
      <w:tr w14:paraId="4EDEC0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A42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323</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4ED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AEEA0002</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FD6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上库力街道办事处</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2D3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120.451321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6A7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50.257385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320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09E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额尔古纳市</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137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323</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652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AEEA0002</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DD5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上库力街道办事处</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87D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120.501597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BE0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50.235315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933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002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额尔古纳市</w:t>
            </w:r>
          </w:p>
        </w:tc>
      </w:tr>
      <w:tr w14:paraId="0AF1B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A8D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324</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B55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10324700</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C2D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莫拐</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014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121.104000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8B4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49.604000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8EC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1A3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牙克石市</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81C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324</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987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10324700</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AD0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莫拐</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061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121.207840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3B1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49.702746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A7A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881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牙克石市</w:t>
            </w:r>
          </w:p>
        </w:tc>
      </w:tr>
      <w:tr w14:paraId="5A17F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90F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325</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E08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10227500</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227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科技园</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DB9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117.671742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A2D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49.421986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470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CEB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扎赉诺尔区</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878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325</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A04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10227500</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27F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科技园</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7E9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117.648375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18E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49.427545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341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3EE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扎赉诺尔区</w:t>
            </w:r>
          </w:p>
        </w:tc>
      </w:tr>
      <w:tr w14:paraId="1BCBB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39A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326</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5AA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10228300</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58E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西铁社区</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F4B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117.699294 </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64C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49.462558 </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F5A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FC0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扎赉诺尔区</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C56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326</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C57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10228300</w:t>
            </w:r>
          </w:p>
        </w:tc>
        <w:tc>
          <w:tcPr>
            <w:tcW w:w="2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A3C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西铁社区</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B65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117.662576 </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2C6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49.473607 </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1EC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呼伦贝尔市</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4A9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扎赉诺尔区</w:t>
            </w:r>
          </w:p>
        </w:tc>
      </w:tr>
    </w:tbl>
    <w:p w14:paraId="590B89D4">
      <w:pPr>
        <w:pStyle w:val="28"/>
        <w:jc w:val="both"/>
        <w:rPr>
          <w:highlight w:val="none"/>
        </w:rPr>
        <w:sectPr>
          <w:pgSz w:w="23811" w:h="16838" w:orient="landscape"/>
          <w:pgMar w:top="1800" w:right="1440" w:bottom="1800" w:left="1440" w:header="851" w:footer="992" w:gutter="0"/>
          <w:pgNumType w:fmt="decimal"/>
          <w:cols w:space="720" w:num="1"/>
          <w:docGrid w:linePitch="312" w:charSpace="0"/>
        </w:sectPr>
      </w:pPr>
    </w:p>
    <w:p w14:paraId="65C11EE1">
      <w:pPr>
        <w:pStyle w:val="28"/>
        <w:jc w:val="center"/>
        <w:rPr>
          <w:rFonts w:hint="eastAsia" w:eastAsia="宋体"/>
          <w:highlight w:val="none"/>
          <w:lang w:eastAsia="zh-CN"/>
        </w:rPr>
      </w:pPr>
      <w:r>
        <w:rPr>
          <w:rFonts w:hint="eastAsia" w:eastAsia="宋体"/>
          <w:highlight w:val="none"/>
          <w:lang w:eastAsia="zh-CN"/>
        </w:rPr>
        <w:drawing>
          <wp:inline distT="0" distB="0" distL="114300" distR="114300">
            <wp:extent cx="5257800" cy="3718560"/>
            <wp:effectExtent l="0" t="0" r="0" b="15240"/>
            <wp:docPr id="8" name="图片 8" descr="呼伦贝尔市雨量站迁移分布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呼伦贝尔市雨量站迁移分布图"/>
                    <pic:cNvPicPr>
                      <a:picLocks noChangeAspect="1"/>
                    </pic:cNvPicPr>
                  </pic:nvPicPr>
                  <pic:blipFill>
                    <a:blip r:embed="rId9"/>
                    <a:stretch>
                      <a:fillRect/>
                    </a:stretch>
                  </pic:blipFill>
                  <pic:spPr>
                    <a:xfrm>
                      <a:off x="0" y="0"/>
                      <a:ext cx="5257800" cy="3718560"/>
                    </a:xfrm>
                    <a:prstGeom prst="rect">
                      <a:avLst/>
                    </a:prstGeom>
                  </pic:spPr>
                </pic:pic>
              </a:graphicData>
            </a:graphic>
          </wp:inline>
        </w:drawing>
      </w:r>
    </w:p>
    <w:p w14:paraId="70A58CE0">
      <w:pPr>
        <w:pStyle w:val="28"/>
        <w:jc w:val="center"/>
        <w:rPr>
          <w:rFonts w:hint="eastAsia" w:eastAsia="宋体"/>
          <w:highlight w:val="none"/>
          <w:lang w:eastAsia="zh-CN"/>
        </w:rPr>
      </w:pPr>
    </w:p>
    <w:p w14:paraId="0FDC97F3">
      <w:pPr>
        <w:pStyle w:val="28"/>
        <w:jc w:val="both"/>
        <w:rPr>
          <w:highlight w:val="none"/>
        </w:rPr>
      </w:pPr>
    </w:p>
    <w:p w14:paraId="34C1320B">
      <w:pPr>
        <w:pStyle w:val="3"/>
        <w:spacing w:before="120" w:beforeLines="50" w:after="120" w:afterLines="50" w:line="360" w:lineRule="auto"/>
        <w:rPr>
          <w:rFonts w:hint="eastAsia" w:asciiTheme="minorEastAsia" w:hAnsiTheme="minorEastAsia" w:eastAsiaTheme="minorEastAsia" w:cstheme="minorEastAsia"/>
          <w:bCs/>
          <w:sz w:val="30"/>
          <w:szCs w:val="30"/>
          <w:highlight w:val="none"/>
        </w:rPr>
      </w:pPr>
      <w:bookmarkStart w:id="18" w:name="_Toc11983"/>
      <w:r>
        <w:rPr>
          <w:rFonts w:hint="eastAsia" w:asciiTheme="minorEastAsia" w:hAnsiTheme="minorEastAsia" w:eastAsiaTheme="minorEastAsia" w:cstheme="minorEastAsia"/>
          <w:bCs/>
          <w:sz w:val="30"/>
          <w:szCs w:val="30"/>
          <w:highlight w:val="none"/>
          <w:lang w:val="en-US" w:eastAsia="zh-CN"/>
        </w:rPr>
        <w:t>3.4</w:t>
      </w:r>
      <w:r>
        <w:rPr>
          <w:rFonts w:hint="eastAsia" w:asciiTheme="minorEastAsia" w:hAnsiTheme="minorEastAsia" w:eastAsiaTheme="minorEastAsia" w:cstheme="minorEastAsia"/>
          <w:bCs/>
          <w:sz w:val="30"/>
          <w:szCs w:val="30"/>
          <w:highlight w:val="none"/>
        </w:rPr>
        <w:t>盟市级山洪灾害防御非工程措施体系运行维护</w:t>
      </w:r>
      <w:bookmarkEnd w:id="18"/>
    </w:p>
    <w:p w14:paraId="1A7CF3D6">
      <w:pPr>
        <w:shd w:val="clear" w:color="auto"/>
        <w:snapToGrid w:val="0"/>
        <w:spacing w:line="360" w:lineRule="auto"/>
        <w:ind w:firstLine="480" w:firstLineChars="200"/>
        <w:rPr>
          <w:rFonts w:asciiTheme="minorEastAsia" w:hAnsiTheme="minorEastAsia" w:eastAsiaTheme="minorEastAsia" w:cstheme="minorEastAsia"/>
          <w:sz w:val="24"/>
          <w:szCs w:val="28"/>
          <w:highlight w:val="none"/>
        </w:rPr>
      </w:pPr>
      <w:r>
        <w:rPr>
          <w:rFonts w:hint="eastAsia" w:asciiTheme="minorEastAsia" w:hAnsiTheme="minorEastAsia" w:eastAsiaTheme="minorEastAsia" w:cstheme="minorEastAsia"/>
          <w:sz w:val="24"/>
          <w:szCs w:val="28"/>
          <w:highlight w:val="none"/>
        </w:rPr>
        <w:t>盟市级按照任务分工做好</w:t>
      </w:r>
      <w:r>
        <w:rPr>
          <w:rFonts w:hint="eastAsia" w:asciiTheme="minorEastAsia" w:hAnsiTheme="minorEastAsia" w:eastAsiaTheme="minorEastAsia" w:cstheme="minorEastAsia"/>
          <w:color w:val="000000"/>
          <w:kern w:val="0"/>
          <w:sz w:val="24"/>
          <w:szCs w:val="24"/>
          <w:highlight w:val="none"/>
        </w:rPr>
        <w:t>盟市级平台（软硬件、预警发布、网络等）、</w:t>
      </w:r>
      <w:r>
        <w:rPr>
          <w:rFonts w:hint="eastAsia" w:asciiTheme="minorEastAsia" w:hAnsiTheme="minorEastAsia" w:eastAsiaTheme="minorEastAsia" w:cstheme="minorEastAsia"/>
          <w:color w:val="000000"/>
          <w:kern w:val="0"/>
          <w:sz w:val="24"/>
          <w:szCs w:val="24"/>
          <w:highlight w:val="none"/>
          <w:lang w:val="en-US" w:eastAsia="zh-CN"/>
        </w:rPr>
        <w:t>水利专网延伸至业务办公室、</w:t>
      </w:r>
      <w:r>
        <w:rPr>
          <w:rFonts w:hint="eastAsia" w:asciiTheme="minorEastAsia" w:hAnsiTheme="minorEastAsia" w:eastAsiaTheme="minorEastAsia" w:cstheme="minorEastAsia"/>
          <w:color w:val="000000"/>
          <w:kern w:val="0"/>
          <w:sz w:val="24"/>
          <w:szCs w:val="24"/>
          <w:highlight w:val="none"/>
        </w:rPr>
        <w:t>机房日常维护</w:t>
      </w:r>
      <w:r>
        <w:rPr>
          <w:rFonts w:hint="eastAsia" w:asciiTheme="minorEastAsia" w:hAnsiTheme="minorEastAsia" w:eastAsiaTheme="minorEastAsia" w:cstheme="minorEastAsia"/>
          <w:color w:val="000000"/>
          <w:kern w:val="0"/>
          <w:sz w:val="24"/>
          <w:szCs w:val="24"/>
          <w:highlight w:val="none"/>
          <w:lang w:eastAsia="zh-CN"/>
        </w:rPr>
        <w:t>、</w:t>
      </w:r>
      <w:r>
        <w:rPr>
          <w:rFonts w:hint="eastAsia" w:asciiTheme="minorEastAsia" w:hAnsiTheme="minorEastAsia" w:eastAsiaTheme="minorEastAsia" w:cstheme="minorEastAsia"/>
          <w:color w:val="000000"/>
          <w:kern w:val="0"/>
          <w:sz w:val="24"/>
          <w:szCs w:val="24"/>
          <w:highlight w:val="none"/>
        </w:rPr>
        <w:t>视频</w:t>
      </w:r>
      <w:r>
        <w:rPr>
          <w:rFonts w:hint="eastAsia" w:asciiTheme="minorEastAsia" w:hAnsiTheme="minorEastAsia" w:eastAsiaTheme="minorEastAsia" w:cstheme="minorEastAsia"/>
          <w:color w:val="000000"/>
          <w:kern w:val="0"/>
          <w:sz w:val="24"/>
          <w:szCs w:val="24"/>
          <w:highlight w:val="none"/>
          <w:lang w:val="en-US" w:eastAsia="zh-CN"/>
        </w:rPr>
        <w:t>会商</w:t>
      </w:r>
      <w:r>
        <w:rPr>
          <w:rFonts w:hint="eastAsia" w:asciiTheme="minorEastAsia" w:hAnsiTheme="minorEastAsia" w:eastAsiaTheme="minorEastAsia" w:cstheme="minorEastAsia"/>
          <w:color w:val="000000"/>
          <w:kern w:val="0"/>
          <w:sz w:val="24"/>
          <w:szCs w:val="24"/>
          <w:highlight w:val="none"/>
        </w:rPr>
        <w:t>系统</w:t>
      </w:r>
      <w:r>
        <w:rPr>
          <w:rFonts w:hint="eastAsia" w:asciiTheme="minorEastAsia" w:hAnsiTheme="minorEastAsia" w:eastAsiaTheme="minorEastAsia" w:cstheme="minorEastAsia"/>
          <w:color w:val="000000"/>
          <w:kern w:val="0"/>
          <w:sz w:val="24"/>
          <w:szCs w:val="24"/>
          <w:highlight w:val="none"/>
          <w:lang w:val="en-US" w:eastAsia="zh-CN"/>
        </w:rPr>
        <w:t>运行维护</w:t>
      </w:r>
      <w:r>
        <w:rPr>
          <w:rFonts w:hint="eastAsia" w:asciiTheme="minorEastAsia" w:hAnsiTheme="minorEastAsia" w:eastAsiaTheme="minorEastAsia" w:cstheme="minorEastAsia"/>
          <w:color w:val="000000"/>
          <w:kern w:val="0"/>
          <w:sz w:val="24"/>
          <w:szCs w:val="24"/>
          <w:highlight w:val="none"/>
        </w:rPr>
        <w:t>，</w:t>
      </w:r>
      <w:r>
        <w:rPr>
          <w:rFonts w:hint="eastAsia" w:asciiTheme="minorEastAsia" w:hAnsiTheme="minorEastAsia" w:eastAsiaTheme="minorEastAsia" w:cstheme="minorEastAsia"/>
          <w:kern w:val="0"/>
          <w:sz w:val="24"/>
          <w:szCs w:val="24"/>
          <w:highlight w:val="none"/>
        </w:rPr>
        <w:t>指导山洪灾害防治县完善群测群防体系</w:t>
      </w:r>
      <w:r>
        <w:rPr>
          <w:rFonts w:hint="eastAsia" w:asciiTheme="minorEastAsia" w:hAnsiTheme="minorEastAsia" w:eastAsiaTheme="minorEastAsia" w:cstheme="minorEastAsia"/>
          <w:sz w:val="24"/>
          <w:szCs w:val="28"/>
          <w:highlight w:val="none"/>
        </w:rPr>
        <w:t>等山洪灾害防御非工程措施体系运行维护工作。运维工作要满足《山洪灾害防治非工程措施运行维护指南》和《山洪灾害监测预警设施设备运行维护管理要求</w:t>
      </w:r>
      <w:r>
        <w:rPr>
          <w:rFonts w:hint="eastAsia" w:asciiTheme="minorEastAsia" w:hAnsiTheme="minorEastAsia" w:eastAsiaTheme="minorEastAsia" w:cstheme="minorEastAsia"/>
          <w:sz w:val="24"/>
          <w:szCs w:val="28"/>
          <w:highlight w:val="none"/>
          <w:lang w:eastAsia="zh-CN"/>
        </w:rPr>
        <w:t>》等</w:t>
      </w:r>
      <w:r>
        <w:rPr>
          <w:rFonts w:hint="eastAsia" w:asciiTheme="minorEastAsia" w:hAnsiTheme="minorEastAsia" w:eastAsiaTheme="minorEastAsia" w:cstheme="minorEastAsia"/>
          <w:sz w:val="24"/>
          <w:szCs w:val="28"/>
          <w:highlight w:val="none"/>
        </w:rPr>
        <w:t>有关要求。</w:t>
      </w:r>
    </w:p>
    <w:p w14:paraId="0A18554D">
      <w:pPr>
        <w:spacing w:line="360" w:lineRule="auto"/>
        <w:ind w:firstLine="480" w:firstLineChars="200"/>
        <w:rPr>
          <w:rFonts w:asciiTheme="minorEastAsia" w:hAnsiTheme="minorEastAsia" w:eastAsiaTheme="minorEastAsia" w:cstheme="minorEastAsia"/>
          <w:sz w:val="24"/>
          <w:szCs w:val="28"/>
          <w:highlight w:val="none"/>
        </w:rPr>
      </w:pPr>
      <w:r>
        <w:rPr>
          <w:rFonts w:hint="eastAsia" w:asciiTheme="minorEastAsia" w:hAnsiTheme="minorEastAsia" w:eastAsiaTheme="minorEastAsia" w:cstheme="minorEastAsia"/>
          <w:sz w:val="24"/>
          <w:szCs w:val="28"/>
          <w:highlight w:val="none"/>
        </w:rPr>
        <w:t>（1）各盟市水利部门要加强已建山洪灾害系统及监测预警等设备资产管理，根据有关规定和项目特点，做好验收登记、核算入账、维修保管、清查盘点、绩效管理等工作。</w:t>
      </w:r>
    </w:p>
    <w:p w14:paraId="2857138A">
      <w:pPr>
        <w:spacing w:line="360" w:lineRule="auto"/>
        <w:ind w:firstLine="480" w:firstLineChars="200"/>
        <w:rPr>
          <w:rFonts w:asciiTheme="minorEastAsia" w:hAnsiTheme="minorEastAsia" w:eastAsiaTheme="minorEastAsia" w:cstheme="minorEastAsia"/>
          <w:sz w:val="24"/>
          <w:szCs w:val="28"/>
          <w:highlight w:val="none"/>
        </w:rPr>
      </w:pPr>
      <w:r>
        <w:rPr>
          <w:rFonts w:hint="eastAsia" w:asciiTheme="minorEastAsia" w:hAnsiTheme="minorEastAsia" w:eastAsiaTheme="minorEastAsia" w:cstheme="minorEastAsia"/>
          <w:sz w:val="24"/>
          <w:szCs w:val="28"/>
          <w:highlight w:val="none"/>
        </w:rPr>
        <w:t>（2）各盟市水利部</w:t>
      </w:r>
      <w:r>
        <w:rPr>
          <w:rFonts w:hint="eastAsia" w:asciiTheme="minorEastAsia" w:hAnsiTheme="minorEastAsia" w:eastAsiaTheme="minorEastAsia" w:cstheme="minorEastAsia"/>
          <w:sz w:val="24"/>
          <w:szCs w:val="28"/>
          <w:highlight w:val="none"/>
          <w:lang w:eastAsia="zh-CN"/>
        </w:rPr>
        <w:t>门要</w:t>
      </w:r>
      <w:r>
        <w:rPr>
          <w:rFonts w:hint="eastAsia" w:asciiTheme="minorEastAsia" w:hAnsiTheme="minorEastAsia" w:eastAsiaTheme="minorEastAsia" w:cstheme="minorEastAsia"/>
          <w:sz w:val="24"/>
          <w:szCs w:val="28"/>
          <w:highlight w:val="none"/>
        </w:rPr>
        <w:t>做好本级平台运行维护，要定期组织巡检，确保平台能够正常运行。</w:t>
      </w:r>
    </w:p>
    <w:p w14:paraId="518F6E4E">
      <w:pPr>
        <w:spacing w:line="360" w:lineRule="auto"/>
        <w:ind w:firstLine="480" w:firstLineChars="200"/>
        <w:rPr>
          <w:rFonts w:asciiTheme="minorEastAsia" w:hAnsiTheme="minorEastAsia" w:eastAsiaTheme="minorEastAsia" w:cstheme="minorEastAsia"/>
          <w:sz w:val="24"/>
          <w:szCs w:val="28"/>
          <w:highlight w:val="none"/>
        </w:rPr>
      </w:pPr>
      <w:r>
        <w:rPr>
          <w:rFonts w:hint="eastAsia" w:asciiTheme="minorEastAsia" w:hAnsiTheme="minorEastAsia" w:eastAsiaTheme="minorEastAsia" w:cstheme="minorEastAsia"/>
          <w:sz w:val="24"/>
          <w:szCs w:val="28"/>
          <w:highlight w:val="none"/>
        </w:rPr>
        <w:t>（3）基层地方人民政府承担山洪灾害主体责任，本次安排运维补助经费如不能完成山洪灾害防治体系运行维护，各盟市水利部门应向地方人民政府积极争取运维配套资金。</w:t>
      </w:r>
    </w:p>
    <w:p w14:paraId="0A57B75D">
      <w:pPr>
        <w:pStyle w:val="4"/>
        <w:spacing w:before="120" w:beforeLines="50" w:after="120" w:afterLines="50" w:line="360" w:lineRule="auto"/>
        <w:rPr>
          <w:rFonts w:asciiTheme="minorEastAsia" w:hAnsiTheme="minorEastAsia" w:eastAsiaTheme="minorEastAsia" w:cstheme="minorEastAsia"/>
          <w:sz w:val="28"/>
          <w:szCs w:val="28"/>
          <w:highlight w:val="none"/>
        </w:rPr>
      </w:pPr>
      <w:bookmarkStart w:id="19" w:name="_Toc24087"/>
      <w:r>
        <w:rPr>
          <w:rFonts w:hint="eastAsia" w:asciiTheme="minorEastAsia" w:hAnsiTheme="minorEastAsia" w:eastAsiaTheme="minorEastAsia" w:cstheme="minorEastAsia"/>
          <w:sz w:val="28"/>
          <w:szCs w:val="28"/>
          <w:highlight w:val="none"/>
        </w:rPr>
        <w:t>3.4.1已建盟市级平台运行维护</w:t>
      </w:r>
      <w:bookmarkEnd w:id="19"/>
    </w:p>
    <w:p w14:paraId="3E5018F4">
      <w:pPr>
        <w:spacing w:line="360" w:lineRule="auto"/>
        <w:ind w:firstLine="480" w:firstLineChars="200"/>
        <w:rPr>
          <w:rFonts w:hint="eastAsia" w:asciiTheme="minorEastAsia" w:hAnsiTheme="minorEastAsia" w:eastAsiaTheme="minorEastAsia" w:cstheme="minorEastAsia"/>
          <w:sz w:val="24"/>
          <w:szCs w:val="28"/>
          <w:highlight w:val="none"/>
          <w:lang w:eastAsia="zh-CN"/>
        </w:rPr>
      </w:pPr>
      <w:r>
        <w:rPr>
          <w:rFonts w:hint="eastAsia" w:asciiTheme="minorEastAsia" w:hAnsiTheme="minorEastAsia" w:eastAsiaTheme="minorEastAsia" w:cstheme="minorEastAsia"/>
          <w:sz w:val="24"/>
          <w:szCs w:val="28"/>
          <w:highlight w:val="none"/>
        </w:rPr>
        <w:t>各盟市运行维护单位对盟市级已建山洪灾害监测预警平台进行巡检，</w:t>
      </w:r>
      <w:r>
        <w:rPr>
          <w:rFonts w:hint="eastAsia" w:asciiTheme="minorEastAsia" w:hAnsiTheme="minorEastAsia" w:eastAsiaTheme="minorEastAsia" w:cstheme="minorEastAsia"/>
          <w:sz w:val="24"/>
          <w:szCs w:val="28"/>
          <w:highlight w:val="none"/>
          <w:lang w:val="en-US" w:eastAsia="zh-CN"/>
        </w:rPr>
        <w:t>汛前至少对网络、软件、硬件、系统进行一次全年巡检，汛中、汛后</w:t>
      </w:r>
      <w:r>
        <w:rPr>
          <w:rFonts w:hint="eastAsia" w:asciiTheme="minorEastAsia" w:hAnsiTheme="minorEastAsia" w:eastAsiaTheme="minorEastAsia" w:cstheme="minorEastAsia"/>
          <w:sz w:val="24"/>
          <w:szCs w:val="28"/>
          <w:highlight w:val="none"/>
        </w:rPr>
        <w:t>定期检查设备的运行情况，排除设备故障，修复、更换出现故障的零部件等，保障设备功能正常，通讯网络安全稳定，机房基础设施安全可靠，对软件进行必要的更新、维护，确保监测预警平台运行正常，汛期在线率达到95%以上，及时缴纳互联网费用，保障网络畅通，确保市级平台能及时接收自动监测站点数据。</w:t>
      </w:r>
      <w:r>
        <w:rPr>
          <w:rFonts w:hint="eastAsia" w:asciiTheme="minorEastAsia" w:hAnsiTheme="minorEastAsia" w:eastAsiaTheme="minorEastAsia" w:cstheme="minorEastAsia"/>
          <w:b w:val="0"/>
          <w:bCs w:val="0"/>
          <w:sz w:val="24"/>
          <w:szCs w:val="28"/>
          <w:highlight w:val="none"/>
          <w:lang w:val="en-US" w:eastAsia="zh-CN"/>
        </w:rPr>
        <w:t>保障水利专网延伸至水旱灾害防御业务办公室或值班室，并保持水利专网畅通，</w:t>
      </w:r>
      <w:r>
        <w:rPr>
          <w:rFonts w:hint="eastAsia" w:asciiTheme="minorEastAsia" w:hAnsiTheme="minorEastAsia" w:eastAsiaTheme="minorEastAsia" w:cstheme="minorEastAsia"/>
          <w:sz w:val="24"/>
          <w:szCs w:val="28"/>
          <w:highlight w:val="none"/>
        </w:rPr>
        <w:t>做好平台预警信息发布模块运维，责任人更新，预警指标等数据更新，确保预警信息及时有效发到责任人手中（具体维护内容遵照《山洪灾害防治非工程措施运行维护指南》和《山洪灾害监测预警设施设备运行维护管理要求</w:t>
      </w:r>
      <w:r>
        <w:rPr>
          <w:rFonts w:hint="eastAsia" w:asciiTheme="minorEastAsia" w:hAnsiTheme="minorEastAsia" w:eastAsiaTheme="minorEastAsia" w:cstheme="minorEastAsia"/>
          <w:sz w:val="24"/>
          <w:szCs w:val="28"/>
          <w:highlight w:val="none"/>
          <w:lang w:eastAsia="zh-CN"/>
        </w:rPr>
        <w:t>》等</w:t>
      </w:r>
      <w:r>
        <w:rPr>
          <w:rFonts w:hint="eastAsia" w:asciiTheme="minorEastAsia" w:hAnsiTheme="minorEastAsia" w:eastAsiaTheme="minorEastAsia" w:cstheme="minorEastAsia"/>
          <w:sz w:val="24"/>
          <w:szCs w:val="28"/>
          <w:highlight w:val="none"/>
        </w:rPr>
        <w:t>相关要求）</w:t>
      </w:r>
      <w:r>
        <w:rPr>
          <w:rFonts w:hint="eastAsia" w:asciiTheme="minorEastAsia" w:hAnsiTheme="minorEastAsia" w:eastAsiaTheme="minorEastAsia" w:cstheme="minorEastAsia"/>
          <w:sz w:val="24"/>
          <w:szCs w:val="28"/>
          <w:highlight w:val="none"/>
          <w:lang w:eastAsia="zh-CN"/>
        </w:rPr>
        <w:t>。</w:t>
      </w:r>
    </w:p>
    <w:p w14:paraId="4AAD64B0">
      <w:pPr>
        <w:pStyle w:val="4"/>
        <w:spacing w:before="120" w:beforeLines="50" w:after="120" w:afterLines="50" w:line="360" w:lineRule="auto"/>
        <w:rPr>
          <w:rFonts w:asciiTheme="minorEastAsia" w:hAnsiTheme="minorEastAsia" w:eastAsiaTheme="minorEastAsia" w:cstheme="minorEastAsia"/>
          <w:sz w:val="28"/>
          <w:szCs w:val="28"/>
          <w:highlight w:val="none"/>
        </w:rPr>
      </w:pPr>
      <w:bookmarkStart w:id="20" w:name="_Toc23034"/>
      <w:r>
        <w:rPr>
          <w:rFonts w:hint="eastAsia" w:asciiTheme="minorEastAsia" w:hAnsiTheme="minorEastAsia" w:eastAsiaTheme="minorEastAsia" w:cstheme="minorEastAsia"/>
          <w:sz w:val="28"/>
          <w:szCs w:val="28"/>
          <w:highlight w:val="none"/>
        </w:rPr>
        <w:t>3.4.</w:t>
      </w:r>
      <w:r>
        <w:rPr>
          <w:rFonts w:hint="eastAsia" w:asciiTheme="minorEastAsia" w:hAnsiTheme="minorEastAsia" w:eastAsiaTheme="minorEastAsia" w:cstheme="minorEastAsia"/>
          <w:sz w:val="28"/>
          <w:szCs w:val="28"/>
          <w:highlight w:val="none"/>
          <w:lang w:val="en-US" w:eastAsia="zh-CN"/>
        </w:rPr>
        <w:t>2</w:t>
      </w:r>
      <w:r>
        <w:rPr>
          <w:rFonts w:hint="eastAsia" w:asciiTheme="minorEastAsia" w:hAnsiTheme="minorEastAsia" w:eastAsiaTheme="minorEastAsia" w:cstheme="minorEastAsia"/>
          <w:sz w:val="28"/>
          <w:szCs w:val="28"/>
          <w:highlight w:val="none"/>
        </w:rPr>
        <w:t>机房运维保障</w:t>
      </w:r>
      <w:bookmarkEnd w:id="20"/>
    </w:p>
    <w:p w14:paraId="728C176B">
      <w:pPr>
        <w:spacing w:line="360" w:lineRule="auto"/>
        <w:ind w:firstLine="480" w:firstLineChars="200"/>
        <w:rPr>
          <w:highlight w:val="none"/>
        </w:rPr>
      </w:pPr>
      <w:r>
        <w:rPr>
          <w:rFonts w:hint="eastAsia" w:asciiTheme="minorEastAsia" w:hAnsiTheme="minorEastAsia" w:eastAsiaTheme="minorEastAsia" w:cstheme="minorEastAsia"/>
          <w:sz w:val="24"/>
          <w:szCs w:val="28"/>
          <w:highlight w:val="none"/>
        </w:rPr>
        <w:t>各盟市应提供安全可靠的机房运行环境条件和稳定的、不间断的电源保障。定时对机房软硬件设备检查保养检修，及时发现、处理电源故障，保证电源设备正常运行、备份电源能够及时投入运行，确保信息通信设备供电正常。根据实际情况及时更换服务器。</w:t>
      </w:r>
    </w:p>
    <w:p w14:paraId="0FD82F9D">
      <w:pPr>
        <w:pStyle w:val="4"/>
        <w:spacing w:before="120" w:beforeLines="50" w:after="120" w:afterLines="50" w:line="360" w:lineRule="auto"/>
        <w:rPr>
          <w:rFonts w:hint="eastAsia" w:asciiTheme="minorEastAsia" w:hAnsiTheme="minorEastAsia" w:eastAsiaTheme="minorEastAsia" w:cstheme="minorEastAsia"/>
          <w:sz w:val="28"/>
          <w:szCs w:val="28"/>
          <w:highlight w:val="none"/>
          <w:lang w:val="en-US" w:eastAsia="zh-CN"/>
        </w:rPr>
      </w:pPr>
      <w:bookmarkStart w:id="21" w:name="_Toc24652"/>
      <w:r>
        <w:rPr>
          <w:rFonts w:hint="eastAsia" w:asciiTheme="minorEastAsia" w:hAnsiTheme="minorEastAsia" w:eastAsiaTheme="minorEastAsia" w:cstheme="minorEastAsia"/>
          <w:sz w:val="28"/>
          <w:szCs w:val="28"/>
          <w:highlight w:val="none"/>
        </w:rPr>
        <w:t>3.4.</w:t>
      </w:r>
      <w:r>
        <w:rPr>
          <w:rFonts w:hint="eastAsia" w:asciiTheme="minorEastAsia" w:hAnsiTheme="minorEastAsia" w:eastAsiaTheme="minorEastAsia" w:cstheme="minorEastAsia"/>
          <w:sz w:val="28"/>
          <w:szCs w:val="28"/>
          <w:highlight w:val="none"/>
          <w:lang w:val="en-US" w:eastAsia="zh-CN"/>
        </w:rPr>
        <w:t>3视频会商系统运维保障</w:t>
      </w:r>
      <w:bookmarkEnd w:id="21"/>
    </w:p>
    <w:p w14:paraId="5D4025B6">
      <w:pPr>
        <w:spacing w:line="360" w:lineRule="auto"/>
        <w:ind w:firstLine="480" w:firstLineChars="200"/>
        <w:rPr>
          <w:rFonts w:hint="eastAsia" w:asciiTheme="minorEastAsia" w:hAnsiTheme="minorEastAsia" w:eastAsiaTheme="minorEastAsia" w:cstheme="minorEastAsia"/>
          <w:sz w:val="24"/>
          <w:szCs w:val="28"/>
          <w:highlight w:val="none"/>
          <w:lang w:val="en-US" w:eastAsia="zh-CN"/>
        </w:rPr>
      </w:pPr>
      <w:r>
        <w:rPr>
          <w:rFonts w:hint="eastAsia" w:asciiTheme="minorEastAsia" w:hAnsiTheme="minorEastAsia" w:eastAsiaTheme="minorEastAsia" w:cstheme="minorEastAsia"/>
          <w:sz w:val="24"/>
          <w:szCs w:val="28"/>
          <w:highlight w:val="none"/>
          <w:lang w:val="en-US" w:eastAsia="zh-CN"/>
        </w:rPr>
        <w:t>各盟市组织对本级视频会商系统运维保障，主要包括多点控制器、视频会商终端设备、RGB矩阵切换器、图像拼接控制器、摄像头设备、云台设备、DLP背投单元、音频设备、数字会议主席发言系统设备等设备运行维护；</w:t>
      </w:r>
    </w:p>
    <w:p w14:paraId="28962EAA">
      <w:pPr>
        <w:spacing w:line="360" w:lineRule="auto"/>
        <w:ind w:firstLine="482" w:firstLineChars="200"/>
        <w:rPr>
          <w:rFonts w:ascii="宋体" w:hAnsi="宋体" w:eastAsia="宋体" w:cs="宋体"/>
          <w:sz w:val="24"/>
          <w:szCs w:val="24"/>
          <w:highlight w:val="none"/>
        </w:rPr>
      </w:pPr>
      <w:r>
        <w:rPr>
          <w:rFonts w:hint="eastAsia" w:ascii="宋体" w:hAnsi="宋体" w:eastAsia="宋体" w:cs="宋体"/>
          <w:b/>
          <w:bCs/>
          <w:sz w:val="24"/>
          <w:szCs w:val="24"/>
          <w:highlight w:val="none"/>
          <w:lang w:val="en-US" w:eastAsia="zh-CN"/>
        </w:rPr>
        <w:t>运维内容：</w:t>
      </w:r>
      <w:r>
        <w:rPr>
          <w:rFonts w:ascii="宋体" w:hAnsi="宋体" w:eastAsia="宋体" w:cs="宋体"/>
          <w:sz w:val="24"/>
          <w:szCs w:val="24"/>
          <w:highlight w:val="none"/>
        </w:rPr>
        <w:t>设备日常检测，运行日志填写；设备年检、常规维护，零部件、维护材料消耗；设备日常清洁，防静电除尘</w:t>
      </w:r>
      <w:r>
        <w:rPr>
          <w:rFonts w:hint="eastAsia" w:ascii="宋体" w:hAnsi="宋体" w:eastAsia="宋体" w:cs="宋体"/>
          <w:sz w:val="24"/>
          <w:szCs w:val="24"/>
          <w:highlight w:val="none"/>
          <w:lang w:val="en-US" w:eastAsia="zh-CN"/>
        </w:rPr>
        <w:t>等</w:t>
      </w:r>
      <w:r>
        <w:rPr>
          <w:rFonts w:ascii="宋体" w:hAnsi="宋体" w:eastAsia="宋体" w:cs="宋体"/>
          <w:sz w:val="24"/>
          <w:szCs w:val="24"/>
          <w:highlight w:val="none"/>
        </w:rPr>
        <w:t>。</w:t>
      </w:r>
    </w:p>
    <w:p w14:paraId="6E8F748A">
      <w:pPr>
        <w:spacing w:line="360" w:lineRule="auto"/>
        <w:ind w:firstLine="482" w:firstLineChars="200"/>
        <w:rPr>
          <w:rFonts w:hint="default" w:asciiTheme="minorEastAsia" w:hAnsiTheme="minorEastAsia" w:eastAsiaTheme="minorEastAsia" w:cstheme="minorEastAsia"/>
          <w:sz w:val="24"/>
          <w:szCs w:val="28"/>
          <w:highlight w:val="none"/>
          <w:lang w:val="en-US" w:eastAsia="zh-CN"/>
        </w:rPr>
      </w:pPr>
      <w:r>
        <w:rPr>
          <w:rFonts w:hint="eastAsia" w:ascii="宋体" w:hAnsi="宋体" w:eastAsia="宋体" w:cs="宋体"/>
          <w:b/>
          <w:bCs/>
          <w:sz w:val="24"/>
          <w:szCs w:val="24"/>
          <w:highlight w:val="none"/>
          <w:lang w:val="en-US" w:eastAsia="zh-CN"/>
        </w:rPr>
        <w:t>运维要求：</w:t>
      </w:r>
      <w:r>
        <w:rPr>
          <w:rFonts w:hint="eastAsia" w:asciiTheme="minorEastAsia" w:hAnsiTheme="minorEastAsia" w:eastAsiaTheme="minorEastAsia" w:cstheme="minorEastAsia"/>
          <w:sz w:val="24"/>
          <w:szCs w:val="28"/>
          <w:highlight w:val="none"/>
          <w:lang w:val="en-US" w:eastAsia="zh-CN"/>
        </w:rPr>
        <w:t>运维工作严格按照《山洪灾害防治非工程措施运行维护指南》进行维护，确保全年视频会商系统全年正常畅通。</w:t>
      </w:r>
    </w:p>
    <w:p w14:paraId="374C3768">
      <w:pPr>
        <w:pStyle w:val="28"/>
        <w:jc w:val="both"/>
        <w:rPr>
          <w:rFonts w:asciiTheme="minorEastAsia" w:hAnsiTheme="minorEastAsia" w:eastAsiaTheme="minorEastAsia" w:cstheme="minorEastAsia"/>
          <w:sz w:val="24"/>
          <w:szCs w:val="24"/>
        </w:rPr>
        <w:sectPr>
          <w:pgSz w:w="16838" w:h="11906" w:orient="landscape"/>
          <w:pgMar w:top="1797" w:right="1440" w:bottom="1797" w:left="1440" w:header="851" w:footer="992" w:gutter="0"/>
          <w:pgNumType w:fmt="decimal"/>
          <w:cols w:space="425" w:num="1"/>
          <w:docGrid w:linePitch="312" w:charSpace="0"/>
        </w:sectPr>
      </w:pPr>
    </w:p>
    <w:p w14:paraId="21FB800E">
      <w:pPr>
        <w:widowControl/>
        <w:spacing w:before="120" w:beforeLines="50" w:after="120" w:afterLines="50" w:line="360" w:lineRule="auto"/>
        <w:contextualSpacing/>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bCs/>
          <w:kern w:val="0"/>
          <w:sz w:val="24"/>
        </w:rPr>
        <w:t>表4-4 各盟市运行维护</w:t>
      </w:r>
      <w:r>
        <w:rPr>
          <w:rFonts w:hint="eastAsia" w:asciiTheme="minorEastAsia" w:hAnsiTheme="minorEastAsia" w:eastAsiaTheme="minorEastAsia" w:cstheme="minorEastAsia"/>
          <w:b/>
          <w:bCs/>
          <w:kern w:val="0"/>
          <w:sz w:val="24"/>
          <w:lang w:val="en-US" w:eastAsia="zh-CN"/>
        </w:rPr>
        <w:t>项目</w:t>
      </w:r>
      <w:r>
        <w:rPr>
          <w:rFonts w:hint="eastAsia" w:asciiTheme="minorEastAsia" w:hAnsiTheme="minorEastAsia" w:eastAsiaTheme="minorEastAsia" w:cstheme="minorEastAsia"/>
          <w:b/>
          <w:bCs/>
          <w:kern w:val="0"/>
          <w:sz w:val="24"/>
        </w:rPr>
        <w:t>资金分配明细表</w:t>
      </w:r>
    </w:p>
    <w:p w14:paraId="553E35E7">
      <w:pPr>
        <w:spacing w:line="360" w:lineRule="auto"/>
        <w:rPr>
          <w:rFonts w:asciiTheme="minorEastAsia" w:hAnsiTheme="minorEastAsia" w:eastAsiaTheme="minorEastAsia" w:cstheme="minorEastAsia"/>
          <w:kern w:val="0"/>
          <w:sz w:val="24"/>
          <w:szCs w:val="24"/>
        </w:rPr>
      </w:pPr>
    </w:p>
    <w:p w14:paraId="4CFB78E1">
      <w:pPr>
        <w:spacing w:line="360" w:lineRule="auto"/>
        <w:jc w:val="center"/>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表4-4-1 自动监测站点运行维护资金表</w:t>
      </w:r>
    </w:p>
    <w:p w14:paraId="4DC1D587">
      <w:pPr>
        <w:spacing w:line="360" w:lineRule="auto"/>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单位：万元</w:t>
      </w:r>
    </w:p>
    <w:tbl>
      <w:tblPr>
        <w:tblStyle w:val="32"/>
        <w:tblW w:w="154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69"/>
        <w:gridCol w:w="907"/>
        <w:gridCol w:w="907"/>
        <w:gridCol w:w="1056"/>
        <w:gridCol w:w="907"/>
        <w:gridCol w:w="997"/>
        <w:gridCol w:w="907"/>
        <w:gridCol w:w="1044"/>
        <w:gridCol w:w="1056"/>
        <w:gridCol w:w="1044"/>
        <w:gridCol w:w="907"/>
        <w:gridCol w:w="997"/>
        <w:gridCol w:w="907"/>
        <w:gridCol w:w="905"/>
        <w:gridCol w:w="1010"/>
        <w:gridCol w:w="1010"/>
      </w:tblGrid>
      <w:tr w14:paraId="6B8E8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7" w:hRule="atLeast"/>
        </w:trPr>
        <w:tc>
          <w:tcPr>
            <w:tcW w:w="869"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753093C7">
            <w:pPr>
              <w:keepNext w:val="0"/>
              <w:keepLines w:val="0"/>
              <w:widowControl/>
              <w:suppressLineNumbers w:val="0"/>
              <w:jc w:val="center"/>
              <w:textAlignment w:val="center"/>
              <w:rPr>
                <w:rFonts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盟市</w:t>
            </w:r>
          </w:p>
        </w:tc>
        <w:tc>
          <w:tcPr>
            <w:tcW w:w="907"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1355281F">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站点总数（个）</w:t>
            </w:r>
          </w:p>
        </w:tc>
        <w:tc>
          <w:tcPr>
            <w:tcW w:w="907"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7626E0BC">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雨量站（个）</w:t>
            </w:r>
          </w:p>
        </w:tc>
        <w:tc>
          <w:tcPr>
            <w:tcW w:w="1056"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75281B1E">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雨量站单价（万元）</w:t>
            </w:r>
          </w:p>
        </w:tc>
        <w:tc>
          <w:tcPr>
            <w:tcW w:w="907"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36457EA3">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水位站（个）</w:t>
            </w:r>
          </w:p>
        </w:tc>
        <w:tc>
          <w:tcPr>
            <w:tcW w:w="997"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27EE90E3">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水位站单价（万元）</w:t>
            </w:r>
          </w:p>
        </w:tc>
        <w:tc>
          <w:tcPr>
            <w:tcW w:w="907"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46A84B67">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声光电雨量站（个）</w:t>
            </w:r>
          </w:p>
        </w:tc>
        <w:tc>
          <w:tcPr>
            <w:tcW w:w="1044"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6269F080">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声光电雨量站单价（万元）</w:t>
            </w:r>
          </w:p>
        </w:tc>
        <w:tc>
          <w:tcPr>
            <w:tcW w:w="1056"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348BC825">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声光电水位雨量一体站（个）</w:t>
            </w:r>
          </w:p>
        </w:tc>
        <w:tc>
          <w:tcPr>
            <w:tcW w:w="1044"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500E31B8">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声光电水位雨量一体站单价（万元）</w:t>
            </w:r>
          </w:p>
        </w:tc>
        <w:tc>
          <w:tcPr>
            <w:tcW w:w="907"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171211C9">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一体站（个）</w:t>
            </w:r>
          </w:p>
        </w:tc>
        <w:tc>
          <w:tcPr>
            <w:tcW w:w="997"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120049A7">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一体站单价（万元）</w:t>
            </w:r>
          </w:p>
        </w:tc>
        <w:tc>
          <w:tcPr>
            <w:tcW w:w="907"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52E79716">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图像视频站（个）</w:t>
            </w:r>
          </w:p>
        </w:tc>
        <w:tc>
          <w:tcPr>
            <w:tcW w:w="905"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29414353">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图像视频站单价（万元）</w:t>
            </w:r>
          </w:p>
        </w:tc>
        <w:tc>
          <w:tcPr>
            <w:tcW w:w="1010"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79320C7D">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总资金（万元）</w:t>
            </w:r>
          </w:p>
        </w:tc>
        <w:tc>
          <w:tcPr>
            <w:tcW w:w="1010"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0FE15E97">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中央资金</w:t>
            </w:r>
          </w:p>
        </w:tc>
      </w:tr>
      <w:tr w14:paraId="76D62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9" w:hRule="atLeast"/>
        </w:trPr>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9828C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呼伦贝尔</w:t>
            </w:r>
          </w:p>
        </w:tc>
        <w:tc>
          <w:tcPr>
            <w:tcW w:w="9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CECF2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360</w:t>
            </w:r>
          </w:p>
        </w:tc>
        <w:tc>
          <w:tcPr>
            <w:tcW w:w="9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89EC6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243</w:t>
            </w:r>
          </w:p>
        </w:tc>
        <w:tc>
          <w:tcPr>
            <w:tcW w:w="10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F5DDE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0.406</w:t>
            </w:r>
          </w:p>
        </w:tc>
        <w:tc>
          <w:tcPr>
            <w:tcW w:w="9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B3872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w:t>
            </w:r>
          </w:p>
        </w:tc>
        <w:tc>
          <w:tcPr>
            <w:tcW w:w="9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8D4ED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0.3905</w:t>
            </w:r>
          </w:p>
        </w:tc>
        <w:tc>
          <w:tcPr>
            <w:tcW w:w="9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0B4D6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21</w:t>
            </w:r>
          </w:p>
        </w:tc>
        <w:tc>
          <w:tcPr>
            <w:tcW w:w="10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202E0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0.682</w:t>
            </w:r>
          </w:p>
        </w:tc>
        <w:tc>
          <w:tcPr>
            <w:tcW w:w="10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87E2A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w:t>
            </w:r>
          </w:p>
        </w:tc>
        <w:tc>
          <w:tcPr>
            <w:tcW w:w="10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8C194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0.808</w:t>
            </w:r>
          </w:p>
        </w:tc>
        <w:tc>
          <w:tcPr>
            <w:tcW w:w="9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5715D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w:t>
            </w:r>
          </w:p>
        </w:tc>
        <w:tc>
          <w:tcPr>
            <w:tcW w:w="9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3E54C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0.4605</w:t>
            </w:r>
          </w:p>
        </w:tc>
        <w:tc>
          <w:tcPr>
            <w:tcW w:w="9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93787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w:t>
            </w:r>
          </w:p>
        </w:tc>
        <w:tc>
          <w:tcPr>
            <w:tcW w:w="9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FBAF8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0.3455</w:t>
            </w:r>
          </w:p>
        </w:tc>
        <w:tc>
          <w:tcPr>
            <w:tcW w:w="101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24453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153.24 </w:t>
            </w:r>
          </w:p>
        </w:tc>
        <w:tc>
          <w:tcPr>
            <w:tcW w:w="101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31A57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153.24 </w:t>
            </w:r>
          </w:p>
        </w:tc>
      </w:tr>
    </w:tbl>
    <w:p w14:paraId="490D0619">
      <w:pPr>
        <w:spacing w:line="360" w:lineRule="auto"/>
        <w:jc w:val="both"/>
        <w:rPr>
          <w:rFonts w:hint="eastAsia" w:asciiTheme="minorEastAsia" w:hAnsiTheme="minorEastAsia" w:eastAsiaTheme="minorEastAsia" w:cstheme="minorEastAsia"/>
          <w:kern w:val="0"/>
          <w:sz w:val="24"/>
          <w:szCs w:val="24"/>
        </w:rPr>
      </w:pPr>
    </w:p>
    <w:p w14:paraId="35EA1CD5">
      <w:pPr>
        <w:pStyle w:val="30"/>
      </w:pPr>
    </w:p>
    <w:p w14:paraId="4D661158">
      <w:pPr>
        <w:pStyle w:val="28"/>
        <w:rPr>
          <w:rFonts w:asciiTheme="minorEastAsia" w:hAnsiTheme="minorEastAsia" w:eastAsiaTheme="minorEastAsia" w:cstheme="minorEastAsia"/>
          <w:kern w:val="0"/>
          <w:sz w:val="24"/>
          <w:szCs w:val="24"/>
        </w:rPr>
        <w:sectPr>
          <w:pgSz w:w="16838" w:h="11906" w:orient="landscape"/>
          <w:pgMar w:top="720" w:right="720" w:bottom="720" w:left="720" w:header="851" w:footer="992" w:gutter="0"/>
          <w:pgNumType w:fmt="decimal"/>
          <w:cols w:space="425" w:num="1"/>
          <w:docGrid w:linePitch="312" w:charSpace="0"/>
        </w:sectPr>
      </w:pPr>
    </w:p>
    <w:p w14:paraId="6D65D679">
      <w:pPr>
        <w:spacing w:before="240" w:beforeLines="100" w:line="360" w:lineRule="auto"/>
        <w:jc w:val="center"/>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表4-4-2 </w:t>
      </w:r>
      <w:r>
        <w:rPr>
          <w:rFonts w:hint="eastAsia" w:asciiTheme="minorEastAsia" w:hAnsiTheme="minorEastAsia" w:eastAsiaTheme="minorEastAsia" w:cstheme="minorEastAsia"/>
          <w:kern w:val="0"/>
          <w:sz w:val="24"/>
          <w:szCs w:val="24"/>
          <w:lang w:val="en-US" w:eastAsia="zh-CN"/>
        </w:rPr>
        <w:t>自动监测站点布局优化</w:t>
      </w:r>
      <w:r>
        <w:rPr>
          <w:rFonts w:hint="eastAsia" w:asciiTheme="minorEastAsia" w:hAnsiTheme="minorEastAsia" w:eastAsiaTheme="minorEastAsia" w:cstheme="minorEastAsia"/>
          <w:kern w:val="0"/>
          <w:sz w:val="24"/>
          <w:szCs w:val="24"/>
        </w:rPr>
        <w:t>资金表</w:t>
      </w:r>
    </w:p>
    <w:p w14:paraId="7607BD73">
      <w:pPr>
        <w:spacing w:line="360" w:lineRule="auto"/>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单位：万元</w:t>
      </w:r>
    </w:p>
    <w:tbl>
      <w:tblPr>
        <w:tblStyle w:val="32"/>
        <w:tblW w:w="1447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001"/>
        <w:gridCol w:w="2001"/>
        <w:gridCol w:w="2001"/>
        <w:gridCol w:w="2001"/>
        <w:gridCol w:w="2001"/>
        <w:gridCol w:w="4474"/>
      </w:tblGrid>
      <w:tr w14:paraId="7EAB3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9" w:hRule="atLeast"/>
          <w:jc w:val="center"/>
        </w:trPr>
        <w:tc>
          <w:tcPr>
            <w:tcW w:w="2001" w:type="dxa"/>
            <w:vMerge w:val="restart"/>
            <w:tcBorders>
              <w:top w:val="single" w:color="000000" w:sz="4" w:space="0"/>
              <w:left w:val="single" w:color="000000" w:sz="4" w:space="0"/>
              <w:bottom w:val="single" w:color="000000" w:sz="4" w:space="0"/>
              <w:right w:val="single" w:color="000000" w:sz="4" w:space="0"/>
            </w:tcBorders>
            <w:shd w:val="clear" w:color="auto" w:fill="D9D9D9"/>
            <w:vAlign w:val="center"/>
          </w:tcPr>
          <w:p w14:paraId="72098264">
            <w:pPr>
              <w:keepNext w:val="0"/>
              <w:keepLines w:val="0"/>
              <w:widowControl/>
              <w:suppressLineNumbers w:val="0"/>
              <w:jc w:val="center"/>
              <w:textAlignment w:val="center"/>
              <w:rPr>
                <w:rFonts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盟市</w:t>
            </w:r>
          </w:p>
        </w:tc>
        <w:tc>
          <w:tcPr>
            <w:tcW w:w="6003" w:type="dxa"/>
            <w:gridSpan w:val="3"/>
            <w:tcBorders>
              <w:top w:val="single" w:color="000000" w:sz="4" w:space="0"/>
              <w:left w:val="single" w:color="000000" w:sz="4" w:space="0"/>
              <w:bottom w:val="single" w:color="000000" w:sz="4" w:space="0"/>
              <w:right w:val="single" w:color="000000" w:sz="4" w:space="0"/>
            </w:tcBorders>
            <w:shd w:val="clear" w:color="auto" w:fill="D9D9D9"/>
            <w:vAlign w:val="center"/>
          </w:tcPr>
          <w:p w14:paraId="17C1BC59">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雨量站</w:t>
            </w:r>
          </w:p>
        </w:tc>
        <w:tc>
          <w:tcPr>
            <w:tcW w:w="2001" w:type="dxa"/>
            <w:vMerge w:val="restart"/>
            <w:tcBorders>
              <w:top w:val="single" w:color="000000" w:sz="4" w:space="0"/>
              <w:left w:val="single" w:color="000000" w:sz="4" w:space="0"/>
              <w:bottom w:val="single" w:color="000000" w:sz="4" w:space="0"/>
              <w:right w:val="single" w:color="000000" w:sz="4" w:space="0"/>
            </w:tcBorders>
            <w:shd w:val="clear" w:color="auto" w:fill="D9D9D9"/>
            <w:vAlign w:val="center"/>
          </w:tcPr>
          <w:p w14:paraId="287FABC3">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总资金（万元）</w:t>
            </w:r>
          </w:p>
        </w:tc>
        <w:tc>
          <w:tcPr>
            <w:tcW w:w="4474" w:type="dxa"/>
            <w:vMerge w:val="restart"/>
            <w:tcBorders>
              <w:top w:val="single" w:color="000000" w:sz="4" w:space="0"/>
              <w:left w:val="single" w:color="000000" w:sz="4" w:space="0"/>
              <w:bottom w:val="single" w:color="000000" w:sz="4" w:space="0"/>
              <w:right w:val="single" w:color="000000" w:sz="4" w:space="0"/>
            </w:tcBorders>
            <w:shd w:val="clear" w:color="auto" w:fill="D9D9D9"/>
            <w:vAlign w:val="center"/>
          </w:tcPr>
          <w:p w14:paraId="6B4A2045">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中央资金</w:t>
            </w:r>
          </w:p>
        </w:tc>
      </w:tr>
      <w:tr w14:paraId="58D6F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9" w:hRule="atLeast"/>
          <w:jc w:val="center"/>
        </w:trPr>
        <w:tc>
          <w:tcPr>
            <w:tcW w:w="2001" w:type="dxa"/>
            <w:vMerge w:val="continue"/>
            <w:tcBorders>
              <w:top w:val="single" w:color="000000" w:sz="4" w:space="0"/>
              <w:left w:val="single" w:color="000000" w:sz="4" w:space="0"/>
              <w:bottom w:val="single" w:color="000000" w:sz="4" w:space="0"/>
              <w:right w:val="single" w:color="000000" w:sz="4" w:space="0"/>
            </w:tcBorders>
            <w:shd w:val="clear" w:color="auto" w:fill="D9D9D9"/>
            <w:vAlign w:val="center"/>
          </w:tcPr>
          <w:p w14:paraId="1C8F11FF">
            <w:pPr>
              <w:jc w:val="center"/>
              <w:rPr>
                <w:rFonts w:hint="eastAsia" w:ascii="微软雅黑" w:hAnsi="微软雅黑" w:eastAsia="微软雅黑" w:cs="微软雅黑"/>
                <w:b/>
                <w:bCs/>
                <w:i w:val="0"/>
                <w:iCs w:val="0"/>
                <w:color w:val="000000"/>
                <w:sz w:val="22"/>
                <w:szCs w:val="22"/>
                <w:u w:val="none"/>
              </w:rPr>
            </w:pPr>
          </w:p>
        </w:tc>
        <w:tc>
          <w:tcPr>
            <w:tcW w:w="2001"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35DEC3DB">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布局优化雨量站（个）</w:t>
            </w:r>
          </w:p>
        </w:tc>
        <w:tc>
          <w:tcPr>
            <w:tcW w:w="2001"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3311D984">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单价（万元）</w:t>
            </w:r>
          </w:p>
        </w:tc>
        <w:tc>
          <w:tcPr>
            <w:tcW w:w="2001"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157179A7">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雨量站更新总价</w:t>
            </w:r>
          </w:p>
        </w:tc>
        <w:tc>
          <w:tcPr>
            <w:tcW w:w="2001" w:type="dxa"/>
            <w:vMerge w:val="continue"/>
            <w:tcBorders>
              <w:top w:val="single" w:color="000000" w:sz="4" w:space="0"/>
              <w:left w:val="single" w:color="000000" w:sz="4" w:space="0"/>
              <w:bottom w:val="single" w:color="000000" w:sz="4" w:space="0"/>
              <w:right w:val="single" w:color="000000" w:sz="4" w:space="0"/>
            </w:tcBorders>
            <w:shd w:val="clear" w:color="auto" w:fill="D9D9D9"/>
            <w:vAlign w:val="center"/>
          </w:tcPr>
          <w:p w14:paraId="1A9C39BB">
            <w:pPr>
              <w:jc w:val="center"/>
              <w:rPr>
                <w:rFonts w:hint="eastAsia" w:ascii="微软雅黑" w:hAnsi="微软雅黑" w:eastAsia="微软雅黑" w:cs="微软雅黑"/>
                <w:b/>
                <w:bCs/>
                <w:i w:val="0"/>
                <w:iCs w:val="0"/>
                <w:color w:val="000000"/>
                <w:sz w:val="22"/>
                <w:szCs w:val="22"/>
                <w:u w:val="none"/>
              </w:rPr>
            </w:pPr>
          </w:p>
        </w:tc>
        <w:tc>
          <w:tcPr>
            <w:tcW w:w="4474" w:type="dxa"/>
            <w:vMerge w:val="continue"/>
            <w:tcBorders>
              <w:top w:val="single" w:color="000000" w:sz="4" w:space="0"/>
              <w:left w:val="single" w:color="000000" w:sz="4" w:space="0"/>
              <w:bottom w:val="single" w:color="000000" w:sz="4" w:space="0"/>
              <w:right w:val="single" w:color="000000" w:sz="4" w:space="0"/>
            </w:tcBorders>
            <w:shd w:val="clear" w:color="auto" w:fill="D9D9D9"/>
            <w:vAlign w:val="center"/>
          </w:tcPr>
          <w:p w14:paraId="002276D4">
            <w:pPr>
              <w:jc w:val="center"/>
              <w:rPr>
                <w:rFonts w:hint="eastAsia" w:ascii="微软雅黑" w:hAnsi="微软雅黑" w:eastAsia="微软雅黑" w:cs="微软雅黑"/>
                <w:b/>
                <w:bCs/>
                <w:i w:val="0"/>
                <w:iCs w:val="0"/>
                <w:color w:val="000000"/>
                <w:sz w:val="22"/>
                <w:szCs w:val="22"/>
                <w:u w:val="none"/>
              </w:rPr>
            </w:pPr>
          </w:p>
        </w:tc>
      </w:tr>
      <w:tr w14:paraId="194F60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3" w:hRule="atLeast"/>
          <w:jc w:val="center"/>
        </w:trPr>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7331B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呼伦贝尔</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A40BE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49</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7AAE7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0.5377 </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9C871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26.35 </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D6160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26.35 </w:t>
            </w:r>
          </w:p>
        </w:tc>
        <w:tc>
          <w:tcPr>
            <w:tcW w:w="447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E7575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26.35 </w:t>
            </w:r>
          </w:p>
        </w:tc>
      </w:tr>
    </w:tbl>
    <w:p w14:paraId="79D8E50D">
      <w:pPr>
        <w:pStyle w:val="30"/>
        <w:ind w:left="0" w:leftChars="0" w:firstLine="0" w:firstLineChars="0"/>
        <w:rPr>
          <w:rFonts w:hint="eastAsia"/>
        </w:rPr>
      </w:pPr>
    </w:p>
    <w:p w14:paraId="5EA2752F">
      <w:pPr>
        <w:pStyle w:val="28"/>
        <w:rPr>
          <w:rFonts w:hint="eastAsia" w:asciiTheme="minorEastAsia" w:hAnsiTheme="minorEastAsia" w:eastAsiaTheme="minorEastAsia" w:cstheme="minorEastAsia"/>
          <w:kern w:val="0"/>
          <w:sz w:val="24"/>
          <w:szCs w:val="24"/>
        </w:rPr>
      </w:pPr>
    </w:p>
    <w:p w14:paraId="145D2CA5">
      <w:pPr>
        <w:spacing w:line="360" w:lineRule="auto"/>
        <w:jc w:val="right"/>
        <w:rPr>
          <w:rFonts w:asciiTheme="minorEastAsia" w:hAnsiTheme="minorEastAsia" w:eastAsiaTheme="minorEastAsia" w:cstheme="minorEastAsia"/>
          <w:kern w:val="0"/>
          <w:sz w:val="24"/>
          <w:szCs w:val="24"/>
        </w:rPr>
        <w:sectPr>
          <w:pgSz w:w="16838" w:h="11906" w:orient="landscape"/>
          <w:pgMar w:top="720" w:right="720" w:bottom="720" w:left="720" w:header="851" w:footer="992" w:gutter="0"/>
          <w:pgNumType w:fmt="decimal"/>
          <w:cols w:space="425" w:num="1"/>
          <w:docGrid w:linePitch="312" w:charSpace="0"/>
        </w:sectPr>
      </w:pPr>
    </w:p>
    <w:p w14:paraId="77AF1879">
      <w:pPr>
        <w:spacing w:before="240" w:beforeLines="100" w:line="360" w:lineRule="auto"/>
        <w:jc w:val="center"/>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表4-4-3 山洪灾害防治体系运维资金表</w:t>
      </w:r>
    </w:p>
    <w:p w14:paraId="7B98F37B">
      <w:pPr>
        <w:spacing w:line="360" w:lineRule="auto"/>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单位：万元</w:t>
      </w:r>
    </w:p>
    <w:tbl>
      <w:tblPr>
        <w:tblStyle w:val="32"/>
        <w:tblW w:w="2247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66"/>
        <w:gridCol w:w="879"/>
        <w:gridCol w:w="956"/>
        <w:gridCol w:w="863"/>
        <w:gridCol w:w="1031"/>
        <w:gridCol w:w="863"/>
        <w:gridCol w:w="984"/>
        <w:gridCol w:w="935"/>
        <w:gridCol w:w="862"/>
        <w:gridCol w:w="864"/>
        <w:gridCol w:w="879"/>
        <w:gridCol w:w="862"/>
        <w:gridCol w:w="862"/>
        <w:gridCol w:w="901"/>
        <w:gridCol w:w="901"/>
        <w:gridCol w:w="870"/>
        <w:gridCol w:w="879"/>
        <w:gridCol w:w="862"/>
        <w:gridCol w:w="862"/>
        <w:gridCol w:w="879"/>
        <w:gridCol w:w="862"/>
        <w:gridCol w:w="863"/>
        <w:gridCol w:w="863"/>
        <w:gridCol w:w="863"/>
        <w:gridCol w:w="868"/>
      </w:tblGrid>
      <w:tr w14:paraId="06115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7" w:hRule="atLeast"/>
        </w:trPr>
        <w:tc>
          <w:tcPr>
            <w:tcW w:w="1166" w:type="dxa"/>
            <w:vMerge w:val="restart"/>
            <w:tcBorders>
              <w:top w:val="single" w:color="000000" w:sz="4" w:space="0"/>
              <w:left w:val="single" w:color="000000" w:sz="4" w:space="0"/>
              <w:bottom w:val="single" w:color="000000" w:sz="4" w:space="0"/>
              <w:right w:val="single" w:color="000000" w:sz="4" w:space="0"/>
            </w:tcBorders>
            <w:shd w:val="clear" w:color="auto" w:fill="D9D9D9"/>
            <w:vAlign w:val="center"/>
          </w:tcPr>
          <w:p w14:paraId="702D82A8">
            <w:pPr>
              <w:keepNext w:val="0"/>
              <w:keepLines w:val="0"/>
              <w:widowControl/>
              <w:suppressLineNumbers w:val="0"/>
              <w:jc w:val="center"/>
              <w:textAlignment w:val="center"/>
              <w:rPr>
                <w:rFonts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盟市</w:t>
            </w:r>
          </w:p>
        </w:tc>
        <w:tc>
          <w:tcPr>
            <w:tcW w:w="13512" w:type="dxa"/>
            <w:gridSpan w:val="15"/>
            <w:tcBorders>
              <w:top w:val="single" w:color="000000" w:sz="4" w:space="0"/>
              <w:left w:val="single" w:color="000000" w:sz="4" w:space="0"/>
              <w:bottom w:val="single" w:color="000000" w:sz="4" w:space="0"/>
              <w:right w:val="single" w:color="000000" w:sz="4" w:space="0"/>
            </w:tcBorders>
            <w:shd w:val="clear" w:color="auto" w:fill="D9D9D9"/>
            <w:vAlign w:val="center"/>
          </w:tcPr>
          <w:p w14:paraId="7C45D530">
            <w:pPr>
              <w:keepNext w:val="0"/>
              <w:keepLines w:val="0"/>
              <w:widowControl/>
              <w:suppressLineNumbers w:val="0"/>
              <w:jc w:val="center"/>
              <w:textAlignment w:val="center"/>
              <w:rPr>
                <w:rFonts w:ascii="Microsoft YaHei UI" w:hAnsi="Microsoft YaHei UI" w:eastAsia="Microsoft YaHei UI" w:cs="Microsoft YaHei UI"/>
                <w:b/>
                <w:bCs/>
                <w:i w:val="0"/>
                <w:iCs w:val="0"/>
                <w:color w:val="000000"/>
                <w:sz w:val="22"/>
                <w:szCs w:val="22"/>
                <w:u w:val="none"/>
              </w:rPr>
            </w:pPr>
            <w:r>
              <w:rPr>
                <w:rFonts w:hint="eastAsia" w:ascii="Microsoft YaHei UI" w:hAnsi="Microsoft YaHei UI" w:eastAsia="Microsoft YaHei UI" w:cs="Microsoft YaHei UI"/>
                <w:b/>
                <w:bCs/>
                <w:i w:val="0"/>
                <w:iCs w:val="0"/>
                <w:color w:val="000000"/>
                <w:kern w:val="0"/>
                <w:sz w:val="22"/>
                <w:szCs w:val="22"/>
                <w:u w:val="none"/>
                <w:lang w:val="en-US" w:eastAsia="zh-CN" w:bidi="ar"/>
              </w:rPr>
              <w:t>县级山洪灾害防御体系非工程措施体系运行维护（除自动监测站点外）</w:t>
            </w:r>
          </w:p>
        </w:tc>
        <w:tc>
          <w:tcPr>
            <w:tcW w:w="7801" w:type="dxa"/>
            <w:gridSpan w:val="9"/>
            <w:tcBorders>
              <w:top w:val="single" w:color="000000" w:sz="4" w:space="0"/>
              <w:left w:val="single" w:color="000000" w:sz="4" w:space="0"/>
              <w:bottom w:val="nil"/>
              <w:right w:val="single" w:color="000000" w:sz="4" w:space="0"/>
            </w:tcBorders>
            <w:shd w:val="clear" w:color="auto" w:fill="D9D9D9"/>
            <w:vAlign w:val="center"/>
          </w:tcPr>
          <w:p w14:paraId="0CBAFD72">
            <w:pPr>
              <w:keepNext w:val="0"/>
              <w:keepLines w:val="0"/>
              <w:widowControl/>
              <w:suppressLineNumbers w:val="0"/>
              <w:jc w:val="center"/>
              <w:textAlignment w:val="center"/>
              <w:rPr>
                <w:rFonts w:hint="eastAsia" w:ascii="Microsoft YaHei UI" w:hAnsi="Microsoft YaHei UI" w:eastAsia="Microsoft YaHei UI" w:cs="Microsoft YaHei UI"/>
                <w:b/>
                <w:bCs/>
                <w:i w:val="0"/>
                <w:iCs w:val="0"/>
                <w:color w:val="000000"/>
                <w:sz w:val="22"/>
                <w:szCs w:val="22"/>
                <w:u w:val="none"/>
              </w:rPr>
            </w:pPr>
            <w:r>
              <w:rPr>
                <w:rFonts w:hint="eastAsia" w:ascii="Microsoft YaHei UI" w:hAnsi="Microsoft YaHei UI" w:eastAsia="Microsoft YaHei UI" w:cs="Microsoft YaHei UI"/>
                <w:b/>
                <w:bCs/>
                <w:i w:val="0"/>
                <w:iCs w:val="0"/>
                <w:color w:val="000000"/>
                <w:kern w:val="0"/>
                <w:sz w:val="22"/>
                <w:szCs w:val="22"/>
                <w:u w:val="none"/>
                <w:lang w:val="en-US" w:eastAsia="zh-CN" w:bidi="ar"/>
              </w:rPr>
              <w:t>盟市级平台（软硬件、预警发布、网络等）、机房等山洪灾害防御非工程措施体系运行维护</w:t>
            </w:r>
          </w:p>
        </w:tc>
      </w:tr>
      <w:tr w14:paraId="52F97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9" w:hRule="atLeast"/>
        </w:trPr>
        <w:tc>
          <w:tcPr>
            <w:tcW w:w="1166" w:type="dxa"/>
            <w:vMerge w:val="continue"/>
            <w:tcBorders>
              <w:top w:val="single" w:color="000000" w:sz="4" w:space="0"/>
              <w:left w:val="single" w:color="000000" w:sz="4" w:space="0"/>
              <w:bottom w:val="single" w:color="000000" w:sz="4" w:space="0"/>
              <w:right w:val="single" w:color="000000" w:sz="4" w:space="0"/>
            </w:tcBorders>
            <w:shd w:val="clear" w:color="auto" w:fill="D9D9D9"/>
            <w:vAlign w:val="center"/>
          </w:tcPr>
          <w:p w14:paraId="357BC66B">
            <w:pPr>
              <w:jc w:val="center"/>
              <w:rPr>
                <w:rFonts w:hint="eastAsia" w:ascii="微软雅黑" w:hAnsi="微软雅黑" w:eastAsia="微软雅黑" w:cs="微软雅黑"/>
                <w:b/>
                <w:bCs/>
                <w:i w:val="0"/>
                <w:iCs w:val="0"/>
                <w:color w:val="000000"/>
                <w:sz w:val="22"/>
                <w:szCs w:val="22"/>
                <w:u w:val="none"/>
              </w:rPr>
            </w:pPr>
          </w:p>
        </w:tc>
        <w:tc>
          <w:tcPr>
            <w:tcW w:w="2698" w:type="dxa"/>
            <w:gridSpan w:val="3"/>
            <w:tcBorders>
              <w:top w:val="single" w:color="000000" w:sz="4" w:space="0"/>
              <w:left w:val="single" w:color="000000" w:sz="4" w:space="0"/>
              <w:bottom w:val="single" w:color="000000" w:sz="4" w:space="0"/>
              <w:right w:val="nil"/>
            </w:tcBorders>
            <w:shd w:val="clear" w:color="auto" w:fill="D9D9D9"/>
            <w:vAlign w:val="center"/>
          </w:tcPr>
          <w:p w14:paraId="481F4D02">
            <w:pPr>
              <w:keepNext w:val="0"/>
              <w:keepLines w:val="0"/>
              <w:widowControl/>
              <w:suppressLineNumbers w:val="0"/>
              <w:jc w:val="center"/>
              <w:textAlignment w:val="center"/>
              <w:rPr>
                <w:rFonts w:hint="eastAsia" w:ascii="Microsoft YaHei UI" w:hAnsi="Microsoft YaHei UI" w:eastAsia="Microsoft YaHei UI" w:cs="Microsoft YaHei UI"/>
                <w:b/>
                <w:bCs/>
                <w:i w:val="0"/>
                <w:iCs w:val="0"/>
                <w:color w:val="000000"/>
                <w:sz w:val="22"/>
                <w:szCs w:val="22"/>
                <w:u w:val="none"/>
              </w:rPr>
            </w:pPr>
            <w:r>
              <w:rPr>
                <w:rFonts w:hint="eastAsia" w:ascii="Microsoft YaHei UI" w:hAnsi="Microsoft YaHei UI" w:eastAsia="Microsoft YaHei UI" w:cs="Microsoft YaHei UI"/>
                <w:b/>
                <w:bCs/>
                <w:i w:val="0"/>
                <w:iCs w:val="0"/>
                <w:color w:val="000000"/>
                <w:kern w:val="0"/>
                <w:sz w:val="22"/>
                <w:szCs w:val="22"/>
                <w:u w:val="none"/>
                <w:lang w:val="en-US" w:eastAsia="zh-CN" w:bidi="ar"/>
              </w:rPr>
              <w:t>县级视频会商系统</w:t>
            </w:r>
          </w:p>
        </w:tc>
        <w:tc>
          <w:tcPr>
            <w:tcW w:w="2878" w:type="dxa"/>
            <w:gridSpan w:val="3"/>
            <w:tcBorders>
              <w:top w:val="single" w:color="000000" w:sz="4" w:space="0"/>
              <w:left w:val="single" w:color="000000" w:sz="4" w:space="0"/>
              <w:bottom w:val="single" w:color="000000" w:sz="4" w:space="0"/>
              <w:right w:val="nil"/>
            </w:tcBorders>
            <w:shd w:val="clear" w:color="auto" w:fill="D9D9D9"/>
            <w:vAlign w:val="center"/>
          </w:tcPr>
          <w:p w14:paraId="1F6938FA">
            <w:pPr>
              <w:keepNext w:val="0"/>
              <w:keepLines w:val="0"/>
              <w:widowControl/>
              <w:suppressLineNumbers w:val="0"/>
              <w:jc w:val="center"/>
              <w:textAlignment w:val="center"/>
              <w:rPr>
                <w:rFonts w:hint="eastAsia" w:ascii="Microsoft YaHei UI" w:hAnsi="Microsoft YaHei UI" w:eastAsia="Microsoft YaHei UI" w:cs="Microsoft YaHei UI"/>
                <w:b/>
                <w:bCs/>
                <w:i w:val="0"/>
                <w:iCs w:val="0"/>
                <w:color w:val="000000"/>
                <w:sz w:val="22"/>
                <w:szCs w:val="22"/>
                <w:u w:val="none"/>
              </w:rPr>
            </w:pPr>
            <w:r>
              <w:rPr>
                <w:rFonts w:hint="eastAsia" w:ascii="Microsoft YaHei UI" w:hAnsi="Microsoft YaHei UI" w:eastAsia="Microsoft YaHei UI" w:cs="Microsoft YaHei UI"/>
                <w:b/>
                <w:bCs/>
                <w:i w:val="0"/>
                <w:iCs w:val="0"/>
                <w:color w:val="000000"/>
                <w:kern w:val="0"/>
                <w:sz w:val="22"/>
                <w:szCs w:val="22"/>
                <w:u w:val="none"/>
                <w:lang w:val="en-US" w:eastAsia="zh-CN" w:bidi="ar"/>
              </w:rPr>
              <w:t>简易雨量报警器</w:t>
            </w:r>
          </w:p>
        </w:tc>
        <w:tc>
          <w:tcPr>
            <w:tcW w:w="2661" w:type="dxa"/>
            <w:gridSpan w:val="3"/>
            <w:tcBorders>
              <w:top w:val="single" w:color="000000" w:sz="4" w:space="0"/>
              <w:left w:val="single" w:color="000000" w:sz="4" w:space="0"/>
              <w:bottom w:val="single" w:color="000000" w:sz="4" w:space="0"/>
              <w:right w:val="single" w:color="000000" w:sz="4" w:space="0"/>
            </w:tcBorders>
            <w:shd w:val="clear" w:color="auto" w:fill="D9D9D9"/>
            <w:vAlign w:val="center"/>
          </w:tcPr>
          <w:p w14:paraId="754A5F71">
            <w:pPr>
              <w:keepNext w:val="0"/>
              <w:keepLines w:val="0"/>
              <w:widowControl/>
              <w:suppressLineNumbers w:val="0"/>
              <w:jc w:val="center"/>
              <w:textAlignment w:val="center"/>
              <w:rPr>
                <w:rFonts w:hint="eastAsia" w:ascii="Microsoft YaHei UI" w:hAnsi="Microsoft YaHei UI" w:eastAsia="Microsoft YaHei UI" w:cs="Microsoft YaHei UI"/>
                <w:b/>
                <w:bCs/>
                <w:i w:val="0"/>
                <w:iCs w:val="0"/>
                <w:color w:val="000000"/>
                <w:sz w:val="22"/>
                <w:szCs w:val="22"/>
                <w:u w:val="none"/>
              </w:rPr>
            </w:pPr>
            <w:r>
              <w:rPr>
                <w:rFonts w:hint="eastAsia" w:ascii="Microsoft YaHei UI" w:hAnsi="Microsoft YaHei UI" w:eastAsia="Microsoft YaHei UI" w:cs="Microsoft YaHei UI"/>
                <w:b/>
                <w:bCs/>
                <w:i w:val="0"/>
                <w:iCs w:val="0"/>
                <w:color w:val="000000"/>
                <w:kern w:val="0"/>
                <w:sz w:val="22"/>
                <w:szCs w:val="22"/>
                <w:u w:val="none"/>
                <w:lang w:val="en-US" w:eastAsia="zh-CN" w:bidi="ar"/>
              </w:rPr>
              <w:t>无线预警广播</w:t>
            </w:r>
          </w:p>
        </w:tc>
        <w:tc>
          <w:tcPr>
            <w:tcW w:w="2603" w:type="dxa"/>
            <w:gridSpan w:val="3"/>
            <w:tcBorders>
              <w:top w:val="single" w:color="000000" w:sz="4" w:space="0"/>
              <w:left w:val="single" w:color="000000" w:sz="4" w:space="0"/>
              <w:bottom w:val="single" w:color="000000" w:sz="4" w:space="0"/>
              <w:right w:val="single" w:color="000000" w:sz="4" w:space="0"/>
            </w:tcBorders>
            <w:shd w:val="clear" w:color="auto" w:fill="D9D9D9"/>
            <w:vAlign w:val="center"/>
          </w:tcPr>
          <w:p w14:paraId="006DC50B">
            <w:pPr>
              <w:keepNext w:val="0"/>
              <w:keepLines w:val="0"/>
              <w:widowControl/>
              <w:suppressLineNumbers w:val="0"/>
              <w:jc w:val="center"/>
              <w:textAlignment w:val="center"/>
              <w:rPr>
                <w:rFonts w:hint="eastAsia" w:ascii="Microsoft YaHei UI" w:hAnsi="Microsoft YaHei UI" w:eastAsia="Microsoft YaHei UI" w:cs="Microsoft YaHei UI"/>
                <w:b/>
                <w:bCs/>
                <w:i w:val="0"/>
                <w:iCs w:val="0"/>
                <w:color w:val="000000"/>
                <w:sz w:val="22"/>
                <w:szCs w:val="22"/>
                <w:u w:val="none"/>
              </w:rPr>
            </w:pPr>
            <w:r>
              <w:rPr>
                <w:rFonts w:hint="eastAsia" w:ascii="Microsoft YaHei UI" w:hAnsi="Microsoft YaHei UI" w:eastAsia="Microsoft YaHei UI" w:cs="Microsoft YaHei UI"/>
                <w:b/>
                <w:bCs/>
                <w:i w:val="0"/>
                <w:iCs w:val="0"/>
                <w:color w:val="000000"/>
                <w:kern w:val="0"/>
                <w:sz w:val="22"/>
                <w:szCs w:val="22"/>
                <w:u w:val="none"/>
                <w:lang w:val="en-US" w:eastAsia="zh-CN" w:bidi="ar"/>
              </w:rPr>
              <w:t>平台机房运行维护</w:t>
            </w:r>
          </w:p>
        </w:tc>
        <w:tc>
          <w:tcPr>
            <w:tcW w:w="2672" w:type="dxa"/>
            <w:gridSpan w:val="3"/>
            <w:tcBorders>
              <w:top w:val="single" w:color="000000" w:sz="4" w:space="0"/>
              <w:left w:val="nil"/>
              <w:bottom w:val="single" w:color="000000" w:sz="4" w:space="0"/>
              <w:right w:val="single" w:color="000000" w:sz="4" w:space="0"/>
            </w:tcBorders>
            <w:shd w:val="clear" w:color="auto" w:fill="D9D9D9"/>
            <w:vAlign w:val="center"/>
          </w:tcPr>
          <w:p w14:paraId="49412385">
            <w:pPr>
              <w:keepNext w:val="0"/>
              <w:keepLines w:val="0"/>
              <w:widowControl/>
              <w:suppressLineNumbers w:val="0"/>
              <w:jc w:val="center"/>
              <w:textAlignment w:val="center"/>
              <w:rPr>
                <w:rFonts w:hint="eastAsia" w:ascii="Microsoft YaHei UI" w:hAnsi="Microsoft YaHei UI" w:eastAsia="Microsoft YaHei UI" w:cs="Microsoft YaHei UI"/>
                <w:b/>
                <w:bCs/>
                <w:i w:val="0"/>
                <w:iCs w:val="0"/>
                <w:color w:val="000000"/>
                <w:sz w:val="22"/>
                <w:szCs w:val="22"/>
                <w:u w:val="none"/>
              </w:rPr>
            </w:pPr>
            <w:r>
              <w:rPr>
                <w:rFonts w:hint="eastAsia" w:ascii="Microsoft YaHei UI" w:hAnsi="Microsoft YaHei UI" w:eastAsia="Microsoft YaHei UI" w:cs="Microsoft YaHei UI"/>
                <w:b/>
                <w:bCs/>
                <w:i w:val="0"/>
                <w:iCs w:val="0"/>
                <w:color w:val="000000"/>
                <w:kern w:val="0"/>
                <w:sz w:val="22"/>
                <w:szCs w:val="22"/>
                <w:u w:val="none"/>
                <w:lang w:val="en-US" w:eastAsia="zh-CN" w:bidi="ar"/>
              </w:rPr>
              <w:t>小计</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D9D9D9"/>
            <w:noWrap/>
            <w:vAlign w:val="center"/>
          </w:tcPr>
          <w:p w14:paraId="42C0EBAD">
            <w:pPr>
              <w:keepNext w:val="0"/>
              <w:keepLines w:val="0"/>
              <w:widowControl/>
              <w:suppressLineNumbers w:val="0"/>
              <w:jc w:val="center"/>
              <w:textAlignment w:val="center"/>
              <w:rPr>
                <w:rFonts w:hint="eastAsia" w:ascii="Microsoft YaHei UI" w:hAnsi="Microsoft YaHei UI" w:eastAsia="Microsoft YaHei UI" w:cs="Microsoft YaHei UI"/>
                <w:b/>
                <w:bCs/>
                <w:i w:val="0"/>
                <w:iCs w:val="0"/>
                <w:color w:val="000000"/>
                <w:sz w:val="22"/>
                <w:szCs w:val="22"/>
                <w:u w:val="none"/>
              </w:rPr>
            </w:pPr>
            <w:r>
              <w:rPr>
                <w:rFonts w:hint="eastAsia" w:ascii="Microsoft YaHei UI" w:hAnsi="Microsoft YaHei UI" w:eastAsia="Microsoft YaHei UI" w:cs="Microsoft YaHei UI"/>
                <w:b/>
                <w:bCs/>
                <w:i w:val="0"/>
                <w:iCs w:val="0"/>
                <w:color w:val="000000"/>
                <w:kern w:val="0"/>
                <w:sz w:val="22"/>
                <w:szCs w:val="22"/>
                <w:u w:val="none"/>
                <w:lang w:val="en-US" w:eastAsia="zh-CN" w:bidi="ar"/>
              </w:rPr>
              <w:t>视频会议运维</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D9D9D9"/>
            <w:noWrap/>
            <w:vAlign w:val="center"/>
          </w:tcPr>
          <w:p w14:paraId="2BC55B5D">
            <w:pPr>
              <w:keepNext w:val="0"/>
              <w:keepLines w:val="0"/>
              <w:widowControl/>
              <w:suppressLineNumbers w:val="0"/>
              <w:jc w:val="center"/>
              <w:textAlignment w:val="center"/>
              <w:rPr>
                <w:rFonts w:hint="eastAsia" w:ascii="Microsoft YaHei UI" w:hAnsi="Microsoft YaHei UI" w:eastAsia="Microsoft YaHei UI" w:cs="Microsoft YaHei UI"/>
                <w:b/>
                <w:bCs/>
                <w:i w:val="0"/>
                <w:iCs w:val="0"/>
                <w:color w:val="000000"/>
                <w:sz w:val="22"/>
                <w:szCs w:val="22"/>
                <w:u w:val="none"/>
              </w:rPr>
            </w:pPr>
            <w:r>
              <w:rPr>
                <w:rFonts w:hint="eastAsia" w:ascii="Microsoft YaHei UI" w:hAnsi="Microsoft YaHei UI" w:eastAsia="Microsoft YaHei UI" w:cs="Microsoft YaHei UI"/>
                <w:b/>
                <w:bCs/>
                <w:i w:val="0"/>
                <w:iCs w:val="0"/>
                <w:color w:val="000000"/>
                <w:kern w:val="0"/>
                <w:sz w:val="22"/>
                <w:szCs w:val="22"/>
                <w:u w:val="none"/>
                <w:lang w:val="en-US" w:eastAsia="zh-CN" w:bidi="ar"/>
              </w:rPr>
              <w:t>机房平台等运维</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D9D9D9"/>
            <w:noWrap/>
            <w:vAlign w:val="center"/>
          </w:tcPr>
          <w:p w14:paraId="453BD263">
            <w:pPr>
              <w:keepNext w:val="0"/>
              <w:keepLines w:val="0"/>
              <w:widowControl/>
              <w:suppressLineNumbers w:val="0"/>
              <w:jc w:val="center"/>
              <w:textAlignment w:val="center"/>
              <w:rPr>
                <w:rFonts w:hint="eastAsia" w:ascii="Microsoft YaHei UI" w:hAnsi="Microsoft YaHei UI" w:eastAsia="Microsoft YaHei UI" w:cs="Microsoft YaHei UI"/>
                <w:b/>
                <w:bCs/>
                <w:i w:val="0"/>
                <w:iCs w:val="0"/>
                <w:color w:val="000000"/>
                <w:sz w:val="22"/>
                <w:szCs w:val="22"/>
                <w:u w:val="none"/>
              </w:rPr>
            </w:pPr>
            <w:r>
              <w:rPr>
                <w:rFonts w:hint="eastAsia" w:ascii="Microsoft YaHei UI" w:hAnsi="Microsoft YaHei UI" w:eastAsia="Microsoft YaHei UI" w:cs="Microsoft YaHei UI"/>
                <w:b/>
                <w:bCs/>
                <w:i w:val="0"/>
                <w:iCs w:val="0"/>
                <w:color w:val="000000"/>
                <w:kern w:val="0"/>
                <w:sz w:val="22"/>
                <w:szCs w:val="22"/>
                <w:u w:val="none"/>
                <w:lang w:val="en-US" w:eastAsia="zh-CN" w:bidi="ar"/>
              </w:rPr>
              <w:t>小计</w:t>
            </w:r>
          </w:p>
        </w:tc>
      </w:tr>
      <w:tr w14:paraId="3B2C16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5" w:hRule="atLeast"/>
        </w:trPr>
        <w:tc>
          <w:tcPr>
            <w:tcW w:w="1166" w:type="dxa"/>
            <w:vMerge w:val="continue"/>
            <w:tcBorders>
              <w:top w:val="single" w:color="000000" w:sz="4" w:space="0"/>
              <w:left w:val="single" w:color="000000" w:sz="4" w:space="0"/>
              <w:bottom w:val="single" w:color="000000" w:sz="4" w:space="0"/>
              <w:right w:val="single" w:color="000000" w:sz="4" w:space="0"/>
            </w:tcBorders>
            <w:shd w:val="clear" w:color="auto" w:fill="D9D9D9"/>
            <w:vAlign w:val="center"/>
          </w:tcPr>
          <w:p w14:paraId="05D65DC0">
            <w:pPr>
              <w:jc w:val="center"/>
              <w:rPr>
                <w:rFonts w:hint="eastAsia" w:ascii="微软雅黑" w:hAnsi="微软雅黑" w:eastAsia="微软雅黑" w:cs="微软雅黑"/>
                <w:b/>
                <w:bCs/>
                <w:i w:val="0"/>
                <w:iCs w:val="0"/>
                <w:color w:val="000000"/>
                <w:sz w:val="22"/>
                <w:szCs w:val="22"/>
                <w:u w:val="none"/>
              </w:rPr>
            </w:pPr>
          </w:p>
        </w:tc>
        <w:tc>
          <w:tcPr>
            <w:tcW w:w="879" w:type="dxa"/>
            <w:vMerge w:val="restart"/>
            <w:tcBorders>
              <w:top w:val="single" w:color="000000" w:sz="4" w:space="0"/>
              <w:left w:val="single" w:color="000000" w:sz="4" w:space="0"/>
              <w:bottom w:val="single" w:color="000000" w:sz="4" w:space="0"/>
              <w:right w:val="single" w:color="000000" w:sz="4" w:space="0"/>
            </w:tcBorders>
            <w:shd w:val="clear" w:color="auto" w:fill="D9D9D9"/>
            <w:vAlign w:val="center"/>
          </w:tcPr>
          <w:p w14:paraId="3D876272">
            <w:pPr>
              <w:keepNext w:val="0"/>
              <w:keepLines w:val="0"/>
              <w:widowControl/>
              <w:suppressLineNumbers w:val="0"/>
              <w:jc w:val="center"/>
              <w:textAlignment w:val="center"/>
              <w:rPr>
                <w:rFonts w:hint="eastAsia" w:ascii="Microsoft YaHei UI" w:hAnsi="Microsoft YaHei UI" w:eastAsia="Microsoft YaHei UI" w:cs="Microsoft YaHei UI"/>
                <w:b/>
                <w:bCs/>
                <w:i w:val="0"/>
                <w:iCs w:val="0"/>
                <w:color w:val="000000"/>
                <w:sz w:val="22"/>
                <w:szCs w:val="22"/>
                <w:u w:val="none"/>
              </w:rPr>
            </w:pPr>
            <w:r>
              <w:rPr>
                <w:rFonts w:hint="eastAsia" w:ascii="Microsoft YaHei UI" w:hAnsi="Microsoft YaHei UI" w:eastAsia="Microsoft YaHei UI" w:cs="Microsoft YaHei UI"/>
                <w:b/>
                <w:bCs/>
                <w:i w:val="0"/>
                <w:iCs w:val="0"/>
                <w:color w:val="000000"/>
                <w:kern w:val="0"/>
                <w:sz w:val="22"/>
                <w:szCs w:val="22"/>
                <w:u w:val="none"/>
                <w:lang w:val="en-US" w:eastAsia="zh-CN" w:bidi="ar"/>
              </w:rPr>
              <w:t>旗县区（个）</w:t>
            </w:r>
          </w:p>
        </w:tc>
        <w:tc>
          <w:tcPr>
            <w:tcW w:w="956" w:type="dxa"/>
            <w:vMerge w:val="restart"/>
            <w:tcBorders>
              <w:top w:val="single" w:color="000000" w:sz="4" w:space="0"/>
              <w:left w:val="single" w:color="000000" w:sz="4" w:space="0"/>
              <w:bottom w:val="single" w:color="000000" w:sz="4" w:space="0"/>
              <w:right w:val="single" w:color="000000" w:sz="4" w:space="0"/>
            </w:tcBorders>
            <w:shd w:val="clear" w:color="auto" w:fill="D9D9D9"/>
            <w:vAlign w:val="center"/>
          </w:tcPr>
          <w:p w14:paraId="6974C8DA">
            <w:pPr>
              <w:keepNext w:val="0"/>
              <w:keepLines w:val="0"/>
              <w:widowControl/>
              <w:suppressLineNumbers w:val="0"/>
              <w:jc w:val="center"/>
              <w:textAlignment w:val="center"/>
              <w:rPr>
                <w:rFonts w:hint="eastAsia" w:ascii="Microsoft YaHei UI" w:hAnsi="Microsoft YaHei UI" w:eastAsia="Microsoft YaHei UI" w:cs="Microsoft YaHei UI"/>
                <w:b/>
                <w:bCs/>
                <w:i w:val="0"/>
                <w:iCs w:val="0"/>
                <w:color w:val="000000"/>
                <w:sz w:val="22"/>
                <w:szCs w:val="22"/>
                <w:u w:val="none"/>
              </w:rPr>
            </w:pPr>
            <w:r>
              <w:rPr>
                <w:rFonts w:hint="eastAsia" w:ascii="Microsoft YaHei UI" w:hAnsi="Microsoft YaHei UI" w:eastAsia="Microsoft YaHei UI" w:cs="Microsoft YaHei UI"/>
                <w:b/>
                <w:bCs/>
                <w:i w:val="0"/>
                <w:iCs w:val="0"/>
                <w:color w:val="000000"/>
                <w:kern w:val="0"/>
                <w:sz w:val="22"/>
                <w:szCs w:val="22"/>
                <w:u w:val="none"/>
                <w:lang w:val="en-US" w:eastAsia="zh-CN" w:bidi="ar"/>
              </w:rPr>
              <w:t>单价</w:t>
            </w:r>
            <w:r>
              <w:rPr>
                <w:rFonts w:hint="eastAsia" w:ascii="Microsoft YaHei UI" w:hAnsi="Microsoft YaHei UI" w:eastAsia="Microsoft YaHei UI" w:cs="Microsoft YaHei UI"/>
                <w:b/>
                <w:bCs/>
                <w:i w:val="0"/>
                <w:iCs w:val="0"/>
                <w:color w:val="000000"/>
                <w:kern w:val="0"/>
                <w:sz w:val="22"/>
                <w:szCs w:val="22"/>
                <w:u w:val="none"/>
                <w:lang w:val="en-US" w:eastAsia="zh-CN" w:bidi="ar"/>
              </w:rPr>
              <w:br w:type="textWrapping"/>
            </w:r>
            <w:r>
              <w:rPr>
                <w:rFonts w:hint="eastAsia" w:ascii="Microsoft YaHei UI" w:hAnsi="Microsoft YaHei UI" w:eastAsia="Microsoft YaHei UI" w:cs="Microsoft YaHei UI"/>
                <w:b/>
                <w:bCs/>
                <w:i w:val="0"/>
                <w:iCs w:val="0"/>
                <w:color w:val="000000"/>
                <w:kern w:val="0"/>
                <w:sz w:val="22"/>
                <w:szCs w:val="22"/>
                <w:u w:val="none"/>
                <w:lang w:val="en-US" w:eastAsia="zh-CN" w:bidi="ar"/>
              </w:rPr>
              <w:t>（万元）</w:t>
            </w:r>
          </w:p>
        </w:tc>
        <w:tc>
          <w:tcPr>
            <w:tcW w:w="863" w:type="dxa"/>
            <w:vMerge w:val="restart"/>
            <w:tcBorders>
              <w:top w:val="single" w:color="000000" w:sz="4" w:space="0"/>
              <w:left w:val="single" w:color="000000" w:sz="4" w:space="0"/>
              <w:bottom w:val="single" w:color="000000" w:sz="4" w:space="0"/>
              <w:right w:val="single" w:color="000000" w:sz="4" w:space="0"/>
            </w:tcBorders>
            <w:shd w:val="clear" w:color="auto" w:fill="D9D9D9"/>
            <w:vAlign w:val="center"/>
          </w:tcPr>
          <w:p w14:paraId="3AA6F9CC">
            <w:pPr>
              <w:keepNext w:val="0"/>
              <w:keepLines w:val="0"/>
              <w:widowControl/>
              <w:suppressLineNumbers w:val="0"/>
              <w:jc w:val="center"/>
              <w:textAlignment w:val="center"/>
              <w:rPr>
                <w:rFonts w:hint="eastAsia" w:ascii="Microsoft YaHei UI" w:hAnsi="Microsoft YaHei UI" w:eastAsia="Microsoft YaHei UI" w:cs="Microsoft YaHei UI"/>
                <w:b/>
                <w:bCs/>
                <w:i w:val="0"/>
                <w:iCs w:val="0"/>
                <w:color w:val="000000"/>
                <w:sz w:val="22"/>
                <w:szCs w:val="22"/>
                <w:u w:val="none"/>
              </w:rPr>
            </w:pPr>
            <w:r>
              <w:rPr>
                <w:rFonts w:hint="eastAsia" w:ascii="Microsoft YaHei UI" w:hAnsi="Microsoft YaHei UI" w:eastAsia="Microsoft YaHei UI" w:cs="Microsoft YaHei UI"/>
                <w:b/>
                <w:bCs/>
                <w:i w:val="0"/>
                <w:iCs w:val="0"/>
                <w:color w:val="000000"/>
                <w:kern w:val="0"/>
                <w:sz w:val="22"/>
                <w:szCs w:val="22"/>
                <w:u w:val="none"/>
                <w:lang w:val="en-US" w:eastAsia="zh-CN" w:bidi="ar"/>
              </w:rPr>
              <w:t>总资金（万元）</w:t>
            </w:r>
          </w:p>
        </w:tc>
        <w:tc>
          <w:tcPr>
            <w:tcW w:w="1031" w:type="dxa"/>
            <w:vMerge w:val="restart"/>
            <w:tcBorders>
              <w:top w:val="single" w:color="000000" w:sz="4" w:space="0"/>
              <w:left w:val="single" w:color="000000" w:sz="4" w:space="0"/>
              <w:bottom w:val="single" w:color="000000" w:sz="4" w:space="0"/>
              <w:right w:val="single" w:color="000000" w:sz="4" w:space="0"/>
            </w:tcBorders>
            <w:shd w:val="clear" w:color="auto" w:fill="D9D9D9"/>
            <w:vAlign w:val="center"/>
          </w:tcPr>
          <w:p w14:paraId="31F8CBFF">
            <w:pPr>
              <w:keepNext w:val="0"/>
              <w:keepLines w:val="0"/>
              <w:widowControl/>
              <w:suppressLineNumbers w:val="0"/>
              <w:jc w:val="center"/>
              <w:textAlignment w:val="center"/>
              <w:rPr>
                <w:rFonts w:hint="eastAsia" w:ascii="Microsoft YaHei UI" w:hAnsi="Microsoft YaHei UI" w:eastAsia="Microsoft YaHei UI" w:cs="Microsoft YaHei UI"/>
                <w:b/>
                <w:bCs/>
                <w:i w:val="0"/>
                <w:iCs w:val="0"/>
                <w:color w:val="000000"/>
                <w:sz w:val="22"/>
                <w:szCs w:val="22"/>
                <w:u w:val="none"/>
              </w:rPr>
            </w:pPr>
            <w:r>
              <w:rPr>
                <w:rFonts w:hint="eastAsia" w:ascii="Microsoft YaHei UI" w:hAnsi="Microsoft YaHei UI" w:eastAsia="Microsoft YaHei UI" w:cs="Microsoft YaHei UI"/>
                <w:b/>
                <w:bCs/>
                <w:i w:val="0"/>
                <w:iCs w:val="0"/>
                <w:color w:val="000000"/>
                <w:kern w:val="0"/>
                <w:sz w:val="22"/>
                <w:szCs w:val="22"/>
                <w:u w:val="none"/>
                <w:lang w:val="en-US" w:eastAsia="zh-CN" w:bidi="ar"/>
              </w:rPr>
              <w:t>旗县区（个）</w:t>
            </w:r>
          </w:p>
        </w:tc>
        <w:tc>
          <w:tcPr>
            <w:tcW w:w="863" w:type="dxa"/>
            <w:vMerge w:val="restart"/>
            <w:tcBorders>
              <w:top w:val="single" w:color="000000" w:sz="4" w:space="0"/>
              <w:left w:val="single" w:color="000000" w:sz="4" w:space="0"/>
              <w:bottom w:val="single" w:color="000000" w:sz="4" w:space="0"/>
              <w:right w:val="single" w:color="000000" w:sz="4" w:space="0"/>
            </w:tcBorders>
            <w:shd w:val="clear" w:color="auto" w:fill="D9D9D9"/>
            <w:vAlign w:val="center"/>
          </w:tcPr>
          <w:p w14:paraId="21D71287">
            <w:pPr>
              <w:keepNext w:val="0"/>
              <w:keepLines w:val="0"/>
              <w:widowControl/>
              <w:suppressLineNumbers w:val="0"/>
              <w:jc w:val="center"/>
              <w:textAlignment w:val="center"/>
              <w:rPr>
                <w:rFonts w:hint="eastAsia" w:ascii="Microsoft YaHei UI" w:hAnsi="Microsoft YaHei UI" w:eastAsia="Microsoft YaHei UI" w:cs="Microsoft YaHei UI"/>
                <w:b/>
                <w:bCs/>
                <w:i w:val="0"/>
                <w:iCs w:val="0"/>
                <w:color w:val="000000"/>
                <w:sz w:val="22"/>
                <w:szCs w:val="22"/>
                <w:u w:val="none"/>
              </w:rPr>
            </w:pPr>
            <w:r>
              <w:rPr>
                <w:rFonts w:hint="eastAsia" w:ascii="Microsoft YaHei UI" w:hAnsi="Microsoft YaHei UI" w:eastAsia="Microsoft YaHei UI" w:cs="Microsoft YaHei UI"/>
                <w:b/>
                <w:bCs/>
                <w:i w:val="0"/>
                <w:iCs w:val="0"/>
                <w:color w:val="000000"/>
                <w:kern w:val="0"/>
                <w:sz w:val="22"/>
                <w:szCs w:val="22"/>
                <w:u w:val="none"/>
                <w:lang w:val="en-US" w:eastAsia="zh-CN" w:bidi="ar"/>
              </w:rPr>
              <w:t>单价</w:t>
            </w:r>
            <w:r>
              <w:rPr>
                <w:rFonts w:hint="eastAsia" w:ascii="Microsoft YaHei UI" w:hAnsi="Microsoft YaHei UI" w:eastAsia="Microsoft YaHei UI" w:cs="Microsoft YaHei UI"/>
                <w:b/>
                <w:bCs/>
                <w:i w:val="0"/>
                <w:iCs w:val="0"/>
                <w:color w:val="000000"/>
                <w:kern w:val="0"/>
                <w:sz w:val="22"/>
                <w:szCs w:val="22"/>
                <w:u w:val="none"/>
                <w:lang w:val="en-US" w:eastAsia="zh-CN" w:bidi="ar"/>
              </w:rPr>
              <w:br w:type="textWrapping"/>
            </w:r>
            <w:r>
              <w:rPr>
                <w:rFonts w:hint="eastAsia" w:ascii="Microsoft YaHei UI" w:hAnsi="Microsoft YaHei UI" w:eastAsia="Microsoft YaHei UI" w:cs="Microsoft YaHei UI"/>
                <w:b/>
                <w:bCs/>
                <w:i w:val="0"/>
                <w:iCs w:val="0"/>
                <w:color w:val="000000"/>
                <w:kern w:val="0"/>
                <w:sz w:val="22"/>
                <w:szCs w:val="22"/>
                <w:u w:val="none"/>
                <w:lang w:val="en-US" w:eastAsia="zh-CN" w:bidi="ar"/>
              </w:rPr>
              <w:t>（万元）</w:t>
            </w:r>
          </w:p>
        </w:tc>
        <w:tc>
          <w:tcPr>
            <w:tcW w:w="984" w:type="dxa"/>
            <w:vMerge w:val="restart"/>
            <w:tcBorders>
              <w:top w:val="single" w:color="000000" w:sz="4" w:space="0"/>
              <w:left w:val="single" w:color="000000" w:sz="4" w:space="0"/>
              <w:bottom w:val="single" w:color="000000" w:sz="4" w:space="0"/>
              <w:right w:val="single" w:color="000000" w:sz="4" w:space="0"/>
            </w:tcBorders>
            <w:shd w:val="clear" w:color="auto" w:fill="D9D9D9"/>
            <w:vAlign w:val="center"/>
          </w:tcPr>
          <w:p w14:paraId="630D0811">
            <w:pPr>
              <w:keepNext w:val="0"/>
              <w:keepLines w:val="0"/>
              <w:widowControl/>
              <w:suppressLineNumbers w:val="0"/>
              <w:jc w:val="center"/>
              <w:textAlignment w:val="center"/>
              <w:rPr>
                <w:rFonts w:hint="eastAsia" w:ascii="Microsoft YaHei UI" w:hAnsi="Microsoft YaHei UI" w:eastAsia="Microsoft YaHei UI" w:cs="Microsoft YaHei UI"/>
                <w:b/>
                <w:bCs/>
                <w:i w:val="0"/>
                <w:iCs w:val="0"/>
                <w:color w:val="000000"/>
                <w:sz w:val="22"/>
                <w:szCs w:val="22"/>
                <w:u w:val="none"/>
              </w:rPr>
            </w:pPr>
            <w:r>
              <w:rPr>
                <w:rFonts w:hint="eastAsia" w:ascii="Microsoft YaHei UI" w:hAnsi="Microsoft YaHei UI" w:eastAsia="Microsoft YaHei UI" w:cs="Microsoft YaHei UI"/>
                <w:b/>
                <w:bCs/>
                <w:i w:val="0"/>
                <w:iCs w:val="0"/>
                <w:color w:val="000000"/>
                <w:kern w:val="0"/>
                <w:sz w:val="22"/>
                <w:szCs w:val="22"/>
                <w:u w:val="none"/>
                <w:lang w:val="en-US" w:eastAsia="zh-CN" w:bidi="ar"/>
              </w:rPr>
              <w:t>总资金（万元）</w:t>
            </w:r>
          </w:p>
        </w:tc>
        <w:tc>
          <w:tcPr>
            <w:tcW w:w="935" w:type="dxa"/>
            <w:vMerge w:val="restart"/>
            <w:tcBorders>
              <w:top w:val="single" w:color="000000" w:sz="4" w:space="0"/>
              <w:left w:val="single" w:color="000000" w:sz="4" w:space="0"/>
              <w:bottom w:val="single" w:color="000000" w:sz="4" w:space="0"/>
              <w:right w:val="single" w:color="000000" w:sz="4" w:space="0"/>
            </w:tcBorders>
            <w:shd w:val="clear" w:color="auto" w:fill="D9D9D9"/>
            <w:vAlign w:val="center"/>
          </w:tcPr>
          <w:p w14:paraId="63378F3D">
            <w:pPr>
              <w:keepNext w:val="0"/>
              <w:keepLines w:val="0"/>
              <w:widowControl/>
              <w:suppressLineNumbers w:val="0"/>
              <w:jc w:val="center"/>
              <w:textAlignment w:val="center"/>
              <w:rPr>
                <w:rFonts w:hint="eastAsia" w:ascii="Microsoft YaHei UI" w:hAnsi="Microsoft YaHei UI" w:eastAsia="Microsoft YaHei UI" w:cs="Microsoft YaHei UI"/>
                <w:b/>
                <w:bCs/>
                <w:i w:val="0"/>
                <w:iCs w:val="0"/>
                <w:color w:val="000000"/>
                <w:sz w:val="22"/>
                <w:szCs w:val="22"/>
                <w:u w:val="none"/>
              </w:rPr>
            </w:pPr>
            <w:r>
              <w:rPr>
                <w:rFonts w:hint="eastAsia" w:ascii="Microsoft YaHei UI" w:hAnsi="Microsoft YaHei UI" w:eastAsia="Microsoft YaHei UI" w:cs="Microsoft YaHei UI"/>
                <w:b/>
                <w:bCs/>
                <w:i w:val="0"/>
                <w:iCs w:val="0"/>
                <w:color w:val="000000"/>
                <w:kern w:val="0"/>
                <w:sz w:val="22"/>
                <w:szCs w:val="22"/>
                <w:u w:val="none"/>
                <w:lang w:val="en-US" w:eastAsia="zh-CN" w:bidi="ar"/>
              </w:rPr>
              <w:t>旗县区（个）</w:t>
            </w:r>
          </w:p>
        </w:tc>
        <w:tc>
          <w:tcPr>
            <w:tcW w:w="862" w:type="dxa"/>
            <w:vMerge w:val="restart"/>
            <w:tcBorders>
              <w:top w:val="single" w:color="000000" w:sz="4" w:space="0"/>
              <w:left w:val="single" w:color="000000" w:sz="4" w:space="0"/>
              <w:bottom w:val="single" w:color="000000" w:sz="4" w:space="0"/>
              <w:right w:val="single" w:color="000000" w:sz="4" w:space="0"/>
            </w:tcBorders>
            <w:shd w:val="clear" w:color="auto" w:fill="D9D9D9"/>
            <w:vAlign w:val="center"/>
          </w:tcPr>
          <w:p w14:paraId="2EF34117">
            <w:pPr>
              <w:keepNext w:val="0"/>
              <w:keepLines w:val="0"/>
              <w:widowControl/>
              <w:suppressLineNumbers w:val="0"/>
              <w:jc w:val="center"/>
              <w:textAlignment w:val="center"/>
              <w:rPr>
                <w:rFonts w:hint="eastAsia" w:ascii="Microsoft YaHei UI" w:hAnsi="Microsoft YaHei UI" w:eastAsia="Microsoft YaHei UI" w:cs="Microsoft YaHei UI"/>
                <w:b/>
                <w:bCs/>
                <w:i w:val="0"/>
                <w:iCs w:val="0"/>
                <w:color w:val="000000"/>
                <w:sz w:val="22"/>
                <w:szCs w:val="22"/>
                <w:u w:val="none"/>
              </w:rPr>
            </w:pPr>
            <w:r>
              <w:rPr>
                <w:rFonts w:hint="eastAsia" w:ascii="Microsoft YaHei UI" w:hAnsi="Microsoft YaHei UI" w:eastAsia="Microsoft YaHei UI" w:cs="Microsoft YaHei UI"/>
                <w:b/>
                <w:bCs/>
                <w:i w:val="0"/>
                <w:iCs w:val="0"/>
                <w:color w:val="000000"/>
                <w:kern w:val="0"/>
                <w:sz w:val="22"/>
                <w:szCs w:val="22"/>
                <w:u w:val="none"/>
                <w:lang w:val="en-US" w:eastAsia="zh-CN" w:bidi="ar"/>
              </w:rPr>
              <w:t>单价</w:t>
            </w:r>
            <w:r>
              <w:rPr>
                <w:rFonts w:hint="eastAsia" w:ascii="Microsoft YaHei UI" w:hAnsi="Microsoft YaHei UI" w:eastAsia="Microsoft YaHei UI" w:cs="Microsoft YaHei UI"/>
                <w:b/>
                <w:bCs/>
                <w:i w:val="0"/>
                <w:iCs w:val="0"/>
                <w:color w:val="000000"/>
                <w:kern w:val="0"/>
                <w:sz w:val="22"/>
                <w:szCs w:val="22"/>
                <w:u w:val="none"/>
                <w:lang w:val="en-US" w:eastAsia="zh-CN" w:bidi="ar"/>
              </w:rPr>
              <w:br w:type="textWrapping"/>
            </w:r>
            <w:r>
              <w:rPr>
                <w:rFonts w:hint="eastAsia" w:ascii="Microsoft YaHei UI" w:hAnsi="Microsoft YaHei UI" w:eastAsia="Microsoft YaHei UI" w:cs="Microsoft YaHei UI"/>
                <w:b/>
                <w:bCs/>
                <w:i w:val="0"/>
                <w:iCs w:val="0"/>
                <w:color w:val="000000"/>
                <w:kern w:val="0"/>
                <w:sz w:val="22"/>
                <w:szCs w:val="22"/>
                <w:u w:val="none"/>
                <w:lang w:val="en-US" w:eastAsia="zh-CN" w:bidi="ar"/>
              </w:rPr>
              <w:t>（万元）</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D9D9D9"/>
            <w:vAlign w:val="center"/>
          </w:tcPr>
          <w:p w14:paraId="36EDF496">
            <w:pPr>
              <w:keepNext w:val="0"/>
              <w:keepLines w:val="0"/>
              <w:widowControl/>
              <w:suppressLineNumbers w:val="0"/>
              <w:jc w:val="center"/>
              <w:textAlignment w:val="center"/>
              <w:rPr>
                <w:rFonts w:hint="eastAsia" w:ascii="Microsoft YaHei UI" w:hAnsi="Microsoft YaHei UI" w:eastAsia="Microsoft YaHei UI" w:cs="Microsoft YaHei UI"/>
                <w:b/>
                <w:bCs/>
                <w:i w:val="0"/>
                <w:iCs w:val="0"/>
                <w:color w:val="000000"/>
                <w:sz w:val="22"/>
                <w:szCs w:val="22"/>
                <w:u w:val="none"/>
              </w:rPr>
            </w:pPr>
            <w:r>
              <w:rPr>
                <w:rFonts w:hint="eastAsia" w:ascii="Microsoft YaHei UI" w:hAnsi="Microsoft YaHei UI" w:eastAsia="Microsoft YaHei UI" w:cs="Microsoft YaHei UI"/>
                <w:b/>
                <w:bCs/>
                <w:i w:val="0"/>
                <w:iCs w:val="0"/>
                <w:color w:val="000000"/>
                <w:kern w:val="0"/>
                <w:sz w:val="22"/>
                <w:szCs w:val="22"/>
                <w:u w:val="none"/>
                <w:lang w:val="en-US" w:eastAsia="zh-CN" w:bidi="ar"/>
              </w:rPr>
              <w:t>总资金（万元）</w:t>
            </w:r>
          </w:p>
        </w:tc>
        <w:tc>
          <w:tcPr>
            <w:tcW w:w="879" w:type="dxa"/>
            <w:vMerge w:val="restart"/>
            <w:tcBorders>
              <w:top w:val="single" w:color="000000" w:sz="4" w:space="0"/>
              <w:left w:val="single" w:color="000000" w:sz="4" w:space="0"/>
              <w:bottom w:val="single" w:color="000000" w:sz="4" w:space="0"/>
              <w:right w:val="single" w:color="000000" w:sz="4" w:space="0"/>
            </w:tcBorders>
            <w:shd w:val="clear" w:color="auto" w:fill="D9D9D9"/>
            <w:vAlign w:val="center"/>
          </w:tcPr>
          <w:p w14:paraId="3FAB2E1B">
            <w:pPr>
              <w:keepNext w:val="0"/>
              <w:keepLines w:val="0"/>
              <w:widowControl/>
              <w:suppressLineNumbers w:val="0"/>
              <w:jc w:val="center"/>
              <w:textAlignment w:val="center"/>
              <w:rPr>
                <w:rFonts w:hint="eastAsia" w:ascii="Microsoft YaHei UI" w:hAnsi="Microsoft YaHei UI" w:eastAsia="Microsoft YaHei UI" w:cs="Microsoft YaHei UI"/>
                <w:b/>
                <w:bCs/>
                <w:i w:val="0"/>
                <w:iCs w:val="0"/>
                <w:color w:val="000000"/>
                <w:sz w:val="22"/>
                <w:szCs w:val="22"/>
                <w:u w:val="none"/>
              </w:rPr>
            </w:pPr>
            <w:r>
              <w:rPr>
                <w:rFonts w:hint="eastAsia" w:ascii="Microsoft YaHei UI" w:hAnsi="Microsoft YaHei UI" w:eastAsia="Microsoft YaHei UI" w:cs="Microsoft YaHei UI"/>
                <w:b/>
                <w:bCs/>
                <w:i w:val="0"/>
                <w:iCs w:val="0"/>
                <w:color w:val="000000"/>
                <w:kern w:val="0"/>
                <w:sz w:val="22"/>
                <w:szCs w:val="22"/>
                <w:u w:val="none"/>
                <w:lang w:val="en-US" w:eastAsia="zh-CN" w:bidi="ar"/>
              </w:rPr>
              <w:t>旗县区（个）</w:t>
            </w:r>
          </w:p>
        </w:tc>
        <w:tc>
          <w:tcPr>
            <w:tcW w:w="862" w:type="dxa"/>
            <w:vMerge w:val="restart"/>
            <w:tcBorders>
              <w:top w:val="single" w:color="000000" w:sz="4" w:space="0"/>
              <w:left w:val="single" w:color="000000" w:sz="4" w:space="0"/>
              <w:bottom w:val="single" w:color="000000" w:sz="4" w:space="0"/>
              <w:right w:val="single" w:color="000000" w:sz="4" w:space="0"/>
            </w:tcBorders>
            <w:shd w:val="clear" w:color="auto" w:fill="D9D9D9"/>
            <w:vAlign w:val="center"/>
          </w:tcPr>
          <w:p w14:paraId="718C9CE7">
            <w:pPr>
              <w:keepNext w:val="0"/>
              <w:keepLines w:val="0"/>
              <w:widowControl/>
              <w:suppressLineNumbers w:val="0"/>
              <w:jc w:val="center"/>
              <w:textAlignment w:val="center"/>
              <w:rPr>
                <w:rFonts w:hint="eastAsia" w:ascii="Microsoft YaHei UI" w:hAnsi="Microsoft YaHei UI" w:eastAsia="Microsoft YaHei UI" w:cs="Microsoft YaHei UI"/>
                <w:b/>
                <w:bCs/>
                <w:i w:val="0"/>
                <w:iCs w:val="0"/>
                <w:color w:val="000000"/>
                <w:sz w:val="22"/>
                <w:szCs w:val="22"/>
                <w:u w:val="none"/>
              </w:rPr>
            </w:pPr>
            <w:r>
              <w:rPr>
                <w:rFonts w:hint="eastAsia" w:ascii="Microsoft YaHei UI" w:hAnsi="Microsoft YaHei UI" w:eastAsia="Microsoft YaHei UI" w:cs="Microsoft YaHei UI"/>
                <w:b/>
                <w:bCs/>
                <w:i w:val="0"/>
                <w:iCs w:val="0"/>
                <w:color w:val="000000"/>
                <w:kern w:val="0"/>
                <w:sz w:val="22"/>
                <w:szCs w:val="22"/>
                <w:u w:val="none"/>
                <w:lang w:val="en-US" w:eastAsia="zh-CN" w:bidi="ar"/>
              </w:rPr>
              <w:t>单价</w:t>
            </w:r>
            <w:r>
              <w:rPr>
                <w:rFonts w:hint="eastAsia" w:ascii="Microsoft YaHei UI" w:hAnsi="Microsoft YaHei UI" w:eastAsia="Microsoft YaHei UI" w:cs="Microsoft YaHei UI"/>
                <w:b/>
                <w:bCs/>
                <w:i w:val="0"/>
                <w:iCs w:val="0"/>
                <w:color w:val="000000"/>
                <w:kern w:val="0"/>
                <w:sz w:val="22"/>
                <w:szCs w:val="22"/>
                <w:u w:val="none"/>
                <w:lang w:val="en-US" w:eastAsia="zh-CN" w:bidi="ar"/>
              </w:rPr>
              <w:br w:type="textWrapping"/>
            </w:r>
            <w:r>
              <w:rPr>
                <w:rFonts w:hint="eastAsia" w:ascii="Microsoft YaHei UI" w:hAnsi="Microsoft YaHei UI" w:eastAsia="Microsoft YaHei UI" w:cs="Microsoft YaHei UI"/>
                <w:b/>
                <w:bCs/>
                <w:i w:val="0"/>
                <w:iCs w:val="0"/>
                <w:color w:val="000000"/>
                <w:kern w:val="0"/>
                <w:sz w:val="22"/>
                <w:szCs w:val="22"/>
                <w:u w:val="none"/>
                <w:lang w:val="en-US" w:eastAsia="zh-CN" w:bidi="ar"/>
              </w:rPr>
              <w:t>（万元）</w:t>
            </w:r>
          </w:p>
        </w:tc>
        <w:tc>
          <w:tcPr>
            <w:tcW w:w="862" w:type="dxa"/>
            <w:vMerge w:val="restart"/>
            <w:tcBorders>
              <w:top w:val="single" w:color="000000" w:sz="4" w:space="0"/>
              <w:left w:val="single" w:color="000000" w:sz="4" w:space="0"/>
              <w:bottom w:val="single" w:color="000000" w:sz="4" w:space="0"/>
              <w:right w:val="single" w:color="000000" w:sz="4" w:space="0"/>
            </w:tcBorders>
            <w:shd w:val="clear" w:color="auto" w:fill="D9D9D9"/>
            <w:vAlign w:val="center"/>
          </w:tcPr>
          <w:p w14:paraId="27323D04">
            <w:pPr>
              <w:keepNext w:val="0"/>
              <w:keepLines w:val="0"/>
              <w:widowControl/>
              <w:suppressLineNumbers w:val="0"/>
              <w:jc w:val="center"/>
              <w:textAlignment w:val="center"/>
              <w:rPr>
                <w:rFonts w:hint="eastAsia" w:ascii="Microsoft YaHei UI" w:hAnsi="Microsoft YaHei UI" w:eastAsia="Microsoft YaHei UI" w:cs="Microsoft YaHei UI"/>
                <w:b/>
                <w:bCs/>
                <w:i w:val="0"/>
                <w:iCs w:val="0"/>
                <w:color w:val="000000"/>
                <w:sz w:val="22"/>
                <w:szCs w:val="22"/>
                <w:u w:val="none"/>
              </w:rPr>
            </w:pPr>
            <w:r>
              <w:rPr>
                <w:rFonts w:hint="eastAsia" w:ascii="Microsoft YaHei UI" w:hAnsi="Microsoft YaHei UI" w:eastAsia="Microsoft YaHei UI" w:cs="Microsoft YaHei UI"/>
                <w:b/>
                <w:bCs/>
                <w:i w:val="0"/>
                <w:iCs w:val="0"/>
                <w:color w:val="000000"/>
                <w:kern w:val="0"/>
                <w:sz w:val="22"/>
                <w:szCs w:val="22"/>
                <w:u w:val="none"/>
                <w:lang w:val="en-US" w:eastAsia="zh-CN" w:bidi="ar"/>
              </w:rPr>
              <w:t>总资金（万元）</w:t>
            </w:r>
          </w:p>
        </w:tc>
        <w:tc>
          <w:tcPr>
            <w:tcW w:w="901" w:type="dxa"/>
            <w:vMerge w:val="restart"/>
            <w:tcBorders>
              <w:top w:val="single" w:color="000000" w:sz="4" w:space="0"/>
              <w:left w:val="single" w:color="000000" w:sz="4" w:space="0"/>
              <w:bottom w:val="single" w:color="000000" w:sz="4" w:space="0"/>
              <w:right w:val="single" w:color="000000" w:sz="4" w:space="0"/>
            </w:tcBorders>
            <w:shd w:val="clear" w:color="auto" w:fill="D9D9D9"/>
            <w:vAlign w:val="center"/>
          </w:tcPr>
          <w:p w14:paraId="3C060A90">
            <w:pPr>
              <w:keepNext w:val="0"/>
              <w:keepLines w:val="0"/>
              <w:widowControl/>
              <w:suppressLineNumbers w:val="0"/>
              <w:jc w:val="center"/>
              <w:textAlignment w:val="center"/>
              <w:rPr>
                <w:rFonts w:hint="eastAsia" w:ascii="Microsoft YaHei UI" w:hAnsi="Microsoft YaHei UI" w:eastAsia="Microsoft YaHei UI" w:cs="Microsoft YaHei UI"/>
                <w:b/>
                <w:bCs/>
                <w:i w:val="0"/>
                <w:iCs w:val="0"/>
                <w:color w:val="000000"/>
                <w:sz w:val="22"/>
                <w:szCs w:val="22"/>
                <w:u w:val="none"/>
              </w:rPr>
            </w:pPr>
            <w:r>
              <w:rPr>
                <w:rFonts w:hint="eastAsia" w:ascii="Microsoft YaHei UI" w:hAnsi="Microsoft YaHei UI" w:eastAsia="Microsoft YaHei UI" w:cs="Microsoft YaHei UI"/>
                <w:b/>
                <w:bCs/>
                <w:i w:val="0"/>
                <w:iCs w:val="0"/>
                <w:color w:val="000000"/>
                <w:kern w:val="0"/>
                <w:sz w:val="22"/>
                <w:szCs w:val="22"/>
                <w:u w:val="none"/>
                <w:lang w:val="en-US" w:eastAsia="zh-CN" w:bidi="ar"/>
              </w:rPr>
              <w:t>万元</w:t>
            </w:r>
          </w:p>
        </w:tc>
        <w:tc>
          <w:tcPr>
            <w:tcW w:w="901" w:type="dxa"/>
            <w:vMerge w:val="restart"/>
            <w:tcBorders>
              <w:top w:val="single" w:color="000000" w:sz="4" w:space="0"/>
              <w:left w:val="single" w:color="000000" w:sz="4" w:space="0"/>
              <w:bottom w:val="single" w:color="000000" w:sz="4" w:space="0"/>
              <w:right w:val="single" w:color="000000" w:sz="4" w:space="0"/>
            </w:tcBorders>
            <w:shd w:val="clear" w:color="auto" w:fill="D9D9D9"/>
            <w:vAlign w:val="center"/>
          </w:tcPr>
          <w:p w14:paraId="781F1B57">
            <w:pPr>
              <w:keepNext w:val="0"/>
              <w:keepLines w:val="0"/>
              <w:widowControl/>
              <w:suppressLineNumbers w:val="0"/>
              <w:jc w:val="center"/>
              <w:textAlignment w:val="center"/>
              <w:rPr>
                <w:rFonts w:hint="eastAsia" w:ascii="Microsoft YaHei UI" w:hAnsi="Microsoft YaHei UI" w:eastAsia="Microsoft YaHei UI" w:cs="Microsoft YaHei UI"/>
                <w:b/>
                <w:bCs/>
                <w:i w:val="0"/>
                <w:iCs w:val="0"/>
                <w:color w:val="000000"/>
                <w:sz w:val="22"/>
                <w:szCs w:val="22"/>
                <w:u w:val="none"/>
              </w:rPr>
            </w:pPr>
            <w:r>
              <w:rPr>
                <w:rFonts w:hint="eastAsia" w:ascii="Microsoft YaHei UI" w:hAnsi="Microsoft YaHei UI" w:eastAsia="Microsoft YaHei UI" w:cs="Microsoft YaHei UI"/>
                <w:b/>
                <w:bCs/>
                <w:i w:val="0"/>
                <w:iCs w:val="0"/>
                <w:color w:val="000000"/>
                <w:kern w:val="0"/>
                <w:sz w:val="22"/>
                <w:szCs w:val="22"/>
                <w:u w:val="none"/>
                <w:lang w:val="en-US" w:eastAsia="zh-CN" w:bidi="ar"/>
              </w:rPr>
              <w:t>其中中央资金（万元）</w:t>
            </w:r>
          </w:p>
        </w:tc>
        <w:tc>
          <w:tcPr>
            <w:tcW w:w="870" w:type="dxa"/>
            <w:vMerge w:val="restart"/>
            <w:tcBorders>
              <w:top w:val="single" w:color="000000" w:sz="4" w:space="0"/>
              <w:left w:val="single" w:color="000000" w:sz="4" w:space="0"/>
              <w:bottom w:val="single" w:color="000000" w:sz="4" w:space="0"/>
              <w:right w:val="single" w:color="000000" w:sz="4" w:space="0"/>
            </w:tcBorders>
            <w:shd w:val="clear" w:color="auto" w:fill="D9D9D9"/>
            <w:vAlign w:val="center"/>
          </w:tcPr>
          <w:p w14:paraId="19C0C057">
            <w:pPr>
              <w:keepNext w:val="0"/>
              <w:keepLines w:val="0"/>
              <w:widowControl/>
              <w:suppressLineNumbers w:val="0"/>
              <w:jc w:val="center"/>
              <w:textAlignment w:val="center"/>
              <w:rPr>
                <w:rFonts w:hint="eastAsia" w:ascii="Microsoft YaHei UI" w:hAnsi="Microsoft YaHei UI" w:eastAsia="Microsoft YaHei UI" w:cs="Microsoft YaHei UI"/>
                <w:b/>
                <w:bCs/>
                <w:i w:val="0"/>
                <w:iCs w:val="0"/>
                <w:color w:val="000000"/>
                <w:sz w:val="22"/>
                <w:szCs w:val="22"/>
                <w:u w:val="none"/>
              </w:rPr>
            </w:pPr>
            <w:r>
              <w:rPr>
                <w:rFonts w:hint="eastAsia" w:ascii="Microsoft YaHei UI" w:hAnsi="Microsoft YaHei UI" w:eastAsia="Microsoft YaHei UI" w:cs="Microsoft YaHei UI"/>
                <w:b/>
                <w:bCs/>
                <w:i w:val="0"/>
                <w:iCs w:val="0"/>
                <w:color w:val="000000"/>
                <w:kern w:val="0"/>
                <w:sz w:val="22"/>
                <w:szCs w:val="22"/>
                <w:u w:val="none"/>
                <w:lang w:val="en-US" w:eastAsia="zh-CN" w:bidi="ar"/>
              </w:rPr>
              <w:t>其中自治区资金（万元）</w:t>
            </w:r>
          </w:p>
        </w:tc>
        <w:tc>
          <w:tcPr>
            <w:tcW w:w="879" w:type="dxa"/>
            <w:vMerge w:val="restart"/>
            <w:tcBorders>
              <w:top w:val="single" w:color="000000" w:sz="4" w:space="0"/>
              <w:left w:val="single" w:color="000000" w:sz="4" w:space="0"/>
              <w:bottom w:val="single" w:color="000000" w:sz="4" w:space="0"/>
              <w:right w:val="single" w:color="000000" w:sz="4" w:space="0"/>
            </w:tcBorders>
            <w:shd w:val="clear" w:color="auto" w:fill="D9D9D9"/>
            <w:vAlign w:val="center"/>
          </w:tcPr>
          <w:p w14:paraId="76077A37">
            <w:pPr>
              <w:keepNext w:val="0"/>
              <w:keepLines w:val="0"/>
              <w:widowControl/>
              <w:suppressLineNumbers w:val="0"/>
              <w:jc w:val="center"/>
              <w:textAlignment w:val="center"/>
              <w:rPr>
                <w:rFonts w:hint="eastAsia" w:ascii="Microsoft YaHei UI" w:hAnsi="Microsoft YaHei UI" w:eastAsia="Microsoft YaHei UI" w:cs="Microsoft YaHei UI"/>
                <w:b/>
                <w:bCs/>
                <w:i w:val="0"/>
                <w:iCs w:val="0"/>
                <w:color w:val="000000"/>
                <w:sz w:val="22"/>
                <w:szCs w:val="22"/>
                <w:u w:val="none"/>
              </w:rPr>
            </w:pPr>
            <w:r>
              <w:rPr>
                <w:rFonts w:hint="eastAsia" w:ascii="Microsoft YaHei UI" w:hAnsi="Microsoft YaHei UI" w:eastAsia="Microsoft YaHei UI" w:cs="Microsoft YaHei UI"/>
                <w:b/>
                <w:bCs/>
                <w:i w:val="0"/>
                <w:iCs w:val="0"/>
                <w:color w:val="000000"/>
                <w:kern w:val="0"/>
                <w:sz w:val="22"/>
                <w:szCs w:val="22"/>
                <w:u w:val="none"/>
                <w:lang w:val="en-US" w:eastAsia="zh-CN" w:bidi="ar"/>
              </w:rPr>
              <w:t>盟市数（个）</w:t>
            </w:r>
          </w:p>
        </w:tc>
        <w:tc>
          <w:tcPr>
            <w:tcW w:w="862" w:type="dxa"/>
            <w:vMerge w:val="restart"/>
            <w:tcBorders>
              <w:top w:val="single" w:color="000000" w:sz="4" w:space="0"/>
              <w:left w:val="single" w:color="000000" w:sz="4" w:space="0"/>
              <w:bottom w:val="single" w:color="000000" w:sz="4" w:space="0"/>
              <w:right w:val="single" w:color="000000" w:sz="4" w:space="0"/>
            </w:tcBorders>
            <w:shd w:val="clear" w:color="auto" w:fill="D9D9D9"/>
            <w:vAlign w:val="center"/>
          </w:tcPr>
          <w:p w14:paraId="4FEE97AE">
            <w:pPr>
              <w:keepNext w:val="0"/>
              <w:keepLines w:val="0"/>
              <w:widowControl/>
              <w:suppressLineNumbers w:val="0"/>
              <w:jc w:val="center"/>
              <w:textAlignment w:val="center"/>
              <w:rPr>
                <w:rFonts w:hint="eastAsia" w:ascii="Microsoft YaHei UI" w:hAnsi="Microsoft YaHei UI" w:eastAsia="Microsoft YaHei UI" w:cs="Microsoft YaHei UI"/>
                <w:b/>
                <w:bCs/>
                <w:i w:val="0"/>
                <w:iCs w:val="0"/>
                <w:color w:val="000000"/>
                <w:sz w:val="22"/>
                <w:szCs w:val="22"/>
                <w:u w:val="none"/>
              </w:rPr>
            </w:pPr>
            <w:r>
              <w:rPr>
                <w:rFonts w:hint="eastAsia" w:ascii="Microsoft YaHei UI" w:hAnsi="Microsoft YaHei UI" w:eastAsia="Microsoft YaHei UI" w:cs="Microsoft YaHei UI"/>
                <w:b/>
                <w:bCs/>
                <w:i w:val="0"/>
                <w:iCs w:val="0"/>
                <w:color w:val="000000"/>
                <w:kern w:val="0"/>
                <w:sz w:val="22"/>
                <w:szCs w:val="22"/>
                <w:u w:val="none"/>
                <w:lang w:val="en-US" w:eastAsia="zh-CN" w:bidi="ar"/>
              </w:rPr>
              <w:t>单价</w:t>
            </w:r>
            <w:r>
              <w:rPr>
                <w:rFonts w:hint="eastAsia" w:ascii="Microsoft YaHei UI" w:hAnsi="Microsoft YaHei UI" w:eastAsia="Microsoft YaHei UI" w:cs="Microsoft YaHei UI"/>
                <w:b/>
                <w:bCs/>
                <w:i w:val="0"/>
                <w:iCs w:val="0"/>
                <w:color w:val="000000"/>
                <w:kern w:val="0"/>
                <w:sz w:val="22"/>
                <w:szCs w:val="22"/>
                <w:u w:val="none"/>
                <w:lang w:val="en-US" w:eastAsia="zh-CN" w:bidi="ar"/>
              </w:rPr>
              <w:br w:type="textWrapping"/>
            </w:r>
            <w:r>
              <w:rPr>
                <w:rFonts w:hint="eastAsia" w:ascii="Microsoft YaHei UI" w:hAnsi="Microsoft YaHei UI" w:eastAsia="Microsoft YaHei UI" w:cs="Microsoft YaHei UI"/>
                <w:b/>
                <w:bCs/>
                <w:i w:val="0"/>
                <w:iCs w:val="0"/>
                <w:color w:val="000000"/>
                <w:kern w:val="0"/>
                <w:sz w:val="22"/>
                <w:szCs w:val="22"/>
                <w:u w:val="none"/>
                <w:lang w:val="en-US" w:eastAsia="zh-CN" w:bidi="ar"/>
              </w:rPr>
              <w:t>（万元）</w:t>
            </w:r>
          </w:p>
        </w:tc>
        <w:tc>
          <w:tcPr>
            <w:tcW w:w="862" w:type="dxa"/>
            <w:vMerge w:val="restart"/>
            <w:tcBorders>
              <w:top w:val="single" w:color="000000" w:sz="4" w:space="0"/>
              <w:left w:val="single" w:color="000000" w:sz="4" w:space="0"/>
              <w:bottom w:val="single" w:color="000000" w:sz="4" w:space="0"/>
              <w:right w:val="single" w:color="000000" w:sz="4" w:space="0"/>
            </w:tcBorders>
            <w:shd w:val="clear" w:color="auto" w:fill="D9D9D9"/>
            <w:vAlign w:val="center"/>
          </w:tcPr>
          <w:p w14:paraId="3BD45D2A">
            <w:pPr>
              <w:keepNext w:val="0"/>
              <w:keepLines w:val="0"/>
              <w:widowControl/>
              <w:suppressLineNumbers w:val="0"/>
              <w:jc w:val="center"/>
              <w:textAlignment w:val="center"/>
              <w:rPr>
                <w:rFonts w:hint="eastAsia" w:ascii="Microsoft YaHei UI" w:hAnsi="Microsoft YaHei UI" w:eastAsia="Microsoft YaHei UI" w:cs="Microsoft YaHei UI"/>
                <w:b/>
                <w:bCs/>
                <w:i w:val="0"/>
                <w:iCs w:val="0"/>
                <w:color w:val="000000"/>
                <w:sz w:val="22"/>
                <w:szCs w:val="22"/>
                <w:u w:val="none"/>
              </w:rPr>
            </w:pPr>
            <w:r>
              <w:rPr>
                <w:rFonts w:hint="eastAsia" w:ascii="Microsoft YaHei UI" w:hAnsi="Microsoft YaHei UI" w:eastAsia="Microsoft YaHei UI" w:cs="Microsoft YaHei UI"/>
                <w:b/>
                <w:bCs/>
                <w:i w:val="0"/>
                <w:iCs w:val="0"/>
                <w:color w:val="000000"/>
                <w:kern w:val="0"/>
                <w:sz w:val="22"/>
                <w:szCs w:val="22"/>
                <w:u w:val="none"/>
                <w:lang w:val="en-US" w:eastAsia="zh-CN" w:bidi="ar"/>
              </w:rPr>
              <w:t>总资金（万元）</w:t>
            </w:r>
          </w:p>
        </w:tc>
        <w:tc>
          <w:tcPr>
            <w:tcW w:w="879" w:type="dxa"/>
            <w:vMerge w:val="restart"/>
            <w:tcBorders>
              <w:top w:val="single" w:color="000000" w:sz="4" w:space="0"/>
              <w:left w:val="single" w:color="000000" w:sz="4" w:space="0"/>
              <w:bottom w:val="single" w:color="000000" w:sz="4" w:space="0"/>
              <w:right w:val="single" w:color="000000" w:sz="4" w:space="0"/>
            </w:tcBorders>
            <w:shd w:val="clear" w:color="auto" w:fill="D9D9D9"/>
            <w:vAlign w:val="center"/>
          </w:tcPr>
          <w:p w14:paraId="3193DDD4">
            <w:pPr>
              <w:keepNext w:val="0"/>
              <w:keepLines w:val="0"/>
              <w:widowControl/>
              <w:suppressLineNumbers w:val="0"/>
              <w:jc w:val="center"/>
              <w:textAlignment w:val="center"/>
              <w:rPr>
                <w:rFonts w:hint="eastAsia" w:ascii="Microsoft YaHei UI" w:hAnsi="Microsoft YaHei UI" w:eastAsia="Microsoft YaHei UI" w:cs="Microsoft YaHei UI"/>
                <w:b/>
                <w:bCs/>
                <w:i w:val="0"/>
                <w:iCs w:val="0"/>
                <w:color w:val="000000"/>
                <w:sz w:val="22"/>
                <w:szCs w:val="22"/>
                <w:u w:val="none"/>
              </w:rPr>
            </w:pPr>
            <w:r>
              <w:rPr>
                <w:rFonts w:hint="eastAsia" w:ascii="Microsoft YaHei UI" w:hAnsi="Microsoft YaHei UI" w:eastAsia="Microsoft YaHei UI" w:cs="Microsoft YaHei UI"/>
                <w:b/>
                <w:bCs/>
                <w:i w:val="0"/>
                <w:iCs w:val="0"/>
                <w:color w:val="000000"/>
                <w:kern w:val="0"/>
                <w:sz w:val="22"/>
                <w:szCs w:val="22"/>
                <w:u w:val="none"/>
                <w:lang w:val="en-US" w:eastAsia="zh-CN" w:bidi="ar"/>
              </w:rPr>
              <w:t>盟市数（个）</w:t>
            </w:r>
          </w:p>
        </w:tc>
        <w:tc>
          <w:tcPr>
            <w:tcW w:w="862" w:type="dxa"/>
            <w:vMerge w:val="restart"/>
            <w:tcBorders>
              <w:top w:val="single" w:color="000000" w:sz="4" w:space="0"/>
              <w:left w:val="single" w:color="000000" w:sz="4" w:space="0"/>
              <w:bottom w:val="single" w:color="000000" w:sz="4" w:space="0"/>
              <w:right w:val="single" w:color="000000" w:sz="4" w:space="0"/>
            </w:tcBorders>
            <w:shd w:val="clear" w:color="auto" w:fill="D9D9D9"/>
            <w:vAlign w:val="center"/>
          </w:tcPr>
          <w:p w14:paraId="61189F3D">
            <w:pPr>
              <w:keepNext w:val="0"/>
              <w:keepLines w:val="0"/>
              <w:widowControl/>
              <w:suppressLineNumbers w:val="0"/>
              <w:jc w:val="center"/>
              <w:textAlignment w:val="center"/>
              <w:rPr>
                <w:rFonts w:hint="eastAsia" w:ascii="Microsoft YaHei UI" w:hAnsi="Microsoft YaHei UI" w:eastAsia="Microsoft YaHei UI" w:cs="Microsoft YaHei UI"/>
                <w:b/>
                <w:bCs/>
                <w:i w:val="0"/>
                <w:iCs w:val="0"/>
                <w:color w:val="000000"/>
                <w:sz w:val="22"/>
                <w:szCs w:val="22"/>
                <w:u w:val="none"/>
              </w:rPr>
            </w:pPr>
            <w:r>
              <w:rPr>
                <w:rFonts w:hint="eastAsia" w:ascii="Microsoft YaHei UI" w:hAnsi="Microsoft YaHei UI" w:eastAsia="Microsoft YaHei UI" w:cs="Microsoft YaHei UI"/>
                <w:b/>
                <w:bCs/>
                <w:i w:val="0"/>
                <w:iCs w:val="0"/>
                <w:color w:val="000000"/>
                <w:kern w:val="0"/>
                <w:sz w:val="22"/>
                <w:szCs w:val="22"/>
                <w:u w:val="none"/>
                <w:lang w:val="en-US" w:eastAsia="zh-CN" w:bidi="ar"/>
              </w:rPr>
              <w:t>单价</w:t>
            </w:r>
            <w:r>
              <w:rPr>
                <w:rFonts w:hint="eastAsia" w:ascii="Microsoft YaHei UI" w:hAnsi="Microsoft YaHei UI" w:eastAsia="Microsoft YaHei UI" w:cs="Microsoft YaHei UI"/>
                <w:b/>
                <w:bCs/>
                <w:i w:val="0"/>
                <w:iCs w:val="0"/>
                <w:color w:val="000000"/>
                <w:kern w:val="0"/>
                <w:sz w:val="22"/>
                <w:szCs w:val="22"/>
                <w:u w:val="none"/>
                <w:lang w:val="en-US" w:eastAsia="zh-CN" w:bidi="ar"/>
              </w:rPr>
              <w:br w:type="textWrapping"/>
            </w:r>
            <w:r>
              <w:rPr>
                <w:rFonts w:hint="eastAsia" w:ascii="Microsoft YaHei UI" w:hAnsi="Microsoft YaHei UI" w:eastAsia="Microsoft YaHei UI" w:cs="Microsoft YaHei UI"/>
                <w:b/>
                <w:bCs/>
                <w:i w:val="0"/>
                <w:iCs w:val="0"/>
                <w:color w:val="000000"/>
                <w:kern w:val="0"/>
                <w:sz w:val="22"/>
                <w:szCs w:val="22"/>
                <w:u w:val="none"/>
                <w:lang w:val="en-US" w:eastAsia="zh-CN" w:bidi="ar"/>
              </w:rPr>
              <w:t>（万元）</w:t>
            </w:r>
          </w:p>
        </w:tc>
        <w:tc>
          <w:tcPr>
            <w:tcW w:w="863" w:type="dxa"/>
            <w:vMerge w:val="restart"/>
            <w:tcBorders>
              <w:top w:val="single" w:color="000000" w:sz="4" w:space="0"/>
              <w:left w:val="single" w:color="000000" w:sz="4" w:space="0"/>
              <w:bottom w:val="single" w:color="000000" w:sz="4" w:space="0"/>
              <w:right w:val="single" w:color="000000" w:sz="4" w:space="0"/>
            </w:tcBorders>
            <w:shd w:val="clear" w:color="auto" w:fill="D9D9D9"/>
            <w:vAlign w:val="center"/>
          </w:tcPr>
          <w:p w14:paraId="628A56D5">
            <w:pPr>
              <w:keepNext w:val="0"/>
              <w:keepLines w:val="0"/>
              <w:widowControl/>
              <w:suppressLineNumbers w:val="0"/>
              <w:jc w:val="center"/>
              <w:textAlignment w:val="center"/>
              <w:rPr>
                <w:rFonts w:hint="eastAsia" w:ascii="Microsoft YaHei UI" w:hAnsi="Microsoft YaHei UI" w:eastAsia="Microsoft YaHei UI" w:cs="Microsoft YaHei UI"/>
                <w:b/>
                <w:bCs/>
                <w:i w:val="0"/>
                <w:iCs w:val="0"/>
                <w:color w:val="000000"/>
                <w:sz w:val="22"/>
                <w:szCs w:val="22"/>
                <w:u w:val="none"/>
              </w:rPr>
            </w:pPr>
            <w:r>
              <w:rPr>
                <w:rFonts w:hint="eastAsia" w:ascii="Microsoft YaHei UI" w:hAnsi="Microsoft YaHei UI" w:eastAsia="Microsoft YaHei UI" w:cs="Microsoft YaHei UI"/>
                <w:b/>
                <w:bCs/>
                <w:i w:val="0"/>
                <w:iCs w:val="0"/>
                <w:color w:val="000000"/>
                <w:kern w:val="0"/>
                <w:sz w:val="22"/>
                <w:szCs w:val="22"/>
                <w:u w:val="none"/>
                <w:lang w:val="en-US" w:eastAsia="zh-CN" w:bidi="ar"/>
              </w:rPr>
              <w:t>总资金（万</w:t>
            </w:r>
            <w:bookmarkStart w:id="34" w:name="_GoBack"/>
            <w:bookmarkEnd w:id="34"/>
            <w:r>
              <w:rPr>
                <w:rFonts w:hint="eastAsia" w:ascii="Microsoft YaHei UI" w:hAnsi="Microsoft YaHei UI" w:eastAsia="Microsoft YaHei UI" w:cs="Microsoft YaHei UI"/>
                <w:b/>
                <w:bCs/>
                <w:i w:val="0"/>
                <w:iCs w:val="0"/>
                <w:color w:val="000000"/>
                <w:kern w:val="0"/>
                <w:sz w:val="22"/>
                <w:szCs w:val="22"/>
                <w:u w:val="none"/>
                <w:lang w:val="en-US" w:eastAsia="zh-CN" w:bidi="ar"/>
              </w:rPr>
              <w:t>元）</w:t>
            </w:r>
          </w:p>
        </w:tc>
        <w:tc>
          <w:tcPr>
            <w:tcW w:w="863" w:type="dxa"/>
            <w:vMerge w:val="restart"/>
            <w:tcBorders>
              <w:top w:val="nil"/>
              <w:left w:val="single" w:color="000000" w:sz="4" w:space="0"/>
              <w:bottom w:val="single" w:color="000000" w:sz="4" w:space="0"/>
              <w:right w:val="single" w:color="000000" w:sz="4" w:space="0"/>
            </w:tcBorders>
            <w:shd w:val="clear" w:color="auto" w:fill="D9D9D9"/>
            <w:vAlign w:val="center"/>
          </w:tcPr>
          <w:p w14:paraId="250AA954">
            <w:pPr>
              <w:keepNext w:val="0"/>
              <w:keepLines w:val="0"/>
              <w:widowControl/>
              <w:suppressLineNumbers w:val="0"/>
              <w:jc w:val="center"/>
              <w:textAlignment w:val="center"/>
              <w:rPr>
                <w:rFonts w:hint="eastAsia" w:ascii="Microsoft YaHei UI" w:hAnsi="Microsoft YaHei UI" w:eastAsia="Microsoft YaHei UI" w:cs="Microsoft YaHei UI"/>
                <w:b/>
                <w:bCs/>
                <w:i w:val="0"/>
                <w:iCs w:val="0"/>
                <w:color w:val="000000"/>
                <w:sz w:val="22"/>
                <w:szCs w:val="22"/>
                <w:u w:val="none"/>
              </w:rPr>
            </w:pPr>
            <w:r>
              <w:rPr>
                <w:rFonts w:hint="eastAsia" w:ascii="Microsoft YaHei UI" w:hAnsi="Microsoft YaHei UI" w:eastAsia="Microsoft YaHei UI" w:cs="Microsoft YaHei UI"/>
                <w:b/>
                <w:bCs/>
                <w:i w:val="0"/>
                <w:iCs w:val="0"/>
                <w:color w:val="000000"/>
                <w:kern w:val="0"/>
                <w:sz w:val="22"/>
                <w:szCs w:val="22"/>
                <w:u w:val="none"/>
                <w:lang w:val="en-US" w:eastAsia="zh-CN" w:bidi="ar"/>
              </w:rPr>
              <w:t>万元</w:t>
            </w:r>
          </w:p>
        </w:tc>
        <w:tc>
          <w:tcPr>
            <w:tcW w:w="863" w:type="dxa"/>
            <w:vMerge w:val="restart"/>
            <w:tcBorders>
              <w:top w:val="nil"/>
              <w:left w:val="single" w:color="000000" w:sz="4" w:space="0"/>
              <w:bottom w:val="single" w:color="000000" w:sz="4" w:space="0"/>
              <w:right w:val="single" w:color="000000" w:sz="4" w:space="0"/>
            </w:tcBorders>
            <w:shd w:val="clear" w:color="auto" w:fill="D9D9D9"/>
            <w:vAlign w:val="center"/>
          </w:tcPr>
          <w:p w14:paraId="6F2B9AF7">
            <w:pPr>
              <w:keepNext w:val="0"/>
              <w:keepLines w:val="0"/>
              <w:widowControl/>
              <w:suppressLineNumbers w:val="0"/>
              <w:jc w:val="center"/>
              <w:textAlignment w:val="center"/>
              <w:rPr>
                <w:rFonts w:hint="eastAsia" w:ascii="Microsoft YaHei UI" w:hAnsi="Microsoft YaHei UI" w:eastAsia="Microsoft YaHei UI" w:cs="Microsoft YaHei UI"/>
                <w:b/>
                <w:bCs/>
                <w:i w:val="0"/>
                <w:iCs w:val="0"/>
                <w:color w:val="000000"/>
                <w:sz w:val="22"/>
                <w:szCs w:val="22"/>
                <w:u w:val="none"/>
              </w:rPr>
            </w:pPr>
            <w:r>
              <w:rPr>
                <w:rFonts w:hint="eastAsia" w:ascii="Microsoft YaHei UI" w:hAnsi="Microsoft YaHei UI" w:eastAsia="Microsoft YaHei UI" w:cs="Microsoft YaHei UI"/>
                <w:b/>
                <w:bCs/>
                <w:i w:val="0"/>
                <w:iCs w:val="0"/>
                <w:color w:val="000000"/>
                <w:kern w:val="0"/>
                <w:sz w:val="22"/>
                <w:szCs w:val="22"/>
                <w:u w:val="none"/>
                <w:lang w:val="en-US" w:eastAsia="zh-CN" w:bidi="ar"/>
              </w:rPr>
              <w:t>其中中央资金（万元）</w:t>
            </w:r>
          </w:p>
        </w:tc>
        <w:tc>
          <w:tcPr>
            <w:tcW w:w="868" w:type="dxa"/>
            <w:vMerge w:val="restart"/>
            <w:tcBorders>
              <w:top w:val="nil"/>
              <w:left w:val="single" w:color="000000" w:sz="4" w:space="0"/>
              <w:bottom w:val="single" w:color="000000" w:sz="4" w:space="0"/>
              <w:right w:val="single" w:color="000000" w:sz="4" w:space="0"/>
            </w:tcBorders>
            <w:shd w:val="clear" w:color="auto" w:fill="D9D9D9"/>
            <w:vAlign w:val="center"/>
          </w:tcPr>
          <w:p w14:paraId="142F8593">
            <w:pPr>
              <w:keepNext w:val="0"/>
              <w:keepLines w:val="0"/>
              <w:widowControl/>
              <w:suppressLineNumbers w:val="0"/>
              <w:jc w:val="center"/>
              <w:textAlignment w:val="center"/>
              <w:rPr>
                <w:rFonts w:hint="eastAsia" w:ascii="Microsoft YaHei UI" w:hAnsi="Microsoft YaHei UI" w:eastAsia="Microsoft YaHei UI" w:cs="Microsoft YaHei UI"/>
                <w:b/>
                <w:bCs/>
                <w:i w:val="0"/>
                <w:iCs w:val="0"/>
                <w:color w:val="000000"/>
                <w:sz w:val="22"/>
                <w:szCs w:val="22"/>
                <w:u w:val="none"/>
              </w:rPr>
            </w:pPr>
            <w:r>
              <w:rPr>
                <w:rFonts w:hint="eastAsia" w:ascii="Microsoft YaHei UI" w:hAnsi="Microsoft YaHei UI" w:eastAsia="Microsoft YaHei UI" w:cs="Microsoft YaHei UI"/>
                <w:b/>
                <w:bCs/>
                <w:i w:val="0"/>
                <w:iCs w:val="0"/>
                <w:color w:val="000000"/>
                <w:kern w:val="0"/>
                <w:sz w:val="22"/>
                <w:szCs w:val="22"/>
                <w:u w:val="none"/>
                <w:lang w:val="en-US" w:eastAsia="zh-CN" w:bidi="ar"/>
              </w:rPr>
              <w:t>其中自治区资金（万元）</w:t>
            </w:r>
          </w:p>
        </w:tc>
      </w:tr>
      <w:tr w14:paraId="70D31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8" w:hRule="atLeast"/>
        </w:trPr>
        <w:tc>
          <w:tcPr>
            <w:tcW w:w="1166" w:type="dxa"/>
            <w:vMerge w:val="continue"/>
            <w:tcBorders>
              <w:top w:val="single" w:color="000000" w:sz="4" w:space="0"/>
              <w:left w:val="single" w:color="000000" w:sz="4" w:space="0"/>
              <w:bottom w:val="single" w:color="000000" w:sz="4" w:space="0"/>
              <w:right w:val="single" w:color="000000" w:sz="4" w:space="0"/>
            </w:tcBorders>
            <w:shd w:val="clear" w:color="auto" w:fill="D9D9D9"/>
            <w:vAlign w:val="center"/>
          </w:tcPr>
          <w:p w14:paraId="733A6874">
            <w:pPr>
              <w:jc w:val="center"/>
              <w:rPr>
                <w:rFonts w:hint="eastAsia" w:ascii="微软雅黑" w:hAnsi="微软雅黑" w:eastAsia="微软雅黑" w:cs="微软雅黑"/>
                <w:b/>
                <w:bCs/>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D9D9D9"/>
            <w:vAlign w:val="center"/>
          </w:tcPr>
          <w:p w14:paraId="6DC8EF18">
            <w:pPr>
              <w:jc w:val="center"/>
              <w:rPr>
                <w:rFonts w:hint="eastAsia" w:ascii="Microsoft YaHei UI" w:hAnsi="Microsoft YaHei UI" w:eastAsia="Microsoft YaHei UI" w:cs="Microsoft YaHei UI"/>
                <w:b/>
                <w:bCs/>
                <w:i w:val="0"/>
                <w:iCs w:val="0"/>
                <w:color w:val="000000"/>
                <w:sz w:val="22"/>
                <w:szCs w:val="22"/>
                <w:u w:val="none"/>
              </w:rPr>
            </w:pPr>
          </w:p>
        </w:tc>
        <w:tc>
          <w:tcPr>
            <w:tcW w:w="956" w:type="dxa"/>
            <w:vMerge w:val="continue"/>
            <w:tcBorders>
              <w:top w:val="single" w:color="000000" w:sz="4" w:space="0"/>
              <w:left w:val="single" w:color="000000" w:sz="4" w:space="0"/>
              <w:bottom w:val="single" w:color="000000" w:sz="4" w:space="0"/>
              <w:right w:val="single" w:color="000000" w:sz="4" w:space="0"/>
            </w:tcBorders>
            <w:shd w:val="clear" w:color="auto" w:fill="D9D9D9"/>
            <w:vAlign w:val="center"/>
          </w:tcPr>
          <w:p w14:paraId="3EC95E83">
            <w:pPr>
              <w:jc w:val="center"/>
              <w:rPr>
                <w:rFonts w:hint="eastAsia" w:ascii="Microsoft YaHei UI" w:hAnsi="Microsoft YaHei UI" w:eastAsia="Microsoft YaHei UI" w:cs="Microsoft YaHei UI"/>
                <w:b/>
                <w:bCs/>
                <w:i w:val="0"/>
                <w:iCs w:val="0"/>
                <w:color w:val="000000"/>
                <w:sz w:val="22"/>
                <w:szCs w:val="22"/>
                <w:u w:val="none"/>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D9D9D9"/>
            <w:vAlign w:val="center"/>
          </w:tcPr>
          <w:p w14:paraId="72B7E105">
            <w:pPr>
              <w:jc w:val="center"/>
              <w:rPr>
                <w:rFonts w:hint="eastAsia" w:ascii="Microsoft YaHei UI" w:hAnsi="Microsoft YaHei UI" w:eastAsia="Microsoft YaHei UI" w:cs="Microsoft YaHei UI"/>
                <w:b/>
                <w:bCs/>
                <w:i w:val="0"/>
                <w:iCs w:val="0"/>
                <w:color w:val="000000"/>
                <w:sz w:val="22"/>
                <w:szCs w:val="22"/>
                <w:u w:val="none"/>
              </w:rPr>
            </w:pPr>
          </w:p>
        </w:tc>
        <w:tc>
          <w:tcPr>
            <w:tcW w:w="1031" w:type="dxa"/>
            <w:vMerge w:val="continue"/>
            <w:tcBorders>
              <w:top w:val="single" w:color="000000" w:sz="4" w:space="0"/>
              <w:left w:val="single" w:color="000000" w:sz="4" w:space="0"/>
              <w:bottom w:val="single" w:color="000000" w:sz="4" w:space="0"/>
              <w:right w:val="single" w:color="000000" w:sz="4" w:space="0"/>
            </w:tcBorders>
            <w:shd w:val="clear" w:color="auto" w:fill="D9D9D9"/>
            <w:vAlign w:val="center"/>
          </w:tcPr>
          <w:p w14:paraId="58F16076">
            <w:pPr>
              <w:jc w:val="center"/>
              <w:rPr>
                <w:rFonts w:hint="eastAsia" w:ascii="Microsoft YaHei UI" w:hAnsi="Microsoft YaHei UI" w:eastAsia="Microsoft YaHei UI" w:cs="Microsoft YaHei UI"/>
                <w:b/>
                <w:bCs/>
                <w:i w:val="0"/>
                <w:iCs w:val="0"/>
                <w:color w:val="000000"/>
                <w:sz w:val="22"/>
                <w:szCs w:val="22"/>
                <w:u w:val="none"/>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D9D9D9"/>
            <w:vAlign w:val="center"/>
          </w:tcPr>
          <w:p w14:paraId="313ED794">
            <w:pPr>
              <w:jc w:val="center"/>
              <w:rPr>
                <w:rFonts w:hint="eastAsia" w:ascii="Microsoft YaHei UI" w:hAnsi="Microsoft YaHei UI" w:eastAsia="Microsoft YaHei UI" w:cs="Microsoft YaHei UI"/>
                <w:b/>
                <w:bCs/>
                <w:i w:val="0"/>
                <w:iCs w:val="0"/>
                <w:color w:val="000000"/>
                <w:sz w:val="22"/>
                <w:szCs w:val="22"/>
                <w:u w:val="none"/>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D9D9D9"/>
            <w:vAlign w:val="center"/>
          </w:tcPr>
          <w:p w14:paraId="7739AFAE">
            <w:pPr>
              <w:jc w:val="center"/>
              <w:rPr>
                <w:rFonts w:hint="eastAsia" w:ascii="Microsoft YaHei UI" w:hAnsi="Microsoft YaHei UI" w:eastAsia="Microsoft YaHei UI" w:cs="Microsoft YaHei UI"/>
                <w:b/>
                <w:bCs/>
                <w:i w:val="0"/>
                <w:iCs w:val="0"/>
                <w:color w:val="000000"/>
                <w:sz w:val="22"/>
                <w:szCs w:val="22"/>
                <w:u w:val="none"/>
              </w:rPr>
            </w:pPr>
          </w:p>
        </w:tc>
        <w:tc>
          <w:tcPr>
            <w:tcW w:w="935" w:type="dxa"/>
            <w:vMerge w:val="continue"/>
            <w:tcBorders>
              <w:top w:val="single" w:color="000000" w:sz="4" w:space="0"/>
              <w:left w:val="single" w:color="000000" w:sz="4" w:space="0"/>
              <w:bottom w:val="single" w:color="000000" w:sz="4" w:space="0"/>
              <w:right w:val="single" w:color="000000" w:sz="4" w:space="0"/>
            </w:tcBorders>
            <w:shd w:val="clear" w:color="auto" w:fill="D9D9D9"/>
            <w:vAlign w:val="center"/>
          </w:tcPr>
          <w:p w14:paraId="7C8A1E6D">
            <w:pPr>
              <w:jc w:val="center"/>
              <w:rPr>
                <w:rFonts w:hint="eastAsia" w:ascii="Microsoft YaHei UI" w:hAnsi="Microsoft YaHei UI" w:eastAsia="Microsoft YaHei UI" w:cs="Microsoft YaHei UI"/>
                <w:b/>
                <w:bCs/>
                <w:i w:val="0"/>
                <w:iCs w:val="0"/>
                <w:color w:val="000000"/>
                <w:sz w:val="22"/>
                <w:szCs w:val="22"/>
                <w:u w:val="none"/>
              </w:rPr>
            </w:pPr>
          </w:p>
        </w:tc>
        <w:tc>
          <w:tcPr>
            <w:tcW w:w="862" w:type="dxa"/>
            <w:vMerge w:val="continue"/>
            <w:tcBorders>
              <w:top w:val="single" w:color="000000" w:sz="4" w:space="0"/>
              <w:left w:val="single" w:color="000000" w:sz="4" w:space="0"/>
              <w:bottom w:val="single" w:color="000000" w:sz="4" w:space="0"/>
              <w:right w:val="single" w:color="000000" w:sz="4" w:space="0"/>
            </w:tcBorders>
            <w:shd w:val="clear" w:color="auto" w:fill="D9D9D9"/>
            <w:vAlign w:val="center"/>
          </w:tcPr>
          <w:p w14:paraId="5B892B91">
            <w:pPr>
              <w:jc w:val="center"/>
              <w:rPr>
                <w:rFonts w:hint="eastAsia" w:ascii="Microsoft YaHei UI" w:hAnsi="Microsoft YaHei UI" w:eastAsia="Microsoft YaHei UI" w:cs="Microsoft YaHei UI"/>
                <w:b/>
                <w:bCs/>
                <w:i w:val="0"/>
                <w:iCs w:val="0"/>
                <w:color w:val="000000"/>
                <w:sz w:val="22"/>
                <w:szCs w:val="22"/>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D9D9D9"/>
            <w:vAlign w:val="center"/>
          </w:tcPr>
          <w:p w14:paraId="0CB2C454">
            <w:pPr>
              <w:jc w:val="center"/>
              <w:rPr>
                <w:rFonts w:hint="eastAsia" w:ascii="Microsoft YaHei UI" w:hAnsi="Microsoft YaHei UI" w:eastAsia="Microsoft YaHei UI" w:cs="Microsoft YaHei UI"/>
                <w:b/>
                <w:bCs/>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D9D9D9"/>
            <w:vAlign w:val="center"/>
          </w:tcPr>
          <w:p w14:paraId="76873791">
            <w:pPr>
              <w:jc w:val="center"/>
              <w:rPr>
                <w:rFonts w:hint="eastAsia" w:ascii="Microsoft YaHei UI" w:hAnsi="Microsoft YaHei UI" w:eastAsia="Microsoft YaHei UI" w:cs="Microsoft YaHei UI"/>
                <w:b/>
                <w:bCs/>
                <w:i w:val="0"/>
                <w:iCs w:val="0"/>
                <w:color w:val="000000"/>
                <w:sz w:val="22"/>
                <w:szCs w:val="22"/>
                <w:u w:val="none"/>
              </w:rPr>
            </w:pPr>
          </w:p>
        </w:tc>
        <w:tc>
          <w:tcPr>
            <w:tcW w:w="862" w:type="dxa"/>
            <w:vMerge w:val="continue"/>
            <w:tcBorders>
              <w:top w:val="single" w:color="000000" w:sz="4" w:space="0"/>
              <w:left w:val="single" w:color="000000" w:sz="4" w:space="0"/>
              <w:bottom w:val="single" w:color="000000" w:sz="4" w:space="0"/>
              <w:right w:val="single" w:color="000000" w:sz="4" w:space="0"/>
            </w:tcBorders>
            <w:shd w:val="clear" w:color="auto" w:fill="D9D9D9"/>
            <w:vAlign w:val="center"/>
          </w:tcPr>
          <w:p w14:paraId="0612BDA9">
            <w:pPr>
              <w:jc w:val="center"/>
              <w:rPr>
                <w:rFonts w:hint="eastAsia" w:ascii="Microsoft YaHei UI" w:hAnsi="Microsoft YaHei UI" w:eastAsia="Microsoft YaHei UI" w:cs="Microsoft YaHei UI"/>
                <w:b/>
                <w:bCs/>
                <w:i w:val="0"/>
                <w:iCs w:val="0"/>
                <w:color w:val="000000"/>
                <w:sz w:val="22"/>
                <w:szCs w:val="22"/>
                <w:u w:val="none"/>
              </w:rPr>
            </w:pPr>
          </w:p>
        </w:tc>
        <w:tc>
          <w:tcPr>
            <w:tcW w:w="862" w:type="dxa"/>
            <w:vMerge w:val="continue"/>
            <w:tcBorders>
              <w:top w:val="single" w:color="000000" w:sz="4" w:space="0"/>
              <w:left w:val="single" w:color="000000" w:sz="4" w:space="0"/>
              <w:bottom w:val="single" w:color="000000" w:sz="4" w:space="0"/>
              <w:right w:val="single" w:color="000000" w:sz="4" w:space="0"/>
            </w:tcBorders>
            <w:shd w:val="clear" w:color="auto" w:fill="D9D9D9"/>
            <w:vAlign w:val="center"/>
          </w:tcPr>
          <w:p w14:paraId="270CFC58">
            <w:pPr>
              <w:jc w:val="center"/>
              <w:rPr>
                <w:rFonts w:hint="eastAsia" w:ascii="Microsoft YaHei UI" w:hAnsi="Microsoft YaHei UI" w:eastAsia="Microsoft YaHei UI" w:cs="Microsoft YaHei UI"/>
                <w:b/>
                <w:bCs/>
                <w:i w:val="0"/>
                <w:iCs w:val="0"/>
                <w:color w:val="000000"/>
                <w:sz w:val="22"/>
                <w:szCs w:val="22"/>
                <w:u w:val="none"/>
              </w:rPr>
            </w:pP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D9D9D9"/>
            <w:vAlign w:val="center"/>
          </w:tcPr>
          <w:p w14:paraId="444D7992">
            <w:pPr>
              <w:jc w:val="center"/>
              <w:rPr>
                <w:rFonts w:hint="eastAsia" w:ascii="Microsoft YaHei UI" w:hAnsi="Microsoft YaHei UI" w:eastAsia="Microsoft YaHei UI" w:cs="Microsoft YaHei UI"/>
                <w:b/>
                <w:bCs/>
                <w:i w:val="0"/>
                <w:iCs w:val="0"/>
                <w:color w:val="000000"/>
                <w:sz w:val="22"/>
                <w:szCs w:val="22"/>
                <w:u w:val="none"/>
              </w:rPr>
            </w:pP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D9D9D9"/>
            <w:vAlign w:val="center"/>
          </w:tcPr>
          <w:p w14:paraId="43569717">
            <w:pPr>
              <w:jc w:val="center"/>
              <w:rPr>
                <w:rFonts w:hint="eastAsia" w:ascii="Microsoft YaHei UI" w:hAnsi="Microsoft YaHei UI" w:eastAsia="Microsoft YaHei UI" w:cs="Microsoft YaHei UI"/>
                <w:b/>
                <w:bCs/>
                <w:i w:val="0"/>
                <w:iCs w:val="0"/>
                <w:color w:val="000000"/>
                <w:sz w:val="22"/>
                <w:szCs w:val="22"/>
                <w:u w:val="none"/>
              </w:rPr>
            </w:pPr>
          </w:p>
        </w:tc>
        <w:tc>
          <w:tcPr>
            <w:tcW w:w="870" w:type="dxa"/>
            <w:vMerge w:val="continue"/>
            <w:tcBorders>
              <w:top w:val="single" w:color="000000" w:sz="4" w:space="0"/>
              <w:left w:val="single" w:color="000000" w:sz="4" w:space="0"/>
              <w:bottom w:val="single" w:color="000000" w:sz="4" w:space="0"/>
              <w:right w:val="single" w:color="000000" w:sz="4" w:space="0"/>
            </w:tcBorders>
            <w:shd w:val="clear" w:color="auto" w:fill="D9D9D9"/>
            <w:vAlign w:val="center"/>
          </w:tcPr>
          <w:p w14:paraId="3EB0B93F">
            <w:pPr>
              <w:jc w:val="center"/>
              <w:rPr>
                <w:rFonts w:hint="eastAsia" w:ascii="Microsoft YaHei UI" w:hAnsi="Microsoft YaHei UI" w:eastAsia="Microsoft YaHei UI" w:cs="Microsoft YaHei UI"/>
                <w:b/>
                <w:bCs/>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D9D9D9"/>
            <w:vAlign w:val="center"/>
          </w:tcPr>
          <w:p w14:paraId="76D381F0">
            <w:pPr>
              <w:jc w:val="center"/>
              <w:rPr>
                <w:rFonts w:hint="eastAsia" w:ascii="Microsoft YaHei UI" w:hAnsi="Microsoft YaHei UI" w:eastAsia="Microsoft YaHei UI" w:cs="Microsoft YaHei UI"/>
                <w:b/>
                <w:bCs/>
                <w:i w:val="0"/>
                <w:iCs w:val="0"/>
                <w:color w:val="000000"/>
                <w:sz w:val="22"/>
                <w:szCs w:val="22"/>
                <w:u w:val="none"/>
              </w:rPr>
            </w:pPr>
          </w:p>
        </w:tc>
        <w:tc>
          <w:tcPr>
            <w:tcW w:w="862" w:type="dxa"/>
            <w:vMerge w:val="continue"/>
            <w:tcBorders>
              <w:top w:val="single" w:color="000000" w:sz="4" w:space="0"/>
              <w:left w:val="single" w:color="000000" w:sz="4" w:space="0"/>
              <w:bottom w:val="single" w:color="000000" w:sz="4" w:space="0"/>
              <w:right w:val="single" w:color="000000" w:sz="4" w:space="0"/>
            </w:tcBorders>
            <w:shd w:val="clear" w:color="auto" w:fill="D9D9D9"/>
            <w:vAlign w:val="center"/>
          </w:tcPr>
          <w:p w14:paraId="4F40968C">
            <w:pPr>
              <w:jc w:val="center"/>
              <w:rPr>
                <w:rFonts w:hint="eastAsia" w:ascii="Microsoft YaHei UI" w:hAnsi="Microsoft YaHei UI" w:eastAsia="Microsoft YaHei UI" w:cs="Microsoft YaHei UI"/>
                <w:b/>
                <w:bCs/>
                <w:i w:val="0"/>
                <w:iCs w:val="0"/>
                <w:color w:val="000000"/>
                <w:sz w:val="22"/>
                <w:szCs w:val="22"/>
                <w:u w:val="none"/>
              </w:rPr>
            </w:pPr>
          </w:p>
        </w:tc>
        <w:tc>
          <w:tcPr>
            <w:tcW w:w="862" w:type="dxa"/>
            <w:vMerge w:val="continue"/>
            <w:tcBorders>
              <w:top w:val="single" w:color="000000" w:sz="4" w:space="0"/>
              <w:left w:val="single" w:color="000000" w:sz="4" w:space="0"/>
              <w:bottom w:val="single" w:color="000000" w:sz="4" w:space="0"/>
              <w:right w:val="single" w:color="000000" w:sz="4" w:space="0"/>
            </w:tcBorders>
            <w:shd w:val="clear" w:color="auto" w:fill="D9D9D9"/>
            <w:vAlign w:val="center"/>
          </w:tcPr>
          <w:p w14:paraId="183BC393">
            <w:pPr>
              <w:jc w:val="center"/>
              <w:rPr>
                <w:rFonts w:hint="eastAsia" w:ascii="Microsoft YaHei UI" w:hAnsi="Microsoft YaHei UI" w:eastAsia="Microsoft YaHei UI" w:cs="Microsoft YaHei UI"/>
                <w:b/>
                <w:bCs/>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D9D9D9"/>
            <w:vAlign w:val="center"/>
          </w:tcPr>
          <w:p w14:paraId="3D567752">
            <w:pPr>
              <w:jc w:val="center"/>
              <w:rPr>
                <w:rFonts w:hint="eastAsia" w:ascii="Microsoft YaHei UI" w:hAnsi="Microsoft YaHei UI" w:eastAsia="Microsoft YaHei UI" w:cs="Microsoft YaHei UI"/>
                <w:b/>
                <w:bCs/>
                <w:i w:val="0"/>
                <w:iCs w:val="0"/>
                <w:color w:val="000000"/>
                <w:sz w:val="22"/>
                <w:szCs w:val="22"/>
                <w:u w:val="none"/>
              </w:rPr>
            </w:pPr>
          </w:p>
        </w:tc>
        <w:tc>
          <w:tcPr>
            <w:tcW w:w="862" w:type="dxa"/>
            <w:vMerge w:val="continue"/>
            <w:tcBorders>
              <w:top w:val="single" w:color="000000" w:sz="4" w:space="0"/>
              <w:left w:val="single" w:color="000000" w:sz="4" w:space="0"/>
              <w:bottom w:val="single" w:color="000000" w:sz="4" w:space="0"/>
              <w:right w:val="single" w:color="000000" w:sz="4" w:space="0"/>
            </w:tcBorders>
            <w:shd w:val="clear" w:color="auto" w:fill="D9D9D9"/>
            <w:vAlign w:val="center"/>
          </w:tcPr>
          <w:p w14:paraId="4282B5D2">
            <w:pPr>
              <w:jc w:val="center"/>
              <w:rPr>
                <w:rFonts w:hint="eastAsia" w:ascii="Microsoft YaHei UI" w:hAnsi="Microsoft YaHei UI" w:eastAsia="Microsoft YaHei UI" w:cs="Microsoft YaHei UI"/>
                <w:b/>
                <w:bCs/>
                <w:i w:val="0"/>
                <w:iCs w:val="0"/>
                <w:color w:val="000000"/>
                <w:sz w:val="22"/>
                <w:szCs w:val="22"/>
                <w:u w:val="none"/>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D9D9D9"/>
            <w:vAlign w:val="center"/>
          </w:tcPr>
          <w:p w14:paraId="5997E3DA">
            <w:pPr>
              <w:jc w:val="center"/>
              <w:rPr>
                <w:rFonts w:hint="eastAsia" w:ascii="Microsoft YaHei UI" w:hAnsi="Microsoft YaHei UI" w:eastAsia="Microsoft YaHei UI" w:cs="Microsoft YaHei UI"/>
                <w:b/>
                <w:bCs/>
                <w:i w:val="0"/>
                <w:iCs w:val="0"/>
                <w:color w:val="000000"/>
                <w:sz w:val="22"/>
                <w:szCs w:val="22"/>
                <w:u w:val="none"/>
              </w:rPr>
            </w:pPr>
          </w:p>
        </w:tc>
        <w:tc>
          <w:tcPr>
            <w:tcW w:w="863" w:type="dxa"/>
            <w:vMerge w:val="continue"/>
            <w:tcBorders>
              <w:top w:val="nil"/>
              <w:left w:val="single" w:color="000000" w:sz="4" w:space="0"/>
              <w:bottom w:val="single" w:color="000000" w:sz="4" w:space="0"/>
              <w:right w:val="single" w:color="000000" w:sz="4" w:space="0"/>
            </w:tcBorders>
            <w:shd w:val="clear" w:color="auto" w:fill="D9D9D9"/>
            <w:vAlign w:val="center"/>
          </w:tcPr>
          <w:p w14:paraId="56DE6669">
            <w:pPr>
              <w:jc w:val="center"/>
              <w:rPr>
                <w:rFonts w:hint="eastAsia" w:ascii="Microsoft YaHei UI" w:hAnsi="Microsoft YaHei UI" w:eastAsia="Microsoft YaHei UI" w:cs="Microsoft YaHei UI"/>
                <w:b/>
                <w:bCs/>
                <w:i w:val="0"/>
                <w:iCs w:val="0"/>
                <w:color w:val="000000"/>
                <w:sz w:val="22"/>
                <w:szCs w:val="22"/>
                <w:u w:val="none"/>
              </w:rPr>
            </w:pPr>
          </w:p>
        </w:tc>
        <w:tc>
          <w:tcPr>
            <w:tcW w:w="863" w:type="dxa"/>
            <w:vMerge w:val="continue"/>
            <w:tcBorders>
              <w:top w:val="nil"/>
              <w:left w:val="single" w:color="000000" w:sz="4" w:space="0"/>
              <w:bottom w:val="single" w:color="000000" w:sz="4" w:space="0"/>
              <w:right w:val="single" w:color="000000" w:sz="4" w:space="0"/>
            </w:tcBorders>
            <w:shd w:val="clear" w:color="auto" w:fill="D9D9D9"/>
            <w:vAlign w:val="center"/>
          </w:tcPr>
          <w:p w14:paraId="1FA3EDA0">
            <w:pPr>
              <w:jc w:val="center"/>
              <w:rPr>
                <w:rFonts w:hint="eastAsia" w:ascii="Microsoft YaHei UI" w:hAnsi="Microsoft YaHei UI" w:eastAsia="Microsoft YaHei UI" w:cs="Microsoft YaHei UI"/>
                <w:b/>
                <w:bCs/>
                <w:i w:val="0"/>
                <w:iCs w:val="0"/>
                <w:color w:val="000000"/>
                <w:sz w:val="22"/>
                <w:szCs w:val="22"/>
                <w:u w:val="none"/>
              </w:rPr>
            </w:pPr>
          </w:p>
        </w:tc>
        <w:tc>
          <w:tcPr>
            <w:tcW w:w="868" w:type="dxa"/>
            <w:vMerge w:val="continue"/>
            <w:tcBorders>
              <w:top w:val="nil"/>
              <w:left w:val="single" w:color="000000" w:sz="4" w:space="0"/>
              <w:bottom w:val="single" w:color="000000" w:sz="4" w:space="0"/>
              <w:right w:val="single" w:color="000000" w:sz="4" w:space="0"/>
            </w:tcBorders>
            <w:shd w:val="clear" w:color="auto" w:fill="D9D9D9"/>
            <w:vAlign w:val="center"/>
          </w:tcPr>
          <w:p w14:paraId="7EA7D4F6">
            <w:pPr>
              <w:jc w:val="center"/>
              <w:rPr>
                <w:rFonts w:hint="eastAsia" w:ascii="Microsoft YaHei UI" w:hAnsi="Microsoft YaHei UI" w:eastAsia="Microsoft YaHei UI" w:cs="Microsoft YaHei UI"/>
                <w:b/>
                <w:bCs/>
                <w:i w:val="0"/>
                <w:iCs w:val="0"/>
                <w:color w:val="000000"/>
                <w:sz w:val="22"/>
                <w:szCs w:val="22"/>
                <w:u w:val="none"/>
              </w:rPr>
            </w:pPr>
          </w:p>
        </w:tc>
      </w:tr>
      <w:tr w14:paraId="3B5A07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9" w:hRule="atLeast"/>
        </w:trPr>
        <w:tc>
          <w:tcPr>
            <w:tcW w:w="11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894D8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呼伦贝尔</w:t>
            </w:r>
          </w:p>
        </w:tc>
        <w:tc>
          <w:tcPr>
            <w:tcW w:w="8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E8327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p>
        </w:tc>
        <w:tc>
          <w:tcPr>
            <w:tcW w:w="9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48750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p>
        </w:tc>
        <w:tc>
          <w:tcPr>
            <w:tcW w:w="8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E21D9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11DB0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p>
        </w:tc>
        <w:tc>
          <w:tcPr>
            <w:tcW w:w="8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1A28A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D302D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98BD3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p>
        </w:tc>
        <w:tc>
          <w:tcPr>
            <w:tcW w:w="8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C7A2B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B3F80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072B2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p>
        </w:tc>
        <w:tc>
          <w:tcPr>
            <w:tcW w:w="8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6C9B8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p>
        </w:tc>
        <w:tc>
          <w:tcPr>
            <w:tcW w:w="8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B9F87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p>
        </w:tc>
        <w:tc>
          <w:tcPr>
            <w:tcW w:w="9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507B0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p>
        </w:tc>
        <w:tc>
          <w:tcPr>
            <w:tcW w:w="9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CF547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D69A9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D7239">
            <w:pPr>
              <w:keepNext w:val="0"/>
              <w:keepLines w:val="0"/>
              <w:widowControl/>
              <w:suppressLineNumbers w:val="0"/>
              <w:jc w:val="center"/>
              <w:textAlignment w:val="center"/>
              <w:rPr>
                <w:rFonts w:hint="eastAsia" w:ascii="Microsoft YaHei UI" w:hAnsi="Microsoft YaHei UI" w:eastAsia="Microsoft YaHei UI" w:cs="Microsoft YaHei UI"/>
                <w:i w:val="0"/>
                <w:iCs w:val="0"/>
                <w:color w:val="000000"/>
                <w:sz w:val="22"/>
                <w:szCs w:val="22"/>
                <w:u w:val="none"/>
              </w:rPr>
            </w:pPr>
            <w:r>
              <w:rPr>
                <w:rFonts w:hint="eastAsia" w:ascii="Microsoft YaHei UI" w:hAnsi="Microsoft YaHei UI" w:eastAsia="Microsoft YaHei UI" w:cs="Microsoft YaHei UI"/>
                <w:i w:val="0"/>
                <w:iCs w:val="0"/>
                <w:color w:val="000000"/>
                <w:kern w:val="0"/>
                <w:sz w:val="22"/>
                <w:szCs w:val="22"/>
                <w:u w:val="none"/>
                <w:lang w:val="en-US" w:eastAsia="zh-CN" w:bidi="ar"/>
              </w:rPr>
              <w:t>1</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BB0FC">
            <w:pPr>
              <w:keepNext w:val="0"/>
              <w:keepLines w:val="0"/>
              <w:widowControl/>
              <w:suppressLineNumbers w:val="0"/>
              <w:jc w:val="center"/>
              <w:textAlignment w:val="center"/>
              <w:rPr>
                <w:rFonts w:hint="eastAsia" w:ascii="Microsoft YaHei UI" w:hAnsi="Microsoft YaHei UI" w:eastAsia="Microsoft YaHei UI" w:cs="Microsoft YaHei UI"/>
                <w:i w:val="0"/>
                <w:iCs w:val="0"/>
                <w:color w:val="000000"/>
                <w:sz w:val="22"/>
                <w:szCs w:val="22"/>
                <w:u w:val="none"/>
              </w:rPr>
            </w:pPr>
            <w:r>
              <w:rPr>
                <w:rFonts w:hint="eastAsia" w:ascii="Microsoft YaHei UI" w:hAnsi="Microsoft YaHei UI" w:eastAsia="Microsoft YaHei UI" w:cs="Microsoft YaHei UI"/>
                <w:i w:val="0"/>
                <w:iCs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A55E1">
            <w:pPr>
              <w:keepNext w:val="0"/>
              <w:keepLines w:val="0"/>
              <w:widowControl/>
              <w:suppressLineNumbers w:val="0"/>
              <w:jc w:val="center"/>
              <w:textAlignment w:val="center"/>
              <w:rPr>
                <w:rFonts w:hint="eastAsia" w:ascii="Microsoft YaHei UI" w:hAnsi="Microsoft YaHei UI" w:eastAsia="Microsoft YaHei UI" w:cs="Microsoft YaHei UI"/>
                <w:i w:val="0"/>
                <w:iCs w:val="0"/>
                <w:color w:val="000000"/>
                <w:sz w:val="22"/>
                <w:szCs w:val="22"/>
                <w:u w:val="none"/>
              </w:rPr>
            </w:pPr>
            <w:r>
              <w:rPr>
                <w:rFonts w:hint="eastAsia" w:ascii="Microsoft YaHei UI" w:hAnsi="Microsoft YaHei UI" w:eastAsia="Microsoft YaHei UI" w:cs="Microsoft YaHei UI"/>
                <w:i w:val="0"/>
                <w:iCs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F0DF7">
            <w:pPr>
              <w:keepNext w:val="0"/>
              <w:keepLines w:val="0"/>
              <w:widowControl/>
              <w:suppressLineNumbers w:val="0"/>
              <w:jc w:val="center"/>
              <w:textAlignment w:val="center"/>
              <w:rPr>
                <w:rFonts w:hint="eastAsia" w:ascii="Microsoft YaHei UI" w:hAnsi="Microsoft YaHei UI" w:eastAsia="Microsoft YaHei UI" w:cs="Microsoft YaHei UI"/>
                <w:i w:val="0"/>
                <w:iCs w:val="0"/>
                <w:color w:val="000000"/>
                <w:sz w:val="22"/>
                <w:szCs w:val="22"/>
                <w:u w:val="none"/>
              </w:rPr>
            </w:pPr>
            <w:r>
              <w:rPr>
                <w:rFonts w:hint="eastAsia" w:ascii="Microsoft YaHei UI" w:hAnsi="Microsoft YaHei UI" w:eastAsia="Microsoft YaHei UI" w:cs="Microsoft YaHei UI"/>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7B204">
            <w:pPr>
              <w:keepNext w:val="0"/>
              <w:keepLines w:val="0"/>
              <w:widowControl/>
              <w:suppressLineNumbers w:val="0"/>
              <w:jc w:val="center"/>
              <w:textAlignment w:val="center"/>
              <w:rPr>
                <w:rFonts w:hint="default" w:ascii="Microsoft YaHei UI" w:hAnsi="Microsoft YaHei UI" w:eastAsia="Microsoft YaHei UI" w:cs="Microsoft YaHei UI"/>
                <w:i w:val="0"/>
                <w:iCs w:val="0"/>
                <w:color w:val="000000"/>
                <w:sz w:val="22"/>
                <w:szCs w:val="22"/>
                <w:u w:val="none"/>
                <w:lang w:val="en-US"/>
              </w:rPr>
            </w:pPr>
            <w:r>
              <w:rPr>
                <w:rFonts w:hint="eastAsia" w:ascii="Microsoft YaHei UI" w:hAnsi="Microsoft YaHei UI" w:eastAsia="Microsoft YaHei UI" w:cs="Microsoft YaHei UI"/>
                <w:i w:val="0"/>
                <w:iCs w:val="0"/>
                <w:color w:val="000000"/>
                <w:kern w:val="0"/>
                <w:sz w:val="22"/>
                <w:szCs w:val="22"/>
                <w:u w:val="none"/>
                <w:lang w:val="en-US" w:eastAsia="zh-CN" w:bidi="ar"/>
              </w:rPr>
              <w:t>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836D7">
            <w:pPr>
              <w:keepNext w:val="0"/>
              <w:keepLines w:val="0"/>
              <w:widowControl/>
              <w:suppressLineNumbers w:val="0"/>
              <w:jc w:val="center"/>
              <w:textAlignment w:val="center"/>
              <w:rPr>
                <w:rFonts w:hint="default" w:ascii="Microsoft YaHei UI" w:hAnsi="Microsoft YaHei UI" w:eastAsia="Microsoft YaHei UI" w:cs="Microsoft YaHei UI"/>
                <w:i w:val="0"/>
                <w:iCs w:val="0"/>
                <w:color w:val="000000"/>
                <w:sz w:val="22"/>
                <w:szCs w:val="22"/>
                <w:u w:val="none"/>
                <w:lang w:val="en-US"/>
              </w:rPr>
            </w:pPr>
            <w:r>
              <w:rPr>
                <w:rFonts w:hint="eastAsia" w:ascii="Microsoft YaHei UI" w:hAnsi="Microsoft YaHei UI" w:eastAsia="Microsoft YaHei UI" w:cs="Microsoft YaHei UI"/>
                <w:i w:val="0"/>
                <w:iCs w:val="0"/>
                <w:color w:val="000000"/>
                <w:kern w:val="0"/>
                <w:sz w:val="22"/>
                <w:szCs w:val="22"/>
                <w:u w:val="none"/>
                <w:lang w:val="en-US" w:eastAsia="zh-CN" w:bidi="ar"/>
              </w:rPr>
              <w:t>5.5</w:t>
            </w:r>
          </w:p>
        </w:tc>
        <w:tc>
          <w:tcPr>
            <w:tcW w:w="8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50760">
            <w:pPr>
              <w:keepNext w:val="0"/>
              <w:keepLines w:val="0"/>
              <w:widowControl/>
              <w:suppressLineNumbers w:val="0"/>
              <w:jc w:val="center"/>
              <w:textAlignment w:val="center"/>
              <w:rPr>
                <w:rFonts w:hint="default" w:ascii="Microsoft YaHei UI" w:hAnsi="Microsoft YaHei UI" w:eastAsia="Microsoft YaHei UI" w:cs="Microsoft YaHei UI"/>
                <w:i w:val="0"/>
                <w:iCs w:val="0"/>
                <w:color w:val="000000"/>
                <w:sz w:val="22"/>
                <w:szCs w:val="22"/>
                <w:u w:val="none"/>
                <w:lang w:val="en-US"/>
              </w:rPr>
            </w:pPr>
            <w:r>
              <w:rPr>
                <w:rFonts w:hint="eastAsia" w:ascii="Microsoft YaHei UI" w:hAnsi="Microsoft YaHei UI" w:eastAsia="Microsoft YaHei UI" w:cs="Microsoft YaHei UI"/>
                <w:i w:val="0"/>
                <w:iCs w:val="0"/>
                <w:color w:val="000000"/>
                <w:kern w:val="0"/>
                <w:sz w:val="22"/>
                <w:szCs w:val="22"/>
                <w:u w:val="none"/>
                <w:lang w:val="en-US" w:eastAsia="zh-CN" w:bidi="ar"/>
              </w:rPr>
              <w:t>7.5</w:t>
            </w:r>
          </w:p>
        </w:tc>
        <w:tc>
          <w:tcPr>
            <w:tcW w:w="8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D8CB0">
            <w:pPr>
              <w:keepNext w:val="0"/>
              <w:keepLines w:val="0"/>
              <w:widowControl/>
              <w:suppressLineNumbers w:val="0"/>
              <w:jc w:val="center"/>
              <w:textAlignment w:val="center"/>
              <w:rPr>
                <w:rFonts w:hint="eastAsia" w:ascii="Microsoft YaHei UI" w:hAnsi="Microsoft YaHei UI" w:eastAsia="Microsoft YaHei UI" w:cs="Microsoft YaHei UI"/>
                <w:i w:val="0"/>
                <w:iCs w:val="0"/>
                <w:color w:val="000000"/>
                <w:sz w:val="22"/>
                <w:szCs w:val="22"/>
                <w:u w:val="none"/>
              </w:rPr>
            </w:pPr>
            <w:r>
              <w:rPr>
                <w:rFonts w:hint="eastAsia" w:ascii="Microsoft YaHei UI" w:hAnsi="Microsoft YaHei UI" w:eastAsia="Microsoft YaHei UI" w:cs="Microsoft YaHei UI"/>
                <w:i w:val="0"/>
                <w:iCs w:val="0"/>
                <w:color w:val="000000"/>
                <w:kern w:val="0"/>
                <w:sz w:val="22"/>
                <w:szCs w:val="22"/>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A7283">
            <w:pPr>
              <w:keepNext w:val="0"/>
              <w:keepLines w:val="0"/>
              <w:widowControl/>
              <w:suppressLineNumbers w:val="0"/>
              <w:jc w:val="center"/>
              <w:textAlignment w:val="center"/>
              <w:rPr>
                <w:rFonts w:hint="default" w:ascii="Microsoft YaHei UI" w:hAnsi="Microsoft YaHei UI" w:eastAsia="Microsoft YaHei UI" w:cs="Microsoft YaHei UI"/>
                <w:i w:val="0"/>
                <w:iCs w:val="0"/>
                <w:color w:val="000000"/>
                <w:sz w:val="22"/>
                <w:szCs w:val="22"/>
                <w:u w:val="none"/>
                <w:lang w:val="en-US"/>
              </w:rPr>
            </w:pPr>
            <w:r>
              <w:rPr>
                <w:rFonts w:hint="eastAsia" w:ascii="Microsoft YaHei UI" w:hAnsi="Microsoft YaHei UI" w:eastAsia="Microsoft YaHei UI" w:cs="Microsoft YaHei UI"/>
                <w:i w:val="0"/>
                <w:iCs w:val="0"/>
                <w:color w:val="000000"/>
                <w:kern w:val="0"/>
                <w:sz w:val="22"/>
                <w:szCs w:val="22"/>
                <w:u w:val="none"/>
                <w:lang w:val="en-US" w:eastAsia="zh-CN" w:bidi="ar"/>
              </w:rPr>
              <w:t>3.5</w:t>
            </w:r>
          </w:p>
        </w:tc>
      </w:tr>
    </w:tbl>
    <w:p w14:paraId="0FC28B20">
      <w:pPr>
        <w:spacing w:line="360" w:lineRule="auto"/>
        <w:jc w:val="both"/>
        <w:rPr>
          <w:rFonts w:hint="eastAsia" w:asciiTheme="minorEastAsia" w:hAnsiTheme="minorEastAsia" w:eastAsiaTheme="minorEastAsia" w:cstheme="minorEastAsia"/>
          <w:kern w:val="0"/>
          <w:sz w:val="24"/>
          <w:szCs w:val="24"/>
        </w:rPr>
      </w:pPr>
    </w:p>
    <w:p w14:paraId="2FCD3B85">
      <w:pPr>
        <w:pStyle w:val="30"/>
        <w:rPr>
          <w:rFonts w:hint="eastAsia"/>
        </w:rPr>
      </w:pPr>
    </w:p>
    <w:p w14:paraId="2936009A">
      <w:pPr>
        <w:spacing w:line="360" w:lineRule="auto"/>
        <w:rPr>
          <w:rFonts w:asciiTheme="minorEastAsia" w:hAnsiTheme="minorEastAsia" w:eastAsiaTheme="minorEastAsia" w:cstheme="minorEastAsia"/>
          <w:kern w:val="0"/>
          <w:sz w:val="24"/>
          <w:szCs w:val="24"/>
        </w:rPr>
        <w:sectPr>
          <w:pgSz w:w="23811" w:h="16838" w:orient="landscape"/>
          <w:pgMar w:top="720" w:right="720" w:bottom="720" w:left="720" w:header="851" w:footer="992" w:gutter="0"/>
          <w:pgNumType w:fmt="decimal"/>
          <w:cols w:space="425" w:num="1"/>
          <w:docGrid w:linePitch="312" w:charSpace="0"/>
        </w:sectPr>
      </w:pPr>
    </w:p>
    <w:p w14:paraId="462F42CB">
      <w:pPr>
        <w:pStyle w:val="28"/>
      </w:pPr>
    </w:p>
    <w:p w14:paraId="494A80D4">
      <w:pPr>
        <w:pStyle w:val="2"/>
        <w:spacing w:before="120" w:beforeLines="50" w:after="120" w:afterLines="50" w:line="360" w:lineRule="auto"/>
        <w:ind w:left="420" w:hanging="420"/>
        <w:rPr>
          <w:rFonts w:asciiTheme="minorEastAsia" w:hAnsiTheme="minorEastAsia" w:eastAsiaTheme="minorEastAsia" w:cstheme="minorEastAsia"/>
          <w:bCs/>
          <w:sz w:val="32"/>
          <w:szCs w:val="32"/>
        </w:rPr>
      </w:pPr>
      <w:bookmarkStart w:id="22" w:name="_Toc32625"/>
      <w:r>
        <w:rPr>
          <w:rFonts w:hint="eastAsia" w:asciiTheme="minorEastAsia" w:hAnsiTheme="minorEastAsia" w:eastAsiaTheme="minorEastAsia" w:cstheme="minorEastAsia"/>
          <w:bCs/>
          <w:sz w:val="32"/>
          <w:szCs w:val="32"/>
        </w:rPr>
        <w:t>5.运维管理</w:t>
      </w:r>
      <w:bookmarkEnd w:id="22"/>
    </w:p>
    <w:p w14:paraId="54024366">
      <w:pPr>
        <w:pStyle w:val="3"/>
        <w:spacing w:before="120" w:beforeLines="50" w:after="120" w:afterLines="50" w:line="360" w:lineRule="auto"/>
        <w:rPr>
          <w:rFonts w:asciiTheme="minorEastAsia" w:hAnsiTheme="minorEastAsia" w:eastAsiaTheme="minorEastAsia" w:cstheme="minorEastAsia"/>
          <w:b w:val="0"/>
          <w:bCs/>
          <w:sz w:val="24"/>
          <w:szCs w:val="24"/>
        </w:rPr>
      </w:pPr>
      <w:bookmarkStart w:id="23" w:name="_Toc12042"/>
      <w:r>
        <w:rPr>
          <w:rFonts w:hint="eastAsia" w:asciiTheme="minorEastAsia" w:hAnsiTheme="minorEastAsia" w:eastAsiaTheme="minorEastAsia" w:cstheme="minorEastAsia"/>
          <w:bCs/>
          <w:sz w:val="30"/>
          <w:szCs w:val="30"/>
        </w:rPr>
        <w:t>5.1运维模式</w:t>
      </w:r>
      <w:bookmarkEnd w:id="23"/>
      <w:r>
        <w:rPr>
          <w:rFonts w:hint="eastAsia" w:asciiTheme="minorEastAsia" w:hAnsiTheme="minorEastAsia" w:eastAsiaTheme="minorEastAsia" w:cstheme="minorEastAsia"/>
          <w:bCs/>
          <w:sz w:val="30"/>
          <w:szCs w:val="30"/>
        </w:rPr>
        <w:t xml:space="preserve"> </w:t>
      </w:r>
    </w:p>
    <w:p w14:paraId="2A347365">
      <w:pPr>
        <w:spacing w:line="360" w:lineRule="auto"/>
        <w:ind w:firstLine="480" w:firstLineChars="200"/>
        <w:rPr>
          <w:rFonts w:asciiTheme="minorEastAsia" w:hAnsiTheme="minorEastAsia" w:eastAsiaTheme="minorEastAsia" w:cstheme="minorEastAsia"/>
          <w:sz w:val="24"/>
          <w:szCs w:val="28"/>
        </w:rPr>
      </w:pPr>
      <w:r>
        <w:rPr>
          <w:rFonts w:hint="eastAsia" w:asciiTheme="minorEastAsia" w:hAnsiTheme="minorEastAsia" w:eastAsiaTheme="minorEastAsia" w:cstheme="minorEastAsia"/>
          <w:sz w:val="24"/>
          <w:szCs w:val="28"/>
        </w:rPr>
        <w:t>全区山洪灾害防治体系的运行维护工作由各级水利部门完成。运行维护模式为：水利厅防御中心负责自治区平台预警信息发布运维，同时协调自治区大数据中心做好本级平台、网络、机房等运行维护工作。盟市负责本级平台、机房、盟市视频会商系统、自动监测站点</w:t>
      </w:r>
      <w:r>
        <w:rPr>
          <w:rFonts w:hint="eastAsia" w:asciiTheme="minorEastAsia" w:hAnsiTheme="minorEastAsia" w:eastAsiaTheme="minorEastAsia" w:cstheme="minorEastAsia"/>
          <w:sz w:val="24"/>
          <w:szCs w:val="28"/>
          <w:lang w:val="en-US" w:eastAsia="zh-CN"/>
        </w:rPr>
        <w:t>优化布局</w:t>
      </w:r>
      <w:r>
        <w:rPr>
          <w:rFonts w:hint="eastAsia" w:asciiTheme="minorEastAsia" w:hAnsiTheme="minorEastAsia" w:eastAsiaTheme="minorEastAsia" w:cstheme="minorEastAsia"/>
          <w:sz w:val="24"/>
          <w:szCs w:val="28"/>
        </w:rPr>
        <w:t>等运维任务，要督促指导旗县区做好</w:t>
      </w:r>
      <w:r>
        <w:rPr>
          <w:rFonts w:hint="eastAsia" w:asciiTheme="minorEastAsia" w:hAnsiTheme="minorEastAsia" w:eastAsiaTheme="minorEastAsia" w:cstheme="minorEastAsia"/>
          <w:sz w:val="24"/>
          <w:szCs w:val="28"/>
          <w:lang w:val="en-US" w:eastAsia="zh-CN"/>
        </w:rPr>
        <w:t>群测群防、</w:t>
      </w:r>
      <w:r>
        <w:rPr>
          <w:rFonts w:hint="eastAsia" w:asciiTheme="minorEastAsia" w:hAnsiTheme="minorEastAsia" w:eastAsiaTheme="minorEastAsia" w:cstheme="minorEastAsia"/>
          <w:sz w:val="24"/>
          <w:szCs w:val="28"/>
        </w:rPr>
        <w:t>危险区动态管理清单更新、预警指标检验复核等工作。旗县区负责本级平台、机房、县级视频会商系统、乡镇视频会商配套设备、简易监测预警设备、无线预警广播、预警指标检验复核、危险区动态管理清单更新等运维任务。</w:t>
      </w:r>
    </w:p>
    <w:p w14:paraId="4BC05E61">
      <w:pPr>
        <w:pStyle w:val="3"/>
        <w:spacing w:before="120" w:beforeLines="50" w:after="120" w:afterLines="50" w:line="360" w:lineRule="auto"/>
        <w:rPr>
          <w:rFonts w:asciiTheme="minorEastAsia" w:hAnsiTheme="minorEastAsia" w:eastAsiaTheme="minorEastAsia" w:cstheme="minorEastAsia"/>
          <w:bCs/>
          <w:sz w:val="30"/>
          <w:szCs w:val="30"/>
        </w:rPr>
      </w:pPr>
      <w:bookmarkStart w:id="24" w:name="_Toc10400"/>
      <w:r>
        <w:rPr>
          <w:rFonts w:hint="eastAsia" w:asciiTheme="minorEastAsia" w:hAnsiTheme="minorEastAsia" w:eastAsiaTheme="minorEastAsia" w:cstheme="minorEastAsia"/>
          <w:bCs/>
          <w:sz w:val="30"/>
          <w:szCs w:val="30"/>
        </w:rPr>
        <w:t>5.2运维验收</w:t>
      </w:r>
      <w:bookmarkEnd w:id="24"/>
    </w:p>
    <w:p w14:paraId="4B682A81">
      <w:pPr>
        <w:spacing w:line="360" w:lineRule="auto"/>
        <w:ind w:firstLine="480" w:firstLineChars="200"/>
        <w:rPr>
          <w:rFonts w:asciiTheme="minorEastAsia" w:hAnsiTheme="minorEastAsia" w:eastAsiaTheme="minorEastAsia" w:cstheme="minorEastAsia"/>
          <w:sz w:val="24"/>
          <w:szCs w:val="28"/>
        </w:rPr>
      </w:pPr>
      <w:r>
        <w:rPr>
          <w:rFonts w:hint="eastAsia" w:asciiTheme="minorEastAsia" w:hAnsiTheme="minorEastAsia" w:eastAsiaTheme="minorEastAsia" w:cstheme="minorEastAsia"/>
          <w:sz w:val="24"/>
          <w:szCs w:val="28"/>
        </w:rPr>
        <w:t>本年度</w:t>
      </w:r>
      <w:r>
        <w:rPr>
          <w:rFonts w:hint="eastAsia" w:asciiTheme="minorEastAsia" w:hAnsiTheme="minorEastAsia" w:eastAsiaTheme="minorEastAsia" w:cstheme="minorEastAsia"/>
          <w:sz w:val="24"/>
          <w:szCs w:val="28"/>
          <w:highlight w:val="none"/>
        </w:rPr>
        <w:t>运维</w:t>
      </w:r>
      <w:r>
        <w:rPr>
          <w:rFonts w:hint="eastAsia" w:asciiTheme="minorEastAsia" w:hAnsiTheme="minorEastAsia" w:eastAsiaTheme="minorEastAsia" w:cstheme="minorEastAsia"/>
          <w:sz w:val="24"/>
          <w:szCs w:val="28"/>
          <w:highlight w:val="none"/>
          <w:lang w:val="en-US" w:eastAsia="zh-CN"/>
        </w:rPr>
        <w:t>工程中要及时形成台账，全部运维</w:t>
      </w:r>
      <w:r>
        <w:rPr>
          <w:rFonts w:hint="eastAsia" w:asciiTheme="minorEastAsia" w:hAnsiTheme="minorEastAsia" w:eastAsiaTheme="minorEastAsia" w:cstheme="minorEastAsia"/>
          <w:sz w:val="24"/>
          <w:szCs w:val="28"/>
          <w:highlight w:val="none"/>
        </w:rPr>
        <w:t>工作完成后，各级水利部门要按照相关规范要求抓紧组织验收，并将验收鉴定书</w:t>
      </w:r>
      <w:r>
        <w:rPr>
          <w:rFonts w:hint="eastAsia" w:asciiTheme="minorEastAsia" w:hAnsiTheme="minorEastAsia" w:eastAsiaTheme="minorEastAsia" w:cstheme="minorEastAsia"/>
          <w:sz w:val="24"/>
          <w:szCs w:val="28"/>
          <w:highlight w:val="none"/>
          <w:lang w:val="en-US" w:eastAsia="zh-CN"/>
        </w:rPr>
        <w:t>以及台账</w:t>
      </w:r>
      <w:r>
        <w:rPr>
          <w:rFonts w:hint="eastAsia" w:asciiTheme="minorEastAsia" w:hAnsiTheme="minorEastAsia" w:eastAsiaTheme="minorEastAsia" w:cstheme="minorEastAsia"/>
          <w:sz w:val="24"/>
          <w:szCs w:val="28"/>
          <w:highlight w:val="none"/>
        </w:rPr>
        <w:t>及时报水利厅防御处备案。</w:t>
      </w:r>
    </w:p>
    <w:p w14:paraId="261906A5">
      <w:pPr>
        <w:pStyle w:val="30"/>
        <w:ind w:firstLine="240"/>
      </w:pPr>
      <w:r>
        <w:br w:type="page"/>
      </w:r>
    </w:p>
    <w:p w14:paraId="59C487E9">
      <w:pPr>
        <w:pStyle w:val="2"/>
        <w:spacing w:before="120" w:beforeLines="50" w:after="120" w:afterLines="50" w:line="360" w:lineRule="auto"/>
        <w:ind w:left="420" w:hanging="420"/>
        <w:rPr>
          <w:rFonts w:asciiTheme="minorEastAsia" w:hAnsiTheme="minorEastAsia" w:eastAsiaTheme="minorEastAsia" w:cstheme="minorEastAsia"/>
          <w:bCs/>
          <w:sz w:val="32"/>
          <w:szCs w:val="32"/>
        </w:rPr>
      </w:pPr>
      <w:bookmarkStart w:id="25" w:name="_Toc20912"/>
      <w:r>
        <w:rPr>
          <w:rFonts w:hint="eastAsia" w:asciiTheme="minorEastAsia" w:hAnsiTheme="minorEastAsia" w:eastAsiaTheme="minorEastAsia" w:cstheme="minorEastAsia"/>
          <w:bCs/>
          <w:sz w:val="32"/>
          <w:szCs w:val="32"/>
        </w:rPr>
        <w:t>6.保障措施</w:t>
      </w:r>
      <w:bookmarkEnd w:id="25"/>
    </w:p>
    <w:p w14:paraId="668FC819">
      <w:pPr>
        <w:pStyle w:val="3"/>
        <w:spacing w:before="120" w:beforeLines="50" w:after="120" w:afterLines="50" w:line="360" w:lineRule="auto"/>
        <w:rPr>
          <w:rFonts w:asciiTheme="minorEastAsia" w:hAnsiTheme="minorEastAsia" w:eastAsiaTheme="minorEastAsia" w:cstheme="minorEastAsia"/>
          <w:bCs/>
          <w:sz w:val="30"/>
          <w:szCs w:val="30"/>
        </w:rPr>
      </w:pPr>
      <w:bookmarkStart w:id="26" w:name="_Toc18487"/>
      <w:r>
        <w:rPr>
          <w:rFonts w:hint="eastAsia" w:asciiTheme="minorEastAsia" w:hAnsiTheme="minorEastAsia" w:eastAsiaTheme="minorEastAsia" w:cstheme="minorEastAsia"/>
          <w:bCs/>
          <w:sz w:val="30"/>
          <w:szCs w:val="30"/>
        </w:rPr>
        <w:t>6.1组织领导</w:t>
      </w:r>
      <w:bookmarkEnd w:id="26"/>
    </w:p>
    <w:p w14:paraId="7CAB7A30">
      <w:pPr>
        <w:spacing w:line="52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按照水利部要求和自治区工作部署，自治区水利厅切实加强山洪灾害防治非工程措施运行维护的组织领导，细化工作举措，压紧压实责任分工，切实抓好项目的组织实施。各地、各级水利部门要认真做好运行维护的全过程管理，加强沟通协作，密切配合，共同努力，确保如期完成各项既定目标任务。</w:t>
      </w:r>
    </w:p>
    <w:p w14:paraId="3DA9EC15">
      <w:pPr>
        <w:pStyle w:val="3"/>
        <w:spacing w:before="120" w:beforeLines="50" w:after="120" w:afterLines="50" w:line="360" w:lineRule="auto"/>
        <w:rPr>
          <w:rFonts w:asciiTheme="minorEastAsia" w:hAnsiTheme="minorEastAsia" w:eastAsiaTheme="minorEastAsia" w:cstheme="minorEastAsia"/>
          <w:bCs/>
          <w:sz w:val="30"/>
          <w:szCs w:val="30"/>
        </w:rPr>
      </w:pPr>
      <w:bookmarkStart w:id="27" w:name="_Toc13805"/>
      <w:r>
        <w:rPr>
          <w:rFonts w:hint="eastAsia" w:asciiTheme="minorEastAsia" w:hAnsiTheme="minorEastAsia" w:eastAsiaTheme="minorEastAsia" w:cstheme="minorEastAsia"/>
          <w:bCs/>
          <w:sz w:val="30"/>
          <w:szCs w:val="30"/>
        </w:rPr>
        <w:t>6.2资金落实</w:t>
      </w:r>
      <w:bookmarkEnd w:id="27"/>
    </w:p>
    <w:p w14:paraId="383E52EE">
      <w:pPr>
        <w:spacing w:line="360" w:lineRule="auto"/>
        <w:ind w:firstLine="480" w:firstLineChars="200"/>
        <w:rPr>
          <w:rFonts w:asciiTheme="minorEastAsia" w:hAnsiTheme="minorEastAsia" w:eastAsiaTheme="minorEastAsia" w:cstheme="minorEastAsia"/>
          <w:sz w:val="24"/>
          <w:szCs w:val="28"/>
        </w:rPr>
      </w:pPr>
      <w:r>
        <w:rPr>
          <w:rFonts w:hint="eastAsia" w:asciiTheme="minorEastAsia" w:hAnsiTheme="minorEastAsia" w:eastAsiaTheme="minorEastAsia" w:cstheme="minorEastAsia"/>
          <w:sz w:val="24"/>
          <w:szCs w:val="28"/>
        </w:rPr>
        <w:t>各地要及时与财政部门沟通衔接，足额落实中央资金，保证项目顺利实施。加强资金使用管理，强化全过程监管，确保资金使用合法合规，</w:t>
      </w:r>
      <w:r>
        <w:rPr>
          <w:rFonts w:hint="eastAsia" w:asciiTheme="minorEastAsia" w:hAnsiTheme="minorEastAsia" w:eastAsiaTheme="minorEastAsia" w:cstheme="minorEastAsia"/>
          <w:sz w:val="24"/>
          <w:szCs w:val="28"/>
          <w:highlight w:val="none"/>
        </w:rPr>
        <w:t>要按照《内蒙古自治区202</w:t>
      </w:r>
      <w:r>
        <w:rPr>
          <w:rFonts w:hint="eastAsia" w:asciiTheme="minorEastAsia" w:hAnsiTheme="minorEastAsia" w:eastAsiaTheme="minorEastAsia" w:cstheme="minorEastAsia"/>
          <w:sz w:val="24"/>
          <w:szCs w:val="28"/>
          <w:highlight w:val="none"/>
          <w:lang w:val="en-US" w:eastAsia="zh-CN"/>
        </w:rPr>
        <w:t>5</w:t>
      </w:r>
      <w:r>
        <w:rPr>
          <w:rFonts w:hint="eastAsia" w:asciiTheme="minorEastAsia" w:hAnsiTheme="minorEastAsia" w:eastAsiaTheme="minorEastAsia" w:cstheme="minorEastAsia"/>
          <w:sz w:val="24"/>
          <w:szCs w:val="28"/>
          <w:highlight w:val="none"/>
        </w:rPr>
        <w:t>年度山洪灾害防治项目建设及运维工作要求》任务</w:t>
      </w:r>
      <w:r>
        <w:rPr>
          <w:rFonts w:hint="eastAsia" w:asciiTheme="minorEastAsia" w:hAnsiTheme="minorEastAsia" w:eastAsiaTheme="minorEastAsia" w:cstheme="minorEastAsia"/>
          <w:sz w:val="24"/>
          <w:szCs w:val="28"/>
        </w:rPr>
        <w:t>分工分解下达资金，避免资金过于分散使用，确保资金真正用于项目建设及运维工作。要统筹好中央资金和自治区配套资金，提前开展招标等前期工作，保证项目建设进度和资金支付进度。</w:t>
      </w:r>
    </w:p>
    <w:p w14:paraId="6A9138E8">
      <w:pPr>
        <w:pStyle w:val="3"/>
        <w:spacing w:before="120" w:beforeLines="50" w:after="120" w:afterLines="50" w:line="360" w:lineRule="auto"/>
        <w:rPr>
          <w:rFonts w:asciiTheme="minorEastAsia" w:hAnsiTheme="minorEastAsia" w:eastAsiaTheme="minorEastAsia" w:cstheme="minorEastAsia"/>
          <w:sz w:val="24"/>
          <w:szCs w:val="24"/>
        </w:rPr>
      </w:pPr>
      <w:bookmarkStart w:id="28" w:name="_Toc17817"/>
      <w:r>
        <w:rPr>
          <w:rFonts w:hint="eastAsia" w:asciiTheme="minorEastAsia" w:hAnsiTheme="minorEastAsia" w:eastAsiaTheme="minorEastAsia" w:cstheme="minorEastAsia"/>
          <w:bCs/>
          <w:sz w:val="30"/>
          <w:szCs w:val="30"/>
        </w:rPr>
        <w:t>6.3前期工作</w:t>
      </w:r>
      <w:bookmarkEnd w:id="28"/>
    </w:p>
    <w:p w14:paraId="723D87E4">
      <w:pPr>
        <w:spacing w:line="360" w:lineRule="auto"/>
        <w:ind w:firstLine="480" w:firstLineChars="200"/>
        <w:rPr>
          <w:rFonts w:asciiTheme="minorEastAsia" w:hAnsiTheme="minorEastAsia" w:eastAsiaTheme="minorEastAsia" w:cstheme="minorEastAsia"/>
          <w:sz w:val="24"/>
          <w:szCs w:val="28"/>
        </w:rPr>
      </w:pPr>
      <w:r>
        <w:rPr>
          <w:rFonts w:hint="eastAsia" w:asciiTheme="minorEastAsia" w:hAnsiTheme="minorEastAsia" w:eastAsiaTheme="minorEastAsia" w:cstheme="minorEastAsia"/>
          <w:sz w:val="24"/>
          <w:szCs w:val="28"/>
        </w:rPr>
        <w:t>山洪灾害防治非工程措施运维涉及水文、地理信息、计算机网络和软件、无线通信等专业，参与运行维护的部门、人员多，需要统筹规划、精心安排，做好前期工作，特别是相关技术要求、人员培训、数据资源管理等，切实保证前期工作质量。</w:t>
      </w:r>
    </w:p>
    <w:p w14:paraId="33273204">
      <w:pPr>
        <w:pStyle w:val="3"/>
        <w:spacing w:before="120" w:beforeLines="50" w:after="120" w:afterLines="50" w:line="360" w:lineRule="auto"/>
        <w:rPr>
          <w:rFonts w:asciiTheme="minorEastAsia" w:hAnsiTheme="minorEastAsia" w:eastAsiaTheme="minorEastAsia" w:cstheme="minorEastAsia"/>
          <w:bCs/>
          <w:sz w:val="30"/>
          <w:szCs w:val="30"/>
        </w:rPr>
      </w:pPr>
      <w:bookmarkStart w:id="29" w:name="_Toc26140"/>
      <w:r>
        <w:rPr>
          <w:rFonts w:hint="eastAsia" w:asciiTheme="minorEastAsia" w:hAnsiTheme="minorEastAsia" w:eastAsiaTheme="minorEastAsia" w:cstheme="minorEastAsia"/>
          <w:bCs/>
          <w:sz w:val="30"/>
          <w:szCs w:val="30"/>
        </w:rPr>
        <w:t>6.4监督检查</w:t>
      </w:r>
      <w:bookmarkEnd w:id="29"/>
    </w:p>
    <w:p w14:paraId="06D3AFCE">
      <w:pPr>
        <w:spacing w:line="360" w:lineRule="auto"/>
        <w:ind w:firstLine="480" w:firstLineChars="200"/>
        <w:rPr>
          <w:rFonts w:asciiTheme="minorEastAsia" w:hAnsiTheme="minorEastAsia" w:eastAsiaTheme="minorEastAsia" w:cstheme="minorEastAsia"/>
          <w:sz w:val="24"/>
          <w:szCs w:val="28"/>
        </w:rPr>
      </w:pPr>
      <w:r>
        <w:rPr>
          <w:rFonts w:hint="eastAsia" w:asciiTheme="minorEastAsia" w:hAnsiTheme="minorEastAsia" w:eastAsiaTheme="minorEastAsia" w:cstheme="minorEastAsia"/>
          <w:sz w:val="24"/>
          <w:szCs w:val="28"/>
        </w:rPr>
        <w:t>自治区水利厅将对山洪灾害防治非工程措施运维情况进行专项监督检查。采取经常性检查、随机抽查等形式，强化运维质量和进度监督。建立完善月报制度，加强信息跟踪反馈，及时了解运维进展情况。各地、各级水利部门要加强资金使用管理，强化全过程监管，防止截留、挤占和挪用运维资金，确保资金使用合法合规，保障资金切实发挥效益。</w:t>
      </w:r>
    </w:p>
    <w:p w14:paraId="59E8DBD9">
      <w:pPr>
        <w:pStyle w:val="3"/>
        <w:spacing w:before="120" w:beforeLines="50" w:after="120" w:afterLines="50" w:line="360" w:lineRule="auto"/>
        <w:rPr>
          <w:rFonts w:asciiTheme="minorEastAsia" w:hAnsiTheme="minorEastAsia" w:eastAsiaTheme="minorEastAsia" w:cstheme="minorEastAsia"/>
          <w:bCs/>
          <w:sz w:val="30"/>
          <w:szCs w:val="30"/>
        </w:rPr>
      </w:pPr>
      <w:bookmarkStart w:id="30" w:name="_Toc18477"/>
      <w:r>
        <w:rPr>
          <w:rFonts w:hint="eastAsia" w:asciiTheme="minorEastAsia" w:hAnsiTheme="minorEastAsia" w:eastAsiaTheme="minorEastAsia" w:cstheme="minorEastAsia"/>
          <w:bCs/>
          <w:sz w:val="30"/>
          <w:szCs w:val="30"/>
        </w:rPr>
        <w:t>6.5技术支持</w:t>
      </w:r>
      <w:bookmarkEnd w:id="30"/>
    </w:p>
    <w:p w14:paraId="73A8CD67">
      <w:pPr>
        <w:spacing w:line="360" w:lineRule="auto"/>
        <w:ind w:firstLine="480" w:firstLineChars="200"/>
        <w:rPr>
          <w:rFonts w:asciiTheme="minorEastAsia" w:hAnsiTheme="minorEastAsia" w:eastAsiaTheme="minorEastAsia" w:cstheme="minorEastAsia"/>
          <w:sz w:val="24"/>
          <w:szCs w:val="28"/>
        </w:rPr>
      </w:pPr>
      <w:r>
        <w:rPr>
          <w:rFonts w:hint="eastAsia" w:asciiTheme="minorEastAsia" w:hAnsiTheme="minorEastAsia" w:eastAsiaTheme="minorEastAsia" w:cstheme="minorEastAsia"/>
          <w:sz w:val="24"/>
          <w:szCs w:val="28"/>
        </w:rPr>
        <w:t>各盟市、旗县水利部门要统筹协调，按规定采用委托专业单位或政府购买服务等方式，选择水文部门、专业运维机构等技术支撑单位，全过程提供专业化服务，保障运行维护工作效率和水平。</w:t>
      </w:r>
    </w:p>
    <w:p w14:paraId="3771C681">
      <w:pPr>
        <w:spacing w:line="360" w:lineRule="auto"/>
        <w:ind w:firstLine="480" w:firstLineChars="200"/>
        <w:rPr>
          <w:rFonts w:asciiTheme="minorEastAsia" w:hAnsiTheme="minorEastAsia" w:eastAsiaTheme="minorEastAsia" w:cstheme="minorEastAsia"/>
          <w:sz w:val="24"/>
          <w:szCs w:val="28"/>
        </w:rPr>
      </w:pPr>
      <w:r>
        <w:rPr>
          <w:rFonts w:hint="eastAsia" w:asciiTheme="minorEastAsia" w:hAnsiTheme="minorEastAsia" w:eastAsiaTheme="minorEastAsia" w:cstheme="minorEastAsia"/>
          <w:sz w:val="24"/>
          <w:szCs w:val="28"/>
        </w:rPr>
        <w:t>各盟市、旗县水利部门认真梳理山洪灾害防治非工程措施发挥的作用、存在的问题，从社会经济效益、防灾减灾效益、组织管理效益、环境保护效益等方面，进行山洪灾害防治非工程措施总结评估，提出切实可行的、行之有效的运维建议。</w:t>
      </w:r>
    </w:p>
    <w:p w14:paraId="0B80CEA1">
      <w:pPr>
        <w:widowControl/>
        <w:jc w:val="left"/>
        <w:rPr>
          <w:rFonts w:asciiTheme="minorEastAsia" w:hAnsiTheme="minorEastAsia" w:eastAsiaTheme="minorEastAsia" w:cstheme="minorEastAsia"/>
          <w:sz w:val="24"/>
          <w:szCs w:val="24"/>
        </w:rPr>
        <w:sectPr>
          <w:pgSz w:w="11906" w:h="16838"/>
          <w:pgMar w:top="1440" w:right="1797" w:bottom="1440" w:left="1797" w:header="851" w:footer="992" w:gutter="0"/>
          <w:pgNumType w:fmt="decimal"/>
          <w:cols w:space="425" w:num="1"/>
          <w:docGrid w:linePitch="312" w:charSpace="0"/>
        </w:sectPr>
      </w:pPr>
    </w:p>
    <w:p w14:paraId="7E0E21C6">
      <w:pPr>
        <w:pStyle w:val="2"/>
        <w:spacing w:before="120" w:beforeLines="50" w:after="120" w:afterLines="50" w:line="360" w:lineRule="auto"/>
        <w:ind w:left="420" w:hanging="420"/>
        <w:rPr>
          <w:rFonts w:asciiTheme="minorEastAsia" w:hAnsiTheme="minorEastAsia" w:eastAsiaTheme="minorEastAsia" w:cstheme="minorEastAsia"/>
          <w:bCs/>
          <w:sz w:val="32"/>
          <w:szCs w:val="32"/>
        </w:rPr>
      </w:pPr>
      <w:bookmarkStart w:id="31" w:name="_Toc152"/>
      <w:r>
        <w:rPr>
          <w:rFonts w:hint="eastAsia" w:asciiTheme="minorEastAsia" w:hAnsiTheme="minorEastAsia" w:eastAsiaTheme="minorEastAsia" w:cstheme="minorEastAsia"/>
          <w:bCs/>
          <w:sz w:val="32"/>
          <w:szCs w:val="32"/>
        </w:rPr>
        <w:t>附表1 自动监测站点运行维护费用测算表</w:t>
      </w:r>
      <w:bookmarkEnd w:id="31"/>
    </w:p>
    <w:p w14:paraId="744EB4E1">
      <w:pPr>
        <w:pStyle w:val="39"/>
        <w:numPr>
          <w:ilvl w:val="0"/>
          <w:numId w:val="8"/>
        </w:numPr>
        <w:ind w:firstLine="0" w:firstLineChars="0"/>
        <w:rPr>
          <w:rFonts w:asciiTheme="minorEastAsia" w:hAnsiTheme="minorEastAsia" w:eastAsiaTheme="minorEastAsia" w:cstheme="minorEastAsia"/>
          <w:color w:val="auto"/>
          <w:kern w:val="2"/>
          <w:sz w:val="24"/>
          <w:szCs w:val="24"/>
        </w:rPr>
      </w:pPr>
      <w:r>
        <w:rPr>
          <w:rFonts w:hint="eastAsia" w:asciiTheme="minorEastAsia" w:hAnsiTheme="minorEastAsia" w:eastAsiaTheme="minorEastAsia" w:cstheme="minorEastAsia"/>
          <w:color w:val="auto"/>
          <w:kern w:val="2"/>
          <w:sz w:val="24"/>
          <w:szCs w:val="24"/>
        </w:rPr>
        <w:t>雨量站</w:t>
      </w:r>
    </w:p>
    <w:p w14:paraId="44862F37">
      <w:pPr>
        <w:spacing w:line="360" w:lineRule="auto"/>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计量单位：元/站</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kern w:val="0"/>
          <w:sz w:val="24"/>
          <w:szCs w:val="24"/>
        </w:rPr>
        <w:t>年</w:t>
      </w:r>
    </w:p>
    <w:tbl>
      <w:tblPr>
        <w:tblStyle w:val="32"/>
        <w:tblW w:w="1421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65"/>
        <w:gridCol w:w="1265"/>
        <w:gridCol w:w="1586"/>
        <w:gridCol w:w="1265"/>
        <w:gridCol w:w="1265"/>
        <w:gridCol w:w="1265"/>
        <w:gridCol w:w="1239"/>
        <w:gridCol w:w="1265"/>
        <w:gridCol w:w="1265"/>
        <w:gridCol w:w="1265"/>
        <w:gridCol w:w="1274"/>
      </w:tblGrid>
      <w:tr w14:paraId="743A2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1" w:hRule="atLeast"/>
        </w:trPr>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768D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28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5A318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适用范围</w:t>
            </w:r>
          </w:p>
        </w:tc>
        <w:tc>
          <w:tcPr>
            <w:tcW w:w="503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ED85915">
            <w:pPr>
              <w:keepNext w:val="0"/>
              <w:keepLines w:val="0"/>
              <w:widowControl/>
              <w:suppressLineNumbers w:val="0"/>
              <w:jc w:val="both"/>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兴安盟、通辽、赤峰、乌兰察布、呼和浩特、鄂尔多斯、包头、巴彦淖尔、乌海、满洲里</w:t>
            </w:r>
          </w:p>
        </w:tc>
        <w:tc>
          <w:tcPr>
            <w:tcW w:w="506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A651CC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呼伦贝尔、阿拉善、锡林郭勒</w:t>
            </w:r>
          </w:p>
        </w:tc>
      </w:tr>
      <w:tr w14:paraId="5DB993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411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0A88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雨量站类型</w:t>
            </w:r>
          </w:p>
        </w:tc>
        <w:tc>
          <w:tcPr>
            <w:tcW w:w="503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3ADB3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翻斗式、GPRS/GSM方式</w:t>
            </w:r>
          </w:p>
        </w:tc>
        <w:tc>
          <w:tcPr>
            <w:tcW w:w="506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76A55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翻斗式、GPRS/GSM方式</w:t>
            </w:r>
          </w:p>
        </w:tc>
      </w:tr>
      <w:tr w14:paraId="4F572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411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B5D1C3">
            <w:pPr>
              <w:jc w:val="center"/>
              <w:rPr>
                <w:rFonts w:hint="eastAsia" w:ascii="宋体" w:hAnsi="宋体" w:eastAsia="宋体" w:cs="宋体"/>
                <w:i w:val="0"/>
                <w:iCs w:val="0"/>
                <w:color w:val="000000"/>
                <w:sz w:val="24"/>
                <w:szCs w:val="24"/>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2992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4910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单价</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3279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12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1195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小计</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9A51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D316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单价</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59C6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C805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cs="宋体"/>
                <w:b/>
                <w:bCs/>
                <w:i w:val="0"/>
                <w:iCs w:val="0"/>
                <w:color w:val="000000"/>
                <w:kern w:val="0"/>
                <w:sz w:val="24"/>
                <w:szCs w:val="24"/>
                <w:u w:val="none"/>
                <w:lang w:val="en-US" w:eastAsia="zh-CN" w:bidi="ar"/>
              </w:rPr>
              <w:t>小计</w:t>
            </w:r>
          </w:p>
        </w:tc>
      </w:tr>
      <w:tr w14:paraId="021DA0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320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8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DD965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运 行 费 用</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4AEC9">
            <w:pPr>
              <w:jc w:val="center"/>
              <w:rPr>
                <w:rFonts w:hint="eastAsia" w:ascii="宋体" w:hAnsi="宋体" w:eastAsia="宋体" w:cs="宋体"/>
                <w:i w:val="0"/>
                <w:iCs w:val="0"/>
                <w:color w:val="000000"/>
                <w:sz w:val="24"/>
                <w:szCs w:val="24"/>
                <w:u w:val="none"/>
              </w:rPr>
            </w:pPr>
          </w:p>
        </w:tc>
        <w:tc>
          <w:tcPr>
            <w:tcW w:w="12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D6D8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780</w:t>
            </w:r>
          </w:p>
        </w:tc>
        <w:tc>
          <w:tcPr>
            <w:tcW w:w="37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E3EEDB8">
            <w:pPr>
              <w:jc w:val="center"/>
              <w:rPr>
                <w:rFonts w:hint="eastAsia" w:ascii="宋体" w:hAnsi="宋体" w:eastAsia="宋体" w:cs="宋体"/>
                <w:b/>
                <w:bCs/>
                <w:i w:val="0"/>
                <w:iCs w:val="0"/>
                <w:color w:val="000000"/>
                <w:sz w:val="24"/>
                <w:szCs w:val="24"/>
                <w:u w:val="none"/>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C131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780</w:t>
            </w:r>
          </w:p>
        </w:tc>
      </w:tr>
      <w:tr w14:paraId="7BA23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4A3ED">
            <w:pPr>
              <w:jc w:val="center"/>
              <w:rPr>
                <w:rFonts w:hint="eastAsia" w:ascii="宋体" w:hAnsi="宋体" w:eastAsia="宋体" w:cs="宋体"/>
                <w:i w:val="0"/>
                <w:iCs w:val="0"/>
                <w:color w:val="000000"/>
                <w:sz w:val="24"/>
                <w:szCs w:val="24"/>
                <w:u w:val="none"/>
              </w:rPr>
            </w:pPr>
          </w:p>
        </w:tc>
        <w:tc>
          <w:tcPr>
            <w:tcW w:w="12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5B0A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其中</w:t>
            </w:r>
          </w:p>
        </w:tc>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96E6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通信费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9B9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元/年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CF5C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E0E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FD8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120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元/年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BA6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BA6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D78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w:t>
            </w:r>
          </w:p>
        </w:tc>
      </w:tr>
      <w:tr w14:paraId="1767C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27C32">
            <w:pPr>
              <w:jc w:val="center"/>
              <w:rPr>
                <w:rFonts w:hint="eastAsia" w:ascii="宋体" w:hAnsi="宋体" w:eastAsia="宋体" w:cs="宋体"/>
                <w:i w:val="0"/>
                <w:iCs w:val="0"/>
                <w:color w:val="000000"/>
                <w:sz w:val="24"/>
                <w:szCs w:val="24"/>
                <w:u w:val="none"/>
              </w:rPr>
            </w:pPr>
          </w:p>
        </w:tc>
        <w:tc>
          <w:tcPr>
            <w:tcW w:w="12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C26C23">
            <w:pPr>
              <w:jc w:val="center"/>
              <w:rPr>
                <w:rFonts w:hint="eastAsia" w:ascii="宋体" w:hAnsi="宋体" w:eastAsia="宋体" w:cs="宋体"/>
                <w:i w:val="0"/>
                <w:iCs w:val="0"/>
                <w:color w:val="000000"/>
                <w:sz w:val="24"/>
                <w:szCs w:val="24"/>
                <w:u w:val="none"/>
              </w:rPr>
            </w:pPr>
          </w:p>
        </w:tc>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2E7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委托看管费</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C6D8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元/月</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CBA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125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2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05E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600</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258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元/月</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C166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D7B7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340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600</w:t>
            </w:r>
          </w:p>
        </w:tc>
      </w:tr>
      <w:tr w14:paraId="06AA07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1F0F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8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3BC5D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维 护 费 用</w:t>
            </w:r>
          </w:p>
        </w:tc>
        <w:tc>
          <w:tcPr>
            <w:tcW w:w="37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283C894">
            <w:pPr>
              <w:jc w:val="center"/>
              <w:rPr>
                <w:rFonts w:hint="eastAsia" w:ascii="宋体" w:hAnsi="宋体" w:eastAsia="宋体" w:cs="宋体"/>
                <w:b/>
                <w:bCs/>
                <w:i w:val="0"/>
                <w:iCs w:val="0"/>
                <w:color w:val="000000"/>
                <w:sz w:val="24"/>
                <w:szCs w:val="24"/>
                <w:u w:val="none"/>
              </w:rPr>
            </w:pPr>
          </w:p>
        </w:tc>
        <w:tc>
          <w:tcPr>
            <w:tcW w:w="12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6CCF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2680</w:t>
            </w:r>
          </w:p>
        </w:tc>
        <w:tc>
          <w:tcPr>
            <w:tcW w:w="37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75769B4">
            <w:pPr>
              <w:jc w:val="center"/>
              <w:rPr>
                <w:rFonts w:hint="eastAsia" w:ascii="宋体" w:hAnsi="宋体" w:eastAsia="宋体" w:cs="宋体"/>
                <w:b/>
                <w:bCs/>
                <w:i w:val="0"/>
                <w:iCs w:val="0"/>
                <w:color w:val="000000"/>
                <w:sz w:val="24"/>
                <w:szCs w:val="24"/>
                <w:u w:val="none"/>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060B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3280</w:t>
            </w:r>
          </w:p>
        </w:tc>
      </w:tr>
      <w:tr w14:paraId="1E1230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3438F">
            <w:pPr>
              <w:jc w:val="center"/>
              <w:rPr>
                <w:rFonts w:hint="eastAsia" w:ascii="宋体" w:hAnsi="宋体" w:eastAsia="宋体" w:cs="宋体"/>
                <w:i w:val="0"/>
                <w:iCs w:val="0"/>
                <w:color w:val="000000"/>
                <w:sz w:val="24"/>
                <w:szCs w:val="24"/>
                <w:u w:val="none"/>
              </w:rPr>
            </w:pPr>
          </w:p>
        </w:tc>
        <w:tc>
          <w:tcPr>
            <w:tcW w:w="12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08A5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其中</w:t>
            </w:r>
          </w:p>
        </w:tc>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88E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检查费</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964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元/次</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5DDD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450</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64A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2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772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1350</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B365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元/次</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7E9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650</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663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8549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1950</w:t>
            </w:r>
          </w:p>
        </w:tc>
      </w:tr>
      <w:tr w14:paraId="40207B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749AC">
            <w:pPr>
              <w:jc w:val="center"/>
              <w:rPr>
                <w:rFonts w:hint="eastAsia" w:ascii="宋体" w:hAnsi="宋体" w:eastAsia="宋体" w:cs="宋体"/>
                <w:i w:val="0"/>
                <w:iCs w:val="0"/>
                <w:color w:val="000000"/>
                <w:sz w:val="24"/>
                <w:szCs w:val="24"/>
                <w:u w:val="none"/>
              </w:rPr>
            </w:pPr>
          </w:p>
        </w:tc>
        <w:tc>
          <w:tcPr>
            <w:tcW w:w="12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C85B87">
            <w:pPr>
              <w:jc w:val="center"/>
              <w:rPr>
                <w:rFonts w:hint="eastAsia" w:ascii="宋体" w:hAnsi="宋体" w:eastAsia="宋体" w:cs="宋体"/>
                <w:i w:val="0"/>
                <w:iCs w:val="0"/>
                <w:color w:val="000000"/>
                <w:sz w:val="24"/>
                <w:szCs w:val="24"/>
                <w:u w:val="none"/>
              </w:rPr>
            </w:pPr>
          </w:p>
        </w:tc>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6F9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设施设备维护费）</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222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元/年</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C49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1330</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0F9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ACF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1330</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D29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元/年</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C4E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1330</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9D1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AE9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1330</w:t>
            </w:r>
          </w:p>
        </w:tc>
      </w:tr>
      <w:tr w14:paraId="31CD9C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4" w:hRule="atLeast"/>
        </w:trPr>
        <w:tc>
          <w:tcPr>
            <w:tcW w:w="791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FA29A94">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每年维护费用合计（1+2）</w:t>
            </w:r>
          </w:p>
        </w:tc>
        <w:tc>
          <w:tcPr>
            <w:tcW w:w="12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7F3C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3460</w:t>
            </w:r>
          </w:p>
        </w:tc>
        <w:tc>
          <w:tcPr>
            <w:tcW w:w="37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C23A991">
            <w:pPr>
              <w:jc w:val="center"/>
              <w:rPr>
                <w:rFonts w:hint="eastAsia" w:ascii="宋体" w:hAnsi="宋体" w:eastAsia="宋体" w:cs="宋体"/>
                <w:b/>
                <w:bCs/>
                <w:i w:val="0"/>
                <w:iCs w:val="0"/>
                <w:color w:val="000000"/>
                <w:sz w:val="24"/>
                <w:szCs w:val="24"/>
                <w:u w:val="none"/>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E250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4060</w:t>
            </w:r>
          </w:p>
        </w:tc>
      </w:tr>
    </w:tbl>
    <w:p w14:paraId="5949CA2B">
      <w:pPr>
        <w:spacing w:line="360" w:lineRule="auto"/>
        <w:jc w:val="right"/>
        <w:rPr>
          <w:rFonts w:hint="eastAsia" w:asciiTheme="minorEastAsia" w:hAnsiTheme="minorEastAsia" w:eastAsiaTheme="minorEastAsia" w:cstheme="minorEastAsia"/>
          <w:kern w:val="0"/>
          <w:sz w:val="24"/>
          <w:szCs w:val="24"/>
        </w:rPr>
      </w:pPr>
    </w:p>
    <w:p w14:paraId="5EA553A9">
      <w:pPr>
        <w:pStyle w:val="39"/>
        <w:numPr>
          <w:ilvl w:val="0"/>
          <w:numId w:val="8"/>
        </w:numPr>
        <w:ind w:firstLine="0" w:firstLineChars="0"/>
        <w:rPr>
          <w:rFonts w:asciiTheme="minorEastAsia" w:hAnsiTheme="minorEastAsia" w:eastAsiaTheme="minorEastAsia" w:cstheme="minorEastAsia"/>
          <w:color w:val="auto"/>
          <w:kern w:val="2"/>
          <w:sz w:val="24"/>
          <w:szCs w:val="24"/>
        </w:rPr>
      </w:pPr>
      <w:r>
        <w:rPr>
          <w:rFonts w:hint="eastAsia" w:asciiTheme="minorEastAsia" w:hAnsiTheme="minorEastAsia" w:eastAsiaTheme="minorEastAsia" w:cstheme="minorEastAsia"/>
          <w:color w:val="auto"/>
          <w:kern w:val="2"/>
          <w:sz w:val="24"/>
          <w:szCs w:val="24"/>
        </w:rPr>
        <w:t>水位站</w:t>
      </w:r>
    </w:p>
    <w:p w14:paraId="2684FC61">
      <w:pPr>
        <w:spacing w:line="360" w:lineRule="auto"/>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计量单位：元/站</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kern w:val="0"/>
          <w:sz w:val="24"/>
          <w:szCs w:val="24"/>
        </w:rPr>
        <w:t>年</w:t>
      </w:r>
    </w:p>
    <w:tbl>
      <w:tblPr>
        <w:tblStyle w:val="32"/>
        <w:tblW w:w="1399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46"/>
        <w:gridCol w:w="1246"/>
        <w:gridCol w:w="1560"/>
        <w:gridCol w:w="1246"/>
        <w:gridCol w:w="1246"/>
        <w:gridCol w:w="1246"/>
        <w:gridCol w:w="1218"/>
        <w:gridCol w:w="1246"/>
        <w:gridCol w:w="1246"/>
        <w:gridCol w:w="1246"/>
        <w:gridCol w:w="1253"/>
      </w:tblGrid>
      <w:tr w14:paraId="3C1C49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54" w:hRule="atLeast"/>
        </w:trPr>
        <w:tc>
          <w:tcPr>
            <w:tcW w:w="12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9297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28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68222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适用范围</w:t>
            </w:r>
          </w:p>
        </w:tc>
        <w:tc>
          <w:tcPr>
            <w:tcW w:w="495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BE30513">
            <w:pPr>
              <w:keepNext w:val="0"/>
              <w:keepLines w:val="0"/>
              <w:widowControl/>
              <w:suppressLineNumbers w:val="0"/>
              <w:jc w:val="both"/>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兴安盟、通辽、赤峰、乌兰察布、呼和浩特、鄂尔多斯、包头、巴彦淖尔、乌海、满洲里</w:t>
            </w:r>
          </w:p>
        </w:tc>
        <w:tc>
          <w:tcPr>
            <w:tcW w:w="499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00BA03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呼伦贝尔、阿拉善、锡林郭勒</w:t>
            </w:r>
          </w:p>
        </w:tc>
      </w:tr>
      <w:tr w14:paraId="037F1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405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894F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水位站类型</w:t>
            </w:r>
          </w:p>
        </w:tc>
        <w:tc>
          <w:tcPr>
            <w:tcW w:w="495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BA811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雷达式、GPRS/GSM方式</w:t>
            </w:r>
          </w:p>
        </w:tc>
        <w:tc>
          <w:tcPr>
            <w:tcW w:w="499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AE486C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雷达式、GPRS/GSM方式</w:t>
            </w:r>
          </w:p>
        </w:tc>
      </w:tr>
      <w:tr w14:paraId="5CEAE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405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0407F4">
            <w:pPr>
              <w:jc w:val="center"/>
              <w:rPr>
                <w:rFonts w:hint="eastAsia" w:ascii="宋体" w:hAnsi="宋体" w:eastAsia="宋体" w:cs="宋体"/>
                <w:i w:val="0"/>
                <w:iCs w:val="0"/>
                <w:color w:val="000000"/>
                <w:sz w:val="24"/>
                <w:szCs w:val="24"/>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6D1D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802A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单价</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C645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61C2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小计</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123A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3DA5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单价</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33D1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2AAB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cs="宋体"/>
                <w:b/>
                <w:bCs/>
                <w:i w:val="0"/>
                <w:iCs w:val="0"/>
                <w:color w:val="000000"/>
                <w:kern w:val="0"/>
                <w:sz w:val="24"/>
                <w:szCs w:val="24"/>
                <w:u w:val="none"/>
                <w:lang w:val="en-US" w:eastAsia="zh-CN" w:bidi="ar"/>
              </w:rPr>
              <w:t>小计</w:t>
            </w:r>
          </w:p>
        </w:tc>
      </w:tr>
      <w:tr w14:paraId="789F1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4B6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8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CB3DF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运 行 费 用</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19D2C">
            <w:pPr>
              <w:jc w:val="center"/>
              <w:rPr>
                <w:rFonts w:hint="eastAsia" w:ascii="宋体" w:hAnsi="宋体" w:eastAsia="宋体" w:cs="宋体"/>
                <w:i w:val="0"/>
                <w:iCs w:val="0"/>
                <w:color w:val="000000"/>
                <w:sz w:val="24"/>
                <w:szCs w:val="24"/>
                <w:u w:val="none"/>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29F2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780</w:t>
            </w:r>
          </w:p>
        </w:tc>
        <w:tc>
          <w:tcPr>
            <w:tcW w:w="37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1B2731F">
            <w:pPr>
              <w:jc w:val="center"/>
              <w:rPr>
                <w:rFonts w:hint="eastAsia" w:ascii="宋体" w:hAnsi="宋体" w:eastAsia="宋体" w:cs="宋体"/>
                <w:b/>
                <w:bCs/>
                <w:i w:val="0"/>
                <w:iCs w:val="0"/>
                <w:color w:val="000000"/>
                <w:sz w:val="24"/>
                <w:szCs w:val="24"/>
                <w:u w:val="none"/>
              </w:rPr>
            </w:pP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8B3D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780</w:t>
            </w:r>
          </w:p>
        </w:tc>
      </w:tr>
      <w:tr w14:paraId="4CE52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25257">
            <w:pPr>
              <w:jc w:val="center"/>
              <w:rPr>
                <w:rFonts w:hint="eastAsia" w:ascii="宋体" w:hAnsi="宋体" w:eastAsia="宋体" w:cs="宋体"/>
                <w:i w:val="0"/>
                <w:iCs w:val="0"/>
                <w:color w:val="000000"/>
                <w:sz w:val="24"/>
                <w:szCs w:val="24"/>
                <w:u w:val="none"/>
              </w:rPr>
            </w:pPr>
          </w:p>
        </w:tc>
        <w:tc>
          <w:tcPr>
            <w:tcW w:w="12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7405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其中</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858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通信费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503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元/年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9641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6BA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83E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015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元/年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264B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2B23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945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w:t>
            </w:r>
          </w:p>
        </w:tc>
      </w:tr>
      <w:tr w14:paraId="46EAE2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505BA">
            <w:pPr>
              <w:jc w:val="center"/>
              <w:rPr>
                <w:rFonts w:hint="eastAsia" w:ascii="宋体" w:hAnsi="宋体" w:eastAsia="宋体" w:cs="宋体"/>
                <w:i w:val="0"/>
                <w:iCs w:val="0"/>
                <w:color w:val="000000"/>
                <w:sz w:val="24"/>
                <w:szCs w:val="24"/>
                <w:u w:val="none"/>
              </w:rPr>
            </w:pPr>
          </w:p>
        </w:tc>
        <w:tc>
          <w:tcPr>
            <w:tcW w:w="12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2C887E">
            <w:pPr>
              <w:jc w:val="center"/>
              <w:rPr>
                <w:rFonts w:hint="eastAsia" w:ascii="宋体" w:hAnsi="宋体" w:eastAsia="宋体" w:cs="宋体"/>
                <w:i w:val="0"/>
                <w:iCs w:val="0"/>
                <w:color w:val="000000"/>
                <w:sz w:val="24"/>
                <w:szCs w:val="24"/>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04C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委托看管费</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0ED5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元/月</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DE8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3A09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67E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600</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9722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元/月</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2A0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779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D03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600</w:t>
            </w:r>
          </w:p>
        </w:tc>
      </w:tr>
      <w:tr w14:paraId="31B54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AAA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8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98285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维 护 费 用</w:t>
            </w:r>
          </w:p>
        </w:tc>
        <w:tc>
          <w:tcPr>
            <w:tcW w:w="37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1FA6C01">
            <w:pPr>
              <w:jc w:val="center"/>
              <w:rPr>
                <w:rFonts w:hint="eastAsia" w:ascii="宋体" w:hAnsi="宋体" w:eastAsia="宋体" w:cs="宋体"/>
                <w:b/>
                <w:bCs/>
                <w:i w:val="0"/>
                <w:iCs w:val="0"/>
                <w:color w:val="000000"/>
                <w:sz w:val="24"/>
                <w:szCs w:val="24"/>
                <w:u w:val="none"/>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787D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2725</w:t>
            </w:r>
          </w:p>
        </w:tc>
        <w:tc>
          <w:tcPr>
            <w:tcW w:w="37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C7FB07E">
            <w:pPr>
              <w:jc w:val="center"/>
              <w:rPr>
                <w:rFonts w:hint="eastAsia" w:ascii="宋体" w:hAnsi="宋体" w:eastAsia="宋体" w:cs="宋体"/>
                <w:b/>
                <w:bCs/>
                <w:i w:val="0"/>
                <w:iCs w:val="0"/>
                <w:color w:val="000000"/>
                <w:sz w:val="24"/>
                <w:szCs w:val="24"/>
                <w:u w:val="none"/>
              </w:rPr>
            </w:pP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B72A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3125</w:t>
            </w:r>
          </w:p>
        </w:tc>
      </w:tr>
      <w:tr w14:paraId="133EC2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074F3">
            <w:pPr>
              <w:jc w:val="center"/>
              <w:rPr>
                <w:rFonts w:hint="eastAsia" w:ascii="宋体" w:hAnsi="宋体" w:eastAsia="宋体" w:cs="宋体"/>
                <w:i w:val="0"/>
                <w:iCs w:val="0"/>
                <w:color w:val="000000"/>
                <w:sz w:val="24"/>
                <w:szCs w:val="24"/>
                <w:u w:val="none"/>
              </w:rPr>
            </w:pPr>
          </w:p>
        </w:tc>
        <w:tc>
          <w:tcPr>
            <w:tcW w:w="12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41A66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其中</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B59A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检查费</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131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元/次</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B83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500</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3C4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F2A8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914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元/次</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946C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700</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F9E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AC52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1400</w:t>
            </w:r>
          </w:p>
        </w:tc>
      </w:tr>
      <w:tr w14:paraId="6538B2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4"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2FB82">
            <w:pPr>
              <w:jc w:val="center"/>
              <w:rPr>
                <w:rFonts w:hint="eastAsia" w:ascii="宋体" w:hAnsi="宋体" w:eastAsia="宋体" w:cs="宋体"/>
                <w:i w:val="0"/>
                <w:iCs w:val="0"/>
                <w:color w:val="000000"/>
                <w:sz w:val="24"/>
                <w:szCs w:val="24"/>
                <w:u w:val="none"/>
              </w:rPr>
            </w:pPr>
          </w:p>
        </w:tc>
        <w:tc>
          <w:tcPr>
            <w:tcW w:w="12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7F9B89">
            <w:pPr>
              <w:jc w:val="center"/>
              <w:rPr>
                <w:rFonts w:hint="eastAsia" w:ascii="宋体" w:hAnsi="宋体" w:eastAsia="宋体" w:cs="宋体"/>
                <w:i w:val="0"/>
                <w:iCs w:val="0"/>
                <w:color w:val="000000"/>
                <w:sz w:val="24"/>
                <w:szCs w:val="24"/>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B96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设施设备维护费</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854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元/年</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1784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1725</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74D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2EC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1725</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31D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元/年</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7181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1725</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121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25F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1725</w:t>
            </w:r>
          </w:p>
        </w:tc>
      </w:tr>
      <w:tr w14:paraId="30853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779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F674D50">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每年维护费用合计（1+2）</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7A22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3505</w:t>
            </w:r>
          </w:p>
        </w:tc>
        <w:tc>
          <w:tcPr>
            <w:tcW w:w="37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B21EADF">
            <w:pPr>
              <w:jc w:val="center"/>
              <w:rPr>
                <w:rFonts w:hint="eastAsia" w:ascii="宋体" w:hAnsi="宋体" w:eastAsia="宋体" w:cs="宋体"/>
                <w:b/>
                <w:bCs/>
                <w:i w:val="0"/>
                <w:iCs w:val="0"/>
                <w:color w:val="000000"/>
                <w:sz w:val="24"/>
                <w:szCs w:val="24"/>
                <w:u w:val="none"/>
              </w:rPr>
            </w:pP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163A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3905</w:t>
            </w:r>
          </w:p>
        </w:tc>
      </w:tr>
    </w:tbl>
    <w:p w14:paraId="0A4452CA">
      <w:pPr>
        <w:pStyle w:val="39"/>
        <w:numPr>
          <w:ilvl w:val="0"/>
          <w:numId w:val="8"/>
        </w:numPr>
        <w:ind w:firstLine="0" w:firstLineChars="0"/>
        <w:rPr>
          <w:rFonts w:asciiTheme="minorEastAsia" w:hAnsiTheme="minorEastAsia" w:eastAsiaTheme="minorEastAsia" w:cstheme="minorEastAsia"/>
          <w:color w:val="auto"/>
          <w:kern w:val="2"/>
          <w:sz w:val="24"/>
          <w:szCs w:val="24"/>
        </w:rPr>
      </w:pPr>
      <w:r>
        <w:rPr>
          <w:rFonts w:hint="eastAsia" w:asciiTheme="minorEastAsia" w:hAnsiTheme="minorEastAsia" w:eastAsiaTheme="minorEastAsia" w:cstheme="minorEastAsia"/>
          <w:color w:val="auto"/>
          <w:kern w:val="2"/>
          <w:sz w:val="24"/>
          <w:szCs w:val="24"/>
          <w:lang w:val="en-US" w:eastAsia="zh-CN"/>
        </w:rPr>
        <w:t>声光电雨量站</w:t>
      </w:r>
    </w:p>
    <w:p w14:paraId="79726B64">
      <w:pPr>
        <w:spacing w:line="360" w:lineRule="auto"/>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计量单位：元/站</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kern w:val="0"/>
          <w:sz w:val="24"/>
          <w:szCs w:val="24"/>
        </w:rPr>
        <w:t>年</w:t>
      </w:r>
    </w:p>
    <w:tbl>
      <w:tblPr>
        <w:tblStyle w:val="32"/>
        <w:tblW w:w="4952"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16"/>
        <w:gridCol w:w="4339"/>
        <w:gridCol w:w="4476"/>
        <w:gridCol w:w="4507"/>
      </w:tblGrid>
      <w:tr w14:paraId="43923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6" w:hRule="atLeast"/>
          <w:jc w:val="center"/>
        </w:trPr>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EB00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15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7405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适用范围</w:t>
            </w:r>
          </w:p>
        </w:tc>
        <w:tc>
          <w:tcPr>
            <w:tcW w:w="1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38262">
            <w:pPr>
              <w:keepNext w:val="0"/>
              <w:keepLines w:val="0"/>
              <w:widowControl/>
              <w:suppressLineNumbers w:val="0"/>
              <w:jc w:val="both"/>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兴安盟、通辽、赤峰、乌兰察布、呼和浩特、鄂尔多斯、包头、巴彦淖尔、乌海、满洲里</w:t>
            </w:r>
          </w:p>
        </w:tc>
        <w:tc>
          <w:tcPr>
            <w:tcW w:w="16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9FCF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呼伦贝尔、阿拉善、锡林郭勒</w:t>
            </w:r>
          </w:p>
        </w:tc>
      </w:tr>
      <w:tr w14:paraId="27408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7" w:hRule="atLeast"/>
          <w:jc w:val="center"/>
        </w:trPr>
        <w:tc>
          <w:tcPr>
            <w:tcW w:w="505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B428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建设单价（元）</w:t>
            </w:r>
          </w:p>
        </w:tc>
        <w:tc>
          <w:tcPr>
            <w:tcW w:w="44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2B156B">
            <w:pPr>
              <w:keepNext w:val="0"/>
              <w:keepLines w:val="0"/>
              <w:widowControl/>
              <w:suppressLineNumbers w:val="0"/>
              <w:jc w:val="center"/>
              <w:textAlignment w:val="center"/>
              <w:rPr>
                <w:rFonts w:hint="default" w:ascii="宋体" w:hAnsi="宋体" w:eastAsia="宋体" w:cs="宋体"/>
                <w:b/>
                <w:bCs/>
                <w:i w:val="0"/>
                <w:iCs w:val="0"/>
                <w:color w:val="000000"/>
                <w:sz w:val="24"/>
                <w:szCs w:val="24"/>
                <w:u w:val="none"/>
                <w:lang w:val="en-US"/>
              </w:rPr>
            </w:pPr>
            <w:r>
              <w:rPr>
                <w:rFonts w:hint="eastAsia" w:ascii="宋体" w:hAnsi="宋体" w:eastAsia="宋体" w:cs="宋体"/>
                <w:b/>
                <w:bCs/>
                <w:i w:val="0"/>
                <w:iCs w:val="0"/>
                <w:color w:val="000000"/>
                <w:kern w:val="0"/>
                <w:sz w:val="24"/>
                <w:szCs w:val="24"/>
                <w:u w:val="none"/>
                <w:lang w:val="en-US" w:eastAsia="zh-CN" w:bidi="ar"/>
              </w:rPr>
              <w:t>222</w:t>
            </w:r>
            <w:r>
              <w:rPr>
                <w:rFonts w:hint="eastAsia" w:ascii="宋体" w:hAnsi="宋体" w:cs="宋体"/>
                <w:b/>
                <w:bCs/>
                <w:i w:val="0"/>
                <w:iCs w:val="0"/>
                <w:color w:val="000000"/>
                <w:kern w:val="0"/>
                <w:sz w:val="24"/>
                <w:szCs w:val="24"/>
                <w:u w:val="none"/>
                <w:lang w:val="en-US" w:eastAsia="zh-CN" w:bidi="ar"/>
              </w:rPr>
              <w:t>00</w:t>
            </w:r>
          </w:p>
        </w:tc>
        <w:tc>
          <w:tcPr>
            <w:tcW w:w="45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5051EB">
            <w:pPr>
              <w:keepNext w:val="0"/>
              <w:keepLines w:val="0"/>
              <w:widowControl/>
              <w:suppressLineNumbers w:val="0"/>
              <w:jc w:val="center"/>
              <w:textAlignment w:val="center"/>
              <w:rPr>
                <w:rFonts w:hint="default" w:ascii="宋体" w:hAnsi="宋体" w:eastAsia="宋体" w:cs="宋体"/>
                <w:b/>
                <w:bCs/>
                <w:i w:val="0"/>
                <w:iCs w:val="0"/>
                <w:color w:val="000000"/>
                <w:sz w:val="24"/>
                <w:szCs w:val="24"/>
                <w:u w:val="none"/>
                <w:lang w:val="en-US"/>
              </w:rPr>
            </w:pPr>
            <w:r>
              <w:rPr>
                <w:rFonts w:hint="eastAsia" w:ascii="宋体" w:hAnsi="宋体" w:eastAsia="宋体" w:cs="宋体"/>
                <w:b/>
                <w:bCs/>
                <w:i w:val="0"/>
                <w:iCs w:val="0"/>
                <w:color w:val="000000"/>
                <w:kern w:val="0"/>
                <w:sz w:val="24"/>
                <w:szCs w:val="24"/>
                <w:u w:val="none"/>
                <w:lang w:val="en-US" w:eastAsia="zh-CN" w:bidi="ar"/>
              </w:rPr>
              <w:t>222</w:t>
            </w:r>
            <w:r>
              <w:rPr>
                <w:rFonts w:hint="eastAsia" w:ascii="宋体" w:hAnsi="宋体" w:cs="宋体"/>
                <w:b/>
                <w:bCs/>
                <w:i w:val="0"/>
                <w:iCs w:val="0"/>
                <w:color w:val="000000"/>
                <w:kern w:val="0"/>
                <w:sz w:val="24"/>
                <w:szCs w:val="24"/>
                <w:u w:val="none"/>
                <w:lang w:val="en-US" w:eastAsia="zh-CN" w:bidi="ar"/>
              </w:rPr>
              <w:t>00</w:t>
            </w:r>
          </w:p>
        </w:tc>
      </w:tr>
      <w:tr w14:paraId="4BF866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7" w:hRule="atLeast"/>
          <w:jc w:val="center"/>
        </w:trPr>
        <w:tc>
          <w:tcPr>
            <w:tcW w:w="180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DAB87D">
            <w:pPr>
              <w:jc w:val="center"/>
              <w:rPr>
                <w:rFonts w:hint="eastAsia" w:ascii="宋体" w:hAnsi="宋体" w:eastAsia="宋体" w:cs="宋体"/>
                <w:i w:val="0"/>
                <w:iCs w:val="0"/>
                <w:color w:val="000000"/>
                <w:sz w:val="24"/>
                <w:szCs w:val="24"/>
                <w:u w:val="none"/>
              </w:rPr>
            </w:pPr>
          </w:p>
        </w:tc>
        <w:tc>
          <w:tcPr>
            <w:tcW w:w="15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D1B5E8">
            <w:pPr>
              <w:jc w:val="center"/>
              <w:rPr>
                <w:rFonts w:hint="eastAsia" w:ascii="宋体" w:hAnsi="宋体" w:eastAsia="宋体" w:cs="宋体"/>
                <w:b/>
                <w:bCs/>
                <w:i w:val="0"/>
                <w:iCs w:val="0"/>
                <w:color w:val="000000"/>
                <w:sz w:val="24"/>
                <w:szCs w:val="24"/>
                <w:u w:val="none"/>
              </w:rPr>
            </w:pPr>
          </w:p>
        </w:tc>
        <w:tc>
          <w:tcPr>
            <w:tcW w:w="16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34CDF4">
            <w:pPr>
              <w:jc w:val="center"/>
              <w:rPr>
                <w:rFonts w:hint="eastAsia" w:ascii="宋体" w:hAnsi="宋体" w:eastAsia="宋体" w:cs="宋体"/>
                <w:b/>
                <w:bCs/>
                <w:i w:val="0"/>
                <w:iCs w:val="0"/>
                <w:color w:val="000000"/>
                <w:sz w:val="24"/>
                <w:szCs w:val="24"/>
                <w:u w:val="none"/>
              </w:rPr>
            </w:pPr>
          </w:p>
        </w:tc>
      </w:tr>
      <w:tr w14:paraId="23957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jc w:val="center"/>
        </w:trPr>
        <w:tc>
          <w:tcPr>
            <w:tcW w:w="7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4D4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4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569C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折旧系数</w:t>
            </w:r>
          </w:p>
        </w:tc>
        <w:tc>
          <w:tcPr>
            <w:tcW w:w="44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D21ACA">
            <w:pPr>
              <w:keepNext w:val="0"/>
              <w:keepLines w:val="0"/>
              <w:widowControl/>
              <w:suppressLineNumbers w:val="0"/>
              <w:jc w:val="center"/>
              <w:textAlignment w:val="center"/>
              <w:rPr>
                <w:rFonts w:hint="default" w:ascii="宋体" w:hAnsi="宋体" w:eastAsia="宋体" w:cs="宋体"/>
                <w:b/>
                <w:bCs/>
                <w:i w:val="0"/>
                <w:iCs w:val="0"/>
                <w:color w:val="000000"/>
                <w:sz w:val="24"/>
                <w:szCs w:val="24"/>
                <w:u w:val="none"/>
                <w:lang w:val="en-US"/>
              </w:rPr>
            </w:pPr>
            <w:r>
              <w:rPr>
                <w:rFonts w:hint="eastAsia" w:ascii="宋体" w:hAnsi="宋体" w:eastAsia="宋体" w:cs="宋体"/>
                <w:b/>
                <w:bCs/>
                <w:i w:val="0"/>
                <w:iCs w:val="0"/>
                <w:color w:val="000000"/>
                <w:kern w:val="0"/>
                <w:sz w:val="24"/>
                <w:szCs w:val="24"/>
                <w:u w:val="none"/>
                <w:lang w:val="en-US" w:eastAsia="zh-CN" w:bidi="ar"/>
              </w:rPr>
              <w:t>222</w:t>
            </w:r>
            <w:r>
              <w:rPr>
                <w:rFonts w:hint="eastAsia" w:ascii="宋体" w:hAnsi="宋体" w:cs="宋体"/>
                <w:b/>
                <w:bCs/>
                <w:i w:val="0"/>
                <w:iCs w:val="0"/>
                <w:color w:val="000000"/>
                <w:kern w:val="0"/>
                <w:sz w:val="24"/>
                <w:szCs w:val="24"/>
                <w:u w:val="none"/>
                <w:lang w:val="en-US" w:eastAsia="zh-CN" w:bidi="ar"/>
              </w:rPr>
              <w:t>0</w:t>
            </w:r>
          </w:p>
        </w:tc>
        <w:tc>
          <w:tcPr>
            <w:tcW w:w="45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99A12E">
            <w:pPr>
              <w:keepNext w:val="0"/>
              <w:keepLines w:val="0"/>
              <w:widowControl/>
              <w:suppressLineNumbers w:val="0"/>
              <w:jc w:val="center"/>
              <w:textAlignment w:val="center"/>
              <w:rPr>
                <w:rFonts w:hint="default" w:ascii="宋体" w:hAnsi="宋体" w:eastAsia="宋体" w:cs="宋体"/>
                <w:b/>
                <w:bCs/>
                <w:i w:val="0"/>
                <w:iCs w:val="0"/>
                <w:color w:val="000000"/>
                <w:sz w:val="24"/>
                <w:szCs w:val="24"/>
                <w:u w:val="none"/>
                <w:lang w:val="en-US"/>
              </w:rPr>
            </w:pPr>
            <w:r>
              <w:rPr>
                <w:rFonts w:hint="eastAsia" w:ascii="宋体" w:hAnsi="宋体" w:eastAsia="宋体" w:cs="宋体"/>
                <w:b/>
                <w:bCs/>
                <w:i w:val="0"/>
                <w:iCs w:val="0"/>
                <w:color w:val="000000"/>
                <w:kern w:val="0"/>
                <w:sz w:val="24"/>
                <w:szCs w:val="24"/>
                <w:u w:val="none"/>
                <w:lang w:val="en-US" w:eastAsia="zh-CN" w:bidi="ar"/>
              </w:rPr>
              <w:t>222</w:t>
            </w:r>
            <w:r>
              <w:rPr>
                <w:rFonts w:hint="eastAsia" w:ascii="宋体" w:hAnsi="宋体" w:cs="宋体"/>
                <w:b/>
                <w:bCs/>
                <w:i w:val="0"/>
                <w:iCs w:val="0"/>
                <w:color w:val="000000"/>
                <w:kern w:val="0"/>
                <w:sz w:val="24"/>
                <w:szCs w:val="24"/>
                <w:u w:val="none"/>
                <w:lang w:val="en-US" w:eastAsia="zh-CN" w:bidi="ar"/>
              </w:rPr>
              <w:t>0</w:t>
            </w:r>
          </w:p>
        </w:tc>
      </w:tr>
      <w:tr w14:paraId="396F01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7" w:hRule="atLeast"/>
          <w:jc w:val="center"/>
        </w:trPr>
        <w:tc>
          <w:tcPr>
            <w:tcW w:w="7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37D68">
            <w:pPr>
              <w:jc w:val="center"/>
              <w:rPr>
                <w:rFonts w:hint="eastAsia" w:ascii="宋体" w:hAnsi="宋体" w:eastAsia="宋体" w:cs="宋体"/>
                <w:i w:val="0"/>
                <w:iCs w:val="0"/>
                <w:color w:val="000000"/>
                <w:sz w:val="24"/>
                <w:szCs w:val="24"/>
                <w:u w:val="none"/>
              </w:rPr>
            </w:pPr>
          </w:p>
        </w:tc>
        <w:tc>
          <w:tcPr>
            <w:tcW w:w="49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9152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0.1 </w:t>
            </w:r>
          </w:p>
        </w:tc>
        <w:tc>
          <w:tcPr>
            <w:tcW w:w="44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F090A6">
            <w:pPr>
              <w:jc w:val="center"/>
              <w:rPr>
                <w:rFonts w:hint="eastAsia" w:ascii="宋体" w:hAnsi="宋体" w:eastAsia="宋体" w:cs="宋体"/>
                <w:b/>
                <w:bCs/>
                <w:i w:val="0"/>
                <w:iCs w:val="0"/>
                <w:color w:val="000000"/>
                <w:sz w:val="24"/>
                <w:szCs w:val="24"/>
                <w:u w:val="none"/>
              </w:rPr>
            </w:pPr>
          </w:p>
        </w:tc>
        <w:tc>
          <w:tcPr>
            <w:tcW w:w="45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813911">
            <w:pPr>
              <w:jc w:val="center"/>
              <w:rPr>
                <w:rFonts w:hint="eastAsia" w:ascii="宋体" w:hAnsi="宋体" w:eastAsia="宋体" w:cs="宋体"/>
                <w:b/>
                <w:bCs/>
                <w:i w:val="0"/>
                <w:iCs w:val="0"/>
                <w:color w:val="000000"/>
                <w:sz w:val="24"/>
                <w:szCs w:val="24"/>
                <w:u w:val="none"/>
              </w:rPr>
            </w:pPr>
          </w:p>
        </w:tc>
      </w:tr>
      <w:tr w14:paraId="60566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7"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67470">
            <w:pPr>
              <w:jc w:val="center"/>
              <w:rPr>
                <w:rFonts w:hint="eastAsia" w:ascii="宋体" w:hAnsi="宋体" w:eastAsia="宋体" w:cs="宋体"/>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BA899A">
            <w:pPr>
              <w:jc w:val="center"/>
              <w:rPr>
                <w:rFonts w:hint="eastAsia" w:ascii="宋体" w:hAnsi="宋体" w:eastAsia="宋体" w:cs="宋体"/>
                <w:i w:val="0"/>
                <w:iCs w:val="0"/>
                <w:color w:val="000000"/>
                <w:sz w:val="24"/>
                <w:szCs w:val="24"/>
                <w:u w:val="none"/>
              </w:rPr>
            </w:pPr>
          </w:p>
        </w:tc>
        <w:tc>
          <w:tcPr>
            <w:tcW w:w="15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AADE39">
            <w:pPr>
              <w:jc w:val="center"/>
              <w:rPr>
                <w:rFonts w:hint="eastAsia" w:ascii="宋体" w:hAnsi="宋体" w:eastAsia="宋体" w:cs="宋体"/>
                <w:b/>
                <w:bCs/>
                <w:i w:val="0"/>
                <w:iCs w:val="0"/>
                <w:color w:val="000000"/>
                <w:sz w:val="24"/>
                <w:szCs w:val="24"/>
                <w:u w:val="none"/>
              </w:rPr>
            </w:pPr>
          </w:p>
        </w:tc>
        <w:tc>
          <w:tcPr>
            <w:tcW w:w="16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27C4FD">
            <w:pPr>
              <w:jc w:val="center"/>
              <w:rPr>
                <w:rFonts w:hint="eastAsia" w:ascii="宋体" w:hAnsi="宋体" w:eastAsia="宋体" w:cs="宋体"/>
                <w:b/>
                <w:bCs/>
                <w:i w:val="0"/>
                <w:iCs w:val="0"/>
                <w:color w:val="000000"/>
                <w:sz w:val="24"/>
                <w:szCs w:val="24"/>
                <w:u w:val="none"/>
              </w:rPr>
            </w:pPr>
          </w:p>
        </w:tc>
      </w:tr>
      <w:tr w14:paraId="3858D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7"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62707">
            <w:pPr>
              <w:jc w:val="center"/>
              <w:rPr>
                <w:rFonts w:hint="eastAsia" w:ascii="宋体" w:hAnsi="宋体" w:eastAsia="宋体" w:cs="宋体"/>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D64BAC">
            <w:pPr>
              <w:jc w:val="center"/>
              <w:rPr>
                <w:rFonts w:hint="eastAsia" w:ascii="宋体" w:hAnsi="宋体" w:eastAsia="宋体" w:cs="宋体"/>
                <w:i w:val="0"/>
                <w:iCs w:val="0"/>
                <w:color w:val="000000"/>
                <w:sz w:val="24"/>
                <w:szCs w:val="24"/>
                <w:u w:val="none"/>
              </w:rPr>
            </w:pPr>
          </w:p>
        </w:tc>
        <w:tc>
          <w:tcPr>
            <w:tcW w:w="15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A1F809">
            <w:pPr>
              <w:jc w:val="center"/>
              <w:rPr>
                <w:rFonts w:hint="eastAsia" w:ascii="宋体" w:hAnsi="宋体" w:eastAsia="宋体" w:cs="宋体"/>
                <w:b/>
                <w:bCs/>
                <w:i w:val="0"/>
                <w:iCs w:val="0"/>
                <w:color w:val="000000"/>
                <w:sz w:val="24"/>
                <w:szCs w:val="24"/>
                <w:u w:val="none"/>
              </w:rPr>
            </w:pPr>
          </w:p>
        </w:tc>
        <w:tc>
          <w:tcPr>
            <w:tcW w:w="16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40A36A">
            <w:pPr>
              <w:jc w:val="center"/>
              <w:rPr>
                <w:rFonts w:hint="eastAsia" w:ascii="宋体" w:hAnsi="宋体" w:eastAsia="宋体" w:cs="宋体"/>
                <w:b/>
                <w:bCs/>
                <w:i w:val="0"/>
                <w:iCs w:val="0"/>
                <w:color w:val="000000"/>
                <w:sz w:val="24"/>
                <w:szCs w:val="24"/>
                <w:u w:val="none"/>
              </w:rPr>
            </w:pPr>
          </w:p>
        </w:tc>
      </w:tr>
      <w:tr w14:paraId="3A33F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6" w:hRule="atLeast"/>
          <w:jc w:val="center"/>
        </w:trPr>
        <w:tc>
          <w:tcPr>
            <w:tcW w:w="7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707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4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356D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远距离补贴（元）</w:t>
            </w:r>
          </w:p>
        </w:tc>
        <w:tc>
          <w:tcPr>
            <w:tcW w:w="44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4F6CA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0</w:t>
            </w:r>
          </w:p>
        </w:tc>
        <w:tc>
          <w:tcPr>
            <w:tcW w:w="45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1E7CE7">
            <w:pPr>
              <w:keepNext w:val="0"/>
              <w:keepLines w:val="0"/>
              <w:widowControl/>
              <w:suppressLineNumbers w:val="0"/>
              <w:jc w:val="center"/>
              <w:textAlignment w:val="center"/>
              <w:rPr>
                <w:rFonts w:hint="default" w:ascii="宋体" w:hAnsi="宋体" w:eastAsia="宋体" w:cs="宋体"/>
                <w:b/>
                <w:bCs/>
                <w:i w:val="0"/>
                <w:iCs w:val="0"/>
                <w:color w:val="000000"/>
                <w:sz w:val="24"/>
                <w:szCs w:val="24"/>
                <w:u w:val="none"/>
                <w:lang w:val="en-US"/>
              </w:rPr>
            </w:pPr>
            <w:r>
              <w:rPr>
                <w:rFonts w:hint="eastAsia" w:ascii="宋体" w:hAnsi="宋体" w:eastAsia="宋体" w:cs="宋体"/>
                <w:b/>
                <w:bCs/>
                <w:i w:val="0"/>
                <w:iCs w:val="0"/>
                <w:color w:val="000000"/>
                <w:kern w:val="0"/>
                <w:sz w:val="24"/>
                <w:szCs w:val="24"/>
                <w:u w:val="none"/>
                <w:lang w:val="en-US" w:eastAsia="zh-CN" w:bidi="ar"/>
              </w:rPr>
              <w:t>6</w:t>
            </w:r>
            <w:r>
              <w:rPr>
                <w:rFonts w:hint="eastAsia" w:ascii="宋体" w:hAnsi="宋体" w:cs="宋体"/>
                <w:b/>
                <w:bCs/>
                <w:i w:val="0"/>
                <w:iCs w:val="0"/>
                <w:color w:val="000000"/>
                <w:kern w:val="0"/>
                <w:sz w:val="24"/>
                <w:szCs w:val="24"/>
                <w:u w:val="none"/>
                <w:lang w:val="en-US" w:eastAsia="zh-CN" w:bidi="ar"/>
              </w:rPr>
              <w:t>00</w:t>
            </w:r>
          </w:p>
        </w:tc>
      </w:tr>
      <w:tr w14:paraId="50464E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7" w:hRule="atLeast"/>
          <w:jc w:val="center"/>
        </w:trPr>
        <w:tc>
          <w:tcPr>
            <w:tcW w:w="7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1A9C1">
            <w:pPr>
              <w:jc w:val="center"/>
              <w:rPr>
                <w:rFonts w:hint="eastAsia" w:ascii="宋体" w:hAnsi="宋体" w:eastAsia="宋体" w:cs="宋体"/>
                <w:i w:val="0"/>
                <w:iCs w:val="0"/>
                <w:color w:val="000000"/>
                <w:sz w:val="24"/>
                <w:szCs w:val="24"/>
                <w:u w:val="none"/>
              </w:rPr>
            </w:pPr>
          </w:p>
        </w:tc>
        <w:tc>
          <w:tcPr>
            <w:tcW w:w="49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B66F98">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6</w:t>
            </w:r>
            <w:r>
              <w:rPr>
                <w:rFonts w:hint="eastAsia" w:ascii="宋体" w:hAnsi="宋体" w:cs="宋体"/>
                <w:i w:val="0"/>
                <w:iCs w:val="0"/>
                <w:color w:val="000000"/>
                <w:kern w:val="0"/>
                <w:sz w:val="24"/>
                <w:szCs w:val="24"/>
                <w:u w:val="none"/>
                <w:lang w:val="en-US" w:eastAsia="zh-CN" w:bidi="ar"/>
              </w:rPr>
              <w:t>00</w:t>
            </w:r>
          </w:p>
        </w:tc>
        <w:tc>
          <w:tcPr>
            <w:tcW w:w="44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BCB773">
            <w:pPr>
              <w:jc w:val="center"/>
              <w:rPr>
                <w:rFonts w:hint="eastAsia" w:ascii="宋体" w:hAnsi="宋体" w:eastAsia="宋体" w:cs="宋体"/>
                <w:b/>
                <w:bCs/>
                <w:i w:val="0"/>
                <w:iCs w:val="0"/>
                <w:color w:val="000000"/>
                <w:sz w:val="24"/>
                <w:szCs w:val="24"/>
                <w:u w:val="none"/>
              </w:rPr>
            </w:pPr>
          </w:p>
        </w:tc>
        <w:tc>
          <w:tcPr>
            <w:tcW w:w="45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16E4F9">
            <w:pPr>
              <w:jc w:val="center"/>
              <w:rPr>
                <w:rFonts w:hint="eastAsia" w:ascii="宋体" w:hAnsi="宋体" w:eastAsia="宋体" w:cs="宋体"/>
                <w:b/>
                <w:bCs/>
                <w:i w:val="0"/>
                <w:iCs w:val="0"/>
                <w:color w:val="000000"/>
                <w:sz w:val="24"/>
                <w:szCs w:val="24"/>
                <w:u w:val="none"/>
              </w:rPr>
            </w:pPr>
          </w:p>
        </w:tc>
      </w:tr>
      <w:tr w14:paraId="07420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7"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BFEF4">
            <w:pPr>
              <w:jc w:val="center"/>
              <w:rPr>
                <w:rFonts w:hint="eastAsia" w:ascii="宋体" w:hAnsi="宋体" w:eastAsia="宋体" w:cs="宋体"/>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7CC949">
            <w:pPr>
              <w:jc w:val="center"/>
              <w:rPr>
                <w:rFonts w:hint="eastAsia" w:ascii="宋体" w:hAnsi="宋体" w:eastAsia="宋体" w:cs="宋体"/>
                <w:i w:val="0"/>
                <w:iCs w:val="0"/>
                <w:color w:val="000000"/>
                <w:sz w:val="24"/>
                <w:szCs w:val="24"/>
                <w:u w:val="none"/>
              </w:rPr>
            </w:pPr>
          </w:p>
        </w:tc>
        <w:tc>
          <w:tcPr>
            <w:tcW w:w="15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8F5368">
            <w:pPr>
              <w:jc w:val="center"/>
              <w:rPr>
                <w:rFonts w:hint="eastAsia" w:ascii="宋体" w:hAnsi="宋体" w:eastAsia="宋体" w:cs="宋体"/>
                <w:b/>
                <w:bCs/>
                <w:i w:val="0"/>
                <w:iCs w:val="0"/>
                <w:color w:val="000000"/>
                <w:sz w:val="24"/>
                <w:szCs w:val="24"/>
                <w:u w:val="none"/>
              </w:rPr>
            </w:pPr>
          </w:p>
        </w:tc>
        <w:tc>
          <w:tcPr>
            <w:tcW w:w="16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01DCA6">
            <w:pPr>
              <w:jc w:val="center"/>
              <w:rPr>
                <w:rFonts w:hint="eastAsia" w:ascii="宋体" w:hAnsi="宋体" w:eastAsia="宋体" w:cs="宋体"/>
                <w:b/>
                <w:bCs/>
                <w:i w:val="0"/>
                <w:iCs w:val="0"/>
                <w:color w:val="000000"/>
                <w:sz w:val="24"/>
                <w:szCs w:val="24"/>
                <w:u w:val="none"/>
              </w:rPr>
            </w:pPr>
          </w:p>
        </w:tc>
      </w:tr>
      <w:tr w14:paraId="0E9F3F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jc w:val="center"/>
        </w:trPr>
        <w:tc>
          <w:tcPr>
            <w:tcW w:w="7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C5B6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4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34DF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通信费（元）</w:t>
            </w:r>
          </w:p>
        </w:tc>
        <w:tc>
          <w:tcPr>
            <w:tcW w:w="4476" w:type="dxa"/>
            <w:vMerge w:val="restart"/>
            <w:tcBorders>
              <w:top w:val="nil"/>
              <w:left w:val="single" w:color="000000" w:sz="4" w:space="0"/>
              <w:bottom w:val="single" w:color="000000" w:sz="4" w:space="0"/>
              <w:right w:val="single" w:color="000000" w:sz="4" w:space="0"/>
            </w:tcBorders>
            <w:shd w:val="clear" w:color="auto" w:fill="auto"/>
            <w:vAlign w:val="center"/>
          </w:tcPr>
          <w:p w14:paraId="552916F0">
            <w:pPr>
              <w:keepNext w:val="0"/>
              <w:keepLines w:val="0"/>
              <w:widowControl/>
              <w:suppressLineNumbers w:val="0"/>
              <w:jc w:val="center"/>
              <w:textAlignment w:val="center"/>
              <w:rPr>
                <w:rFonts w:hint="default" w:ascii="宋体" w:hAnsi="宋体" w:eastAsia="宋体" w:cs="宋体"/>
                <w:b/>
                <w:bCs/>
                <w:i w:val="0"/>
                <w:iCs w:val="0"/>
                <w:color w:val="000000"/>
                <w:sz w:val="24"/>
                <w:szCs w:val="24"/>
                <w:u w:val="none"/>
                <w:lang w:val="en-US"/>
              </w:rPr>
            </w:pPr>
            <w:r>
              <w:rPr>
                <w:rFonts w:hint="eastAsia" w:ascii="宋体" w:hAnsi="宋体" w:eastAsia="宋体" w:cs="宋体"/>
                <w:b/>
                <w:bCs/>
                <w:i w:val="0"/>
                <w:iCs w:val="0"/>
                <w:color w:val="000000"/>
                <w:kern w:val="0"/>
                <w:sz w:val="24"/>
                <w:szCs w:val="24"/>
                <w:u w:val="none"/>
                <w:lang w:val="en-US" w:eastAsia="zh-CN" w:bidi="ar"/>
              </w:rPr>
              <w:t>4</w:t>
            </w:r>
            <w:r>
              <w:rPr>
                <w:rFonts w:hint="eastAsia" w:ascii="宋体" w:hAnsi="宋体" w:cs="宋体"/>
                <w:b/>
                <w:bCs/>
                <w:i w:val="0"/>
                <w:iCs w:val="0"/>
                <w:color w:val="000000"/>
                <w:kern w:val="0"/>
                <w:sz w:val="24"/>
                <w:szCs w:val="24"/>
                <w:u w:val="none"/>
                <w:lang w:val="en-US" w:eastAsia="zh-CN" w:bidi="ar"/>
              </w:rPr>
              <w:t>000</w:t>
            </w:r>
          </w:p>
        </w:tc>
        <w:tc>
          <w:tcPr>
            <w:tcW w:w="4507" w:type="dxa"/>
            <w:vMerge w:val="restart"/>
            <w:tcBorders>
              <w:top w:val="nil"/>
              <w:left w:val="single" w:color="000000" w:sz="4" w:space="0"/>
              <w:bottom w:val="single" w:color="000000" w:sz="4" w:space="0"/>
              <w:right w:val="single" w:color="000000" w:sz="4" w:space="0"/>
            </w:tcBorders>
            <w:shd w:val="clear" w:color="auto" w:fill="auto"/>
            <w:vAlign w:val="center"/>
          </w:tcPr>
          <w:p w14:paraId="672C9FB3">
            <w:pPr>
              <w:keepNext w:val="0"/>
              <w:keepLines w:val="0"/>
              <w:widowControl/>
              <w:suppressLineNumbers w:val="0"/>
              <w:jc w:val="center"/>
              <w:textAlignment w:val="center"/>
              <w:rPr>
                <w:rFonts w:hint="default" w:ascii="宋体" w:hAnsi="宋体" w:eastAsia="宋体" w:cs="宋体"/>
                <w:b/>
                <w:bCs/>
                <w:i w:val="0"/>
                <w:iCs w:val="0"/>
                <w:color w:val="000000"/>
                <w:sz w:val="24"/>
                <w:szCs w:val="24"/>
                <w:u w:val="none"/>
                <w:lang w:val="en-US"/>
              </w:rPr>
            </w:pPr>
            <w:r>
              <w:rPr>
                <w:rFonts w:hint="eastAsia" w:ascii="宋体" w:hAnsi="宋体" w:eastAsia="宋体" w:cs="宋体"/>
                <w:b/>
                <w:bCs/>
                <w:i w:val="0"/>
                <w:iCs w:val="0"/>
                <w:color w:val="000000"/>
                <w:kern w:val="0"/>
                <w:sz w:val="24"/>
                <w:szCs w:val="24"/>
                <w:u w:val="none"/>
                <w:lang w:val="en-US" w:eastAsia="zh-CN" w:bidi="ar"/>
              </w:rPr>
              <w:t>4</w:t>
            </w:r>
            <w:r>
              <w:rPr>
                <w:rFonts w:hint="eastAsia" w:ascii="宋体" w:hAnsi="宋体" w:cs="宋体"/>
                <w:b/>
                <w:bCs/>
                <w:i w:val="0"/>
                <w:iCs w:val="0"/>
                <w:color w:val="000000"/>
                <w:kern w:val="0"/>
                <w:sz w:val="24"/>
                <w:szCs w:val="24"/>
                <w:u w:val="none"/>
                <w:lang w:val="en-US" w:eastAsia="zh-CN" w:bidi="ar"/>
              </w:rPr>
              <w:t>000</w:t>
            </w:r>
          </w:p>
        </w:tc>
      </w:tr>
      <w:tr w14:paraId="6C923A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jc w:val="center"/>
        </w:trPr>
        <w:tc>
          <w:tcPr>
            <w:tcW w:w="7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4EF15">
            <w:pPr>
              <w:jc w:val="center"/>
              <w:rPr>
                <w:rFonts w:hint="eastAsia" w:ascii="宋体" w:hAnsi="宋体" w:eastAsia="宋体" w:cs="宋体"/>
                <w:i w:val="0"/>
                <w:iCs w:val="0"/>
                <w:color w:val="000000"/>
                <w:sz w:val="24"/>
                <w:szCs w:val="24"/>
                <w:u w:val="none"/>
              </w:rPr>
            </w:pPr>
          </w:p>
        </w:tc>
        <w:tc>
          <w:tcPr>
            <w:tcW w:w="4983" w:type="dxa"/>
            <w:tcBorders>
              <w:top w:val="nil"/>
              <w:left w:val="single" w:color="000000" w:sz="4" w:space="0"/>
              <w:bottom w:val="single" w:color="000000" w:sz="4" w:space="0"/>
              <w:right w:val="single" w:color="000000" w:sz="4" w:space="0"/>
            </w:tcBorders>
            <w:shd w:val="clear" w:color="auto" w:fill="auto"/>
            <w:vAlign w:val="center"/>
          </w:tcPr>
          <w:p w14:paraId="229125EB">
            <w:pPr>
              <w:keepNext w:val="0"/>
              <w:keepLines w:val="0"/>
              <w:widowControl/>
              <w:suppressLineNumbers w:val="0"/>
              <w:jc w:val="center"/>
              <w:textAlignment w:val="center"/>
              <w:rPr>
                <w:rFonts w:hint="default" w:ascii="宋体" w:hAnsi="宋体" w:eastAsia="宋体" w:cs="宋体"/>
                <w:b/>
                <w:bCs/>
                <w:i w:val="0"/>
                <w:iCs w:val="0"/>
                <w:color w:val="000000"/>
                <w:sz w:val="24"/>
                <w:szCs w:val="24"/>
                <w:u w:val="none"/>
                <w:lang w:val="en-US"/>
              </w:rPr>
            </w:pPr>
            <w:r>
              <w:rPr>
                <w:rFonts w:hint="eastAsia" w:ascii="宋体" w:hAnsi="宋体" w:eastAsia="宋体" w:cs="宋体"/>
                <w:b/>
                <w:bCs/>
                <w:i w:val="0"/>
                <w:iCs w:val="0"/>
                <w:color w:val="000000"/>
                <w:kern w:val="0"/>
                <w:sz w:val="24"/>
                <w:szCs w:val="24"/>
                <w:u w:val="none"/>
                <w:lang w:val="en-US" w:eastAsia="zh-CN" w:bidi="ar"/>
              </w:rPr>
              <w:t>4</w:t>
            </w:r>
            <w:r>
              <w:rPr>
                <w:rFonts w:hint="eastAsia" w:ascii="宋体" w:hAnsi="宋体" w:cs="宋体"/>
                <w:b/>
                <w:bCs/>
                <w:i w:val="0"/>
                <w:iCs w:val="0"/>
                <w:color w:val="000000"/>
                <w:kern w:val="0"/>
                <w:sz w:val="24"/>
                <w:szCs w:val="24"/>
                <w:u w:val="none"/>
                <w:lang w:val="en-US" w:eastAsia="zh-CN" w:bidi="ar"/>
              </w:rPr>
              <w:t>000</w:t>
            </w:r>
          </w:p>
        </w:tc>
        <w:tc>
          <w:tcPr>
            <w:tcW w:w="4476" w:type="dxa"/>
            <w:vMerge w:val="continue"/>
            <w:tcBorders>
              <w:top w:val="nil"/>
              <w:left w:val="single" w:color="000000" w:sz="4" w:space="0"/>
              <w:bottom w:val="single" w:color="000000" w:sz="4" w:space="0"/>
              <w:right w:val="single" w:color="000000" w:sz="4" w:space="0"/>
            </w:tcBorders>
            <w:shd w:val="clear" w:color="auto" w:fill="auto"/>
            <w:vAlign w:val="center"/>
          </w:tcPr>
          <w:p w14:paraId="0B0D975B">
            <w:pPr>
              <w:jc w:val="center"/>
              <w:rPr>
                <w:rFonts w:hint="eastAsia" w:ascii="宋体" w:hAnsi="宋体" w:eastAsia="宋体" w:cs="宋体"/>
                <w:b/>
                <w:bCs/>
                <w:i w:val="0"/>
                <w:iCs w:val="0"/>
                <w:color w:val="000000"/>
                <w:sz w:val="24"/>
                <w:szCs w:val="24"/>
                <w:u w:val="none"/>
              </w:rPr>
            </w:pPr>
          </w:p>
        </w:tc>
        <w:tc>
          <w:tcPr>
            <w:tcW w:w="4507" w:type="dxa"/>
            <w:vMerge w:val="continue"/>
            <w:tcBorders>
              <w:top w:val="nil"/>
              <w:left w:val="single" w:color="000000" w:sz="4" w:space="0"/>
              <w:bottom w:val="single" w:color="000000" w:sz="4" w:space="0"/>
              <w:right w:val="single" w:color="000000" w:sz="4" w:space="0"/>
            </w:tcBorders>
            <w:shd w:val="clear" w:color="auto" w:fill="auto"/>
            <w:vAlign w:val="center"/>
          </w:tcPr>
          <w:p w14:paraId="3A858FED">
            <w:pPr>
              <w:jc w:val="center"/>
              <w:rPr>
                <w:rFonts w:hint="eastAsia" w:ascii="宋体" w:hAnsi="宋体" w:eastAsia="宋体" w:cs="宋体"/>
                <w:b/>
                <w:bCs/>
                <w:i w:val="0"/>
                <w:iCs w:val="0"/>
                <w:color w:val="000000"/>
                <w:sz w:val="24"/>
                <w:szCs w:val="24"/>
                <w:u w:val="none"/>
              </w:rPr>
            </w:pPr>
          </w:p>
        </w:tc>
      </w:tr>
      <w:tr w14:paraId="749ECF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9" w:hRule="atLeast"/>
          <w:jc w:val="center"/>
        </w:trPr>
        <w:tc>
          <w:tcPr>
            <w:tcW w:w="5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4700A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每年维护费用合计（1+2+3）</w:t>
            </w:r>
          </w:p>
        </w:tc>
        <w:tc>
          <w:tcPr>
            <w:tcW w:w="4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254C0">
            <w:pPr>
              <w:keepNext w:val="0"/>
              <w:keepLines w:val="0"/>
              <w:widowControl/>
              <w:suppressLineNumbers w:val="0"/>
              <w:jc w:val="center"/>
              <w:textAlignment w:val="center"/>
              <w:rPr>
                <w:rFonts w:hint="default" w:ascii="宋体" w:hAnsi="宋体" w:eastAsia="宋体" w:cs="宋体"/>
                <w:b/>
                <w:bCs/>
                <w:i w:val="0"/>
                <w:iCs w:val="0"/>
                <w:color w:val="000000"/>
                <w:sz w:val="24"/>
                <w:szCs w:val="24"/>
                <w:u w:val="none"/>
                <w:lang w:val="en-US"/>
              </w:rPr>
            </w:pPr>
            <w:r>
              <w:rPr>
                <w:rFonts w:hint="eastAsia" w:ascii="宋体" w:hAnsi="宋体" w:eastAsia="宋体" w:cs="宋体"/>
                <w:b/>
                <w:bCs/>
                <w:i w:val="0"/>
                <w:iCs w:val="0"/>
                <w:color w:val="000000"/>
                <w:kern w:val="0"/>
                <w:sz w:val="24"/>
                <w:szCs w:val="24"/>
                <w:u w:val="none"/>
                <w:lang w:val="en-US" w:eastAsia="zh-CN" w:bidi="ar"/>
              </w:rPr>
              <w:t>622</w:t>
            </w:r>
            <w:r>
              <w:rPr>
                <w:rFonts w:hint="eastAsia" w:ascii="宋体" w:hAnsi="宋体" w:cs="宋体"/>
                <w:b/>
                <w:bCs/>
                <w:i w:val="0"/>
                <w:iCs w:val="0"/>
                <w:color w:val="000000"/>
                <w:kern w:val="0"/>
                <w:sz w:val="24"/>
                <w:szCs w:val="24"/>
                <w:u w:val="none"/>
                <w:lang w:val="en-US" w:eastAsia="zh-CN" w:bidi="ar"/>
              </w:rPr>
              <w:t>0</w:t>
            </w:r>
          </w:p>
        </w:tc>
        <w:tc>
          <w:tcPr>
            <w:tcW w:w="45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8A88E">
            <w:pPr>
              <w:keepNext w:val="0"/>
              <w:keepLines w:val="0"/>
              <w:widowControl/>
              <w:suppressLineNumbers w:val="0"/>
              <w:jc w:val="center"/>
              <w:textAlignment w:val="center"/>
              <w:rPr>
                <w:rFonts w:hint="default" w:ascii="宋体" w:hAnsi="宋体" w:eastAsia="宋体" w:cs="宋体"/>
                <w:b/>
                <w:bCs/>
                <w:i w:val="0"/>
                <w:iCs w:val="0"/>
                <w:color w:val="000000"/>
                <w:sz w:val="24"/>
                <w:szCs w:val="24"/>
                <w:u w:val="none"/>
                <w:lang w:val="en-US"/>
              </w:rPr>
            </w:pPr>
            <w:r>
              <w:rPr>
                <w:rFonts w:hint="eastAsia" w:ascii="宋体" w:hAnsi="宋体" w:eastAsia="宋体" w:cs="宋体"/>
                <w:b/>
                <w:bCs/>
                <w:i w:val="0"/>
                <w:iCs w:val="0"/>
                <w:color w:val="000000"/>
                <w:kern w:val="0"/>
                <w:sz w:val="24"/>
                <w:szCs w:val="24"/>
                <w:u w:val="none"/>
                <w:lang w:val="en-US" w:eastAsia="zh-CN" w:bidi="ar"/>
              </w:rPr>
              <w:t>682</w:t>
            </w:r>
            <w:r>
              <w:rPr>
                <w:rFonts w:hint="eastAsia" w:ascii="宋体" w:hAnsi="宋体" w:cs="宋体"/>
                <w:b/>
                <w:bCs/>
                <w:i w:val="0"/>
                <w:iCs w:val="0"/>
                <w:color w:val="000000"/>
                <w:kern w:val="0"/>
                <w:sz w:val="24"/>
                <w:szCs w:val="24"/>
                <w:u w:val="none"/>
                <w:lang w:val="en-US" w:eastAsia="zh-CN" w:bidi="ar"/>
              </w:rPr>
              <w:t>0</w:t>
            </w:r>
          </w:p>
        </w:tc>
      </w:tr>
    </w:tbl>
    <w:p w14:paraId="6C9AB210">
      <w:pPr>
        <w:spacing w:line="360" w:lineRule="auto"/>
        <w:jc w:val="right"/>
        <w:rPr>
          <w:rFonts w:hint="eastAsia" w:asciiTheme="minorEastAsia" w:hAnsiTheme="minorEastAsia" w:eastAsiaTheme="minorEastAsia" w:cstheme="minorEastAsia"/>
          <w:kern w:val="0"/>
          <w:sz w:val="24"/>
          <w:szCs w:val="24"/>
        </w:rPr>
      </w:pPr>
    </w:p>
    <w:p w14:paraId="01B7F2BD">
      <w:pPr>
        <w:spacing w:line="360" w:lineRule="auto"/>
        <w:jc w:val="right"/>
        <w:rPr>
          <w:rFonts w:hint="eastAsia" w:asciiTheme="minorEastAsia" w:hAnsiTheme="minorEastAsia" w:eastAsiaTheme="minorEastAsia" w:cstheme="minorEastAsia"/>
          <w:kern w:val="0"/>
          <w:sz w:val="24"/>
          <w:szCs w:val="24"/>
        </w:rPr>
      </w:pPr>
    </w:p>
    <w:p w14:paraId="1BA74510">
      <w:pPr>
        <w:spacing w:line="360" w:lineRule="auto"/>
        <w:jc w:val="both"/>
        <w:rPr>
          <w:rFonts w:hint="eastAsia" w:asciiTheme="minorEastAsia" w:hAnsiTheme="minorEastAsia" w:eastAsiaTheme="minorEastAsia" w:cstheme="minorEastAsia"/>
          <w:kern w:val="0"/>
          <w:sz w:val="24"/>
          <w:szCs w:val="24"/>
        </w:rPr>
      </w:pPr>
    </w:p>
    <w:p w14:paraId="1CF79E67">
      <w:pPr>
        <w:pStyle w:val="39"/>
        <w:numPr>
          <w:ilvl w:val="0"/>
          <w:numId w:val="8"/>
        </w:numPr>
        <w:ind w:firstLine="0" w:firstLineChars="0"/>
        <w:rPr>
          <w:rFonts w:asciiTheme="minorEastAsia" w:hAnsiTheme="minorEastAsia" w:eastAsiaTheme="minorEastAsia" w:cstheme="minorEastAsia"/>
          <w:color w:val="auto"/>
          <w:kern w:val="2"/>
          <w:sz w:val="24"/>
          <w:szCs w:val="24"/>
        </w:rPr>
      </w:pPr>
      <w:r>
        <w:rPr>
          <w:rFonts w:hint="eastAsia" w:asciiTheme="minorEastAsia" w:hAnsiTheme="minorEastAsia" w:eastAsiaTheme="minorEastAsia" w:cstheme="minorEastAsia"/>
          <w:color w:val="auto"/>
          <w:kern w:val="2"/>
          <w:sz w:val="24"/>
          <w:szCs w:val="24"/>
          <w:lang w:val="en-US" w:eastAsia="zh-CN"/>
        </w:rPr>
        <w:t>声光电水位雨量一体站</w:t>
      </w:r>
    </w:p>
    <w:p w14:paraId="1380D1DF">
      <w:pPr>
        <w:spacing w:line="360" w:lineRule="auto"/>
        <w:jc w:val="right"/>
        <w:rPr>
          <w:rFonts w:asciiTheme="minorEastAsia" w:hAnsiTheme="minorEastAsia" w:eastAsiaTheme="minorEastAsia" w:cstheme="minorEastAsia"/>
          <w:color w:val="auto"/>
          <w:kern w:val="2"/>
          <w:sz w:val="24"/>
          <w:szCs w:val="24"/>
        </w:rPr>
      </w:pPr>
      <w:r>
        <w:rPr>
          <w:rFonts w:hint="eastAsia" w:asciiTheme="minorEastAsia" w:hAnsiTheme="minorEastAsia" w:eastAsiaTheme="minorEastAsia" w:cstheme="minorEastAsia"/>
          <w:kern w:val="0"/>
          <w:sz w:val="24"/>
          <w:szCs w:val="24"/>
        </w:rPr>
        <w:t>计量单位：元/站</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kern w:val="0"/>
          <w:sz w:val="24"/>
          <w:szCs w:val="24"/>
        </w:rPr>
        <w:t>年</w:t>
      </w:r>
    </w:p>
    <w:tbl>
      <w:tblPr>
        <w:tblStyle w:val="32"/>
        <w:tblW w:w="1397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00"/>
        <w:gridCol w:w="3458"/>
        <w:gridCol w:w="4843"/>
        <w:gridCol w:w="4877"/>
      </w:tblGrid>
      <w:tr w14:paraId="0859A5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2" w:hRule="atLeast"/>
          <w:jc w:val="center"/>
        </w:trPr>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5DD0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3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7B2B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适用范围</w:t>
            </w:r>
          </w:p>
        </w:tc>
        <w:tc>
          <w:tcPr>
            <w:tcW w:w="48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B6ADD">
            <w:pPr>
              <w:keepNext w:val="0"/>
              <w:keepLines w:val="0"/>
              <w:widowControl/>
              <w:suppressLineNumbers w:val="0"/>
              <w:jc w:val="both"/>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兴安盟、通辽、赤峰、乌兰察布、呼和浩特、鄂尔多斯、包头、巴彦淖尔、乌海、满洲里</w:t>
            </w:r>
          </w:p>
        </w:tc>
        <w:tc>
          <w:tcPr>
            <w:tcW w:w="4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6C18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呼伦贝尔、阿拉善、锡林郭勒</w:t>
            </w:r>
          </w:p>
        </w:tc>
      </w:tr>
      <w:tr w14:paraId="5FF31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jc w:val="center"/>
        </w:trPr>
        <w:tc>
          <w:tcPr>
            <w:tcW w:w="425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50D3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建设单价（元）</w:t>
            </w:r>
          </w:p>
        </w:tc>
        <w:tc>
          <w:tcPr>
            <w:tcW w:w="48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9CF649">
            <w:pPr>
              <w:keepNext w:val="0"/>
              <w:keepLines w:val="0"/>
              <w:widowControl/>
              <w:suppressLineNumbers w:val="0"/>
              <w:jc w:val="center"/>
              <w:textAlignment w:val="center"/>
              <w:rPr>
                <w:rFonts w:hint="default" w:ascii="宋体" w:hAnsi="宋体" w:eastAsia="宋体" w:cs="宋体"/>
                <w:b/>
                <w:bCs/>
                <w:i w:val="0"/>
                <w:iCs w:val="0"/>
                <w:color w:val="000000"/>
                <w:sz w:val="24"/>
                <w:szCs w:val="24"/>
                <w:u w:val="none"/>
                <w:lang w:val="en-US"/>
              </w:rPr>
            </w:pPr>
            <w:r>
              <w:rPr>
                <w:rFonts w:hint="eastAsia" w:ascii="宋体" w:hAnsi="宋体" w:eastAsia="宋体" w:cs="宋体"/>
                <w:b/>
                <w:bCs/>
                <w:i w:val="0"/>
                <w:iCs w:val="0"/>
                <w:color w:val="000000"/>
                <w:kern w:val="0"/>
                <w:sz w:val="24"/>
                <w:szCs w:val="24"/>
                <w:u w:val="none"/>
                <w:lang w:val="en-US" w:eastAsia="zh-CN" w:bidi="ar"/>
              </w:rPr>
              <w:t>348</w:t>
            </w:r>
            <w:r>
              <w:rPr>
                <w:rFonts w:hint="eastAsia" w:ascii="宋体" w:hAnsi="宋体" w:cs="宋体"/>
                <w:b/>
                <w:bCs/>
                <w:i w:val="0"/>
                <w:iCs w:val="0"/>
                <w:color w:val="000000"/>
                <w:kern w:val="0"/>
                <w:sz w:val="24"/>
                <w:szCs w:val="24"/>
                <w:u w:val="none"/>
                <w:lang w:val="en-US" w:eastAsia="zh-CN" w:bidi="ar"/>
              </w:rPr>
              <w:t>00</w:t>
            </w:r>
          </w:p>
        </w:tc>
        <w:tc>
          <w:tcPr>
            <w:tcW w:w="4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C193DE">
            <w:pPr>
              <w:keepNext w:val="0"/>
              <w:keepLines w:val="0"/>
              <w:widowControl/>
              <w:suppressLineNumbers w:val="0"/>
              <w:jc w:val="center"/>
              <w:textAlignment w:val="center"/>
              <w:rPr>
                <w:rFonts w:hint="default" w:ascii="宋体" w:hAnsi="宋体" w:eastAsia="宋体" w:cs="宋体"/>
                <w:b/>
                <w:bCs/>
                <w:i w:val="0"/>
                <w:iCs w:val="0"/>
                <w:color w:val="000000"/>
                <w:sz w:val="24"/>
                <w:szCs w:val="24"/>
                <w:u w:val="none"/>
                <w:lang w:val="en-US"/>
              </w:rPr>
            </w:pPr>
            <w:r>
              <w:rPr>
                <w:rFonts w:hint="eastAsia" w:ascii="宋体" w:hAnsi="宋体" w:eastAsia="宋体" w:cs="宋体"/>
                <w:b/>
                <w:bCs/>
                <w:i w:val="0"/>
                <w:iCs w:val="0"/>
                <w:color w:val="000000"/>
                <w:kern w:val="0"/>
                <w:sz w:val="24"/>
                <w:szCs w:val="24"/>
                <w:u w:val="none"/>
                <w:lang w:val="en-US" w:eastAsia="zh-CN" w:bidi="ar"/>
              </w:rPr>
              <w:t>348</w:t>
            </w:r>
            <w:r>
              <w:rPr>
                <w:rFonts w:hint="eastAsia" w:ascii="宋体" w:hAnsi="宋体" w:cs="宋体"/>
                <w:b/>
                <w:bCs/>
                <w:i w:val="0"/>
                <w:iCs w:val="0"/>
                <w:color w:val="000000"/>
                <w:kern w:val="0"/>
                <w:sz w:val="24"/>
                <w:szCs w:val="24"/>
                <w:u w:val="none"/>
                <w:lang w:val="en-US" w:eastAsia="zh-CN" w:bidi="ar"/>
              </w:rPr>
              <w:t>00</w:t>
            </w:r>
          </w:p>
        </w:tc>
      </w:tr>
      <w:tr w14:paraId="2AF599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jc w:val="center"/>
        </w:trPr>
        <w:tc>
          <w:tcPr>
            <w:tcW w:w="42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4BFA11">
            <w:pPr>
              <w:jc w:val="center"/>
              <w:rPr>
                <w:rFonts w:hint="eastAsia" w:ascii="宋体" w:hAnsi="宋体" w:eastAsia="宋体" w:cs="宋体"/>
                <w:i w:val="0"/>
                <w:iCs w:val="0"/>
                <w:color w:val="000000"/>
                <w:sz w:val="24"/>
                <w:szCs w:val="24"/>
                <w:u w:val="none"/>
              </w:rPr>
            </w:pPr>
          </w:p>
        </w:tc>
        <w:tc>
          <w:tcPr>
            <w:tcW w:w="4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ACE43E">
            <w:pPr>
              <w:jc w:val="center"/>
              <w:rPr>
                <w:rFonts w:hint="eastAsia" w:ascii="宋体" w:hAnsi="宋体" w:eastAsia="宋体" w:cs="宋体"/>
                <w:b/>
                <w:bCs/>
                <w:i w:val="0"/>
                <w:iCs w:val="0"/>
                <w:color w:val="000000"/>
                <w:sz w:val="24"/>
                <w:szCs w:val="24"/>
                <w:u w:val="none"/>
              </w:rPr>
            </w:pPr>
          </w:p>
        </w:tc>
        <w:tc>
          <w:tcPr>
            <w:tcW w:w="4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7F9FC2">
            <w:pPr>
              <w:jc w:val="center"/>
              <w:rPr>
                <w:rFonts w:hint="eastAsia" w:ascii="宋体" w:hAnsi="宋体" w:eastAsia="宋体" w:cs="宋体"/>
                <w:b/>
                <w:bCs/>
                <w:i w:val="0"/>
                <w:iCs w:val="0"/>
                <w:color w:val="000000"/>
                <w:sz w:val="24"/>
                <w:szCs w:val="24"/>
                <w:u w:val="none"/>
              </w:rPr>
            </w:pPr>
          </w:p>
        </w:tc>
      </w:tr>
      <w:tr w14:paraId="1A69C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jc w:val="center"/>
        </w:trPr>
        <w:tc>
          <w:tcPr>
            <w:tcW w:w="80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5F48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A85C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折旧系数</w:t>
            </w:r>
          </w:p>
        </w:tc>
        <w:tc>
          <w:tcPr>
            <w:tcW w:w="48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6E9EA7">
            <w:pPr>
              <w:keepNext w:val="0"/>
              <w:keepLines w:val="0"/>
              <w:widowControl/>
              <w:suppressLineNumbers w:val="0"/>
              <w:jc w:val="center"/>
              <w:textAlignment w:val="center"/>
              <w:rPr>
                <w:rFonts w:hint="default" w:ascii="宋体" w:hAnsi="宋体" w:eastAsia="宋体" w:cs="宋体"/>
                <w:b/>
                <w:bCs/>
                <w:i w:val="0"/>
                <w:iCs w:val="0"/>
                <w:color w:val="000000"/>
                <w:sz w:val="24"/>
                <w:szCs w:val="24"/>
                <w:u w:val="none"/>
                <w:lang w:val="en-US"/>
              </w:rPr>
            </w:pPr>
            <w:r>
              <w:rPr>
                <w:rFonts w:hint="eastAsia" w:ascii="宋体" w:hAnsi="宋体" w:eastAsia="宋体" w:cs="宋体"/>
                <w:b/>
                <w:bCs/>
                <w:i w:val="0"/>
                <w:iCs w:val="0"/>
                <w:color w:val="000000"/>
                <w:kern w:val="0"/>
                <w:sz w:val="24"/>
                <w:szCs w:val="24"/>
                <w:u w:val="none"/>
                <w:lang w:val="en-US" w:eastAsia="zh-CN" w:bidi="ar"/>
              </w:rPr>
              <w:t>348</w:t>
            </w:r>
            <w:r>
              <w:rPr>
                <w:rFonts w:hint="eastAsia" w:ascii="宋体" w:hAnsi="宋体" w:cs="宋体"/>
                <w:b/>
                <w:bCs/>
                <w:i w:val="0"/>
                <w:iCs w:val="0"/>
                <w:color w:val="000000"/>
                <w:kern w:val="0"/>
                <w:sz w:val="24"/>
                <w:szCs w:val="24"/>
                <w:u w:val="none"/>
                <w:lang w:val="en-US" w:eastAsia="zh-CN" w:bidi="ar"/>
              </w:rPr>
              <w:t>0</w:t>
            </w:r>
          </w:p>
        </w:tc>
        <w:tc>
          <w:tcPr>
            <w:tcW w:w="4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F589C7">
            <w:pPr>
              <w:keepNext w:val="0"/>
              <w:keepLines w:val="0"/>
              <w:widowControl/>
              <w:suppressLineNumbers w:val="0"/>
              <w:jc w:val="center"/>
              <w:textAlignment w:val="center"/>
              <w:rPr>
                <w:rFonts w:hint="default" w:ascii="宋体" w:hAnsi="宋体" w:eastAsia="宋体" w:cs="宋体"/>
                <w:b/>
                <w:bCs/>
                <w:i w:val="0"/>
                <w:iCs w:val="0"/>
                <w:color w:val="000000"/>
                <w:sz w:val="24"/>
                <w:szCs w:val="24"/>
                <w:u w:val="none"/>
                <w:lang w:val="en-US"/>
              </w:rPr>
            </w:pPr>
            <w:r>
              <w:rPr>
                <w:rFonts w:hint="eastAsia" w:ascii="宋体" w:hAnsi="宋体" w:eastAsia="宋体" w:cs="宋体"/>
                <w:b/>
                <w:bCs/>
                <w:i w:val="0"/>
                <w:iCs w:val="0"/>
                <w:color w:val="000000"/>
                <w:kern w:val="0"/>
                <w:sz w:val="24"/>
                <w:szCs w:val="24"/>
                <w:u w:val="none"/>
                <w:lang w:val="en-US" w:eastAsia="zh-CN" w:bidi="ar"/>
              </w:rPr>
              <w:t>348</w:t>
            </w:r>
            <w:r>
              <w:rPr>
                <w:rFonts w:hint="eastAsia" w:ascii="宋体" w:hAnsi="宋体" w:cs="宋体"/>
                <w:b/>
                <w:bCs/>
                <w:i w:val="0"/>
                <w:iCs w:val="0"/>
                <w:color w:val="000000"/>
                <w:kern w:val="0"/>
                <w:sz w:val="24"/>
                <w:szCs w:val="24"/>
                <w:u w:val="none"/>
                <w:lang w:val="en-US" w:eastAsia="zh-CN" w:bidi="ar"/>
              </w:rPr>
              <w:t>0</w:t>
            </w:r>
          </w:p>
        </w:tc>
      </w:tr>
      <w:tr w14:paraId="71DB61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9"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195F5">
            <w:pPr>
              <w:jc w:val="center"/>
              <w:rPr>
                <w:rFonts w:hint="eastAsia" w:ascii="宋体" w:hAnsi="宋体" w:eastAsia="宋体" w:cs="宋体"/>
                <w:i w:val="0"/>
                <w:iCs w:val="0"/>
                <w:color w:val="000000"/>
                <w:sz w:val="24"/>
                <w:szCs w:val="24"/>
                <w:u w:val="none"/>
              </w:rPr>
            </w:pPr>
          </w:p>
        </w:tc>
        <w:tc>
          <w:tcPr>
            <w:tcW w:w="34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91F3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0.1 </w:t>
            </w:r>
          </w:p>
        </w:tc>
        <w:tc>
          <w:tcPr>
            <w:tcW w:w="4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56852E">
            <w:pPr>
              <w:jc w:val="center"/>
              <w:rPr>
                <w:rFonts w:hint="eastAsia" w:ascii="宋体" w:hAnsi="宋体" w:eastAsia="宋体" w:cs="宋体"/>
                <w:b/>
                <w:bCs/>
                <w:i w:val="0"/>
                <w:iCs w:val="0"/>
                <w:color w:val="000000"/>
                <w:sz w:val="24"/>
                <w:szCs w:val="24"/>
                <w:u w:val="none"/>
              </w:rPr>
            </w:pPr>
          </w:p>
        </w:tc>
        <w:tc>
          <w:tcPr>
            <w:tcW w:w="4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0A9F7B">
            <w:pPr>
              <w:jc w:val="center"/>
              <w:rPr>
                <w:rFonts w:hint="eastAsia" w:ascii="宋体" w:hAnsi="宋体" w:eastAsia="宋体" w:cs="宋体"/>
                <w:b/>
                <w:bCs/>
                <w:i w:val="0"/>
                <w:iCs w:val="0"/>
                <w:color w:val="000000"/>
                <w:sz w:val="24"/>
                <w:szCs w:val="24"/>
                <w:u w:val="none"/>
              </w:rPr>
            </w:pPr>
          </w:p>
        </w:tc>
      </w:tr>
      <w:tr w14:paraId="1359D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36598">
            <w:pPr>
              <w:jc w:val="center"/>
              <w:rPr>
                <w:rFonts w:hint="eastAsia" w:ascii="宋体" w:hAnsi="宋体" w:eastAsia="宋体" w:cs="宋体"/>
                <w:i w:val="0"/>
                <w:iCs w:val="0"/>
                <w:color w:val="000000"/>
                <w:sz w:val="24"/>
                <w:szCs w:val="24"/>
                <w:u w:val="none"/>
              </w:rPr>
            </w:pPr>
          </w:p>
        </w:tc>
        <w:tc>
          <w:tcPr>
            <w:tcW w:w="34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4FDA91">
            <w:pPr>
              <w:jc w:val="center"/>
              <w:rPr>
                <w:rFonts w:hint="eastAsia" w:ascii="宋体" w:hAnsi="宋体" w:eastAsia="宋体" w:cs="宋体"/>
                <w:i w:val="0"/>
                <w:iCs w:val="0"/>
                <w:color w:val="000000"/>
                <w:sz w:val="24"/>
                <w:szCs w:val="24"/>
                <w:u w:val="none"/>
              </w:rPr>
            </w:pPr>
          </w:p>
        </w:tc>
        <w:tc>
          <w:tcPr>
            <w:tcW w:w="4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E5043E">
            <w:pPr>
              <w:jc w:val="center"/>
              <w:rPr>
                <w:rFonts w:hint="eastAsia" w:ascii="宋体" w:hAnsi="宋体" w:eastAsia="宋体" w:cs="宋体"/>
                <w:b/>
                <w:bCs/>
                <w:i w:val="0"/>
                <w:iCs w:val="0"/>
                <w:color w:val="000000"/>
                <w:sz w:val="24"/>
                <w:szCs w:val="24"/>
                <w:u w:val="none"/>
              </w:rPr>
            </w:pPr>
          </w:p>
        </w:tc>
        <w:tc>
          <w:tcPr>
            <w:tcW w:w="4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266BBB">
            <w:pPr>
              <w:jc w:val="center"/>
              <w:rPr>
                <w:rFonts w:hint="eastAsia" w:ascii="宋体" w:hAnsi="宋体" w:eastAsia="宋体" w:cs="宋体"/>
                <w:b/>
                <w:bCs/>
                <w:i w:val="0"/>
                <w:iCs w:val="0"/>
                <w:color w:val="000000"/>
                <w:sz w:val="24"/>
                <w:szCs w:val="24"/>
                <w:u w:val="none"/>
              </w:rPr>
            </w:pPr>
          </w:p>
        </w:tc>
      </w:tr>
      <w:tr w14:paraId="3549D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4780A">
            <w:pPr>
              <w:jc w:val="center"/>
              <w:rPr>
                <w:rFonts w:hint="eastAsia" w:ascii="宋体" w:hAnsi="宋体" w:eastAsia="宋体" w:cs="宋体"/>
                <w:i w:val="0"/>
                <w:iCs w:val="0"/>
                <w:color w:val="000000"/>
                <w:sz w:val="24"/>
                <w:szCs w:val="24"/>
                <w:u w:val="none"/>
              </w:rPr>
            </w:pPr>
          </w:p>
        </w:tc>
        <w:tc>
          <w:tcPr>
            <w:tcW w:w="34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EF3082">
            <w:pPr>
              <w:jc w:val="center"/>
              <w:rPr>
                <w:rFonts w:hint="eastAsia" w:ascii="宋体" w:hAnsi="宋体" w:eastAsia="宋体" w:cs="宋体"/>
                <w:i w:val="0"/>
                <w:iCs w:val="0"/>
                <w:color w:val="000000"/>
                <w:sz w:val="24"/>
                <w:szCs w:val="24"/>
                <w:u w:val="none"/>
              </w:rPr>
            </w:pPr>
          </w:p>
        </w:tc>
        <w:tc>
          <w:tcPr>
            <w:tcW w:w="4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C9E197">
            <w:pPr>
              <w:jc w:val="center"/>
              <w:rPr>
                <w:rFonts w:hint="eastAsia" w:ascii="宋体" w:hAnsi="宋体" w:eastAsia="宋体" w:cs="宋体"/>
                <w:b/>
                <w:bCs/>
                <w:i w:val="0"/>
                <w:iCs w:val="0"/>
                <w:color w:val="000000"/>
                <w:sz w:val="24"/>
                <w:szCs w:val="24"/>
                <w:u w:val="none"/>
              </w:rPr>
            </w:pPr>
          </w:p>
        </w:tc>
        <w:tc>
          <w:tcPr>
            <w:tcW w:w="4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3EDA56">
            <w:pPr>
              <w:jc w:val="center"/>
              <w:rPr>
                <w:rFonts w:hint="eastAsia" w:ascii="宋体" w:hAnsi="宋体" w:eastAsia="宋体" w:cs="宋体"/>
                <w:b/>
                <w:bCs/>
                <w:i w:val="0"/>
                <w:iCs w:val="0"/>
                <w:color w:val="000000"/>
                <w:sz w:val="24"/>
                <w:szCs w:val="24"/>
                <w:u w:val="none"/>
              </w:rPr>
            </w:pPr>
          </w:p>
        </w:tc>
      </w:tr>
      <w:tr w14:paraId="294AE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jc w:val="center"/>
        </w:trPr>
        <w:tc>
          <w:tcPr>
            <w:tcW w:w="80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3B8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5CCE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远距离补贴（元）</w:t>
            </w:r>
          </w:p>
        </w:tc>
        <w:tc>
          <w:tcPr>
            <w:tcW w:w="48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8B211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0</w:t>
            </w:r>
          </w:p>
        </w:tc>
        <w:tc>
          <w:tcPr>
            <w:tcW w:w="4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892457">
            <w:pPr>
              <w:keepNext w:val="0"/>
              <w:keepLines w:val="0"/>
              <w:widowControl/>
              <w:suppressLineNumbers w:val="0"/>
              <w:jc w:val="center"/>
              <w:textAlignment w:val="center"/>
              <w:rPr>
                <w:rFonts w:hint="default" w:ascii="宋体" w:hAnsi="宋体" w:eastAsia="宋体" w:cs="宋体"/>
                <w:b/>
                <w:bCs/>
                <w:i w:val="0"/>
                <w:iCs w:val="0"/>
                <w:color w:val="000000"/>
                <w:sz w:val="24"/>
                <w:szCs w:val="24"/>
                <w:u w:val="none"/>
                <w:lang w:val="en-US"/>
              </w:rPr>
            </w:pPr>
            <w:r>
              <w:rPr>
                <w:rFonts w:hint="eastAsia" w:ascii="宋体" w:hAnsi="宋体" w:eastAsia="宋体" w:cs="宋体"/>
                <w:b/>
                <w:bCs/>
                <w:i w:val="0"/>
                <w:iCs w:val="0"/>
                <w:color w:val="000000"/>
                <w:kern w:val="0"/>
                <w:sz w:val="24"/>
                <w:szCs w:val="24"/>
                <w:u w:val="none"/>
                <w:lang w:val="en-US" w:eastAsia="zh-CN" w:bidi="ar"/>
              </w:rPr>
              <w:t>6</w:t>
            </w:r>
            <w:r>
              <w:rPr>
                <w:rFonts w:hint="eastAsia" w:ascii="宋体" w:hAnsi="宋体" w:cs="宋体"/>
                <w:b/>
                <w:bCs/>
                <w:i w:val="0"/>
                <w:iCs w:val="0"/>
                <w:color w:val="000000"/>
                <w:kern w:val="0"/>
                <w:sz w:val="24"/>
                <w:szCs w:val="24"/>
                <w:u w:val="none"/>
                <w:lang w:val="en-US" w:eastAsia="zh-CN" w:bidi="ar"/>
              </w:rPr>
              <w:t>00</w:t>
            </w:r>
          </w:p>
        </w:tc>
      </w:tr>
      <w:tr w14:paraId="26E9C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52070">
            <w:pPr>
              <w:jc w:val="center"/>
              <w:rPr>
                <w:rFonts w:hint="eastAsia" w:ascii="宋体" w:hAnsi="宋体" w:eastAsia="宋体" w:cs="宋体"/>
                <w:i w:val="0"/>
                <w:iCs w:val="0"/>
                <w:color w:val="000000"/>
                <w:sz w:val="24"/>
                <w:szCs w:val="24"/>
                <w:u w:val="none"/>
              </w:rPr>
            </w:pPr>
          </w:p>
        </w:tc>
        <w:tc>
          <w:tcPr>
            <w:tcW w:w="34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12140E">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6</w:t>
            </w:r>
            <w:r>
              <w:rPr>
                <w:rFonts w:hint="eastAsia" w:ascii="宋体" w:hAnsi="宋体" w:cs="宋体"/>
                <w:i w:val="0"/>
                <w:iCs w:val="0"/>
                <w:color w:val="000000"/>
                <w:kern w:val="0"/>
                <w:sz w:val="24"/>
                <w:szCs w:val="24"/>
                <w:u w:val="none"/>
                <w:lang w:val="en-US" w:eastAsia="zh-CN" w:bidi="ar"/>
              </w:rPr>
              <w:t>00</w:t>
            </w:r>
          </w:p>
        </w:tc>
        <w:tc>
          <w:tcPr>
            <w:tcW w:w="4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4C4589">
            <w:pPr>
              <w:jc w:val="center"/>
              <w:rPr>
                <w:rFonts w:hint="eastAsia" w:ascii="宋体" w:hAnsi="宋体" w:eastAsia="宋体" w:cs="宋体"/>
                <w:b/>
                <w:bCs/>
                <w:i w:val="0"/>
                <w:iCs w:val="0"/>
                <w:color w:val="000000"/>
                <w:sz w:val="24"/>
                <w:szCs w:val="24"/>
                <w:u w:val="none"/>
              </w:rPr>
            </w:pPr>
          </w:p>
        </w:tc>
        <w:tc>
          <w:tcPr>
            <w:tcW w:w="4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AFED3C">
            <w:pPr>
              <w:jc w:val="center"/>
              <w:rPr>
                <w:rFonts w:hint="eastAsia" w:ascii="宋体" w:hAnsi="宋体" w:eastAsia="宋体" w:cs="宋体"/>
                <w:b/>
                <w:bCs/>
                <w:i w:val="0"/>
                <w:iCs w:val="0"/>
                <w:color w:val="000000"/>
                <w:sz w:val="24"/>
                <w:szCs w:val="24"/>
                <w:u w:val="none"/>
              </w:rPr>
            </w:pPr>
          </w:p>
        </w:tc>
      </w:tr>
      <w:tr w14:paraId="324A15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82E44">
            <w:pPr>
              <w:jc w:val="center"/>
              <w:rPr>
                <w:rFonts w:hint="eastAsia" w:ascii="宋体" w:hAnsi="宋体" w:eastAsia="宋体" w:cs="宋体"/>
                <w:i w:val="0"/>
                <w:iCs w:val="0"/>
                <w:color w:val="000000"/>
                <w:sz w:val="24"/>
                <w:szCs w:val="24"/>
                <w:u w:val="none"/>
              </w:rPr>
            </w:pPr>
          </w:p>
        </w:tc>
        <w:tc>
          <w:tcPr>
            <w:tcW w:w="34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462BBB">
            <w:pPr>
              <w:jc w:val="center"/>
              <w:rPr>
                <w:rFonts w:hint="eastAsia" w:ascii="宋体" w:hAnsi="宋体" w:eastAsia="宋体" w:cs="宋体"/>
                <w:i w:val="0"/>
                <w:iCs w:val="0"/>
                <w:color w:val="000000"/>
                <w:sz w:val="24"/>
                <w:szCs w:val="24"/>
                <w:u w:val="none"/>
              </w:rPr>
            </w:pPr>
          </w:p>
        </w:tc>
        <w:tc>
          <w:tcPr>
            <w:tcW w:w="4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5C1BFA">
            <w:pPr>
              <w:jc w:val="center"/>
              <w:rPr>
                <w:rFonts w:hint="eastAsia" w:ascii="宋体" w:hAnsi="宋体" w:eastAsia="宋体" w:cs="宋体"/>
                <w:b/>
                <w:bCs/>
                <w:i w:val="0"/>
                <w:iCs w:val="0"/>
                <w:color w:val="000000"/>
                <w:sz w:val="24"/>
                <w:szCs w:val="24"/>
                <w:u w:val="none"/>
              </w:rPr>
            </w:pPr>
          </w:p>
        </w:tc>
        <w:tc>
          <w:tcPr>
            <w:tcW w:w="4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BF187F">
            <w:pPr>
              <w:jc w:val="center"/>
              <w:rPr>
                <w:rFonts w:hint="eastAsia" w:ascii="宋体" w:hAnsi="宋体" w:eastAsia="宋体" w:cs="宋体"/>
                <w:b/>
                <w:bCs/>
                <w:i w:val="0"/>
                <w:iCs w:val="0"/>
                <w:color w:val="000000"/>
                <w:sz w:val="24"/>
                <w:szCs w:val="24"/>
                <w:u w:val="none"/>
              </w:rPr>
            </w:pPr>
          </w:p>
        </w:tc>
      </w:tr>
      <w:tr w14:paraId="326E8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jc w:val="center"/>
        </w:trPr>
        <w:tc>
          <w:tcPr>
            <w:tcW w:w="80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F78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734D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通信费（元）</w:t>
            </w:r>
          </w:p>
        </w:tc>
        <w:tc>
          <w:tcPr>
            <w:tcW w:w="4843" w:type="dxa"/>
            <w:vMerge w:val="restart"/>
            <w:tcBorders>
              <w:top w:val="nil"/>
              <w:left w:val="single" w:color="000000" w:sz="4" w:space="0"/>
              <w:bottom w:val="single" w:color="000000" w:sz="4" w:space="0"/>
              <w:right w:val="single" w:color="000000" w:sz="4" w:space="0"/>
            </w:tcBorders>
            <w:shd w:val="clear" w:color="auto" w:fill="auto"/>
            <w:vAlign w:val="center"/>
          </w:tcPr>
          <w:p w14:paraId="415E2869">
            <w:pPr>
              <w:keepNext w:val="0"/>
              <w:keepLines w:val="0"/>
              <w:widowControl/>
              <w:suppressLineNumbers w:val="0"/>
              <w:jc w:val="center"/>
              <w:textAlignment w:val="center"/>
              <w:rPr>
                <w:rFonts w:hint="default" w:ascii="宋体" w:hAnsi="宋体" w:eastAsia="宋体" w:cs="宋体"/>
                <w:b/>
                <w:bCs/>
                <w:i w:val="0"/>
                <w:iCs w:val="0"/>
                <w:color w:val="000000"/>
                <w:sz w:val="24"/>
                <w:szCs w:val="24"/>
                <w:u w:val="none"/>
                <w:lang w:val="en-US"/>
              </w:rPr>
            </w:pPr>
            <w:r>
              <w:rPr>
                <w:rFonts w:hint="eastAsia" w:ascii="宋体" w:hAnsi="宋体" w:eastAsia="宋体" w:cs="宋体"/>
                <w:b/>
                <w:bCs/>
                <w:i w:val="0"/>
                <w:iCs w:val="0"/>
                <w:color w:val="000000"/>
                <w:kern w:val="0"/>
                <w:sz w:val="24"/>
                <w:szCs w:val="24"/>
                <w:u w:val="none"/>
                <w:lang w:val="en-US" w:eastAsia="zh-CN" w:bidi="ar"/>
              </w:rPr>
              <w:t>4</w:t>
            </w:r>
            <w:r>
              <w:rPr>
                <w:rFonts w:hint="eastAsia" w:ascii="宋体" w:hAnsi="宋体" w:cs="宋体"/>
                <w:b/>
                <w:bCs/>
                <w:i w:val="0"/>
                <w:iCs w:val="0"/>
                <w:color w:val="000000"/>
                <w:kern w:val="0"/>
                <w:sz w:val="24"/>
                <w:szCs w:val="24"/>
                <w:u w:val="none"/>
                <w:lang w:val="en-US" w:eastAsia="zh-CN" w:bidi="ar"/>
              </w:rPr>
              <w:t>000</w:t>
            </w:r>
          </w:p>
        </w:tc>
        <w:tc>
          <w:tcPr>
            <w:tcW w:w="4877" w:type="dxa"/>
            <w:vMerge w:val="restart"/>
            <w:tcBorders>
              <w:top w:val="nil"/>
              <w:left w:val="single" w:color="000000" w:sz="4" w:space="0"/>
              <w:bottom w:val="single" w:color="000000" w:sz="4" w:space="0"/>
              <w:right w:val="single" w:color="000000" w:sz="4" w:space="0"/>
            </w:tcBorders>
            <w:shd w:val="clear" w:color="auto" w:fill="auto"/>
            <w:vAlign w:val="center"/>
          </w:tcPr>
          <w:p w14:paraId="258C7675">
            <w:pPr>
              <w:keepNext w:val="0"/>
              <w:keepLines w:val="0"/>
              <w:widowControl/>
              <w:suppressLineNumbers w:val="0"/>
              <w:jc w:val="center"/>
              <w:textAlignment w:val="center"/>
              <w:rPr>
                <w:rFonts w:hint="default" w:ascii="宋体" w:hAnsi="宋体" w:eastAsia="宋体" w:cs="宋体"/>
                <w:b/>
                <w:bCs/>
                <w:i w:val="0"/>
                <w:iCs w:val="0"/>
                <w:color w:val="000000"/>
                <w:sz w:val="24"/>
                <w:szCs w:val="24"/>
                <w:u w:val="none"/>
                <w:lang w:val="en-US"/>
              </w:rPr>
            </w:pPr>
            <w:r>
              <w:rPr>
                <w:rFonts w:hint="eastAsia" w:ascii="宋体" w:hAnsi="宋体" w:eastAsia="宋体" w:cs="宋体"/>
                <w:b/>
                <w:bCs/>
                <w:i w:val="0"/>
                <w:iCs w:val="0"/>
                <w:color w:val="000000"/>
                <w:kern w:val="0"/>
                <w:sz w:val="24"/>
                <w:szCs w:val="24"/>
                <w:u w:val="none"/>
                <w:lang w:val="en-US" w:eastAsia="zh-CN" w:bidi="ar"/>
              </w:rPr>
              <w:t>4</w:t>
            </w:r>
            <w:r>
              <w:rPr>
                <w:rFonts w:hint="eastAsia" w:ascii="宋体" w:hAnsi="宋体" w:cs="宋体"/>
                <w:b/>
                <w:bCs/>
                <w:i w:val="0"/>
                <w:iCs w:val="0"/>
                <w:color w:val="000000"/>
                <w:kern w:val="0"/>
                <w:sz w:val="24"/>
                <w:szCs w:val="24"/>
                <w:u w:val="none"/>
                <w:lang w:val="en-US" w:eastAsia="zh-CN" w:bidi="ar"/>
              </w:rPr>
              <w:t>000</w:t>
            </w:r>
          </w:p>
        </w:tc>
      </w:tr>
      <w:tr w14:paraId="08833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8"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43136">
            <w:pPr>
              <w:jc w:val="center"/>
              <w:rPr>
                <w:rFonts w:hint="eastAsia" w:ascii="宋体" w:hAnsi="宋体" w:eastAsia="宋体" w:cs="宋体"/>
                <w:i w:val="0"/>
                <w:iCs w:val="0"/>
                <w:color w:val="000000"/>
                <w:sz w:val="24"/>
                <w:szCs w:val="24"/>
                <w:u w:val="none"/>
              </w:rPr>
            </w:pPr>
          </w:p>
        </w:tc>
        <w:tc>
          <w:tcPr>
            <w:tcW w:w="3458" w:type="dxa"/>
            <w:tcBorders>
              <w:top w:val="nil"/>
              <w:left w:val="single" w:color="000000" w:sz="4" w:space="0"/>
              <w:bottom w:val="single" w:color="000000" w:sz="4" w:space="0"/>
              <w:right w:val="single" w:color="000000" w:sz="4" w:space="0"/>
            </w:tcBorders>
            <w:shd w:val="clear" w:color="auto" w:fill="auto"/>
            <w:vAlign w:val="center"/>
          </w:tcPr>
          <w:p w14:paraId="401C64CC">
            <w:pPr>
              <w:keepNext w:val="0"/>
              <w:keepLines w:val="0"/>
              <w:widowControl/>
              <w:suppressLineNumbers w:val="0"/>
              <w:jc w:val="center"/>
              <w:textAlignment w:val="center"/>
              <w:rPr>
                <w:rFonts w:hint="default" w:ascii="宋体" w:hAnsi="宋体" w:eastAsia="宋体" w:cs="宋体"/>
                <w:b/>
                <w:bCs/>
                <w:i w:val="0"/>
                <w:iCs w:val="0"/>
                <w:color w:val="000000"/>
                <w:sz w:val="24"/>
                <w:szCs w:val="24"/>
                <w:u w:val="none"/>
                <w:lang w:val="en-US"/>
              </w:rPr>
            </w:pPr>
            <w:r>
              <w:rPr>
                <w:rFonts w:hint="eastAsia" w:ascii="宋体" w:hAnsi="宋体" w:eastAsia="宋体" w:cs="宋体"/>
                <w:b/>
                <w:bCs/>
                <w:i w:val="0"/>
                <w:iCs w:val="0"/>
                <w:color w:val="000000"/>
                <w:kern w:val="0"/>
                <w:sz w:val="24"/>
                <w:szCs w:val="24"/>
                <w:u w:val="none"/>
                <w:lang w:val="en-US" w:eastAsia="zh-CN" w:bidi="ar"/>
              </w:rPr>
              <w:t>4</w:t>
            </w:r>
            <w:r>
              <w:rPr>
                <w:rFonts w:hint="eastAsia" w:ascii="宋体" w:hAnsi="宋体" w:cs="宋体"/>
                <w:b/>
                <w:bCs/>
                <w:i w:val="0"/>
                <w:iCs w:val="0"/>
                <w:color w:val="000000"/>
                <w:kern w:val="0"/>
                <w:sz w:val="24"/>
                <w:szCs w:val="24"/>
                <w:u w:val="none"/>
                <w:lang w:val="en-US" w:eastAsia="zh-CN" w:bidi="ar"/>
              </w:rPr>
              <w:t>000</w:t>
            </w:r>
          </w:p>
        </w:tc>
        <w:tc>
          <w:tcPr>
            <w:tcW w:w="4843" w:type="dxa"/>
            <w:vMerge w:val="continue"/>
            <w:tcBorders>
              <w:top w:val="nil"/>
              <w:left w:val="single" w:color="000000" w:sz="4" w:space="0"/>
              <w:bottom w:val="single" w:color="000000" w:sz="4" w:space="0"/>
              <w:right w:val="single" w:color="000000" w:sz="4" w:space="0"/>
            </w:tcBorders>
            <w:shd w:val="clear" w:color="auto" w:fill="auto"/>
            <w:vAlign w:val="center"/>
          </w:tcPr>
          <w:p w14:paraId="13002B25">
            <w:pPr>
              <w:jc w:val="center"/>
              <w:rPr>
                <w:rFonts w:hint="eastAsia" w:ascii="宋体" w:hAnsi="宋体" w:eastAsia="宋体" w:cs="宋体"/>
                <w:b/>
                <w:bCs/>
                <w:i w:val="0"/>
                <w:iCs w:val="0"/>
                <w:color w:val="000000"/>
                <w:sz w:val="24"/>
                <w:szCs w:val="24"/>
                <w:u w:val="none"/>
              </w:rPr>
            </w:pPr>
          </w:p>
        </w:tc>
        <w:tc>
          <w:tcPr>
            <w:tcW w:w="4877" w:type="dxa"/>
            <w:vMerge w:val="continue"/>
            <w:tcBorders>
              <w:top w:val="nil"/>
              <w:left w:val="single" w:color="000000" w:sz="4" w:space="0"/>
              <w:bottom w:val="single" w:color="000000" w:sz="4" w:space="0"/>
              <w:right w:val="single" w:color="000000" w:sz="4" w:space="0"/>
            </w:tcBorders>
            <w:shd w:val="clear" w:color="auto" w:fill="auto"/>
            <w:vAlign w:val="center"/>
          </w:tcPr>
          <w:p w14:paraId="01017695">
            <w:pPr>
              <w:jc w:val="center"/>
              <w:rPr>
                <w:rFonts w:hint="eastAsia" w:ascii="宋体" w:hAnsi="宋体" w:eastAsia="宋体" w:cs="宋体"/>
                <w:b/>
                <w:bCs/>
                <w:i w:val="0"/>
                <w:iCs w:val="0"/>
                <w:color w:val="000000"/>
                <w:sz w:val="24"/>
                <w:szCs w:val="24"/>
                <w:u w:val="none"/>
              </w:rPr>
            </w:pPr>
          </w:p>
        </w:tc>
      </w:tr>
      <w:tr w14:paraId="60750B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2" w:hRule="atLeast"/>
          <w:jc w:val="center"/>
        </w:trPr>
        <w:tc>
          <w:tcPr>
            <w:tcW w:w="42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A31585">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每年维护费用合计（1+2+3）</w:t>
            </w:r>
          </w:p>
        </w:tc>
        <w:tc>
          <w:tcPr>
            <w:tcW w:w="48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68414">
            <w:pPr>
              <w:keepNext w:val="0"/>
              <w:keepLines w:val="0"/>
              <w:widowControl/>
              <w:suppressLineNumbers w:val="0"/>
              <w:jc w:val="center"/>
              <w:textAlignment w:val="center"/>
              <w:rPr>
                <w:rFonts w:hint="default" w:ascii="宋体" w:hAnsi="宋体" w:eastAsia="宋体" w:cs="宋体"/>
                <w:b/>
                <w:bCs/>
                <w:i w:val="0"/>
                <w:iCs w:val="0"/>
                <w:color w:val="000000"/>
                <w:sz w:val="24"/>
                <w:szCs w:val="24"/>
                <w:u w:val="none"/>
                <w:lang w:val="en-US"/>
              </w:rPr>
            </w:pPr>
            <w:r>
              <w:rPr>
                <w:rFonts w:hint="eastAsia" w:ascii="宋体" w:hAnsi="宋体" w:eastAsia="宋体" w:cs="宋体"/>
                <w:b/>
                <w:bCs/>
                <w:i w:val="0"/>
                <w:iCs w:val="0"/>
                <w:color w:val="000000"/>
                <w:kern w:val="0"/>
                <w:sz w:val="24"/>
                <w:szCs w:val="24"/>
                <w:u w:val="none"/>
                <w:lang w:val="en-US" w:eastAsia="zh-CN" w:bidi="ar"/>
              </w:rPr>
              <w:t>748</w:t>
            </w:r>
            <w:r>
              <w:rPr>
                <w:rFonts w:hint="eastAsia" w:ascii="宋体" w:hAnsi="宋体" w:cs="宋体"/>
                <w:b/>
                <w:bCs/>
                <w:i w:val="0"/>
                <w:iCs w:val="0"/>
                <w:color w:val="000000"/>
                <w:kern w:val="0"/>
                <w:sz w:val="24"/>
                <w:szCs w:val="24"/>
                <w:u w:val="none"/>
                <w:lang w:val="en-US" w:eastAsia="zh-CN" w:bidi="ar"/>
              </w:rPr>
              <w:t>0</w:t>
            </w:r>
          </w:p>
        </w:tc>
        <w:tc>
          <w:tcPr>
            <w:tcW w:w="4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C3B54">
            <w:pPr>
              <w:keepNext w:val="0"/>
              <w:keepLines w:val="0"/>
              <w:widowControl/>
              <w:suppressLineNumbers w:val="0"/>
              <w:jc w:val="center"/>
              <w:textAlignment w:val="center"/>
              <w:rPr>
                <w:rFonts w:hint="default" w:ascii="宋体" w:hAnsi="宋体" w:eastAsia="宋体" w:cs="宋体"/>
                <w:b/>
                <w:bCs/>
                <w:i w:val="0"/>
                <w:iCs w:val="0"/>
                <w:color w:val="000000"/>
                <w:sz w:val="24"/>
                <w:szCs w:val="24"/>
                <w:u w:val="none"/>
                <w:lang w:val="en-US"/>
              </w:rPr>
            </w:pPr>
            <w:r>
              <w:rPr>
                <w:rFonts w:hint="eastAsia" w:ascii="宋体" w:hAnsi="宋体" w:eastAsia="宋体" w:cs="宋体"/>
                <w:b/>
                <w:bCs/>
                <w:i w:val="0"/>
                <w:iCs w:val="0"/>
                <w:color w:val="000000"/>
                <w:kern w:val="0"/>
                <w:sz w:val="24"/>
                <w:szCs w:val="24"/>
                <w:u w:val="none"/>
                <w:lang w:val="en-US" w:eastAsia="zh-CN" w:bidi="ar"/>
              </w:rPr>
              <w:t>808</w:t>
            </w:r>
            <w:r>
              <w:rPr>
                <w:rFonts w:hint="eastAsia" w:ascii="宋体" w:hAnsi="宋体" w:cs="宋体"/>
                <w:b/>
                <w:bCs/>
                <w:i w:val="0"/>
                <w:iCs w:val="0"/>
                <w:color w:val="000000"/>
                <w:kern w:val="0"/>
                <w:sz w:val="24"/>
                <w:szCs w:val="24"/>
                <w:u w:val="none"/>
                <w:lang w:val="en-US" w:eastAsia="zh-CN" w:bidi="ar"/>
              </w:rPr>
              <w:t>0</w:t>
            </w:r>
          </w:p>
        </w:tc>
      </w:tr>
    </w:tbl>
    <w:p w14:paraId="71708499">
      <w:pPr>
        <w:spacing w:line="360" w:lineRule="auto"/>
        <w:jc w:val="both"/>
        <w:rPr>
          <w:rFonts w:hint="eastAsia" w:asciiTheme="minorEastAsia" w:hAnsiTheme="minorEastAsia" w:eastAsiaTheme="minorEastAsia" w:cstheme="minorEastAsia"/>
          <w:kern w:val="0"/>
          <w:sz w:val="24"/>
          <w:szCs w:val="24"/>
        </w:rPr>
      </w:pPr>
    </w:p>
    <w:p w14:paraId="7E2949CB">
      <w:pPr>
        <w:spacing w:line="360" w:lineRule="auto"/>
        <w:jc w:val="right"/>
        <w:rPr>
          <w:rFonts w:hint="eastAsia" w:asciiTheme="minorEastAsia" w:hAnsiTheme="minorEastAsia" w:eastAsiaTheme="minorEastAsia" w:cstheme="minorEastAsia"/>
          <w:kern w:val="0"/>
          <w:sz w:val="24"/>
          <w:szCs w:val="24"/>
        </w:rPr>
      </w:pPr>
    </w:p>
    <w:p w14:paraId="37A5F879">
      <w:pPr>
        <w:pStyle w:val="39"/>
        <w:numPr>
          <w:ilvl w:val="0"/>
          <w:numId w:val="8"/>
        </w:numPr>
        <w:ind w:firstLine="0" w:firstLineChars="0"/>
        <w:rPr>
          <w:rFonts w:asciiTheme="minorEastAsia" w:hAnsiTheme="minorEastAsia" w:eastAsiaTheme="minorEastAsia" w:cstheme="minorEastAsia"/>
          <w:color w:val="auto"/>
          <w:kern w:val="2"/>
          <w:sz w:val="24"/>
          <w:szCs w:val="24"/>
        </w:rPr>
      </w:pPr>
      <w:r>
        <w:rPr>
          <w:rFonts w:hint="eastAsia" w:asciiTheme="minorEastAsia" w:hAnsiTheme="minorEastAsia" w:eastAsiaTheme="minorEastAsia" w:cstheme="minorEastAsia"/>
          <w:color w:val="auto"/>
          <w:kern w:val="2"/>
          <w:sz w:val="24"/>
          <w:szCs w:val="24"/>
        </w:rPr>
        <w:t>一体站</w:t>
      </w:r>
    </w:p>
    <w:p w14:paraId="264DDCE1">
      <w:pPr>
        <w:spacing w:line="360" w:lineRule="auto"/>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计量单位：元/站</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kern w:val="0"/>
          <w:sz w:val="24"/>
          <w:szCs w:val="24"/>
        </w:rPr>
        <w:t>年</w:t>
      </w:r>
    </w:p>
    <w:tbl>
      <w:tblPr>
        <w:tblStyle w:val="32"/>
        <w:tblW w:w="1449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90"/>
        <w:gridCol w:w="1290"/>
        <w:gridCol w:w="1617"/>
        <w:gridCol w:w="1290"/>
        <w:gridCol w:w="1290"/>
        <w:gridCol w:w="1290"/>
        <w:gridCol w:w="1263"/>
        <w:gridCol w:w="1290"/>
        <w:gridCol w:w="1290"/>
        <w:gridCol w:w="1290"/>
        <w:gridCol w:w="1298"/>
      </w:tblGrid>
      <w:tr w14:paraId="35001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1" w:hRule="atLeast"/>
        </w:trPr>
        <w:tc>
          <w:tcPr>
            <w:tcW w:w="12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32CF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29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10E4A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适用范围</w:t>
            </w:r>
          </w:p>
        </w:tc>
        <w:tc>
          <w:tcPr>
            <w:tcW w:w="513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9320B54">
            <w:pPr>
              <w:keepNext w:val="0"/>
              <w:keepLines w:val="0"/>
              <w:widowControl/>
              <w:suppressLineNumbers w:val="0"/>
              <w:jc w:val="both"/>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兴安盟、通辽、赤峰、乌兰察布、呼和浩特、鄂尔多斯、包头、巴彦淖尔、乌海、满洲里</w:t>
            </w:r>
          </w:p>
        </w:tc>
        <w:tc>
          <w:tcPr>
            <w:tcW w:w="51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34B3F0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呼伦贝尔、阿拉善、锡林郭勒</w:t>
            </w:r>
          </w:p>
        </w:tc>
      </w:tr>
      <w:tr w14:paraId="122F22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19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EDD9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一体站类型</w:t>
            </w:r>
          </w:p>
        </w:tc>
        <w:tc>
          <w:tcPr>
            <w:tcW w:w="513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27592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GPRS/GSM方式</w:t>
            </w:r>
          </w:p>
        </w:tc>
        <w:tc>
          <w:tcPr>
            <w:tcW w:w="51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79FA4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GPRS/GSM方式</w:t>
            </w:r>
          </w:p>
        </w:tc>
      </w:tr>
      <w:tr w14:paraId="75B2DA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19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DFDC8A">
            <w:pPr>
              <w:jc w:val="center"/>
              <w:rPr>
                <w:rFonts w:hint="eastAsia" w:ascii="宋体" w:hAnsi="宋体" w:eastAsia="宋体" w:cs="宋体"/>
                <w:i w:val="0"/>
                <w:iCs w:val="0"/>
                <w:color w:val="000000"/>
                <w:sz w:val="24"/>
                <w:szCs w:val="24"/>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A3D3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97E0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单价</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45B6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870F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小计</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3F585">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1343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单价</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5799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7275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cs="宋体"/>
                <w:b/>
                <w:bCs/>
                <w:i w:val="0"/>
                <w:iCs w:val="0"/>
                <w:color w:val="000000"/>
                <w:kern w:val="0"/>
                <w:sz w:val="24"/>
                <w:szCs w:val="24"/>
                <w:u w:val="none"/>
                <w:lang w:val="en-US" w:eastAsia="zh-CN" w:bidi="ar"/>
              </w:rPr>
              <w:t>小计</w:t>
            </w:r>
          </w:p>
        </w:tc>
      </w:tr>
      <w:tr w14:paraId="331208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370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9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D5894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运 行 费 用</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2D1B3">
            <w:pPr>
              <w:jc w:val="center"/>
              <w:rPr>
                <w:rFonts w:hint="eastAsia" w:ascii="宋体" w:hAnsi="宋体" w:eastAsia="宋体" w:cs="宋体"/>
                <w:i w:val="0"/>
                <w:iCs w:val="0"/>
                <w:color w:val="000000"/>
                <w:sz w:val="22"/>
                <w:szCs w:val="22"/>
                <w:u w:val="none"/>
              </w:rPr>
            </w:pP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6415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780</w:t>
            </w:r>
          </w:p>
        </w:tc>
        <w:tc>
          <w:tcPr>
            <w:tcW w:w="38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2CCDF67">
            <w:pPr>
              <w:jc w:val="center"/>
              <w:rPr>
                <w:rFonts w:hint="eastAsia" w:ascii="宋体" w:hAnsi="宋体" w:eastAsia="宋体" w:cs="宋体"/>
                <w:b/>
                <w:bCs/>
                <w:i w:val="0"/>
                <w:iCs w:val="0"/>
                <w:color w:val="000000"/>
                <w:sz w:val="24"/>
                <w:szCs w:val="24"/>
                <w:u w:val="none"/>
              </w:rPr>
            </w:pP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3164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780</w:t>
            </w:r>
          </w:p>
        </w:tc>
      </w:tr>
      <w:tr w14:paraId="6F5257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E15A4">
            <w:pPr>
              <w:jc w:val="center"/>
              <w:rPr>
                <w:rFonts w:hint="eastAsia" w:ascii="宋体" w:hAnsi="宋体" w:eastAsia="宋体" w:cs="宋体"/>
                <w:i w:val="0"/>
                <w:iCs w:val="0"/>
                <w:color w:val="000000"/>
                <w:sz w:val="24"/>
                <w:szCs w:val="24"/>
                <w:u w:val="none"/>
              </w:rPr>
            </w:pPr>
          </w:p>
        </w:tc>
        <w:tc>
          <w:tcPr>
            <w:tcW w:w="12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E807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其中</w:t>
            </w:r>
          </w:p>
        </w:tc>
        <w:tc>
          <w:tcPr>
            <w:tcW w:w="16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ED9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通信费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F76D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元/年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2F74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C48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90B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914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元/年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90A6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B2B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35F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w:t>
            </w:r>
          </w:p>
        </w:tc>
      </w:tr>
      <w:tr w14:paraId="5A058F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26110">
            <w:pPr>
              <w:jc w:val="center"/>
              <w:rPr>
                <w:rFonts w:hint="eastAsia" w:ascii="宋体" w:hAnsi="宋体" w:eastAsia="宋体" w:cs="宋体"/>
                <w:i w:val="0"/>
                <w:iCs w:val="0"/>
                <w:color w:val="000000"/>
                <w:sz w:val="24"/>
                <w:szCs w:val="24"/>
                <w:u w:val="none"/>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EC2B0E">
            <w:pPr>
              <w:jc w:val="center"/>
              <w:rPr>
                <w:rFonts w:hint="eastAsia" w:ascii="宋体" w:hAnsi="宋体" w:eastAsia="宋体" w:cs="宋体"/>
                <w:i w:val="0"/>
                <w:iCs w:val="0"/>
                <w:color w:val="000000"/>
                <w:sz w:val="24"/>
                <w:szCs w:val="24"/>
                <w:u w:val="none"/>
              </w:rPr>
            </w:pPr>
          </w:p>
        </w:tc>
        <w:tc>
          <w:tcPr>
            <w:tcW w:w="16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957C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委托看管费</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6DA9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元/月</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C32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09D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754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1556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元/月</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EBA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11F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2F6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600</w:t>
            </w:r>
          </w:p>
        </w:tc>
      </w:tr>
      <w:tr w14:paraId="315F0B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63F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9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80CB9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维 护 费 用</w:t>
            </w:r>
          </w:p>
        </w:tc>
        <w:tc>
          <w:tcPr>
            <w:tcW w:w="38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337D75B">
            <w:pPr>
              <w:jc w:val="center"/>
              <w:rPr>
                <w:rFonts w:hint="eastAsia" w:ascii="宋体" w:hAnsi="宋体" w:eastAsia="宋体" w:cs="宋体"/>
                <w:b/>
                <w:bCs/>
                <w:i w:val="0"/>
                <w:iCs w:val="0"/>
                <w:color w:val="000000"/>
                <w:sz w:val="24"/>
                <w:szCs w:val="24"/>
                <w:u w:val="none"/>
              </w:rPr>
            </w:pP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A886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3225</w:t>
            </w:r>
          </w:p>
        </w:tc>
        <w:tc>
          <w:tcPr>
            <w:tcW w:w="38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3C2F735">
            <w:pPr>
              <w:jc w:val="center"/>
              <w:rPr>
                <w:rFonts w:hint="eastAsia" w:ascii="宋体" w:hAnsi="宋体" w:eastAsia="宋体" w:cs="宋体"/>
                <w:b/>
                <w:bCs/>
                <w:i w:val="0"/>
                <w:iCs w:val="0"/>
                <w:color w:val="000000"/>
                <w:sz w:val="24"/>
                <w:szCs w:val="24"/>
                <w:u w:val="none"/>
              </w:rPr>
            </w:pP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871E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3825</w:t>
            </w:r>
          </w:p>
        </w:tc>
      </w:tr>
      <w:tr w14:paraId="1BA53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A69C2">
            <w:pPr>
              <w:jc w:val="center"/>
              <w:rPr>
                <w:rFonts w:hint="eastAsia" w:ascii="宋体" w:hAnsi="宋体" w:eastAsia="宋体" w:cs="宋体"/>
                <w:i w:val="0"/>
                <w:iCs w:val="0"/>
                <w:color w:val="000000"/>
                <w:sz w:val="24"/>
                <w:szCs w:val="24"/>
                <w:u w:val="none"/>
              </w:rPr>
            </w:pPr>
          </w:p>
        </w:tc>
        <w:tc>
          <w:tcPr>
            <w:tcW w:w="12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9432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其中</w:t>
            </w:r>
          </w:p>
        </w:tc>
        <w:tc>
          <w:tcPr>
            <w:tcW w:w="16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C2C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检查费（元）</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E28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元/次</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3552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CE96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1023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B581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元/次</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8519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8E6A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0EB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2100</w:t>
            </w:r>
          </w:p>
        </w:tc>
      </w:tr>
      <w:tr w14:paraId="538FD9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56234">
            <w:pPr>
              <w:jc w:val="center"/>
              <w:rPr>
                <w:rFonts w:hint="eastAsia" w:ascii="宋体" w:hAnsi="宋体" w:eastAsia="宋体" w:cs="宋体"/>
                <w:i w:val="0"/>
                <w:iCs w:val="0"/>
                <w:color w:val="000000"/>
                <w:sz w:val="24"/>
                <w:szCs w:val="24"/>
                <w:u w:val="none"/>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7D6E0D">
            <w:pPr>
              <w:jc w:val="center"/>
              <w:rPr>
                <w:rFonts w:hint="eastAsia" w:ascii="宋体" w:hAnsi="宋体" w:eastAsia="宋体" w:cs="宋体"/>
                <w:i w:val="0"/>
                <w:iCs w:val="0"/>
                <w:color w:val="000000"/>
                <w:sz w:val="24"/>
                <w:szCs w:val="24"/>
                <w:u w:val="none"/>
              </w:rPr>
            </w:pPr>
          </w:p>
        </w:tc>
        <w:tc>
          <w:tcPr>
            <w:tcW w:w="16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91B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设施设备维护费（元）</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208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元/年</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666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1725</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DED2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7F69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1725</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D3A4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元/年</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811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1725</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4A9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083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1725</w:t>
            </w:r>
          </w:p>
        </w:tc>
      </w:tr>
      <w:tr w14:paraId="06A515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 w:hRule="atLeast"/>
        </w:trPr>
        <w:tc>
          <w:tcPr>
            <w:tcW w:w="806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5C3BA9C">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每年维护费用合计（1+2）</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83CB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4005</w:t>
            </w:r>
          </w:p>
        </w:tc>
        <w:tc>
          <w:tcPr>
            <w:tcW w:w="38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8B6DB6D">
            <w:pPr>
              <w:jc w:val="center"/>
              <w:rPr>
                <w:rFonts w:hint="eastAsia" w:ascii="宋体" w:hAnsi="宋体" w:eastAsia="宋体" w:cs="宋体"/>
                <w:b/>
                <w:bCs/>
                <w:i w:val="0"/>
                <w:iCs w:val="0"/>
                <w:color w:val="000000"/>
                <w:sz w:val="24"/>
                <w:szCs w:val="24"/>
                <w:u w:val="none"/>
              </w:rPr>
            </w:pP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B9D6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4605</w:t>
            </w:r>
          </w:p>
        </w:tc>
      </w:tr>
    </w:tbl>
    <w:p w14:paraId="7297DC67">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br w:type="page"/>
      </w:r>
    </w:p>
    <w:p w14:paraId="248622D5">
      <w:pPr>
        <w:pStyle w:val="39"/>
        <w:numPr>
          <w:ilvl w:val="0"/>
          <w:numId w:val="8"/>
        </w:numPr>
        <w:ind w:firstLine="0" w:firstLineChars="0"/>
        <w:rPr>
          <w:rFonts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kern w:val="2"/>
          <w:sz w:val="24"/>
          <w:szCs w:val="24"/>
          <w:highlight w:val="none"/>
        </w:rPr>
        <w:t>图像视频站</w:t>
      </w:r>
    </w:p>
    <w:p w14:paraId="33664A72">
      <w:pPr>
        <w:spacing w:line="360" w:lineRule="auto"/>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计量单位：元/站</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kern w:val="0"/>
          <w:sz w:val="24"/>
          <w:szCs w:val="24"/>
        </w:rPr>
        <w:t>年</w:t>
      </w:r>
    </w:p>
    <w:tbl>
      <w:tblPr>
        <w:tblStyle w:val="32"/>
        <w:tblW w:w="1401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48"/>
        <w:gridCol w:w="1248"/>
        <w:gridCol w:w="1562"/>
        <w:gridCol w:w="1248"/>
        <w:gridCol w:w="1248"/>
        <w:gridCol w:w="1248"/>
        <w:gridCol w:w="1218"/>
        <w:gridCol w:w="1248"/>
        <w:gridCol w:w="1248"/>
        <w:gridCol w:w="1248"/>
        <w:gridCol w:w="1253"/>
      </w:tblGrid>
      <w:tr w14:paraId="42DCCF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1" w:hRule="atLeast"/>
        </w:trPr>
        <w:tc>
          <w:tcPr>
            <w:tcW w:w="1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F5F4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2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9CFA7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适用范围</w:t>
            </w:r>
          </w:p>
        </w:tc>
        <w:tc>
          <w:tcPr>
            <w:tcW w:w="49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52C84D1">
            <w:pPr>
              <w:keepNext w:val="0"/>
              <w:keepLines w:val="0"/>
              <w:widowControl/>
              <w:suppressLineNumbers w:val="0"/>
              <w:jc w:val="both"/>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兴安盟、通辽、赤峰、乌兰察布、呼和浩特、鄂尔多斯、包头、巴彦淖尔、乌海、满洲里</w:t>
            </w:r>
          </w:p>
        </w:tc>
        <w:tc>
          <w:tcPr>
            <w:tcW w:w="499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BE237D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呼伦贝尔、阿拉善、锡林郭勒</w:t>
            </w:r>
          </w:p>
        </w:tc>
      </w:tr>
      <w:tr w14:paraId="581AE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405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CCE1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图像视频站类型</w:t>
            </w:r>
          </w:p>
        </w:tc>
        <w:tc>
          <w:tcPr>
            <w:tcW w:w="49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B814177">
            <w:pPr>
              <w:jc w:val="center"/>
              <w:rPr>
                <w:rFonts w:hint="eastAsia" w:ascii="宋体" w:hAnsi="宋体" w:eastAsia="宋体" w:cs="宋体"/>
                <w:i w:val="0"/>
                <w:iCs w:val="0"/>
                <w:color w:val="000000"/>
                <w:sz w:val="24"/>
                <w:szCs w:val="24"/>
                <w:u w:val="none"/>
              </w:rPr>
            </w:pPr>
          </w:p>
        </w:tc>
        <w:tc>
          <w:tcPr>
            <w:tcW w:w="499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B9A2B1F">
            <w:pPr>
              <w:jc w:val="center"/>
              <w:rPr>
                <w:rFonts w:hint="eastAsia" w:ascii="宋体" w:hAnsi="宋体" w:eastAsia="宋体" w:cs="宋体"/>
                <w:i w:val="0"/>
                <w:iCs w:val="0"/>
                <w:color w:val="000000"/>
                <w:sz w:val="24"/>
                <w:szCs w:val="24"/>
                <w:u w:val="none"/>
              </w:rPr>
            </w:pPr>
          </w:p>
        </w:tc>
      </w:tr>
      <w:tr w14:paraId="74C5E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405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E9E3ED">
            <w:pPr>
              <w:jc w:val="center"/>
              <w:rPr>
                <w:rFonts w:hint="eastAsia" w:ascii="宋体" w:hAnsi="宋体" w:eastAsia="宋体" w:cs="宋体"/>
                <w:i w:val="0"/>
                <w:iCs w:val="0"/>
                <w:color w:val="000000"/>
                <w:sz w:val="24"/>
                <w:szCs w:val="24"/>
                <w:u w:val="none"/>
              </w:rPr>
            </w:pP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0D3E5">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F0A5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单价</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B824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BDB8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小计</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FA5C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C78C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单价</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2440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FAF5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cs="宋体"/>
                <w:b/>
                <w:bCs/>
                <w:i w:val="0"/>
                <w:iCs w:val="0"/>
                <w:color w:val="000000"/>
                <w:kern w:val="0"/>
                <w:sz w:val="24"/>
                <w:szCs w:val="24"/>
                <w:u w:val="none"/>
                <w:lang w:val="en-US" w:eastAsia="zh-CN" w:bidi="ar"/>
              </w:rPr>
              <w:t>小计</w:t>
            </w:r>
          </w:p>
        </w:tc>
      </w:tr>
      <w:tr w14:paraId="6B7F1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1248" w:type="dxa"/>
            <w:vMerge w:val="restart"/>
            <w:tcBorders>
              <w:top w:val="single" w:color="000000" w:sz="4" w:space="0"/>
              <w:left w:val="single" w:color="000000" w:sz="4" w:space="0"/>
              <w:right w:val="single" w:color="000000" w:sz="4" w:space="0"/>
            </w:tcBorders>
            <w:shd w:val="clear" w:color="auto" w:fill="auto"/>
            <w:noWrap/>
            <w:vAlign w:val="center"/>
          </w:tcPr>
          <w:p w14:paraId="6102E3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38DFB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运 行 费 用</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0BC96">
            <w:pPr>
              <w:jc w:val="center"/>
              <w:rPr>
                <w:rFonts w:hint="eastAsia" w:ascii="宋体" w:hAnsi="宋体" w:eastAsia="宋体" w:cs="宋体"/>
                <w:i w:val="0"/>
                <w:iCs w:val="0"/>
                <w:color w:val="000000"/>
                <w:sz w:val="22"/>
                <w:szCs w:val="22"/>
                <w:u w:val="none"/>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FD16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2060</w:t>
            </w:r>
          </w:p>
        </w:tc>
        <w:tc>
          <w:tcPr>
            <w:tcW w:w="37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583CA00">
            <w:pPr>
              <w:jc w:val="center"/>
              <w:rPr>
                <w:rFonts w:hint="eastAsia" w:ascii="宋体" w:hAnsi="宋体" w:eastAsia="宋体" w:cs="宋体"/>
                <w:b/>
                <w:bCs/>
                <w:i w:val="0"/>
                <w:iCs w:val="0"/>
                <w:color w:val="000000"/>
                <w:sz w:val="24"/>
                <w:szCs w:val="24"/>
                <w:u w:val="none"/>
              </w:rPr>
            </w:pP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DAD2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2060</w:t>
            </w:r>
          </w:p>
        </w:tc>
      </w:tr>
      <w:tr w14:paraId="5A6480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1248" w:type="dxa"/>
            <w:vMerge w:val="continue"/>
            <w:tcBorders>
              <w:left w:val="single" w:color="000000" w:sz="4" w:space="0"/>
              <w:right w:val="single" w:color="000000" w:sz="4" w:space="0"/>
            </w:tcBorders>
            <w:shd w:val="clear" w:color="auto" w:fill="auto"/>
            <w:noWrap/>
            <w:vAlign w:val="center"/>
          </w:tcPr>
          <w:p w14:paraId="26B20085">
            <w:pPr>
              <w:jc w:val="center"/>
              <w:rPr>
                <w:rFonts w:hint="eastAsia" w:ascii="宋体" w:hAnsi="宋体" w:eastAsia="宋体" w:cs="宋体"/>
                <w:i w:val="0"/>
                <w:iCs w:val="0"/>
                <w:color w:val="000000"/>
                <w:sz w:val="24"/>
                <w:szCs w:val="24"/>
                <w:u w:val="none"/>
              </w:rPr>
            </w:pPr>
          </w:p>
        </w:tc>
        <w:tc>
          <w:tcPr>
            <w:tcW w:w="1248" w:type="dxa"/>
            <w:vMerge w:val="restart"/>
            <w:tcBorders>
              <w:top w:val="single" w:color="000000" w:sz="4" w:space="0"/>
              <w:left w:val="single" w:color="000000" w:sz="4" w:space="0"/>
              <w:right w:val="single" w:color="000000" w:sz="4" w:space="0"/>
            </w:tcBorders>
            <w:shd w:val="clear" w:color="auto" w:fill="auto"/>
            <w:vAlign w:val="center"/>
          </w:tcPr>
          <w:p w14:paraId="280899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其中</w:t>
            </w:r>
          </w:p>
        </w:tc>
        <w:tc>
          <w:tcPr>
            <w:tcW w:w="1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DBD5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通信费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75D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4EA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2C7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6F0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DFA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B71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B39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FA5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1200</w:t>
            </w:r>
          </w:p>
        </w:tc>
      </w:tr>
      <w:tr w14:paraId="46FCA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1" w:hRule="atLeast"/>
        </w:trPr>
        <w:tc>
          <w:tcPr>
            <w:tcW w:w="1248" w:type="dxa"/>
            <w:vMerge w:val="continue"/>
            <w:tcBorders>
              <w:left w:val="single" w:color="000000" w:sz="4" w:space="0"/>
              <w:right w:val="single" w:color="000000" w:sz="4" w:space="0"/>
            </w:tcBorders>
            <w:shd w:val="clear" w:color="auto" w:fill="auto"/>
            <w:noWrap/>
            <w:vAlign w:val="center"/>
          </w:tcPr>
          <w:p w14:paraId="18B113E1">
            <w:pPr>
              <w:jc w:val="center"/>
              <w:rPr>
                <w:rFonts w:hint="eastAsia" w:ascii="宋体" w:hAnsi="宋体" w:eastAsia="宋体" w:cs="宋体"/>
                <w:i w:val="0"/>
                <w:iCs w:val="0"/>
                <w:color w:val="000000"/>
                <w:sz w:val="24"/>
                <w:szCs w:val="24"/>
                <w:u w:val="none"/>
              </w:rPr>
            </w:pPr>
          </w:p>
        </w:tc>
        <w:tc>
          <w:tcPr>
            <w:tcW w:w="1248" w:type="dxa"/>
            <w:vMerge w:val="continue"/>
            <w:tcBorders>
              <w:left w:val="single" w:color="000000" w:sz="4" w:space="0"/>
              <w:right w:val="single" w:color="000000" w:sz="4" w:space="0"/>
            </w:tcBorders>
            <w:shd w:val="clear" w:color="auto" w:fill="auto"/>
            <w:vAlign w:val="center"/>
          </w:tcPr>
          <w:p w14:paraId="52A2FD4D">
            <w:pPr>
              <w:jc w:val="center"/>
              <w:rPr>
                <w:rFonts w:hint="eastAsia" w:ascii="宋体" w:hAnsi="宋体" w:eastAsia="宋体" w:cs="宋体"/>
                <w:i w:val="0"/>
                <w:iCs w:val="0"/>
                <w:color w:val="000000"/>
                <w:sz w:val="24"/>
                <w:szCs w:val="24"/>
                <w:u w:val="none"/>
              </w:rPr>
            </w:pPr>
          </w:p>
        </w:tc>
        <w:tc>
          <w:tcPr>
            <w:tcW w:w="1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C4E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委托看管费</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575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元/月</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C90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34D4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816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600</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DDD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元/月</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E06D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82A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8AA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600</w:t>
            </w:r>
          </w:p>
        </w:tc>
      </w:tr>
      <w:tr w14:paraId="2C063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1248" w:type="dxa"/>
            <w:vMerge w:val="continue"/>
            <w:tcBorders>
              <w:left w:val="single" w:color="000000" w:sz="4" w:space="0"/>
              <w:bottom w:val="single" w:color="000000" w:sz="4" w:space="0"/>
              <w:right w:val="single" w:color="000000" w:sz="4" w:space="0"/>
            </w:tcBorders>
            <w:shd w:val="clear" w:color="auto" w:fill="auto"/>
            <w:noWrap/>
            <w:vAlign w:val="center"/>
          </w:tcPr>
          <w:p w14:paraId="1CA6919F">
            <w:pPr>
              <w:jc w:val="center"/>
              <w:rPr>
                <w:rFonts w:hint="default" w:ascii="宋体" w:hAnsi="宋体" w:eastAsia="宋体" w:cs="宋体"/>
                <w:i w:val="0"/>
                <w:iCs w:val="0"/>
                <w:color w:val="000000"/>
                <w:sz w:val="24"/>
                <w:szCs w:val="24"/>
                <w:u w:val="none"/>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vAlign w:val="center"/>
          </w:tcPr>
          <w:p w14:paraId="36CF5187">
            <w:pPr>
              <w:jc w:val="center"/>
              <w:rPr>
                <w:rFonts w:hint="eastAsia" w:ascii="宋体" w:hAnsi="宋体" w:eastAsia="宋体" w:cs="宋体"/>
                <w:i w:val="0"/>
                <w:iCs w:val="0"/>
                <w:color w:val="000000"/>
                <w:sz w:val="24"/>
                <w:szCs w:val="24"/>
                <w:u w:val="none"/>
              </w:rPr>
            </w:pPr>
          </w:p>
        </w:tc>
        <w:tc>
          <w:tcPr>
            <w:tcW w:w="1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97D0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耗材</w:t>
            </w:r>
          </w:p>
        </w:tc>
        <w:tc>
          <w:tcPr>
            <w:tcW w:w="1248" w:type="dxa"/>
            <w:tcBorders>
              <w:top w:val="single" w:color="000000" w:sz="4" w:space="0"/>
              <w:left w:val="single" w:color="000000" w:sz="4" w:space="0"/>
              <w:bottom w:val="single" w:color="000000" w:sz="4" w:space="0"/>
              <w:right w:val="nil"/>
            </w:tcBorders>
            <w:shd w:val="clear" w:color="auto" w:fill="auto"/>
            <w:vAlign w:val="center"/>
          </w:tcPr>
          <w:p w14:paraId="6A2628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元/套</w:t>
            </w:r>
          </w:p>
        </w:tc>
        <w:tc>
          <w:tcPr>
            <w:tcW w:w="1248" w:type="dxa"/>
            <w:tcBorders>
              <w:top w:val="single" w:color="000000" w:sz="4" w:space="0"/>
              <w:left w:val="nil"/>
              <w:bottom w:val="single" w:color="000000" w:sz="4" w:space="0"/>
              <w:right w:val="nil"/>
            </w:tcBorders>
            <w:shd w:val="clear" w:color="auto" w:fill="auto"/>
            <w:vAlign w:val="center"/>
          </w:tcPr>
          <w:p w14:paraId="0C665D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260</w:t>
            </w:r>
          </w:p>
        </w:tc>
        <w:tc>
          <w:tcPr>
            <w:tcW w:w="1248" w:type="dxa"/>
            <w:tcBorders>
              <w:top w:val="single" w:color="000000" w:sz="4" w:space="0"/>
              <w:left w:val="nil"/>
              <w:bottom w:val="single" w:color="000000" w:sz="4" w:space="0"/>
              <w:right w:val="single" w:color="000000" w:sz="4" w:space="0"/>
            </w:tcBorders>
            <w:shd w:val="clear" w:color="auto" w:fill="auto"/>
            <w:vAlign w:val="center"/>
          </w:tcPr>
          <w:p w14:paraId="74B3D3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9CF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260</w:t>
            </w:r>
          </w:p>
        </w:tc>
        <w:tc>
          <w:tcPr>
            <w:tcW w:w="1248" w:type="dxa"/>
            <w:tcBorders>
              <w:top w:val="single" w:color="000000" w:sz="4" w:space="0"/>
              <w:left w:val="single" w:color="000000" w:sz="4" w:space="0"/>
              <w:bottom w:val="single" w:color="000000" w:sz="4" w:space="0"/>
              <w:right w:val="nil"/>
            </w:tcBorders>
            <w:shd w:val="clear" w:color="auto" w:fill="auto"/>
            <w:vAlign w:val="center"/>
          </w:tcPr>
          <w:p w14:paraId="74DA1B8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元/套</w:t>
            </w:r>
          </w:p>
        </w:tc>
        <w:tc>
          <w:tcPr>
            <w:tcW w:w="1248" w:type="dxa"/>
            <w:tcBorders>
              <w:top w:val="single" w:color="000000" w:sz="4" w:space="0"/>
              <w:left w:val="nil"/>
              <w:bottom w:val="single" w:color="000000" w:sz="4" w:space="0"/>
              <w:right w:val="nil"/>
            </w:tcBorders>
            <w:shd w:val="clear" w:color="auto" w:fill="auto"/>
            <w:vAlign w:val="center"/>
          </w:tcPr>
          <w:p w14:paraId="60374C8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260</w:t>
            </w:r>
          </w:p>
        </w:tc>
        <w:tc>
          <w:tcPr>
            <w:tcW w:w="1248" w:type="dxa"/>
            <w:tcBorders>
              <w:top w:val="single" w:color="000000" w:sz="4" w:space="0"/>
              <w:left w:val="nil"/>
              <w:bottom w:val="single" w:color="000000" w:sz="4" w:space="0"/>
              <w:right w:val="single" w:color="000000" w:sz="4" w:space="0"/>
            </w:tcBorders>
            <w:shd w:val="clear" w:color="auto" w:fill="auto"/>
            <w:vAlign w:val="center"/>
          </w:tcPr>
          <w:p w14:paraId="7D1789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16C3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260</w:t>
            </w:r>
          </w:p>
        </w:tc>
      </w:tr>
      <w:tr w14:paraId="53709B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2DD7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F0E34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维 护 费 用</w:t>
            </w:r>
          </w:p>
        </w:tc>
        <w:tc>
          <w:tcPr>
            <w:tcW w:w="37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51306A4">
            <w:pPr>
              <w:jc w:val="center"/>
              <w:rPr>
                <w:rFonts w:hint="eastAsia" w:ascii="宋体" w:hAnsi="宋体" w:eastAsia="宋体" w:cs="宋体"/>
                <w:b/>
                <w:bCs/>
                <w:i w:val="0"/>
                <w:iCs w:val="0"/>
                <w:color w:val="000000"/>
                <w:sz w:val="24"/>
                <w:szCs w:val="24"/>
                <w:u w:val="none"/>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8250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1095</w:t>
            </w:r>
          </w:p>
        </w:tc>
        <w:tc>
          <w:tcPr>
            <w:tcW w:w="37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1DF15CF">
            <w:pPr>
              <w:jc w:val="center"/>
              <w:rPr>
                <w:rFonts w:hint="eastAsia" w:ascii="宋体" w:hAnsi="宋体" w:eastAsia="宋体" w:cs="宋体"/>
                <w:b/>
                <w:bCs/>
                <w:i w:val="0"/>
                <w:iCs w:val="0"/>
                <w:color w:val="000000"/>
                <w:sz w:val="24"/>
                <w:szCs w:val="24"/>
                <w:u w:val="none"/>
              </w:rPr>
            </w:pP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45CD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1395</w:t>
            </w:r>
          </w:p>
        </w:tc>
      </w:tr>
      <w:tr w14:paraId="3FF5D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36F8C">
            <w:pPr>
              <w:jc w:val="center"/>
              <w:rPr>
                <w:rFonts w:hint="eastAsia" w:ascii="宋体" w:hAnsi="宋体" w:eastAsia="宋体" w:cs="宋体"/>
                <w:i w:val="0"/>
                <w:iCs w:val="0"/>
                <w:color w:val="000000"/>
                <w:sz w:val="24"/>
                <w:szCs w:val="24"/>
                <w:u w:val="none"/>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1D96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其中</w:t>
            </w:r>
          </w:p>
        </w:tc>
        <w:tc>
          <w:tcPr>
            <w:tcW w:w="1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4DF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零部件</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F6A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元/套</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5E0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720</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B1C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EF9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720</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6A7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元/套</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71E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720</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A739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CB5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720</w:t>
            </w:r>
          </w:p>
        </w:tc>
      </w:tr>
      <w:tr w14:paraId="61589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5BF0F">
            <w:pPr>
              <w:jc w:val="center"/>
              <w:rPr>
                <w:rFonts w:hint="eastAsia" w:ascii="宋体" w:hAnsi="宋体" w:eastAsia="宋体" w:cs="宋体"/>
                <w:i w:val="0"/>
                <w:iCs w:val="0"/>
                <w:color w:val="000000"/>
                <w:sz w:val="24"/>
                <w:szCs w:val="24"/>
                <w:u w:val="none"/>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67AD78">
            <w:pPr>
              <w:jc w:val="center"/>
              <w:rPr>
                <w:rFonts w:hint="eastAsia" w:ascii="宋体" w:hAnsi="宋体" w:eastAsia="宋体" w:cs="宋体"/>
                <w:i w:val="0"/>
                <w:iCs w:val="0"/>
                <w:color w:val="000000"/>
                <w:sz w:val="24"/>
                <w:szCs w:val="24"/>
                <w:u w:val="none"/>
              </w:rPr>
            </w:pPr>
          </w:p>
        </w:tc>
        <w:tc>
          <w:tcPr>
            <w:tcW w:w="1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FDA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设施设备维护费（元）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93C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元/年</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CBC6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375</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BE0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68D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0F6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元/年</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9E03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675</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4A7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013D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675</w:t>
            </w:r>
          </w:p>
        </w:tc>
      </w:tr>
      <w:tr w14:paraId="777356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780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13A2EE4">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每年维护费用合计（1+2）</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CD27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3155</w:t>
            </w:r>
          </w:p>
        </w:tc>
        <w:tc>
          <w:tcPr>
            <w:tcW w:w="37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B2C7EA8">
            <w:pPr>
              <w:jc w:val="center"/>
              <w:rPr>
                <w:rFonts w:hint="eastAsia" w:ascii="宋体" w:hAnsi="宋体" w:eastAsia="宋体" w:cs="宋体"/>
                <w:b/>
                <w:bCs/>
                <w:i w:val="0"/>
                <w:iCs w:val="0"/>
                <w:color w:val="000000"/>
                <w:sz w:val="24"/>
                <w:szCs w:val="24"/>
                <w:u w:val="none"/>
              </w:rPr>
            </w:pP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6103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3455</w:t>
            </w:r>
          </w:p>
        </w:tc>
      </w:tr>
    </w:tbl>
    <w:p w14:paraId="221F8E87">
      <w:pPr>
        <w:spacing w:line="360" w:lineRule="auto"/>
        <w:jc w:val="right"/>
        <w:rPr>
          <w:rFonts w:hint="eastAsia" w:asciiTheme="minorEastAsia" w:hAnsiTheme="minorEastAsia" w:eastAsiaTheme="minorEastAsia" w:cstheme="minorEastAsia"/>
          <w:kern w:val="0"/>
          <w:sz w:val="24"/>
          <w:szCs w:val="24"/>
        </w:rPr>
        <w:sectPr>
          <w:pgSz w:w="16838" w:h="11906" w:orient="landscape"/>
          <w:pgMar w:top="1797" w:right="1440" w:bottom="1797" w:left="1440" w:header="851" w:footer="992" w:gutter="0"/>
          <w:pgNumType w:fmt="decimal"/>
          <w:cols w:space="425" w:num="1"/>
          <w:docGrid w:linePitch="312" w:charSpace="0"/>
        </w:sectPr>
      </w:pPr>
    </w:p>
    <w:p w14:paraId="12668E09">
      <w:pPr>
        <w:pStyle w:val="2"/>
        <w:spacing w:before="120" w:beforeLines="50" w:after="120" w:afterLines="50" w:line="360" w:lineRule="auto"/>
        <w:ind w:left="420" w:hanging="420"/>
        <w:rPr>
          <w:rFonts w:asciiTheme="minorEastAsia" w:hAnsiTheme="minorEastAsia" w:eastAsiaTheme="minorEastAsia" w:cstheme="minorEastAsia"/>
          <w:bCs/>
          <w:sz w:val="32"/>
          <w:szCs w:val="32"/>
        </w:rPr>
      </w:pPr>
      <w:bookmarkStart w:id="32" w:name="_Toc32560"/>
      <w:r>
        <w:rPr>
          <w:rFonts w:hint="eastAsia" w:asciiTheme="minorEastAsia" w:hAnsiTheme="minorEastAsia" w:eastAsiaTheme="minorEastAsia" w:cstheme="minorEastAsia"/>
          <w:bCs/>
          <w:sz w:val="32"/>
          <w:szCs w:val="32"/>
        </w:rPr>
        <w:t>附表</w:t>
      </w:r>
      <w:r>
        <w:rPr>
          <w:rFonts w:hint="eastAsia" w:asciiTheme="minorEastAsia" w:hAnsiTheme="minorEastAsia" w:eastAsiaTheme="minorEastAsia" w:cstheme="minorEastAsia"/>
          <w:bCs/>
          <w:sz w:val="32"/>
          <w:szCs w:val="32"/>
          <w:lang w:val="en-US" w:eastAsia="zh-CN"/>
        </w:rPr>
        <w:t>2</w:t>
      </w:r>
      <w:r>
        <w:rPr>
          <w:rFonts w:hint="eastAsia" w:asciiTheme="minorEastAsia" w:hAnsiTheme="minorEastAsia" w:eastAsiaTheme="minorEastAsia" w:cstheme="minorEastAsia"/>
          <w:bCs/>
          <w:sz w:val="32"/>
          <w:szCs w:val="32"/>
        </w:rPr>
        <w:t xml:space="preserve"> </w:t>
      </w:r>
      <w:r>
        <w:rPr>
          <w:rFonts w:hint="eastAsia" w:asciiTheme="minorEastAsia" w:hAnsiTheme="minorEastAsia" w:eastAsiaTheme="minorEastAsia" w:cstheme="minorEastAsia"/>
          <w:bCs/>
          <w:sz w:val="32"/>
          <w:szCs w:val="32"/>
          <w:lang w:val="en-US" w:eastAsia="zh-CN"/>
        </w:rPr>
        <w:t>视频会商系统</w:t>
      </w:r>
      <w:r>
        <w:rPr>
          <w:rFonts w:hint="eastAsia" w:asciiTheme="minorEastAsia" w:hAnsiTheme="minorEastAsia" w:eastAsiaTheme="minorEastAsia" w:cstheme="minorEastAsia"/>
          <w:bCs/>
          <w:sz w:val="32"/>
          <w:szCs w:val="32"/>
        </w:rPr>
        <w:t>运行维护费用测算表</w:t>
      </w:r>
      <w:bookmarkEnd w:id="32"/>
    </w:p>
    <w:p w14:paraId="0A9BA842">
      <w:pPr>
        <w:pStyle w:val="39"/>
        <w:numPr>
          <w:ilvl w:val="0"/>
          <w:numId w:val="9"/>
        </w:numPr>
        <w:ind w:firstLine="0" w:firstLineChars="0"/>
        <w:rPr>
          <w:rFonts w:hint="eastAsia" w:asciiTheme="minorEastAsia" w:hAnsiTheme="minorEastAsia" w:eastAsiaTheme="minorEastAsia" w:cstheme="minorEastAsia"/>
          <w:color w:val="auto"/>
          <w:kern w:val="2"/>
          <w:sz w:val="24"/>
          <w:szCs w:val="24"/>
          <w:lang w:eastAsia="zh-CN"/>
        </w:rPr>
      </w:pPr>
      <w:r>
        <w:rPr>
          <w:rFonts w:hint="eastAsia" w:asciiTheme="minorEastAsia" w:hAnsiTheme="minorEastAsia" w:eastAsiaTheme="minorEastAsia" w:cstheme="minorEastAsia"/>
          <w:color w:val="auto"/>
          <w:kern w:val="2"/>
          <w:sz w:val="24"/>
          <w:szCs w:val="24"/>
          <w:lang w:val="en-US" w:eastAsia="zh-CN"/>
        </w:rPr>
        <w:t>盟市</w:t>
      </w:r>
      <w:r>
        <w:rPr>
          <w:rFonts w:hint="eastAsia" w:asciiTheme="minorEastAsia" w:hAnsiTheme="minorEastAsia" w:eastAsiaTheme="minorEastAsia" w:cstheme="minorEastAsia"/>
          <w:color w:val="auto"/>
          <w:kern w:val="2"/>
          <w:sz w:val="24"/>
          <w:szCs w:val="24"/>
          <w:lang w:eastAsia="zh-CN"/>
        </w:rPr>
        <w:t>视频会商系统</w:t>
      </w:r>
    </w:p>
    <w:tbl>
      <w:tblPr>
        <w:tblStyle w:val="32"/>
        <w:tblW w:w="87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147"/>
        <w:gridCol w:w="2613"/>
      </w:tblGrid>
      <w:tr w14:paraId="1ECCB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73" w:hRule="atLeast"/>
        </w:trPr>
        <w:tc>
          <w:tcPr>
            <w:tcW w:w="87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B23C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盟市级视频会商系统运行维护费</w:t>
            </w:r>
          </w:p>
        </w:tc>
      </w:tr>
      <w:tr w14:paraId="1835A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3678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运维项目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CBC8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测算费用（元）</w:t>
            </w:r>
          </w:p>
        </w:tc>
      </w:tr>
      <w:tr w14:paraId="721787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860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多点控制器设备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1C7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5603</w:t>
            </w:r>
          </w:p>
        </w:tc>
      </w:tr>
      <w:tr w14:paraId="2BC51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E8C9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视频会商终端设备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F66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1860</w:t>
            </w:r>
          </w:p>
        </w:tc>
      </w:tr>
      <w:tr w14:paraId="4C470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270D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RGB、AV矩阵切换器设备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BBD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720.4</w:t>
            </w:r>
          </w:p>
        </w:tc>
      </w:tr>
      <w:tr w14:paraId="6CA38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4BB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图像拼接控制器设备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368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1234</w:t>
            </w:r>
          </w:p>
        </w:tc>
      </w:tr>
      <w:tr w14:paraId="0C96E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CFC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摄像头设备</w:t>
            </w:r>
            <w:r>
              <w:rPr>
                <w:rFonts w:hint="eastAsia" w:ascii="宋体" w:hAnsi="宋体" w:cs="宋体"/>
                <w:i w:val="0"/>
                <w:iCs w:val="0"/>
                <w:color w:val="000000"/>
                <w:kern w:val="0"/>
                <w:sz w:val="24"/>
                <w:szCs w:val="24"/>
                <w:u w:val="none"/>
                <w:lang w:val="en-US" w:eastAsia="zh-CN" w:bidi="ar"/>
              </w:rPr>
              <w:t>（含耗材3套，2套零部件）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93D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780</w:t>
            </w:r>
          </w:p>
        </w:tc>
      </w:tr>
      <w:tr w14:paraId="590DF8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A459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云台设备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B00E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1031.2</w:t>
            </w:r>
          </w:p>
        </w:tc>
      </w:tr>
      <w:tr w14:paraId="0BB88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72DD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DLP背投单元设备（3块）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9853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7238.2</w:t>
            </w:r>
          </w:p>
        </w:tc>
      </w:tr>
      <w:tr w14:paraId="46E58E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02A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音频设备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42C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707.2</w:t>
            </w:r>
          </w:p>
        </w:tc>
      </w:tr>
      <w:tr w14:paraId="35CF5F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314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数字会议、主席发言系统设备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C4F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826</w:t>
            </w:r>
          </w:p>
        </w:tc>
      </w:tr>
      <w:tr w14:paraId="2A450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0EB2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总计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C355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20000</w:t>
            </w:r>
          </w:p>
        </w:tc>
      </w:tr>
    </w:tbl>
    <w:p w14:paraId="0446B6FD">
      <w:pPr>
        <w:pStyle w:val="2"/>
        <w:spacing w:before="120" w:beforeLines="50" w:after="120" w:afterLines="50" w:line="360" w:lineRule="auto"/>
        <w:ind w:left="420" w:hanging="420"/>
        <w:rPr>
          <w:rFonts w:hint="eastAsia" w:asciiTheme="minorEastAsia" w:hAnsiTheme="minorEastAsia" w:eastAsiaTheme="minorEastAsia" w:cstheme="minorEastAsia"/>
          <w:bCs/>
          <w:sz w:val="32"/>
          <w:szCs w:val="32"/>
        </w:rPr>
      </w:pPr>
      <w:bookmarkStart w:id="33" w:name="_Toc206"/>
    </w:p>
    <w:p w14:paraId="2A5B0E24">
      <w:pPr>
        <w:pStyle w:val="2"/>
        <w:spacing w:before="120" w:beforeLines="50" w:after="120" w:afterLines="50" w:line="360" w:lineRule="auto"/>
        <w:ind w:left="420" w:hanging="420"/>
        <w:rPr>
          <w:rFonts w:hint="eastAsia" w:asciiTheme="minorEastAsia" w:hAnsiTheme="minorEastAsia" w:eastAsiaTheme="minorEastAsia" w:cstheme="minorEastAsia"/>
          <w:bCs/>
          <w:sz w:val="32"/>
          <w:szCs w:val="32"/>
        </w:rPr>
      </w:pPr>
      <w:r>
        <w:rPr>
          <w:rFonts w:hint="eastAsia" w:asciiTheme="minorEastAsia" w:hAnsiTheme="minorEastAsia" w:eastAsiaTheme="minorEastAsia" w:cstheme="minorEastAsia"/>
          <w:bCs/>
          <w:sz w:val="32"/>
          <w:szCs w:val="32"/>
        </w:rPr>
        <w:t>附表</w:t>
      </w:r>
      <w:r>
        <w:rPr>
          <w:rFonts w:hint="eastAsia" w:asciiTheme="minorEastAsia" w:hAnsiTheme="minorEastAsia" w:eastAsiaTheme="minorEastAsia" w:cstheme="minorEastAsia"/>
          <w:bCs/>
          <w:sz w:val="32"/>
          <w:szCs w:val="32"/>
          <w:lang w:val="en-US" w:eastAsia="zh-CN"/>
        </w:rPr>
        <w:t>3</w:t>
      </w:r>
      <w:r>
        <w:rPr>
          <w:rFonts w:hint="eastAsia" w:asciiTheme="minorEastAsia" w:hAnsiTheme="minorEastAsia" w:eastAsiaTheme="minorEastAsia" w:cstheme="minorEastAsia"/>
          <w:bCs/>
          <w:sz w:val="32"/>
          <w:szCs w:val="32"/>
        </w:rPr>
        <w:t xml:space="preserve"> </w:t>
      </w:r>
      <w:r>
        <w:rPr>
          <w:rFonts w:hint="eastAsia" w:asciiTheme="minorEastAsia" w:hAnsiTheme="minorEastAsia" w:eastAsiaTheme="minorEastAsia" w:cstheme="minorEastAsia"/>
          <w:bCs/>
          <w:sz w:val="32"/>
          <w:szCs w:val="32"/>
          <w:lang w:val="en-US" w:eastAsia="zh-CN"/>
        </w:rPr>
        <w:t>站点迁移</w:t>
      </w:r>
      <w:r>
        <w:rPr>
          <w:rFonts w:hint="eastAsia" w:asciiTheme="minorEastAsia" w:hAnsiTheme="minorEastAsia" w:eastAsiaTheme="minorEastAsia" w:cstheme="minorEastAsia"/>
          <w:bCs/>
          <w:sz w:val="32"/>
          <w:szCs w:val="32"/>
        </w:rPr>
        <w:t>费用测算表</w:t>
      </w:r>
      <w:bookmarkEnd w:id="33"/>
    </w:p>
    <w:p w14:paraId="6BD922DB">
      <w:pPr>
        <w:rPr>
          <w:rFonts w:hint="eastAsia" w:asciiTheme="minorEastAsia" w:hAnsiTheme="minorEastAsia" w:eastAsiaTheme="minorEastAsia" w:cstheme="minorEastAsia"/>
          <w:bCs/>
          <w:sz w:val="32"/>
          <w:szCs w:val="32"/>
        </w:rPr>
      </w:pPr>
    </w:p>
    <w:tbl>
      <w:tblPr>
        <w:tblStyle w:val="32"/>
        <w:tblW w:w="1367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58"/>
        <w:gridCol w:w="3477"/>
        <w:gridCol w:w="3793"/>
        <w:gridCol w:w="1159"/>
        <w:gridCol w:w="1159"/>
        <w:gridCol w:w="1530"/>
        <w:gridCol w:w="1401"/>
      </w:tblGrid>
      <w:tr w14:paraId="7D5C11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9" w:hRule="atLeast"/>
          <w:jc w:val="center"/>
        </w:trPr>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E9572">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D7037">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项目名称</w:t>
            </w:r>
          </w:p>
        </w:tc>
        <w:tc>
          <w:tcPr>
            <w:tcW w:w="3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F53F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参数要求</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884C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08DF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8A135">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单价（元）</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72E06">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合计（元）</w:t>
            </w:r>
          </w:p>
        </w:tc>
      </w:tr>
      <w:tr w14:paraId="03B60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jc w:val="center"/>
        </w:trPr>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9F93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w:t>
            </w:r>
          </w:p>
        </w:tc>
        <w:tc>
          <w:tcPr>
            <w:tcW w:w="11118"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95827">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人工及运输费</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604A6">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2687</w:t>
            </w:r>
          </w:p>
        </w:tc>
      </w:tr>
      <w:tr w14:paraId="00DFF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jc w:val="center"/>
        </w:trPr>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FC6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72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3A6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汽车里程费（往返）</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986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km</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EE4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5E6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E2E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480</w:t>
            </w:r>
          </w:p>
        </w:tc>
      </w:tr>
      <w:tr w14:paraId="261A1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jc w:val="center"/>
        </w:trPr>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8DF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72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293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汽车路桥费</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9BB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100km</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D78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893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948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14:paraId="50721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jc w:val="center"/>
        </w:trPr>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A7E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72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6C1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生活补助费</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ADE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人/天</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225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714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8CE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w:t>
            </w:r>
          </w:p>
        </w:tc>
      </w:tr>
      <w:tr w14:paraId="1456D7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9" w:hRule="atLeast"/>
          <w:jc w:val="center"/>
        </w:trPr>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DBF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72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1B8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住宿费</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2EA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人/天</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B5A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FB8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7B2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w:t>
            </w:r>
          </w:p>
        </w:tc>
      </w:tr>
      <w:tr w14:paraId="0551C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jc w:val="center"/>
        </w:trPr>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17E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72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12B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汽车租赁费</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BAB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辆/天</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9E8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D4E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BB2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r>
      <w:tr w14:paraId="7DB2B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jc w:val="center"/>
        </w:trPr>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2E3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72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1A2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调试费</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06C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处</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7EB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6A5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747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390</w:t>
            </w:r>
          </w:p>
        </w:tc>
      </w:tr>
      <w:tr w14:paraId="30886A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jc w:val="center"/>
        </w:trPr>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514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72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909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人工费</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99C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人/天</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9EB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6E8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143.5</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EC0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287</w:t>
            </w:r>
          </w:p>
        </w:tc>
      </w:tr>
      <w:tr w14:paraId="0978B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9" w:hRule="atLeast"/>
          <w:jc w:val="center"/>
        </w:trPr>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8DFA5">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w:t>
            </w:r>
          </w:p>
        </w:tc>
        <w:tc>
          <w:tcPr>
            <w:tcW w:w="11118"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C9DC5">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站点迁移土建工程</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A590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2690</w:t>
            </w:r>
          </w:p>
        </w:tc>
      </w:tr>
      <w:tr w14:paraId="43B949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9" w:hRule="atLeast"/>
          <w:jc w:val="center"/>
        </w:trPr>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12F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1118"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CF3F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立杆土建工程</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11F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377.5</w:t>
            </w:r>
          </w:p>
        </w:tc>
      </w:tr>
      <w:tr w14:paraId="4183D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jc w:val="center"/>
        </w:trPr>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58C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1.1.1</w:t>
            </w:r>
          </w:p>
        </w:tc>
        <w:tc>
          <w:tcPr>
            <w:tcW w:w="72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4B29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立杆土方</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27B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m³</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443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0.29</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F29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1F9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8.7</w:t>
            </w:r>
          </w:p>
        </w:tc>
      </w:tr>
      <w:tr w14:paraId="68BCC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308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E47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立杆混凝土基础C25</w:t>
            </w:r>
          </w:p>
        </w:tc>
        <w:tc>
          <w:tcPr>
            <w:tcW w:w="3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BBD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600mm×600mm×800mm</w:t>
            </w:r>
            <w:r>
              <w:rPr>
                <w:rFonts w:hint="eastAsia" w:ascii="宋体" w:hAnsi="宋体" w:cs="宋体"/>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地面下600mm，地上200mm</w:t>
            </w:r>
            <w:r>
              <w:rPr>
                <w:rFonts w:hint="eastAsia" w:ascii="宋体" w:hAnsi="宋体" w:cs="宋体"/>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 xml:space="preserve"> </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F70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m³</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F91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0.288</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54A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A8E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129.6</w:t>
            </w:r>
          </w:p>
        </w:tc>
      </w:tr>
      <w:tr w14:paraId="761D5C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9" w:hRule="atLeast"/>
          <w:jc w:val="center"/>
        </w:trPr>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5A1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1.1.3</w:t>
            </w:r>
          </w:p>
        </w:tc>
        <w:tc>
          <w:tcPr>
            <w:tcW w:w="72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0A5C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立杆混凝土模板</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C81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F53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0.48</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F36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FE7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19.2</w:t>
            </w:r>
          </w:p>
        </w:tc>
      </w:tr>
      <w:tr w14:paraId="67FDE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6" w:hRule="atLeast"/>
          <w:jc w:val="center"/>
        </w:trPr>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ABF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1.1.4</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9A3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立杆地笼</w:t>
            </w:r>
          </w:p>
        </w:tc>
        <w:tc>
          <w:tcPr>
            <w:tcW w:w="3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8E9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钢筋采用4根DN20钢螺栓</w:t>
            </w:r>
            <w:r>
              <w:rPr>
                <w:rFonts w:hint="eastAsia" w:ascii="宋体" w:hAnsi="宋体" w:cs="宋体"/>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L=630mm</w:t>
            </w:r>
            <w:r>
              <w:rPr>
                <w:rFonts w:hint="eastAsia" w:ascii="宋体" w:hAnsi="宋体" w:cs="宋体"/>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含10mm弯钩</w:t>
            </w:r>
            <w:r>
              <w:rPr>
                <w:rFonts w:hint="eastAsia" w:ascii="宋体" w:hAnsi="宋体" w:cs="宋体"/>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，地笼法兰采用400mm×400mm×10mm钢板，中间预留出线孔</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E46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6DF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C1D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762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w:t>
            </w:r>
          </w:p>
        </w:tc>
      </w:tr>
      <w:tr w14:paraId="00E805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jc w:val="center"/>
        </w:trPr>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AB7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1118"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FADC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金属围栏工程</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AF4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2312.5</w:t>
            </w:r>
          </w:p>
        </w:tc>
      </w:tr>
      <w:tr w14:paraId="2026EA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7" w:hRule="atLeast"/>
          <w:jc w:val="center"/>
        </w:trPr>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C7C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1.2.1</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6B9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金属围栏</w:t>
            </w:r>
          </w:p>
        </w:tc>
        <w:tc>
          <w:tcPr>
            <w:tcW w:w="3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85C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3263mm×1800mm×4，围栏采用铁艺式，四面封闭，西侧北角为入口门</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BD1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B2F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21.6</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C84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39A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1296</w:t>
            </w:r>
          </w:p>
        </w:tc>
      </w:tr>
      <w:tr w14:paraId="4A329A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9" w:hRule="atLeast"/>
          <w:jc w:val="center"/>
        </w:trPr>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B4E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1.2.2</w:t>
            </w:r>
          </w:p>
        </w:tc>
        <w:tc>
          <w:tcPr>
            <w:tcW w:w="72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C9F8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金属围栏基础土方</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C05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m³</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929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0.4</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734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698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r>
      <w:tr w14:paraId="64BDC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6" w:hRule="atLeast"/>
          <w:jc w:val="center"/>
        </w:trPr>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19C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1.2.3</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1CE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金属围栏基础混凝土C25</w:t>
            </w:r>
          </w:p>
        </w:tc>
        <w:tc>
          <w:tcPr>
            <w:tcW w:w="3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AD1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上口300mm×300mm×200mm，下口400mm×400mm×500mm，围栏基础采用5个嵌入地下的梯形混凝土基础墩，预埋焊接件，围栏四边角及大门立柱各设一墩基础</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326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m³</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5E9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0.57</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F0D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0B1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256.5</w:t>
            </w:r>
          </w:p>
        </w:tc>
      </w:tr>
      <w:tr w14:paraId="4393A7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jc w:val="center"/>
        </w:trPr>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84F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1.2.4</w:t>
            </w:r>
          </w:p>
        </w:tc>
        <w:tc>
          <w:tcPr>
            <w:tcW w:w="72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1568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金属围栏混凝土模板</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34A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576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777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391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r>
      <w:tr w14:paraId="746083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83C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1.2.5</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0C9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金属围栏基础主柱</w:t>
            </w:r>
          </w:p>
        </w:tc>
        <w:tc>
          <w:tcPr>
            <w:tcW w:w="3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067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立柱镀锌方钢80mm×80mm×1800mm</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39B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627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D29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42F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w:t>
            </w:r>
          </w:p>
        </w:tc>
      </w:tr>
      <w:tr w14:paraId="5B83DD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C2D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1.2.6</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85F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金属围栏门</w:t>
            </w:r>
          </w:p>
        </w:tc>
        <w:tc>
          <w:tcPr>
            <w:tcW w:w="3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265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金属围栏门1050mm×1800mm（含门五金配件）</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D19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188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BBE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106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t>
            </w:r>
          </w:p>
        </w:tc>
      </w:tr>
      <w:tr w14:paraId="33EED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6B64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w:t>
            </w:r>
          </w:p>
        </w:tc>
        <w:tc>
          <w:tcPr>
            <w:tcW w:w="11118"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846FC">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迁移费用合计（1+2）</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BD26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5377</w:t>
            </w:r>
          </w:p>
        </w:tc>
      </w:tr>
    </w:tbl>
    <w:p w14:paraId="7F98281B">
      <w:pPr>
        <w:pStyle w:val="39"/>
        <w:ind w:firstLine="0" w:firstLineChars="0"/>
        <w:rPr>
          <w:rFonts w:asciiTheme="minorEastAsia" w:hAnsiTheme="minorEastAsia" w:eastAsiaTheme="minorEastAsia" w:cstheme="minorEastAsia"/>
          <w:color w:val="auto"/>
          <w:kern w:val="2"/>
          <w:sz w:val="24"/>
          <w:szCs w:val="24"/>
        </w:rPr>
      </w:pPr>
    </w:p>
    <w:p w14:paraId="4E72CBA7">
      <w:pPr>
        <w:pStyle w:val="30"/>
        <w:ind w:left="0" w:leftChars="0" w:firstLine="0" w:firstLineChars="0"/>
        <w:rPr>
          <w:rFonts w:hint="eastAsia" w:eastAsia="宋体"/>
          <w:lang w:val="en-US" w:eastAsia="zh-CN"/>
        </w:rPr>
      </w:pPr>
    </w:p>
    <w:sectPr>
      <w:pgSz w:w="16838" w:h="11906" w:orient="landscape"/>
      <w:pgMar w:top="1797" w:right="1440" w:bottom="1797" w:left="1440" w:header="851" w:footer="992" w:gutter="0"/>
      <w:pgNumType w:fmt="decimal"/>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24C72">
    <w:pPr>
      <w:spacing w:line="259" w:lineRule="auto"/>
      <w:ind w:right="869"/>
      <w:jc w:val="center"/>
    </w:pPr>
    <w:r>
      <w:rPr>
        <w:rFonts w:eastAsia="Calibri" w:cs="Calibri"/>
        <w:sz w:val="1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90C810">
    <w:pPr>
      <w:jc w:val="cente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113501">
                          <w:pPr>
                            <w:jc w:val="center"/>
                          </w:pPr>
                          <w:r>
                            <w:fldChar w:fldCharType="begin"/>
                          </w:r>
                          <w:r>
                            <w:instrText xml:space="preserve">PAGE   \* MERGEFORMAT</w:instrText>
                          </w:r>
                          <w:r>
                            <w:fldChar w:fldCharType="separate"/>
                          </w:r>
                          <w:r>
                            <w:rPr>
                              <w:lang w:val="zh-CN"/>
                            </w:rP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76113501">
                    <w:pPr>
                      <w:jc w:val="center"/>
                    </w:pPr>
                    <w:r>
                      <w:fldChar w:fldCharType="begin"/>
                    </w:r>
                    <w:r>
                      <w:instrText xml:space="preserve">PAGE   \* MERGEFORMAT</w:instrText>
                    </w:r>
                    <w:r>
                      <w:fldChar w:fldCharType="separate"/>
                    </w:r>
                    <w:r>
                      <w:rPr>
                        <w:lang w:val="zh-CN"/>
                      </w:rPr>
                      <w:t>57</w:t>
                    </w:r>
                    <w:r>
                      <w:fldChar w:fldCharType="end"/>
                    </w:r>
                  </w:p>
                </w:txbxContent>
              </v:textbox>
            </v:shape>
          </w:pict>
        </mc:Fallback>
      </mc:AlternateContent>
    </w:r>
  </w:p>
  <w:p w14:paraId="4422B200">
    <w:pPr>
      <w:pStyle w:val="2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6F4300">
    <w:pPr>
      <w:pStyle w:val="22"/>
    </w:pPr>
    <w:r>
      <w:rPr>
        <w:rFonts w:hint="eastAsia"/>
      </w:rPr>
      <w:t>内蒙古自治区202</w:t>
    </w:r>
    <w:r>
      <w:rPr>
        <w:rFonts w:hint="eastAsia"/>
        <w:lang w:val="en-US" w:eastAsia="zh-CN"/>
      </w:rPr>
      <w:t>6</w:t>
    </w:r>
    <w:r>
      <w:rPr>
        <w:rFonts w:hint="eastAsia"/>
      </w:rPr>
      <w:t>年度山洪灾害防治非工程措施运维实施方案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647FED">
    <w:pPr>
      <w:pStyle w:val="22"/>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B9E23D"/>
    <w:multiLevelType w:val="multilevel"/>
    <w:tmpl w:val="97B9E23D"/>
    <w:lvl w:ilvl="0" w:tentative="0">
      <w:start w:val="1"/>
      <w:numFmt w:val="chineseCounting"/>
      <w:suff w:val="nothing"/>
      <w:lvlText w:val="第%1章 "/>
      <w:lvlJc w:val="left"/>
      <w:pPr>
        <w:ind w:left="432" w:hanging="432"/>
      </w:pPr>
      <w:rPr>
        <w:rFonts w:hint="eastAsia"/>
      </w:rPr>
    </w:lvl>
    <w:lvl w:ilvl="1" w:tentative="0">
      <w:start w:val="1"/>
      <w:numFmt w:val="decimal"/>
      <w:isLgl/>
      <w:lvlText w:val="%1.%2."/>
      <w:lvlJc w:val="left"/>
      <w:pPr>
        <w:ind w:left="575" w:hanging="575"/>
      </w:pPr>
      <w:rPr>
        <w:rFonts w:hint="eastAsia"/>
      </w:rPr>
    </w:lvl>
    <w:lvl w:ilvl="2" w:tentative="0">
      <w:start w:val="1"/>
      <w:numFmt w:val="decimal"/>
      <w:isLgl/>
      <w:lvlText w:val="%1.%2.%3."/>
      <w:lvlJc w:val="left"/>
      <w:pPr>
        <w:ind w:left="720" w:hanging="720"/>
      </w:pPr>
      <w:rPr>
        <w:rFonts w:hint="default" w:asciiTheme="minorEastAsia" w:hAnsiTheme="minorEastAsia" w:eastAsiaTheme="minorEastAsia" w:cstheme="minorEastAsia"/>
      </w:rPr>
    </w:lvl>
    <w:lvl w:ilvl="3" w:tentative="0">
      <w:start w:val="1"/>
      <w:numFmt w:val="decimal"/>
      <w:pStyle w:val="5"/>
      <w:isLgl/>
      <w:lvlText w:val="%1.%2.%3.%4."/>
      <w:lvlJc w:val="left"/>
      <w:pPr>
        <w:ind w:left="864" w:hanging="864"/>
      </w:pPr>
      <w:rPr>
        <w:rFonts w:hint="eastAsia"/>
      </w:rPr>
    </w:lvl>
    <w:lvl w:ilvl="4" w:tentative="0">
      <w:start w:val="1"/>
      <w:numFmt w:val="decimal"/>
      <w:pStyle w:val="6"/>
      <w:isLgl/>
      <w:lvlText w:val="%1.%2.%3.%4.%5."/>
      <w:lvlJc w:val="left"/>
      <w:pPr>
        <w:ind w:left="1008" w:hanging="1008"/>
      </w:pPr>
      <w:rPr>
        <w:rFonts w:hint="eastAsia"/>
      </w:rPr>
    </w:lvl>
    <w:lvl w:ilvl="5" w:tentative="0">
      <w:start w:val="1"/>
      <w:numFmt w:val="decimal"/>
      <w:pStyle w:val="7"/>
      <w:isLgl/>
      <w:lvlText w:val="%1.%2.%3.%4.%5.%6."/>
      <w:lvlJc w:val="left"/>
      <w:pPr>
        <w:ind w:left="1151" w:hanging="1151"/>
      </w:pPr>
      <w:rPr>
        <w:rFonts w:hint="eastAsia"/>
      </w:rPr>
    </w:lvl>
    <w:lvl w:ilvl="6" w:tentative="0">
      <w:start w:val="1"/>
      <w:numFmt w:val="decimal"/>
      <w:pStyle w:val="8"/>
      <w:isLgl/>
      <w:lvlText w:val="%1.%2.%3.%4.%5.%6.%7."/>
      <w:lvlJc w:val="left"/>
      <w:pPr>
        <w:ind w:left="1296" w:hanging="1296"/>
      </w:pPr>
      <w:rPr>
        <w:rFonts w:hint="eastAsia"/>
      </w:rPr>
    </w:lvl>
    <w:lvl w:ilvl="7" w:tentative="0">
      <w:start w:val="1"/>
      <w:numFmt w:val="decimal"/>
      <w:pStyle w:val="9"/>
      <w:isLgl/>
      <w:lvlText w:val="%1.%2.%3.%4.%5.%6.%7.%8."/>
      <w:lvlJc w:val="left"/>
      <w:pPr>
        <w:ind w:left="1440" w:hanging="1440"/>
      </w:pPr>
      <w:rPr>
        <w:rFonts w:hint="eastAsia"/>
      </w:rPr>
    </w:lvl>
    <w:lvl w:ilvl="8" w:tentative="0">
      <w:start w:val="1"/>
      <w:numFmt w:val="decimal"/>
      <w:pStyle w:val="10"/>
      <w:isLgl/>
      <w:lvlText w:val="%1.%2.%3.%4.%5.%6.%7.%8.%9."/>
      <w:lvlJc w:val="left"/>
      <w:pPr>
        <w:ind w:left="1583" w:hanging="1583"/>
      </w:pPr>
      <w:rPr>
        <w:rFonts w:hint="eastAsia"/>
      </w:rPr>
    </w:lvl>
  </w:abstractNum>
  <w:abstractNum w:abstractNumId="1">
    <w:nsid w:val="B05925AF"/>
    <w:multiLevelType w:val="singleLevel"/>
    <w:tmpl w:val="B05925AF"/>
    <w:lvl w:ilvl="0" w:tentative="0">
      <w:start w:val="1"/>
      <w:numFmt w:val="decimal"/>
      <w:suff w:val="nothing"/>
      <w:lvlText w:val="（%1）"/>
      <w:lvlJc w:val="left"/>
    </w:lvl>
  </w:abstractNum>
  <w:abstractNum w:abstractNumId="2">
    <w:nsid w:val="B264E42B"/>
    <w:multiLevelType w:val="singleLevel"/>
    <w:tmpl w:val="B264E42B"/>
    <w:lvl w:ilvl="0" w:tentative="0">
      <w:start w:val="1"/>
      <w:numFmt w:val="decimal"/>
      <w:suff w:val="nothing"/>
      <w:lvlText w:val="（%1）"/>
      <w:lvlJc w:val="left"/>
    </w:lvl>
  </w:abstractNum>
  <w:abstractNum w:abstractNumId="3">
    <w:nsid w:val="E3057551"/>
    <w:multiLevelType w:val="singleLevel"/>
    <w:tmpl w:val="E3057551"/>
    <w:lvl w:ilvl="0" w:tentative="0">
      <w:start w:val="1"/>
      <w:numFmt w:val="decimal"/>
      <w:suff w:val="nothing"/>
      <w:lvlText w:val="（%1）"/>
      <w:lvlJc w:val="left"/>
    </w:lvl>
  </w:abstractNum>
  <w:abstractNum w:abstractNumId="4">
    <w:nsid w:val="44A07865"/>
    <w:multiLevelType w:val="singleLevel"/>
    <w:tmpl w:val="44A07865"/>
    <w:lvl w:ilvl="0" w:tentative="0">
      <w:start w:val="1"/>
      <w:numFmt w:val="decimal"/>
      <w:suff w:val="nothing"/>
      <w:lvlText w:val="（%1）"/>
      <w:lvlJc w:val="left"/>
    </w:lvl>
  </w:abstractNum>
  <w:abstractNum w:abstractNumId="5">
    <w:nsid w:val="44C50F90"/>
    <w:multiLevelType w:val="multilevel"/>
    <w:tmpl w:val="44C50F90"/>
    <w:lvl w:ilvl="0" w:tentative="0">
      <w:start w:val="1"/>
      <w:numFmt w:val="lowerLetter"/>
      <w:pStyle w:val="65"/>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6">
    <w:nsid w:val="657D3FBC"/>
    <w:multiLevelType w:val="multilevel"/>
    <w:tmpl w:val="657D3FBC"/>
    <w:lvl w:ilvl="0" w:tentative="0">
      <w:start w:val="1"/>
      <w:numFmt w:val="upperLetter"/>
      <w:pStyle w:val="62"/>
      <w:suff w:val="nothing"/>
      <w:lvlText w:val="附录%1"/>
      <w:lvlJc w:val="left"/>
      <w:pPr>
        <w:ind w:left="0" w:firstLine="0"/>
      </w:pPr>
      <w:rPr>
        <w:rFonts w:hint="eastAsia"/>
        <w:spacing w:val="100"/>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7">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284"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6DBF04F4"/>
    <w:multiLevelType w:val="multilevel"/>
    <w:tmpl w:val="6DBF04F4"/>
    <w:lvl w:ilvl="0" w:tentative="0">
      <w:start w:val="1"/>
      <w:numFmt w:val="none"/>
      <w:pStyle w:val="64"/>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0"/>
  </w:num>
  <w:num w:numId="2">
    <w:abstractNumId w:val="6"/>
  </w:num>
  <w:num w:numId="3">
    <w:abstractNumId w:val="8"/>
  </w:num>
  <w:num w:numId="4">
    <w:abstractNumId w:val="5"/>
  </w:num>
  <w:num w:numId="5">
    <w:abstractNumId w:val="7"/>
  </w:num>
  <w:num w:numId="6">
    <w:abstractNumId w:val="3"/>
  </w:num>
  <w:num w:numId="7">
    <w:abstractNumId w:val="1"/>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HorizontalSpacing w:val="105"/>
  <w:drawingGridVerticalSpacing w:val="16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MwMDlmM2Q1YmQxYWU5MWU3M2NkNTAzNzM5NGU2YTcifQ=="/>
    <w:docVar w:name="KSO_WPS_MARK_KEY" w:val="5fa68c3a-e7b9-422d-b943-1b1f42ebddfa"/>
  </w:docVars>
  <w:rsids>
    <w:rsidRoot w:val="00036E44"/>
    <w:rsid w:val="0000141F"/>
    <w:rsid w:val="00011633"/>
    <w:rsid w:val="00011F41"/>
    <w:rsid w:val="00012F45"/>
    <w:rsid w:val="00026AFE"/>
    <w:rsid w:val="0003351C"/>
    <w:rsid w:val="00035BAE"/>
    <w:rsid w:val="00036E44"/>
    <w:rsid w:val="00036FCD"/>
    <w:rsid w:val="00037B17"/>
    <w:rsid w:val="0005014E"/>
    <w:rsid w:val="0005382B"/>
    <w:rsid w:val="000549C6"/>
    <w:rsid w:val="00054B5F"/>
    <w:rsid w:val="00057660"/>
    <w:rsid w:val="00057B85"/>
    <w:rsid w:val="000639F9"/>
    <w:rsid w:val="00065965"/>
    <w:rsid w:val="00066BCF"/>
    <w:rsid w:val="00070255"/>
    <w:rsid w:val="00077260"/>
    <w:rsid w:val="000772EE"/>
    <w:rsid w:val="00084924"/>
    <w:rsid w:val="000932FF"/>
    <w:rsid w:val="00095DFC"/>
    <w:rsid w:val="000A3344"/>
    <w:rsid w:val="000A464D"/>
    <w:rsid w:val="000A61B3"/>
    <w:rsid w:val="000A6747"/>
    <w:rsid w:val="000B07C6"/>
    <w:rsid w:val="000B1B20"/>
    <w:rsid w:val="000B675C"/>
    <w:rsid w:val="000D3D37"/>
    <w:rsid w:val="000E3D65"/>
    <w:rsid w:val="001053CA"/>
    <w:rsid w:val="001103C4"/>
    <w:rsid w:val="00110E5B"/>
    <w:rsid w:val="00137C51"/>
    <w:rsid w:val="00147840"/>
    <w:rsid w:val="00160F1E"/>
    <w:rsid w:val="00170A9B"/>
    <w:rsid w:val="001752FD"/>
    <w:rsid w:val="00184382"/>
    <w:rsid w:val="001A17EB"/>
    <w:rsid w:val="001A4B41"/>
    <w:rsid w:val="001A677D"/>
    <w:rsid w:val="001A7142"/>
    <w:rsid w:val="001B21C6"/>
    <w:rsid w:val="001C478F"/>
    <w:rsid w:val="001C5456"/>
    <w:rsid w:val="001D24FC"/>
    <w:rsid w:val="001E4A7E"/>
    <w:rsid w:val="001F11C3"/>
    <w:rsid w:val="001F1360"/>
    <w:rsid w:val="001F354B"/>
    <w:rsid w:val="00201491"/>
    <w:rsid w:val="00203AFF"/>
    <w:rsid w:val="00204F2E"/>
    <w:rsid w:val="0021058F"/>
    <w:rsid w:val="00212DBA"/>
    <w:rsid w:val="002153CD"/>
    <w:rsid w:val="002222A9"/>
    <w:rsid w:val="00224261"/>
    <w:rsid w:val="002244F3"/>
    <w:rsid w:val="00226954"/>
    <w:rsid w:val="00227E77"/>
    <w:rsid w:val="0023227D"/>
    <w:rsid w:val="00233A94"/>
    <w:rsid w:val="002356EE"/>
    <w:rsid w:val="00241A9A"/>
    <w:rsid w:val="00251931"/>
    <w:rsid w:val="0025328F"/>
    <w:rsid w:val="00253541"/>
    <w:rsid w:val="002568D2"/>
    <w:rsid w:val="00274FC3"/>
    <w:rsid w:val="00276692"/>
    <w:rsid w:val="00277C62"/>
    <w:rsid w:val="002803AC"/>
    <w:rsid w:val="00284709"/>
    <w:rsid w:val="00293056"/>
    <w:rsid w:val="00295302"/>
    <w:rsid w:val="002A3364"/>
    <w:rsid w:val="002B0A93"/>
    <w:rsid w:val="002B25C9"/>
    <w:rsid w:val="002B65BF"/>
    <w:rsid w:val="002C04E8"/>
    <w:rsid w:val="002C74BE"/>
    <w:rsid w:val="002D236B"/>
    <w:rsid w:val="002D63DC"/>
    <w:rsid w:val="002D6AB1"/>
    <w:rsid w:val="002E1930"/>
    <w:rsid w:val="002F156E"/>
    <w:rsid w:val="003126AC"/>
    <w:rsid w:val="00312829"/>
    <w:rsid w:val="00323677"/>
    <w:rsid w:val="003251F4"/>
    <w:rsid w:val="00332420"/>
    <w:rsid w:val="003408BF"/>
    <w:rsid w:val="003479C3"/>
    <w:rsid w:val="003553B4"/>
    <w:rsid w:val="003622DF"/>
    <w:rsid w:val="00362BDC"/>
    <w:rsid w:val="003661DF"/>
    <w:rsid w:val="00366308"/>
    <w:rsid w:val="003738EB"/>
    <w:rsid w:val="00374B8F"/>
    <w:rsid w:val="0037504C"/>
    <w:rsid w:val="003765AF"/>
    <w:rsid w:val="00376A0E"/>
    <w:rsid w:val="0037782B"/>
    <w:rsid w:val="003952B7"/>
    <w:rsid w:val="00395BBE"/>
    <w:rsid w:val="003972EF"/>
    <w:rsid w:val="003A1722"/>
    <w:rsid w:val="003A7D38"/>
    <w:rsid w:val="003B31A0"/>
    <w:rsid w:val="003B5182"/>
    <w:rsid w:val="003B7E92"/>
    <w:rsid w:val="003C1329"/>
    <w:rsid w:val="003C6EDC"/>
    <w:rsid w:val="003C7D2A"/>
    <w:rsid w:val="003D43B1"/>
    <w:rsid w:val="003D7F5C"/>
    <w:rsid w:val="003E688D"/>
    <w:rsid w:val="003F1913"/>
    <w:rsid w:val="00404202"/>
    <w:rsid w:val="0042460B"/>
    <w:rsid w:val="00424829"/>
    <w:rsid w:val="00424935"/>
    <w:rsid w:val="004271DB"/>
    <w:rsid w:val="00431F64"/>
    <w:rsid w:val="00434CF9"/>
    <w:rsid w:val="00442B47"/>
    <w:rsid w:val="00442FE0"/>
    <w:rsid w:val="00452540"/>
    <w:rsid w:val="00454062"/>
    <w:rsid w:val="0046048C"/>
    <w:rsid w:val="00461661"/>
    <w:rsid w:val="00467E86"/>
    <w:rsid w:val="00472371"/>
    <w:rsid w:val="00473E45"/>
    <w:rsid w:val="00481B95"/>
    <w:rsid w:val="0048497C"/>
    <w:rsid w:val="00492FE6"/>
    <w:rsid w:val="00497DA7"/>
    <w:rsid w:val="004A4311"/>
    <w:rsid w:val="004A5AE9"/>
    <w:rsid w:val="004A7A6E"/>
    <w:rsid w:val="004B4A6E"/>
    <w:rsid w:val="004C1B69"/>
    <w:rsid w:val="004D38FB"/>
    <w:rsid w:val="004D5911"/>
    <w:rsid w:val="004E1C11"/>
    <w:rsid w:val="004E7043"/>
    <w:rsid w:val="004F577C"/>
    <w:rsid w:val="005113CB"/>
    <w:rsid w:val="00511526"/>
    <w:rsid w:val="00520E7E"/>
    <w:rsid w:val="00521108"/>
    <w:rsid w:val="00521C36"/>
    <w:rsid w:val="00521F68"/>
    <w:rsid w:val="00522F29"/>
    <w:rsid w:val="0052347B"/>
    <w:rsid w:val="00527F01"/>
    <w:rsid w:val="00543B50"/>
    <w:rsid w:val="0054556E"/>
    <w:rsid w:val="0055431D"/>
    <w:rsid w:val="005573A3"/>
    <w:rsid w:val="00560575"/>
    <w:rsid w:val="00570A7A"/>
    <w:rsid w:val="005728A3"/>
    <w:rsid w:val="00572AEB"/>
    <w:rsid w:val="0058258E"/>
    <w:rsid w:val="0058400B"/>
    <w:rsid w:val="00585D0E"/>
    <w:rsid w:val="005861FD"/>
    <w:rsid w:val="0058654D"/>
    <w:rsid w:val="00587FF2"/>
    <w:rsid w:val="005934F2"/>
    <w:rsid w:val="0059385A"/>
    <w:rsid w:val="00596F8B"/>
    <w:rsid w:val="005B4C65"/>
    <w:rsid w:val="005C3BAD"/>
    <w:rsid w:val="005C3FA4"/>
    <w:rsid w:val="005D4116"/>
    <w:rsid w:val="005D4729"/>
    <w:rsid w:val="005E0BFC"/>
    <w:rsid w:val="005E2CE3"/>
    <w:rsid w:val="005E5C96"/>
    <w:rsid w:val="005E757C"/>
    <w:rsid w:val="005F1302"/>
    <w:rsid w:val="00607126"/>
    <w:rsid w:val="0061050C"/>
    <w:rsid w:val="00612E60"/>
    <w:rsid w:val="006206F0"/>
    <w:rsid w:val="00621C1E"/>
    <w:rsid w:val="006229D6"/>
    <w:rsid w:val="00622D35"/>
    <w:rsid w:val="00626B88"/>
    <w:rsid w:val="006310D4"/>
    <w:rsid w:val="00640EB7"/>
    <w:rsid w:val="00644021"/>
    <w:rsid w:val="006508B2"/>
    <w:rsid w:val="00651C31"/>
    <w:rsid w:val="006567A4"/>
    <w:rsid w:val="00666D5F"/>
    <w:rsid w:val="006674D8"/>
    <w:rsid w:val="0067699A"/>
    <w:rsid w:val="006904A4"/>
    <w:rsid w:val="006A14C7"/>
    <w:rsid w:val="006B30E6"/>
    <w:rsid w:val="006B7EC6"/>
    <w:rsid w:val="006C1A83"/>
    <w:rsid w:val="006E2E26"/>
    <w:rsid w:val="006E44FB"/>
    <w:rsid w:val="006E5205"/>
    <w:rsid w:val="006E6781"/>
    <w:rsid w:val="006F12A5"/>
    <w:rsid w:val="006F40EE"/>
    <w:rsid w:val="006F4522"/>
    <w:rsid w:val="006F7D12"/>
    <w:rsid w:val="00704148"/>
    <w:rsid w:val="00706846"/>
    <w:rsid w:val="00707503"/>
    <w:rsid w:val="00710B18"/>
    <w:rsid w:val="00712107"/>
    <w:rsid w:val="00736237"/>
    <w:rsid w:val="00743167"/>
    <w:rsid w:val="007512CA"/>
    <w:rsid w:val="00754CB0"/>
    <w:rsid w:val="00767374"/>
    <w:rsid w:val="0079747F"/>
    <w:rsid w:val="007A23AF"/>
    <w:rsid w:val="007A3F10"/>
    <w:rsid w:val="007B2719"/>
    <w:rsid w:val="007B44EE"/>
    <w:rsid w:val="007C5118"/>
    <w:rsid w:val="007D3946"/>
    <w:rsid w:val="007E0521"/>
    <w:rsid w:val="007F31A6"/>
    <w:rsid w:val="007F6F49"/>
    <w:rsid w:val="00803732"/>
    <w:rsid w:val="0080674C"/>
    <w:rsid w:val="00810559"/>
    <w:rsid w:val="0082034E"/>
    <w:rsid w:val="00823018"/>
    <w:rsid w:val="00824E52"/>
    <w:rsid w:val="00830C10"/>
    <w:rsid w:val="00836FD2"/>
    <w:rsid w:val="00842015"/>
    <w:rsid w:val="008433E5"/>
    <w:rsid w:val="008500EC"/>
    <w:rsid w:val="008505B6"/>
    <w:rsid w:val="00852A4B"/>
    <w:rsid w:val="00857497"/>
    <w:rsid w:val="008631A4"/>
    <w:rsid w:val="008677CD"/>
    <w:rsid w:val="00873F7D"/>
    <w:rsid w:val="0088331F"/>
    <w:rsid w:val="0089666F"/>
    <w:rsid w:val="008A3C6C"/>
    <w:rsid w:val="008A480B"/>
    <w:rsid w:val="008A51B0"/>
    <w:rsid w:val="008A6556"/>
    <w:rsid w:val="008C2199"/>
    <w:rsid w:val="008D467A"/>
    <w:rsid w:val="008D715B"/>
    <w:rsid w:val="008F1A10"/>
    <w:rsid w:val="008F22D8"/>
    <w:rsid w:val="008F54DF"/>
    <w:rsid w:val="009023A0"/>
    <w:rsid w:val="00905FD7"/>
    <w:rsid w:val="00906794"/>
    <w:rsid w:val="00912254"/>
    <w:rsid w:val="0091267A"/>
    <w:rsid w:val="00915626"/>
    <w:rsid w:val="00916296"/>
    <w:rsid w:val="0091645E"/>
    <w:rsid w:val="00922307"/>
    <w:rsid w:val="00927942"/>
    <w:rsid w:val="00937B73"/>
    <w:rsid w:val="00944EF4"/>
    <w:rsid w:val="0094692E"/>
    <w:rsid w:val="009504C6"/>
    <w:rsid w:val="00953B7B"/>
    <w:rsid w:val="00964A49"/>
    <w:rsid w:val="00965717"/>
    <w:rsid w:val="00973AF3"/>
    <w:rsid w:val="0098204D"/>
    <w:rsid w:val="00986BAF"/>
    <w:rsid w:val="009928A3"/>
    <w:rsid w:val="00996728"/>
    <w:rsid w:val="00996F5A"/>
    <w:rsid w:val="009A1506"/>
    <w:rsid w:val="009A2734"/>
    <w:rsid w:val="009A40AB"/>
    <w:rsid w:val="009B3EB2"/>
    <w:rsid w:val="009B484E"/>
    <w:rsid w:val="009B5C8A"/>
    <w:rsid w:val="009C0E3D"/>
    <w:rsid w:val="009C2C89"/>
    <w:rsid w:val="009C329B"/>
    <w:rsid w:val="009C7E3C"/>
    <w:rsid w:val="009D3CF7"/>
    <w:rsid w:val="009F4C5A"/>
    <w:rsid w:val="00A005F2"/>
    <w:rsid w:val="00A24E8B"/>
    <w:rsid w:val="00A270BC"/>
    <w:rsid w:val="00A27A73"/>
    <w:rsid w:val="00A33059"/>
    <w:rsid w:val="00A436E2"/>
    <w:rsid w:val="00A438D7"/>
    <w:rsid w:val="00A47E02"/>
    <w:rsid w:val="00A50978"/>
    <w:rsid w:val="00A56C52"/>
    <w:rsid w:val="00A57483"/>
    <w:rsid w:val="00A63BDD"/>
    <w:rsid w:val="00A8256E"/>
    <w:rsid w:val="00A85569"/>
    <w:rsid w:val="00A87184"/>
    <w:rsid w:val="00A8749A"/>
    <w:rsid w:val="00A87FBC"/>
    <w:rsid w:val="00A917A0"/>
    <w:rsid w:val="00A94C6D"/>
    <w:rsid w:val="00AA043A"/>
    <w:rsid w:val="00AB2A54"/>
    <w:rsid w:val="00AC6767"/>
    <w:rsid w:val="00AD5405"/>
    <w:rsid w:val="00AE42CA"/>
    <w:rsid w:val="00AF3457"/>
    <w:rsid w:val="00B11334"/>
    <w:rsid w:val="00B169E4"/>
    <w:rsid w:val="00B20507"/>
    <w:rsid w:val="00B24364"/>
    <w:rsid w:val="00B275CD"/>
    <w:rsid w:val="00B4116E"/>
    <w:rsid w:val="00B42AFC"/>
    <w:rsid w:val="00B548F9"/>
    <w:rsid w:val="00B67B4C"/>
    <w:rsid w:val="00B71436"/>
    <w:rsid w:val="00B82459"/>
    <w:rsid w:val="00B83FD9"/>
    <w:rsid w:val="00B904F2"/>
    <w:rsid w:val="00B93A26"/>
    <w:rsid w:val="00B93E57"/>
    <w:rsid w:val="00B979E4"/>
    <w:rsid w:val="00B97B71"/>
    <w:rsid w:val="00B97BC4"/>
    <w:rsid w:val="00BA21C4"/>
    <w:rsid w:val="00BB0911"/>
    <w:rsid w:val="00BB0912"/>
    <w:rsid w:val="00BB1734"/>
    <w:rsid w:val="00BB2F19"/>
    <w:rsid w:val="00BC30A0"/>
    <w:rsid w:val="00BD3BF0"/>
    <w:rsid w:val="00BD3DE3"/>
    <w:rsid w:val="00BD403B"/>
    <w:rsid w:val="00BE1D95"/>
    <w:rsid w:val="00BF1875"/>
    <w:rsid w:val="00BF29CB"/>
    <w:rsid w:val="00BF680C"/>
    <w:rsid w:val="00C008B0"/>
    <w:rsid w:val="00C07CA6"/>
    <w:rsid w:val="00C10641"/>
    <w:rsid w:val="00C166A2"/>
    <w:rsid w:val="00C27823"/>
    <w:rsid w:val="00C3447A"/>
    <w:rsid w:val="00C35DED"/>
    <w:rsid w:val="00C36C8C"/>
    <w:rsid w:val="00C442E3"/>
    <w:rsid w:val="00C55525"/>
    <w:rsid w:val="00C57372"/>
    <w:rsid w:val="00C650B8"/>
    <w:rsid w:val="00C739B5"/>
    <w:rsid w:val="00C87B9C"/>
    <w:rsid w:val="00C943D8"/>
    <w:rsid w:val="00CA2B9D"/>
    <w:rsid w:val="00CA494C"/>
    <w:rsid w:val="00CA539C"/>
    <w:rsid w:val="00CA7138"/>
    <w:rsid w:val="00CB1A7B"/>
    <w:rsid w:val="00CB4E11"/>
    <w:rsid w:val="00CC0C99"/>
    <w:rsid w:val="00CC2FC5"/>
    <w:rsid w:val="00CC60D5"/>
    <w:rsid w:val="00CC6F36"/>
    <w:rsid w:val="00CD0CF4"/>
    <w:rsid w:val="00CD294A"/>
    <w:rsid w:val="00CE42CC"/>
    <w:rsid w:val="00CE42E9"/>
    <w:rsid w:val="00CE519C"/>
    <w:rsid w:val="00CE6E41"/>
    <w:rsid w:val="00CE7755"/>
    <w:rsid w:val="00CE7DA8"/>
    <w:rsid w:val="00CF56F5"/>
    <w:rsid w:val="00D17DFF"/>
    <w:rsid w:val="00D209CE"/>
    <w:rsid w:val="00D20E03"/>
    <w:rsid w:val="00D23F60"/>
    <w:rsid w:val="00D30190"/>
    <w:rsid w:val="00D32E07"/>
    <w:rsid w:val="00D357EF"/>
    <w:rsid w:val="00D442C9"/>
    <w:rsid w:val="00D72F23"/>
    <w:rsid w:val="00D75B74"/>
    <w:rsid w:val="00D85258"/>
    <w:rsid w:val="00D87103"/>
    <w:rsid w:val="00D872B2"/>
    <w:rsid w:val="00D945A2"/>
    <w:rsid w:val="00D9707B"/>
    <w:rsid w:val="00D97905"/>
    <w:rsid w:val="00DA0598"/>
    <w:rsid w:val="00DA32C4"/>
    <w:rsid w:val="00DA33DB"/>
    <w:rsid w:val="00DA42E6"/>
    <w:rsid w:val="00DA4FDE"/>
    <w:rsid w:val="00DB4B74"/>
    <w:rsid w:val="00DB709D"/>
    <w:rsid w:val="00DC0266"/>
    <w:rsid w:val="00DC5753"/>
    <w:rsid w:val="00DD3C4B"/>
    <w:rsid w:val="00DD7EC1"/>
    <w:rsid w:val="00DE0DB1"/>
    <w:rsid w:val="00DE1986"/>
    <w:rsid w:val="00DE4733"/>
    <w:rsid w:val="00DE6070"/>
    <w:rsid w:val="00DF2421"/>
    <w:rsid w:val="00DF3A19"/>
    <w:rsid w:val="00DF5602"/>
    <w:rsid w:val="00DF5B21"/>
    <w:rsid w:val="00E001F2"/>
    <w:rsid w:val="00E035ED"/>
    <w:rsid w:val="00E04980"/>
    <w:rsid w:val="00E05B77"/>
    <w:rsid w:val="00E077C4"/>
    <w:rsid w:val="00E103B1"/>
    <w:rsid w:val="00E11287"/>
    <w:rsid w:val="00E14B7F"/>
    <w:rsid w:val="00E1679C"/>
    <w:rsid w:val="00E2445E"/>
    <w:rsid w:val="00E24C11"/>
    <w:rsid w:val="00E32634"/>
    <w:rsid w:val="00E326CF"/>
    <w:rsid w:val="00E328F0"/>
    <w:rsid w:val="00E338C9"/>
    <w:rsid w:val="00E339DB"/>
    <w:rsid w:val="00E438E4"/>
    <w:rsid w:val="00E54D0F"/>
    <w:rsid w:val="00E57866"/>
    <w:rsid w:val="00E70EDC"/>
    <w:rsid w:val="00E71B9D"/>
    <w:rsid w:val="00E72C2C"/>
    <w:rsid w:val="00E846F9"/>
    <w:rsid w:val="00E94A27"/>
    <w:rsid w:val="00E970E7"/>
    <w:rsid w:val="00EA05D2"/>
    <w:rsid w:val="00EA0C28"/>
    <w:rsid w:val="00EA189D"/>
    <w:rsid w:val="00EA3F82"/>
    <w:rsid w:val="00EB05EA"/>
    <w:rsid w:val="00EB467E"/>
    <w:rsid w:val="00EC1411"/>
    <w:rsid w:val="00ED24BA"/>
    <w:rsid w:val="00ED2709"/>
    <w:rsid w:val="00ED33C4"/>
    <w:rsid w:val="00ED402B"/>
    <w:rsid w:val="00ED5162"/>
    <w:rsid w:val="00EE16BB"/>
    <w:rsid w:val="00EF126A"/>
    <w:rsid w:val="00EF6615"/>
    <w:rsid w:val="00F0422A"/>
    <w:rsid w:val="00F1433A"/>
    <w:rsid w:val="00F205B4"/>
    <w:rsid w:val="00F36A3A"/>
    <w:rsid w:val="00F37641"/>
    <w:rsid w:val="00F427F0"/>
    <w:rsid w:val="00F44A3F"/>
    <w:rsid w:val="00F524D0"/>
    <w:rsid w:val="00F553CE"/>
    <w:rsid w:val="00F63284"/>
    <w:rsid w:val="00F6396A"/>
    <w:rsid w:val="00F678C7"/>
    <w:rsid w:val="00F739DC"/>
    <w:rsid w:val="00F74FDC"/>
    <w:rsid w:val="00F75FE8"/>
    <w:rsid w:val="00F80026"/>
    <w:rsid w:val="00F82C63"/>
    <w:rsid w:val="00F902E5"/>
    <w:rsid w:val="00F930D6"/>
    <w:rsid w:val="00F96E6B"/>
    <w:rsid w:val="00FA0B34"/>
    <w:rsid w:val="00FA34AA"/>
    <w:rsid w:val="00FA4E02"/>
    <w:rsid w:val="00FA4F1F"/>
    <w:rsid w:val="00FA5B8C"/>
    <w:rsid w:val="00FB43F8"/>
    <w:rsid w:val="00FB6D5E"/>
    <w:rsid w:val="00FB73BD"/>
    <w:rsid w:val="00FC02F2"/>
    <w:rsid w:val="00FC4DCA"/>
    <w:rsid w:val="00FD26FB"/>
    <w:rsid w:val="00FE6C7B"/>
    <w:rsid w:val="00FF705F"/>
    <w:rsid w:val="01612175"/>
    <w:rsid w:val="01761E20"/>
    <w:rsid w:val="01A06A07"/>
    <w:rsid w:val="025F28B4"/>
    <w:rsid w:val="02E57491"/>
    <w:rsid w:val="03291651"/>
    <w:rsid w:val="0462668B"/>
    <w:rsid w:val="04800E2C"/>
    <w:rsid w:val="04910D1F"/>
    <w:rsid w:val="05633DE1"/>
    <w:rsid w:val="058A5E9A"/>
    <w:rsid w:val="059313A4"/>
    <w:rsid w:val="05B747B5"/>
    <w:rsid w:val="05BC1D52"/>
    <w:rsid w:val="061E46D3"/>
    <w:rsid w:val="062260D2"/>
    <w:rsid w:val="063C6862"/>
    <w:rsid w:val="06716A9F"/>
    <w:rsid w:val="06D575E9"/>
    <w:rsid w:val="07585B24"/>
    <w:rsid w:val="080A1514"/>
    <w:rsid w:val="08251EAA"/>
    <w:rsid w:val="09F749A4"/>
    <w:rsid w:val="0A283ED3"/>
    <w:rsid w:val="0A9F3642"/>
    <w:rsid w:val="0B42132E"/>
    <w:rsid w:val="0BCE4606"/>
    <w:rsid w:val="0C044A81"/>
    <w:rsid w:val="0C3E314D"/>
    <w:rsid w:val="0C775615"/>
    <w:rsid w:val="0CA732D6"/>
    <w:rsid w:val="0DBF4446"/>
    <w:rsid w:val="0DC3019B"/>
    <w:rsid w:val="0DE30198"/>
    <w:rsid w:val="0DE93979"/>
    <w:rsid w:val="0EED1247"/>
    <w:rsid w:val="0EEF4FBF"/>
    <w:rsid w:val="0F113188"/>
    <w:rsid w:val="0F4A3B9D"/>
    <w:rsid w:val="0FD008B3"/>
    <w:rsid w:val="1078198A"/>
    <w:rsid w:val="10863C90"/>
    <w:rsid w:val="108A5D32"/>
    <w:rsid w:val="109B0D45"/>
    <w:rsid w:val="10B85FB1"/>
    <w:rsid w:val="116C67E6"/>
    <w:rsid w:val="11C6025A"/>
    <w:rsid w:val="12661A3D"/>
    <w:rsid w:val="12AF1242"/>
    <w:rsid w:val="12BD67FA"/>
    <w:rsid w:val="1317177A"/>
    <w:rsid w:val="133DD35D"/>
    <w:rsid w:val="13C46628"/>
    <w:rsid w:val="142C4CE8"/>
    <w:rsid w:val="14BA7E1E"/>
    <w:rsid w:val="14C842E9"/>
    <w:rsid w:val="153C6A85"/>
    <w:rsid w:val="156262E7"/>
    <w:rsid w:val="158F12AA"/>
    <w:rsid w:val="16CF7BB0"/>
    <w:rsid w:val="16DA0303"/>
    <w:rsid w:val="170D5DED"/>
    <w:rsid w:val="179B2369"/>
    <w:rsid w:val="17A728DB"/>
    <w:rsid w:val="17FF24A1"/>
    <w:rsid w:val="18137F71"/>
    <w:rsid w:val="18254D4D"/>
    <w:rsid w:val="18DA6CE0"/>
    <w:rsid w:val="18DB2312"/>
    <w:rsid w:val="19527C98"/>
    <w:rsid w:val="19D00278"/>
    <w:rsid w:val="19FD67E3"/>
    <w:rsid w:val="1A124ED0"/>
    <w:rsid w:val="1A386D5B"/>
    <w:rsid w:val="1AE45766"/>
    <w:rsid w:val="1B505038"/>
    <w:rsid w:val="1B8623FB"/>
    <w:rsid w:val="1BFF5101"/>
    <w:rsid w:val="1D7E5E8C"/>
    <w:rsid w:val="1D990F18"/>
    <w:rsid w:val="1DFC4878"/>
    <w:rsid w:val="1DFCA6B8"/>
    <w:rsid w:val="1E7C28E6"/>
    <w:rsid w:val="1F514B81"/>
    <w:rsid w:val="1FBD2998"/>
    <w:rsid w:val="20395BBB"/>
    <w:rsid w:val="204F447F"/>
    <w:rsid w:val="205253AE"/>
    <w:rsid w:val="2091237A"/>
    <w:rsid w:val="20CE409A"/>
    <w:rsid w:val="21717AB6"/>
    <w:rsid w:val="21863561"/>
    <w:rsid w:val="21A26B3E"/>
    <w:rsid w:val="21E12CB5"/>
    <w:rsid w:val="23430696"/>
    <w:rsid w:val="23CA59E1"/>
    <w:rsid w:val="243D4416"/>
    <w:rsid w:val="244F665E"/>
    <w:rsid w:val="24C30329"/>
    <w:rsid w:val="25096983"/>
    <w:rsid w:val="260009BE"/>
    <w:rsid w:val="2604539D"/>
    <w:rsid w:val="26282E39"/>
    <w:rsid w:val="26724AD5"/>
    <w:rsid w:val="26CB65A3"/>
    <w:rsid w:val="26CC5EBA"/>
    <w:rsid w:val="274517C9"/>
    <w:rsid w:val="279F6AC5"/>
    <w:rsid w:val="27D8088F"/>
    <w:rsid w:val="280E640F"/>
    <w:rsid w:val="28104586"/>
    <w:rsid w:val="284A55A2"/>
    <w:rsid w:val="288F53F1"/>
    <w:rsid w:val="296248B4"/>
    <w:rsid w:val="297D7197"/>
    <w:rsid w:val="298C1598"/>
    <w:rsid w:val="299E3412"/>
    <w:rsid w:val="2A922F77"/>
    <w:rsid w:val="2A9B1C8B"/>
    <w:rsid w:val="2AF81E94"/>
    <w:rsid w:val="2B42139B"/>
    <w:rsid w:val="2B6F5066"/>
    <w:rsid w:val="2B870602"/>
    <w:rsid w:val="2BB05DAB"/>
    <w:rsid w:val="2BD9262F"/>
    <w:rsid w:val="2C5D539C"/>
    <w:rsid w:val="2CD023C7"/>
    <w:rsid w:val="2CF41CC7"/>
    <w:rsid w:val="2D915768"/>
    <w:rsid w:val="2DB651CE"/>
    <w:rsid w:val="2DD83397"/>
    <w:rsid w:val="2DE46B2A"/>
    <w:rsid w:val="2E352597"/>
    <w:rsid w:val="2E9F04BB"/>
    <w:rsid w:val="2F155F25"/>
    <w:rsid w:val="2F5DD7F3"/>
    <w:rsid w:val="2F8B1B13"/>
    <w:rsid w:val="2FAEE210"/>
    <w:rsid w:val="2FEE04EB"/>
    <w:rsid w:val="30705D2C"/>
    <w:rsid w:val="32144BB9"/>
    <w:rsid w:val="327D346B"/>
    <w:rsid w:val="328F5FEE"/>
    <w:rsid w:val="33C87931"/>
    <w:rsid w:val="33F9544F"/>
    <w:rsid w:val="347B2CCE"/>
    <w:rsid w:val="34B87A7E"/>
    <w:rsid w:val="352B0250"/>
    <w:rsid w:val="35BE7316"/>
    <w:rsid w:val="35C61DD2"/>
    <w:rsid w:val="35F9154F"/>
    <w:rsid w:val="3611694E"/>
    <w:rsid w:val="36581519"/>
    <w:rsid w:val="369B1405"/>
    <w:rsid w:val="36EF5067"/>
    <w:rsid w:val="370074BA"/>
    <w:rsid w:val="37620D9B"/>
    <w:rsid w:val="37E9278A"/>
    <w:rsid w:val="38066D52"/>
    <w:rsid w:val="381A45AC"/>
    <w:rsid w:val="386A108F"/>
    <w:rsid w:val="387B071F"/>
    <w:rsid w:val="39505A91"/>
    <w:rsid w:val="39930ABA"/>
    <w:rsid w:val="39A0651E"/>
    <w:rsid w:val="3A145757"/>
    <w:rsid w:val="3A272AAF"/>
    <w:rsid w:val="3AB82612"/>
    <w:rsid w:val="3AD82C28"/>
    <w:rsid w:val="3ADE7B13"/>
    <w:rsid w:val="3AF7062E"/>
    <w:rsid w:val="3B174863"/>
    <w:rsid w:val="3B1D063B"/>
    <w:rsid w:val="3B1D688D"/>
    <w:rsid w:val="3B6870D6"/>
    <w:rsid w:val="3BEA6E22"/>
    <w:rsid w:val="3BFE1C6F"/>
    <w:rsid w:val="3C5067EE"/>
    <w:rsid w:val="3C556AD3"/>
    <w:rsid w:val="3C8F58E7"/>
    <w:rsid w:val="3C9419DA"/>
    <w:rsid w:val="3C964B49"/>
    <w:rsid w:val="3CB54207"/>
    <w:rsid w:val="3CBF00B8"/>
    <w:rsid w:val="3CE5AA2C"/>
    <w:rsid w:val="3DFFE2B1"/>
    <w:rsid w:val="3E2A14DA"/>
    <w:rsid w:val="3E455FD5"/>
    <w:rsid w:val="3E576141"/>
    <w:rsid w:val="3E642A25"/>
    <w:rsid w:val="3EC139D3"/>
    <w:rsid w:val="3EFF8DC4"/>
    <w:rsid w:val="3F2D1069"/>
    <w:rsid w:val="3F7C2034"/>
    <w:rsid w:val="3F872C68"/>
    <w:rsid w:val="3F932966"/>
    <w:rsid w:val="3FDF9EF0"/>
    <w:rsid w:val="4093215A"/>
    <w:rsid w:val="4151793C"/>
    <w:rsid w:val="41B9098C"/>
    <w:rsid w:val="421A1D78"/>
    <w:rsid w:val="42402E61"/>
    <w:rsid w:val="42703746"/>
    <w:rsid w:val="42A7580D"/>
    <w:rsid w:val="43165E53"/>
    <w:rsid w:val="43556E71"/>
    <w:rsid w:val="437C436D"/>
    <w:rsid w:val="4411575B"/>
    <w:rsid w:val="443A225E"/>
    <w:rsid w:val="44E75FB3"/>
    <w:rsid w:val="45813EBC"/>
    <w:rsid w:val="45C75D73"/>
    <w:rsid w:val="45CD7504"/>
    <w:rsid w:val="461357C1"/>
    <w:rsid w:val="46535859"/>
    <w:rsid w:val="46C955FF"/>
    <w:rsid w:val="46E12E64"/>
    <w:rsid w:val="478A6B4C"/>
    <w:rsid w:val="482A25E9"/>
    <w:rsid w:val="4857781F"/>
    <w:rsid w:val="48D34A2F"/>
    <w:rsid w:val="48FD17F4"/>
    <w:rsid w:val="49261002"/>
    <w:rsid w:val="4A124768"/>
    <w:rsid w:val="4A2F0622"/>
    <w:rsid w:val="4A525E27"/>
    <w:rsid w:val="4A58195A"/>
    <w:rsid w:val="4B797B0F"/>
    <w:rsid w:val="4C060F01"/>
    <w:rsid w:val="4CA56B08"/>
    <w:rsid w:val="4CCE0E24"/>
    <w:rsid w:val="4E61488B"/>
    <w:rsid w:val="4EE828B7"/>
    <w:rsid w:val="4F021BCA"/>
    <w:rsid w:val="4F2204BE"/>
    <w:rsid w:val="4F251D5C"/>
    <w:rsid w:val="4FC6067D"/>
    <w:rsid w:val="4FEE43AB"/>
    <w:rsid w:val="504A7CCC"/>
    <w:rsid w:val="50A72FD6"/>
    <w:rsid w:val="510A120A"/>
    <w:rsid w:val="511D0F3D"/>
    <w:rsid w:val="516C3FFE"/>
    <w:rsid w:val="51962A9D"/>
    <w:rsid w:val="521F6F37"/>
    <w:rsid w:val="524349D3"/>
    <w:rsid w:val="52724045"/>
    <w:rsid w:val="53F046E7"/>
    <w:rsid w:val="53F160C1"/>
    <w:rsid w:val="54822F6A"/>
    <w:rsid w:val="549C34EB"/>
    <w:rsid w:val="54DE6C35"/>
    <w:rsid w:val="54E54F78"/>
    <w:rsid w:val="5589022C"/>
    <w:rsid w:val="565A340C"/>
    <w:rsid w:val="56620923"/>
    <w:rsid w:val="5736174D"/>
    <w:rsid w:val="57511940"/>
    <w:rsid w:val="578735B4"/>
    <w:rsid w:val="578A30A4"/>
    <w:rsid w:val="57DD31D4"/>
    <w:rsid w:val="586B24F5"/>
    <w:rsid w:val="58B62318"/>
    <w:rsid w:val="58CD3249"/>
    <w:rsid w:val="58EF6A27"/>
    <w:rsid w:val="58FE5D05"/>
    <w:rsid w:val="59060509"/>
    <w:rsid w:val="599E2E37"/>
    <w:rsid w:val="59AF2AC5"/>
    <w:rsid w:val="59BFD316"/>
    <w:rsid w:val="5A1924BD"/>
    <w:rsid w:val="5A216E53"/>
    <w:rsid w:val="5ADB0BB2"/>
    <w:rsid w:val="5B55563A"/>
    <w:rsid w:val="5B6E7605"/>
    <w:rsid w:val="5B9B0C71"/>
    <w:rsid w:val="5C95407D"/>
    <w:rsid w:val="5C981DBF"/>
    <w:rsid w:val="5CE15514"/>
    <w:rsid w:val="5D414205"/>
    <w:rsid w:val="5D924A61"/>
    <w:rsid w:val="5DF67844"/>
    <w:rsid w:val="5EAE7678"/>
    <w:rsid w:val="5ED54C05"/>
    <w:rsid w:val="5F0677CE"/>
    <w:rsid w:val="5F4162B0"/>
    <w:rsid w:val="5FAA6092"/>
    <w:rsid w:val="5FAF36A8"/>
    <w:rsid w:val="5FCD5731"/>
    <w:rsid w:val="5FF359C8"/>
    <w:rsid w:val="60131171"/>
    <w:rsid w:val="6110461A"/>
    <w:rsid w:val="61E91085"/>
    <w:rsid w:val="62BB6808"/>
    <w:rsid w:val="62E23D94"/>
    <w:rsid w:val="62E713AB"/>
    <w:rsid w:val="63315C01"/>
    <w:rsid w:val="63413F20"/>
    <w:rsid w:val="64604BB7"/>
    <w:rsid w:val="64915A72"/>
    <w:rsid w:val="64EA33D4"/>
    <w:rsid w:val="64FE6DA1"/>
    <w:rsid w:val="653E0DF9"/>
    <w:rsid w:val="660610C2"/>
    <w:rsid w:val="675F3C06"/>
    <w:rsid w:val="67AC2BC3"/>
    <w:rsid w:val="67F99E9E"/>
    <w:rsid w:val="688A5B76"/>
    <w:rsid w:val="68E5013A"/>
    <w:rsid w:val="69F61ED3"/>
    <w:rsid w:val="6A5C442C"/>
    <w:rsid w:val="6AB81F5F"/>
    <w:rsid w:val="6B4D105E"/>
    <w:rsid w:val="6C7225EB"/>
    <w:rsid w:val="6D2F5E28"/>
    <w:rsid w:val="6D4E2205"/>
    <w:rsid w:val="6DB91152"/>
    <w:rsid w:val="6DDF9B85"/>
    <w:rsid w:val="6E1F7C4B"/>
    <w:rsid w:val="6E21181A"/>
    <w:rsid w:val="6E6A6F33"/>
    <w:rsid w:val="6F131833"/>
    <w:rsid w:val="6F2B6AC3"/>
    <w:rsid w:val="6F6A1399"/>
    <w:rsid w:val="6FE9BEFF"/>
    <w:rsid w:val="6FFDF03E"/>
    <w:rsid w:val="70CC6494"/>
    <w:rsid w:val="71491645"/>
    <w:rsid w:val="71FF4114"/>
    <w:rsid w:val="72023B0B"/>
    <w:rsid w:val="721675B7"/>
    <w:rsid w:val="721939CF"/>
    <w:rsid w:val="7286685B"/>
    <w:rsid w:val="72A5093A"/>
    <w:rsid w:val="72EFCE6B"/>
    <w:rsid w:val="732A5473"/>
    <w:rsid w:val="73524876"/>
    <w:rsid w:val="7397578E"/>
    <w:rsid w:val="73C05A2C"/>
    <w:rsid w:val="73F44911"/>
    <w:rsid w:val="7402043F"/>
    <w:rsid w:val="745443C6"/>
    <w:rsid w:val="75045DEC"/>
    <w:rsid w:val="75A91E7D"/>
    <w:rsid w:val="761FB8EC"/>
    <w:rsid w:val="764E30F5"/>
    <w:rsid w:val="76BD6F25"/>
    <w:rsid w:val="76EB0EC4"/>
    <w:rsid w:val="77FE3E89"/>
    <w:rsid w:val="780659F8"/>
    <w:rsid w:val="78281DF2"/>
    <w:rsid w:val="78A07BDA"/>
    <w:rsid w:val="794D0488"/>
    <w:rsid w:val="7A436D1D"/>
    <w:rsid w:val="7A477C7F"/>
    <w:rsid w:val="7A574DF3"/>
    <w:rsid w:val="7ADB7E1B"/>
    <w:rsid w:val="7B036AF7"/>
    <w:rsid w:val="7B5F5FE4"/>
    <w:rsid w:val="7B71585E"/>
    <w:rsid w:val="7BF70E37"/>
    <w:rsid w:val="7BFBB746"/>
    <w:rsid w:val="7C7C7912"/>
    <w:rsid w:val="7C817D22"/>
    <w:rsid w:val="7C9061B7"/>
    <w:rsid w:val="7CAF28A1"/>
    <w:rsid w:val="7D16BD62"/>
    <w:rsid w:val="7D57A170"/>
    <w:rsid w:val="7DB7B867"/>
    <w:rsid w:val="7DFF5578"/>
    <w:rsid w:val="7DFF8583"/>
    <w:rsid w:val="7E793561"/>
    <w:rsid w:val="7E7DB1C5"/>
    <w:rsid w:val="7EF3976E"/>
    <w:rsid w:val="7EF753C8"/>
    <w:rsid w:val="7EFF7E34"/>
    <w:rsid w:val="7F023C13"/>
    <w:rsid w:val="7F363046"/>
    <w:rsid w:val="7F92DDB7"/>
    <w:rsid w:val="7FA31382"/>
    <w:rsid w:val="7FEF582D"/>
    <w:rsid w:val="7FF30B0B"/>
    <w:rsid w:val="7FFCDC2D"/>
    <w:rsid w:val="7FFF0AA2"/>
    <w:rsid w:val="7FFFC47A"/>
    <w:rsid w:val="8F5F6B7F"/>
    <w:rsid w:val="99BD85EB"/>
    <w:rsid w:val="9FFF6032"/>
    <w:rsid w:val="AFBFBC45"/>
    <w:rsid w:val="AFDD6E34"/>
    <w:rsid w:val="BB7FC9C1"/>
    <w:rsid w:val="BBFFAF32"/>
    <w:rsid w:val="BE6ABCE7"/>
    <w:rsid w:val="BEBA1761"/>
    <w:rsid w:val="BEEFE364"/>
    <w:rsid w:val="BEF7DE84"/>
    <w:rsid w:val="BF5B913B"/>
    <w:rsid w:val="BF8F7BC9"/>
    <w:rsid w:val="CF0512A5"/>
    <w:rsid w:val="CFCC7B82"/>
    <w:rsid w:val="CFEB13FA"/>
    <w:rsid w:val="D0F75668"/>
    <w:rsid w:val="DBE2D241"/>
    <w:rsid w:val="DDCEC3FB"/>
    <w:rsid w:val="DED501A5"/>
    <w:rsid w:val="E4D29C21"/>
    <w:rsid w:val="E92E8012"/>
    <w:rsid w:val="EB7FD31C"/>
    <w:rsid w:val="EBBB85A9"/>
    <w:rsid w:val="EECDE308"/>
    <w:rsid w:val="EFE4F774"/>
    <w:rsid w:val="F17F3CAE"/>
    <w:rsid w:val="F4FFD993"/>
    <w:rsid w:val="F5381C43"/>
    <w:rsid w:val="F77F5862"/>
    <w:rsid w:val="F77FF55B"/>
    <w:rsid w:val="F9C3EB18"/>
    <w:rsid w:val="FA3A1F01"/>
    <w:rsid w:val="FB7F1E27"/>
    <w:rsid w:val="FCE7F5AC"/>
    <w:rsid w:val="FCFDDCD1"/>
    <w:rsid w:val="FEEB22BE"/>
    <w:rsid w:val="FF7BA1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qFormat="1" w:unhideWhenUsed="0" w:uiPriority="0" w:semiHidden="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qFormat="1" w:unhideWhenUsed="0" w:uiPriority="0" w:semiHidden="0" w:name="Body Text First Indent"/>
    <w:lsdException w:qFormat="1" w:uiPriority="99"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60"/>
    <w:qFormat/>
    <w:uiPriority w:val="9"/>
    <w:pPr>
      <w:keepNext/>
      <w:keepLines/>
      <w:spacing w:before="340" w:after="330"/>
      <w:jc w:val="center"/>
      <w:outlineLvl w:val="0"/>
    </w:pPr>
    <w:rPr>
      <w:b/>
      <w:kern w:val="44"/>
      <w:sz w:val="28"/>
    </w:rPr>
  </w:style>
  <w:style w:type="paragraph" w:styleId="3">
    <w:name w:val="heading 2"/>
    <w:basedOn w:val="1"/>
    <w:next w:val="1"/>
    <w:link w:val="56"/>
    <w:unhideWhenUsed/>
    <w:qFormat/>
    <w:uiPriority w:val="0"/>
    <w:pPr>
      <w:keepNext/>
      <w:keepLines/>
      <w:jc w:val="left"/>
      <w:outlineLvl w:val="1"/>
    </w:pPr>
    <w:rPr>
      <w:rFonts w:ascii="Arial" w:hAnsi="Arial"/>
      <w:b/>
      <w:sz w:val="28"/>
    </w:rPr>
  </w:style>
  <w:style w:type="paragraph" w:styleId="4">
    <w:name w:val="heading 3"/>
    <w:basedOn w:val="1"/>
    <w:next w:val="1"/>
    <w:link w:val="45"/>
    <w:unhideWhenUsed/>
    <w:qFormat/>
    <w:uiPriority w:val="0"/>
    <w:pPr>
      <w:keepNext/>
      <w:keepLines/>
      <w:spacing w:line="413" w:lineRule="auto"/>
      <w:outlineLvl w:val="2"/>
    </w:pPr>
    <w:rPr>
      <w:b/>
      <w:sz w:val="24"/>
    </w:rPr>
  </w:style>
  <w:style w:type="paragraph" w:styleId="5">
    <w:name w:val="heading 4"/>
    <w:basedOn w:val="1"/>
    <w:next w:val="1"/>
    <w:unhideWhenUsed/>
    <w:qFormat/>
    <w:uiPriority w:val="0"/>
    <w:pPr>
      <w:keepNext/>
      <w:keepLines/>
      <w:numPr>
        <w:ilvl w:val="3"/>
        <w:numId w:val="1"/>
      </w:numPr>
      <w:spacing w:line="372" w:lineRule="auto"/>
      <w:outlineLvl w:val="3"/>
    </w:pPr>
    <w:rPr>
      <w:rFonts w:ascii="Arial" w:hAnsi="Arial" w:eastAsia="黑体"/>
      <w:b/>
    </w:rPr>
  </w:style>
  <w:style w:type="paragraph" w:styleId="6">
    <w:name w:val="heading 5"/>
    <w:basedOn w:val="1"/>
    <w:next w:val="1"/>
    <w:link w:val="43"/>
    <w:unhideWhenUsed/>
    <w:qFormat/>
    <w:uiPriority w:val="0"/>
    <w:pPr>
      <w:keepNext/>
      <w:keepLines/>
      <w:numPr>
        <w:ilvl w:val="4"/>
        <w:numId w:val="1"/>
      </w:numPr>
      <w:spacing w:line="372" w:lineRule="auto"/>
      <w:outlineLvl w:val="4"/>
    </w:pPr>
    <w:rPr>
      <w:b/>
    </w:rPr>
  </w:style>
  <w:style w:type="paragraph" w:styleId="7">
    <w:name w:val="heading 6"/>
    <w:basedOn w:val="1"/>
    <w:next w:val="1"/>
    <w:link w:val="44"/>
    <w:unhideWhenUsed/>
    <w:qFormat/>
    <w:uiPriority w:val="0"/>
    <w:pPr>
      <w:keepNext/>
      <w:keepLines/>
      <w:numPr>
        <w:ilvl w:val="5"/>
        <w:numId w:val="1"/>
      </w:numPr>
      <w:spacing w:line="317" w:lineRule="auto"/>
      <w:outlineLvl w:val="5"/>
    </w:pPr>
    <w:rPr>
      <w:rFonts w:ascii="Arial" w:hAnsi="Arial" w:eastAsia="黑体"/>
      <w:b/>
    </w:rPr>
  </w:style>
  <w:style w:type="paragraph" w:styleId="8">
    <w:name w:val="heading 7"/>
    <w:basedOn w:val="1"/>
    <w:next w:val="1"/>
    <w:semiHidden/>
    <w:unhideWhenUsed/>
    <w:qFormat/>
    <w:uiPriority w:val="0"/>
    <w:pPr>
      <w:keepNext/>
      <w:keepLines/>
      <w:numPr>
        <w:ilvl w:val="6"/>
        <w:numId w:val="1"/>
      </w:numPr>
      <w:spacing w:line="317" w:lineRule="auto"/>
      <w:outlineLvl w:val="6"/>
    </w:pPr>
    <w:rPr>
      <w:b/>
      <w:sz w:val="24"/>
    </w:rPr>
  </w:style>
  <w:style w:type="paragraph" w:styleId="9">
    <w:name w:val="heading 8"/>
    <w:basedOn w:val="1"/>
    <w:next w:val="1"/>
    <w:semiHidden/>
    <w:unhideWhenUsed/>
    <w:qFormat/>
    <w:uiPriority w:val="0"/>
    <w:pPr>
      <w:keepNext/>
      <w:keepLines/>
      <w:numPr>
        <w:ilvl w:val="7"/>
        <w:numId w:val="1"/>
      </w:numPr>
      <w:spacing w:line="317" w:lineRule="auto"/>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line="317" w:lineRule="auto"/>
      <w:outlineLvl w:val="8"/>
    </w:pPr>
    <w:rPr>
      <w:rFonts w:ascii="Arial" w:hAnsi="Arial" w:eastAsia="黑体"/>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2520" w:leftChars="1200"/>
    </w:pPr>
    <w:rPr>
      <w:rFonts w:asciiTheme="minorHAnsi" w:hAnsiTheme="minorHAnsi" w:eastAsiaTheme="minorEastAsia" w:cstheme="minorBidi"/>
    </w:rPr>
  </w:style>
  <w:style w:type="paragraph" w:styleId="12">
    <w:name w:val="index 5"/>
    <w:basedOn w:val="1"/>
    <w:next w:val="1"/>
    <w:qFormat/>
    <w:uiPriority w:val="0"/>
    <w:pPr>
      <w:spacing w:line="357" w:lineRule="atLeast"/>
      <w:ind w:left="1680"/>
      <w:textAlignment w:val="baseline"/>
    </w:pPr>
    <w:rPr>
      <w:rFonts w:hAnsi="Calibri"/>
      <w:color w:val="000000"/>
      <w:sz w:val="32"/>
      <w:szCs w:val="32"/>
    </w:rPr>
  </w:style>
  <w:style w:type="paragraph" w:styleId="13">
    <w:name w:val="Document Map"/>
    <w:basedOn w:val="1"/>
    <w:link w:val="47"/>
    <w:qFormat/>
    <w:uiPriority w:val="0"/>
    <w:rPr>
      <w:rFonts w:ascii="宋体"/>
      <w:sz w:val="18"/>
      <w:szCs w:val="18"/>
    </w:rPr>
  </w:style>
  <w:style w:type="paragraph" w:styleId="14">
    <w:name w:val="annotation text"/>
    <w:basedOn w:val="1"/>
    <w:semiHidden/>
    <w:unhideWhenUsed/>
    <w:qFormat/>
    <w:uiPriority w:val="0"/>
    <w:pPr>
      <w:jc w:val="left"/>
    </w:pPr>
  </w:style>
  <w:style w:type="paragraph" w:styleId="15">
    <w:name w:val="Body Text"/>
    <w:basedOn w:val="1"/>
    <w:link w:val="55"/>
    <w:qFormat/>
    <w:uiPriority w:val="99"/>
    <w:pPr>
      <w:adjustRightInd w:val="0"/>
      <w:spacing w:after="120"/>
      <w:jc w:val="left"/>
      <w:textAlignment w:val="baseline"/>
    </w:pPr>
    <w:rPr>
      <w:rFonts w:ascii="宋体" w:hAnsi="宋体"/>
      <w:kern w:val="0"/>
      <w:sz w:val="24"/>
      <w:szCs w:val="24"/>
    </w:rPr>
  </w:style>
  <w:style w:type="paragraph" w:styleId="16">
    <w:name w:val="Body Text Indent"/>
    <w:basedOn w:val="1"/>
    <w:next w:val="12"/>
    <w:unhideWhenUsed/>
    <w:qFormat/>
    <w:uiPriority w:val="99"/>
    <w:pPr>
      <w:spacing w:after="120"/>
      <w:ind w:left="420" w:leftChars="200"/>
    </w:pPr>
  </w:style>
  <w:style w:type="paragraph" w:styleId="17">
    <w:name w:val="toc 5"/>
    <w:basedOn w:val="1"/>
    <w:next w:val="1"/>
    <w:unhideWhenUsed/>
    <w:qFormat/>
    <w:uiPriority w:val="39"/>
    <w:pPr>
      <w:ind w:left="1680" w:leftChars="800"/>
    </w:pPr>
  </w:style>
  <w:style w:type="paragraph" w:styleId="18">
    <w:name w:val="toc 3"/>
    <w:basedOn w:val="1"/>
    <w:next w:val="1"/>
    <w:qFormat/>
    <w:uiPriority w:val="39"/>
    <w:pPr>
      <w:ind w:left="840" w:leftChars="400"/>
    </w:pPr>
  </w:style>
  <w:style w:type="paragraph" w:styleId="19">
    <w:name w:val="toc 8"/>
    <w:basedOn w:val="1"/>
    <w:next w:val="1"/>
    <w:unhideWhenUsed/>
    <w:qFormat/>
    <w:uiPriority w:val="39"/>
    <w:pPr>
      <w:ind w:left="2940" w:leftChars="1400"/>
    </w:pPr>
    <w:rPr>
      <w:rFonts w:asciiTheme="minorHAnsi" w:hAnsiTheme="minorHAnsi" w:eastAsiaTheme="minorEastAsia" w:cstheme="minorBidi"/>
    </w:rPr>
  </w:style>
  <w:style w:type="paragraph" w:styleId="20">
    <w:name w:val="Balloon Text"/>
    <w:basedOn w:val="1"/>
    <w:link w:val="46"/>
    <w:qFormat/>
    <w:uiPriority w:val="0"/>
    <w:rPr>
      <w:sz w:val="18"/>
      <w:szCs w:val="18"/>
    </w:rPr>
  </w:style>
  <w:style w:type="paragraph" w:styleId="21">
    <w:name w:val="footer"/>
    <w:basedOn w:val="1"/>
    <w:link w:val="57"/>
    <w:qFormat/>
    <w:uiPriority w:val="99"/>
    <w:pPr>
      <w:tabs>
        <w:tab w:val="center" w:pos="4153"/>
        <w:tab w:val="right" w:pos="8306"/>
      </w:tabs>
      <w:snapToGrid w:val="0"/>
      <w:jc w:val="left"/>
    </w:pPr>
    <w:rPr>
      <w:kern w:val="0"/>
      <w:sz w:val="18"/>
      <w:szCs w:val="18"/>
    </w:rPr>
  </w:style>
  <w:style w:type="paragraph" w:styleId="22">
    <w:name w:val="header"/>
    <w:basedOn w:val="1"/>
    <w:qFormat/>
    <w:uiPriority w:val="0"/>
    <w:pPr>
      <w:pBdr>
        <w:bottom w:val="single" w:color="auto" w:sz="6" w:space="1"/>
      </w:pBdr>
      <w:tabs>
        <w:tab w:val="center" w:pos="4153"/>
        <w:tab w:val="right" w:pos="8306"/>
      </w:tabs>
      <w:snapToGrid w:val="0"/>
      <w:jc w:val="center"/>
    </w:pPr>
    <w:rPr>
      <w:kern w:val="0"/>
      <w:sz w:val="18"/>
      <w:szCs w:val="18"/>
    </w:rPr>
  </w:style>
  <w:style w:type="paragraph" w:styleId="23">
    <w:name w:val="toc 1"/>
    <w:basedOn w:val="1"/>
    <w:next w:val="1"/>
    <w:qFormat/>
    <w:uiPriority w:val="39"/>
  </w:style>
  <w:style w:type="paragraph" w:styleId="24">
    <w:name w:val="toc 4"/>
    <w:basedOn w:val="1"/>
    <w:next w:val="1"/>
    <w:unhideWhenUsed/>
    <w:qFormat/>
    <w:uiPriority w:val="39"/>
    <w:pPr>
      <w:ind w:left="1260" w:leftChars="600"/>
    </w:pPr>
  </w:style>
  <w:style w:type="paragraph" w:styleId="25">
    <w:name w:val="toc 6"/>
    <w:basedOn w:val="1"/>
    <w:next w:val="1"/>
    <w:unhideWhenUsed/>
    <w:qFormat/>
    <w:uiPriority w:val="39"/>
    <w:pPr>
      <w:ind w:left="2100" w:leftChars="1000"/>
    </w:pPr>
    <w:rPr>
      <w:rFonts w:asciiTheme="minorHAnsi" w:hAnsiTheme="minorHAnsi" w:eastAsiaTheme="minorEastAsia" w:cstheme="minorBidi"/>
    </w:rPr>
  </w:style>
  <w:style w:type="paragraph" w:styleId="26">
    <w:name w:val="toc 2"/>
    <w:basedOn w:val="1"/>
    <w:next w:val="1"/>
    <w:qFormat/>
    <w:uiPriority w:val="39"/>
    <w:pPr>
      <w:ind w:left="420" w:leftChars="200"/>
    </w:pPr>
    <w:rPr>
      <w:rFonts w:ascii="Times New Roman" w:hAnsi="Times New Roman"/>
      <w:sz w:val="24"/>
    </w:rPr>
  </w:style>
  <w:style w:type="paragraph" w:styleId="27">
    <w:name w:val="toc 9"/>
    <w:basedOn w:val="1"/>
    <w:next w:val="1"/>
    <w:unhideWhenUsed/>
    <w:qFormat/>
    <w:uiPriority w:val="39"/>
    <w:pPr>
      <w:ind w:left="3360" w:leftChars="1600"/>
    </w:pPr>
    <w:rPr>
      <w:rFonts w:asciiTheme="minorHAnsi" w:hAnsiTheme="minorHAnsi" w:eastAsiaTheme="minorEastAsia" w:cstheme="minorBidi"/>
    </w:rPr>
  </w:style>
  <w:style w:type="paragraph" w:styleId="28">
    <w:name w:val="Body Text 2"/>
    <w:basedOn w:val="1"/>
    <w:link w:val="53"/>
    <w:qFormat/>
    <w:uiPriority w:val="0"/>
    <w:pPr>
      <w:jc w:val="center"/>
    </w:pPr>
    <w:rPr>
      <w:color w:val="FF00FF"/>
    </w:rPr>
  </w:style>
  <w:style w:type="paragraph" w:styleId="29">
    <w:name w:val="Normal (Web)"/>
    <w:basedOn w:val="1"/>
    <w:unhideWhenUsed/>
    <w:qFormat/>
    <w:uiPriority w:val="0"/>
    <w:rPr>
      <w:rFonts w:ascii="Times New Roman" w:hAnsi="Times New Roman"/>
      <w:sz w:val="24"/>
      <w:szCs w:val="24"/>
    </w:rPr>
  </w:style>
  <w:style w:type="paragraph" w:styleId="30">
    <w:name w:val="Body Text First Indent"/>
    <w:basedOn w:val="15"/>
    <w:link w:val="59"/>
    <w:qFormat/>
    <w:uiPriority w:val="0"/>
    <w:pPr>
      <w:ind w:firstLine="420" w:firstLineChars="100"/>
    </w:pPr>
  </w:style>
  <w:style w:type="paragraph" w:styleId="31">
    <w:name w:val="Body Text First Indent 2"/>
    <w:basedOn w:val="16"/>
    <w:unhideWhenUsed/>
    <w:qFormat/>
    <w:uiPriority w:val="99"/>
    <w:pPr>
      <w:ind w:left="0" w:leftChars="0" w:firstLine="420" w:firstLineChars="200"/>
    </w:pPr>
    <w:rPr>
      <w:sz w:val="21"/>
    </w:rPr>
  </w:style>
  <w:style w:type="table" w:styleId="33">
    <w:name w:val="Table Grid"/>
    <w:basedOn w:val="3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page number"/>
    <w:basedOn w:val="34"/>
    <w:qFormat/>
    <w:uiPriority w:val="0"/>
  </w:style>
  <w:style w:type="character" w:styleId="36">
    <w:name w:val="FollowedHyperlink"/>
    <w:basedOn w:val="34"/>
    <w:semiHidden/>
    <w:unhideWhenUsed/>
    <w:qFormat/>
    <w:uiPriority w:val="0"/>
    <w:rPr>
      <w:color w:val="954F72" w:themeColor="followedHyperlink"/>
      <w:u w:val="single"/>
      <w14:textFill>
        <w14:solidFill>
          <w14:schemeClr w14:val="folHlink"/>
        </w14:solidFill>
      </w14:textFill>
    </w:rPr>
  </w:style>
  <w:style w:type="character" w:styleId="37">
    <w:name w:val="Emphasis"/>
    <w:qFormat/>
    <w:uiPriority w:val="0"/>
    <w:rPr>
      <w:color w:val="CC0000"/>
    </w:rPr>
  </w:style>
  <w:style w:type="character" w:styleId="38">
    <w:name w:val="Hyperlink"/>
    <w:basedOn w:val="34"/>
    <w:unhideWhenUsed/>
    <w:qFormat/>
    <w:uiPriority w:val="99"/>
    <w:rPr>
      <w:color w:val="0563C1" w:themeColor="hyperlink"/>
      <w:u w:val="single"/>
      <w14:textFill>
        <w14:solidFill>
          <w14:schemeClr w14:val="hlink"/>
        </w14:solidFill>
      </w14:textFill>
    </w:rPr>
  </w:style>
  <w:style w:type="paragraph" w:customStyle="1" w:styleId="39">
    <w:name w:val="1正文"/>
    <w:basedOn w:val="29"/>
    <w:qFormat/>
    <w:uiPriority w:val="0"/>
    <w:pPr>
      <w:shd w:val="clear" w:color="auto" w:fill="FFFFFF"/>
      <w:snapToGrid w:val="0"/>
      <w:spacing w:line="560" w:lineRule="exact"/>
      <w:ind w:firstLine="640" w:firstLineChars="200"/>
    </w:pPr>
    <w:rPr>
      <w:rFonts w:ascii="仿宋" w:hAnsi="仿宋"/>
      <w:color w:val="000000"/>
      <w:kern w:val="0"/>
      <w:sz w:val="28"/>
      <w:szCs w:val="32"/>
    </w:rPr>
  </w:style>
  <w:style w:type="character" w:customStyle="1" w:styleId="40">
    <w:name w:val="font11"/>
    <w:basedOn w:val="34"/>
    <w:qFormat/>
    <w:uiPriority w:val="0"/>
    <w:rPr>
      <w:rFonts w:hint="eastAsia" w:ascii="宋体" w:hAnsi="宋体" w:eastAsia="宋体" w:cs="宋体"/>
      <w:color w:val="000000"/>
      <w:sz w:val="24"/>
      <w:szCs w:val="24"/>
      <w:u w:val="none"/>
    </w:rPr>
  </w:style>
  <w:style w:type="character" w:customStyle="1" w:styleId="41">
    <w:name w:val="font41"/>
    <w:basedOn w:val="34"/>
    <w:qFormat/>
    <w:uiPriority w:val="0"/>
    <w:rPr>
      <w:rFonts w:hint="default" w:ascii="Times New Roman" w:hAnsi="Times New Roman" w:cs="Times New Roman"/>
      <w:color w:val="000000"/>
      <w:sz w:val="24"/>
      <w:szCs w:val="24"/>
      <w:u w:val="none"/>
    </w:rPr>
  </w:style>
  <w:style w:type="table" w:customStyle="1" w:styleId="42">
    <w:name w:val="TableGrid"/>
    <w:qFormat/>
    <w:uiPriority w:val="0"/>
    <w:tblPr>
      <w:tblCellMar>
        <w:top w:w="0" w:type="dxa"/>
        <w:left w:w="0" w:type="dxa"/>
        <w:bottom w:w="0" w:type="dxa"/>
        <w:right w:w="0" w:type="dxa"/>
      </w:tblCellMar>
    </w:tblPr>
  </w:style>
  <w:style w:type="character" w:customStyle="1" w:styleId="43">
    <w:name w:val="标题 5 字符"/>
    <w:link w:val="6"/>
    <w:qFormat/>
    <w:uiPriority w:val="0"/>
    <w:rPr>
      <w:rFonts w:ascii="Calibri" w:hAnsi="Calibri"/>
      <w:b/>
      <w:kern w:val="2"/>
      <w:sz w:val="21"/>
      <w:szCs w:val="22"/>
    </w:rPr>
  </w:style>
  <w:style w:type="character" w:customStyle="1" w:styleId="44">
    <w:name w:val="标题 6 字符"/>
    <w:link w:val="7"/>
    <w:qFormat/>
    <w:uiPriority w:val="0"/>
    <w:rPr>
      <w:rFonts w:ascii="Arial" w:hAnsi="Arial" w:eastAsia="黑体"/>
      <w:b/>
      <w:kern w:val="2"/>
      <w:sz w:val="21"/>
      <w:szCs w:val="22"/>
    </w:rPr>
  </w:style>
  <w:style w:type="character" w:customStyle="1" w:styleId="45">
    <w:name w:val="标题 3 字符"/>
    <w:link w:val="4"/>
    <w:qFormat/>
    <w:uiPriority w:val="0"/>
    <w:rPr>
      <w:rFonts w:ascii="Calibri" w:hAnsi="Calibri"/>
      <w:b/>
      <w:kern w:val="2"/>
      <w:sz w:val="24"/>
      <w:szCs w:val="22"/>
    </w:rPr>
  </w:style>
  <w:style w:type="character" w:customStyle="1" w:styleId="46">
    <w:name w:val="批注框文本 字符"/>
    <w:basedOn w:val="34"/>
    <w:link w:val="20"/>
    <w:qFormat/>
    <w:uiPriority w:val="0"/>
    <w:rPr>
      <w:rFonts w:ascii="Calibri" w:hAnsi="Calibri" w:eastAsia="宋体" w:cs="Times New Roman"/>
      <w:kern w:val="2"/>
      <w:sz w:val="18"/>
      <w:szCs w:val="18"/>
    </w:rPr>
  </w:style>
  <w:style w:type="character" w:customStyle="1" w:styleId="47">
    <w:name w:val="文档结构图 字符"/>
    <w:basedOn w:val="34"/>
    <w:link w:val="13"/>
    <w:qFormat/>
    <w:uiPriority w:val="0"/>
    <w:rPr>
      <w:rFonts w:ascii="宋体" w:hAnsi="Calibri" w:eastAsia="宋体" w:cs="Times New Roman"/>
      <w:kern w:val="2"/>
      <w:sz w:val="18"/>
      <w:szCs w:val="18"/>
    </w:rPr>
  </w:style>
  <w:style w:type="paragraph" w:customStyle="1" w:styleId="48">
    <w:name w:val="列出段落1"/>
    <w:basedOn w:val="1"/>
    <w:link w:val="49"/>
    <w:qFormat/>
    <w:uiPriority w:val="0"/>
    <w:pPr>
      <w:spacing w:line="360" w:lineRule="auto"/>
      <w:ind w:firstLine="420" w:firstLineChars="200"/>
    </w:pPr>
    <w:rPr>
      <w:rFonts w:ascii="Times New Roman" w:hAnsi="Times New Roman" w:cstheme="minorBidi"/>
      <w:sz w:val="24"/>
      <w:szCs w:val="24"/>
    </w:rPr>
  </w:style>
  <w:style w:type="character" w:customStyle="1" w:styleId="49">
    <w:name w:val="列出段落 Char"/>
    <w:link w:val="48"/>
    <w:qFormat/>
    <w:locked/>
    <w:uiPriority w:val="0"/>
    <w:rPr>
      <w:rFonts w:ascii="Times New Roman" w:hAnsi="Times New Roman" w:eastAsia="宋体"/>
      <w:kern w:val="2"/>
      <w:sz w:val="24"/>
      <w:szCs w:val="24"/>
    </w:rPr>
  </w:style>
  <w:style w:type="paragraph" w:styleId="50">
    <w:name w:val="List Paragraph"/>
    <w:basedOn w:val="1"/>
    <w:qFormat/>
    <w:uiPriority w:val="34"/>
    <w:pPr>
      <w:widowControl/>
      <w:ind w:firstLine="420" w:firstLineChars="200"/>
      <w:jc w:val="left"/>
    </w:pPr>
    <w:rPr>
      <w:rFonts w:ascii="宋体" w:hAnsi="宋体" w:cs="宋体"/>
      <w:kern w:val="0"/>
      <w:sz w:val="24"/>
      <w:szCs w:val="24"/>
    </w:rPr>
  </w:style>
  <w:style w:type="paragraph" w:customStyle="1" w:styleId="51">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kern w:val="0"/>
      <w:sz w:val="32"/>
      <w:szCs w:val="32"/>
    </w:rPr>
  </w:style>
  <w:style w:type="character" w:customStyle="1" w:styleId="52">
    <w:name w:val="未处理的提及1"/>
    <w:basedOn w:val="34"/>
    <w:semiHidden/>
    <w:unhideWhenUsed/>
    <w:qFormat/>
    <w:uiPriority w:val="99"/>
    <w:rPr>
      <w:color w:val="605E5C"/>
      <w:shd w:val="clear" w:color="auto" w:fill="E1DFDD"/>
    </w:rPr>
  </w:style>
  <w:style w:type="character" w:customStyle="1" w:styleId="53">
    <w:name w:val="正文文本 2 字符"/>
    <w:basedOn w:val="34"/>
    <w:link w:val="28"/>
    <w:qFormat/>
    <w:uiPriority w:val="0"/>
    <w:rPr>
      <w:rFonts w:ascii="Calibri" w:hAnsi="Calibri"/>
      <w:color w:val="FF00FF"/>
      <w:kern w:val="2"/>
      <w:sz w:val="21"/>
      <w:szCs w:val="22"/>
    </w:rPr>
  </w:style>
  <w:style w:type="character" w:customStyle="1" w:styleId="54">
    <w:name w:val="正文文本 字符"/>
    <w:basedOn w:val="34"/>
    <w:semiHidden/>
    <w:qFormat/>
    <w:uiPriority w:val="0"/>
    <w:rPr>
      <w:rFonts w:ascii="Calibri" w:hAnsi="Calibri"/>
      <w:kern w:val="2"/>
      <w:sz w:val="21"/>
      <w:szCs w:val="22"/>
    </w:rPr>
  </w:style>
  <w:style w:type="character" w:customStyle="1" w:styleId="55">
    <w:name w:val="正文文本 字符1"/>
    <w:link w:val="15"/>
    <w:qFormat/>
    <w:uiPriority w:val="99"/>
    <w:rPr>
      <w:rFonts w:ascii="宋体" w:hAnsi="宋体"/>
      <w:sz w:val="24"/>
      <w:szCs w:val="24"/>
    </w:rPr>
  </w:style>
  <w:style w:type="character" w:customStyle="1" w:styleId="56">
    <w:name w:val="标题 2 字符"/>
    <w:link w:val="3"/>
    <w:qFormat/>
    <w:uiPriority w:val="0"/>
    <w:rPr>
      <w:rFonts w:ascii="Arial" w:hAnsi="Arial"/>
      <w:b/>
      <w:kern w:val="2"/>
      <w:sz w:val="28"/>
      <w:szCs w:val="22"/>
    </w:rPr>
  </w:style>
  <w:style w:type="character" w:customStyle="1" w:styleId="57">
    <w:name w:val="页脚 字符"/>
    <w:basedOn w:val="34"/>
    <w:link w:val="21"/>
    <w:qFormat/>
    <w:uiPriority w:val="99"/>
    <w:rPr>
      <w:rFonts w:ascii="Calibri" w:hAnsi="Calibri"/>
      <w:sz w:val="18"/>
      <w:szCs w:val="18"/>
    </w:rPr>
  </w:style>
  <w:style w:type="paragraph" w:customStyle="1" w:styleId="58">
    <w:name w:val="TOC 标题2"/>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kern w:val="0"/>
      <w:sz w:val="32"/>
      <w:szCs w:val="32"/>
    </w:rPr>
  </w:style>
  <w:style w:type="character" w:customStyle="1" w:styleId="59">
    <w:name w:val="正文文本首行缩进 字符"/>
    <w:link w:val="30"/>
    <w:qFormat/>
    <w:uiPriority w:val="0"/>
    <w:rPr>
      <w:rFonts w:ascii="宋体" w:hAnsi="宋体"/>
      <w:sz w:val="24"/>
      <w:szCs w:val="24"/>
    </w:rPr>
  </w:style>
  <w:style w:type="character" w:customStyle="1" w:styleId="60">
    <w:name w:val="标题 1 Char"/>
    <w:link w:val="2"/>
    <w:qFormat/>
    <w:uiPriority w:val="9"/>
    <w:rPr>
      <w:b/>
      <w:kern w:val="44"/>
      <w:sz w:val="28"/>
    </w:rPr>
  </w:style>
  <w:style w:type="paragraph" w:customStyle="1" w:styleId="61">
    <w:name w:val="001_正文"/>
    <w:basedOn w:val="1"/>
    <w:qFormat/>
    <w:uiPriority w:val="0"/>
    <w:pPr>
      <w:spacing w:before="50" w:beforeLines="50" w:after="50" w:afterLines="50" w:line="360" w:lineRule="auto"/>
      <w:ind w:firstLine="200" w:firstLineChars="200"/>
    </w:pPr>
    <w:rPr>
      <w:rFonts w:ascii="Times New Roman" w:hAnsi="Times New Roman" w:eastAsia="宋体" w:cs="Times New Roman"/>
      <w:sz w:val="28"/>
    </w:rPr>
  </w:style>
  <w:style w:type="paragraph" w:customStyle="1" w:styleId="62">
    <w:name w:val="标准文件_附录标识"/>
    <w:next w:val="63"/>
    <w:qFormat/>
    <w:uiPriority w:val="0"/>
    <w:pPr>
      <w:numPr>
        <w:ilvl w:val="0"/>
        <w:numId w:val="2"/>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6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4">
    <w:name w:val="标准文件_注："/>
    <w:next w:val="63"/>
    <w:qFormat/>
    <w:uiPriority w:val="0"/>
    <w:pPr>
      <w:widowControl w:val="0"/>
      <w:numPr>
        <w:ilvl w:val="0"/>
        <w:numId w:val="3"/>
      </w:numPr>
      <w:autoSpaceDE w:val="0"/>
      <w:autoSpaceDN w:val="0"/>
      <w:jc w:val="both"/>
    </w:pPr>
    <w:rPr>
      <w:rFonts w:ascii="宋体" w:hAnsi="Times New Roman" w:eastAsia="宋体" w:cs="Times New Roman"/>
      <w:sz w:val="18"/>
      <w:szCs w:val="18"/>
      <w:lang w:val="en-US" w:eastAsia="zh-CN" w:bidi="ar-SA"/>
    </w:rPr>
  </w:style>
  <w:style w:type="paragraph" w:customStyle="1" w:styleId="65">
    <w:name w:val="标准文件_字母编号列项（一级）"/>
    <w:qFormat/>
    <w:uiPriority w:val="0"/>
    <w:pPr>
      <w:numPr>
        <w:ilvl w:val="0"/>
        <w:numId w:val="4"/>
      </w:numPr>
      <w:jc w:val="both"/>
    </w:pPr>
    <w:rPr>
      <w:rFonts w:ascii="宋体" w:hAnsi="Times New Roman" w:eastAsia="宋体" w:cs="Times New Roman"/>
      <w:sz w:val="21"/>
      <w:lang w:val="en-US" w:eastAsia="zh-CN" w:bidi="ar-SA"/>
    </w:rPr>
  </w:style>
  <w:style w:type="paragraph" w:customStyle="1" w:styleId="6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7">
    <w:name w:val="标准文件_二级无标题"/>
    <w:basedOn w:val="68"/>
    <w:qFormat/>
    <w:uiPriority w:val="0"/>
    <w:pPr>
      <w:spacing w:before="0" w:beforeLines="0" w:after="0" w:afterLines="0"/>
      <w:outlineLvl w:val="9"/>
    </w:pPr>
    <w:rPr>
      <w:rFonts w:ascii="宋体" w:eastAsia="宋体"/>
    </w:rPr>
  </w:style>
  <w:style w:type="paragraph" w:customStyle="1" w:styleId="68">
    <w:name w:val="标准文件_二级条标题"/>
    <w:next w:val="63"/>
    <w:qFormat/>
    <w:uiPriority w:val="0"/>
    <w:pPr>
      <w:widowControl w:val="0"/>
      <w:numPr>
        <w:ilvl w:val="3"/>
        <w:numId w:val="5"/>
      </w:numPr>
      <w:spacing w:before="50" w:beforeLines="50" w:after="50" w:afterLines="50"/>
      <w:jc w:val="both"/>
      <w:outlineLvl w:val="2"/>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32</Pages>
  <Words>4539</Words>
  <Characters>4706</Characters>
  <Lines>90</Lines>
  <Paragraphs>76</Paragraphs>
  <TotalTime>3</TotalTime>
  <ScaleCrop>false</ScaleCrop>
  <LinksUpToDate>false</LinksUpToDate>
  <CharactersWithSpaces>4823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2023-03-17T07:48:00Z</dcterms:created>
  <dc:creator>zijia liu</dc:creator>
  <cp:lastModifiedBy>N</cp:lastModifiedBy>
  <cp:lastPrinted>2026-01-14T11:18:00Z</cp:lastPrinted>
  <dcterms:modified xsi:type="dcterms:W3CDTF">2026-05-15T08:16:32Z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3F68A174266D4826B53068242BF29F41</vt:lpwstr>
  </property>
  <property fmtid="{D5CDD505-2E9C-101B-9397-08002B2CF9AE}" pid="4" name="KSOTemplateDocerSaveRecord">
    <vt:lpwstr>eyJoZGlkIjoiNmY4MmQ2OGUyOTFhODlkZmEwMjZiNjUzMjM2NWJiOGIiLCJ1c2VySWQiOiIyMzYwMzkwMzAifQ==</vt:lpwstr>
  </property>
</Properties>
</file>