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C9A50">
      <w:pPr>
        <w:tabs>
          <w:tab w:val="left" w:pos="2436"/>
        </w:tabs>
        <w:spacing w:line="360" w:lineRule="auto"/>
        <w:ind w:left="0"/>
        <w:jc w:val="center"/>
        <w:outlineLvl w:val="9"/>
        <w:rPr>
          <w:rFonts w:hint="eastAsia"/>
          <w:sz w:val="52"/>
          <w:szCs w:val="52"/>
          <w:lang w:val="en-US" w:eastAsia="zh-CN"/>
        </w:rPr>
      </w:pPr>
      <w:bookmarkStart w:id="0" w:name="_Toc92793615"/>
      <w:bookmarkStart w:id="1" w:name="_Toc22250"/>
      <w:bookmarkStart w:id="2" w:name="_Toc92793433"/>
      <w:bookmarkStart w:id="3" w:name="_Toc24337"/>
    </w:p>
    <w:p w14:paraId="41F222D8">
      <w:pPr>
        <w:tabs>
          <w:tab w:val="left" w:pos="2436"/>
        </w:tabs>
        <w:spacing w:line="360" w:lineRule="auto"/>
        <w:ind w:left="0"/>
        <w:jc w:val="center"/>
        <w:outlineLvl w:val="9"/>
        <w:rPr>
          <w:rFonts w:hint="eastAsia"/>
          <w:sz w:val="52"/>
          <w:szCs w:val="52"/>
          <w:lang w:val="en-US" w:eastAsia="zh-CN"/>
        </w:rPr>
      </w:pPr>
    </w:p>
    <w:p w14:paraId="7DADCDF3">
      <w:pPr>
        <w:keepNext w:val="0"/>
        <w:keepLines w:val="0"/>
        <w:pageBreakBefore w:val="0"/>
        <w:widowControl/>
        <w:suppressLineNumbers w:val="0"/>
        <w:kinsoku/>
        <w:wordWrap/>
        <w:overflowPunct/>
        <w:topLinePunct w:val="0"/>
        <w:autoSpaceDE w:val="0"/>
        <w:autoSpaceDN w:val="0"/>
        <w:bidi w:val="0"/>
        <w:adjustRightInd/>
        <w:snapToGrid/>
        <w:spacing w:line="720" w:lineRule="auto"/>
        <w:ind w:left="346"/>
        <w:jc w:val="center"/>
        <w:textAlignment w:val="auto"/>
        <w:outlineLvl w:val="9"/>
        <w:rPr>
          <w:rStyle w:val="17"/>
          <w:b/>
          <w:bCs/>
          <w:sz w:val="44"/>
          <w:szCs w:val="44"/>
        </w:rPr>
      </w:pPr>
      <w:r>
        <w:rPr>
          <w:rStyle w:val="17"/>
          <w:rFonts w:hint="eastAsia"/>
          <w:b/>
          <w:bCs/>
          <w:sz w:val="44"/>
          <w:szCs w:val="44"/>
          <w:lang w:val="en-US" w:eastAsia="zh-CN"/>
        </w:rPr>
        <w:t>元</w:t>
      </w:r>
      <w:r>
        <w:rPr>
          <w:rStyle w:val="17"/>
          <w:b/>
          <w:bCs/>
          <w:sz w:val="44"/>
          <w:szCs w:val="44"/>
        </w:rPr>
        <w:t>宝山区紧密型县域医共体二期建设项目</w:t>
      </w:r>
    </w:p>
    <w:p w14:paraId="790CF7F4">
      <w:pPr>
        <w:keepNext w:val="0"/>
        <w:keepLines w:val="0"/>
        <w:pageBreakBefore w:val="0"/>
        <w:widowControl/>
        <w:suppressLineNumbers w:val="0"/>
        <w:kinsoku/>
        <w:wordWrap/>
        <w:overflowPunct/>
        <w:topLinePunct w:val="0"/>
        <w:autoSpaceDE w:val="0"/>
        <w:autoSpaceDN w:val="0"/>
        <w:bidi w:val="0"/>
        <w:adjustRightInd/>
        <w:snapToGrid/>
        <w:spacing w:line="720" w:lineRule="auto"/>
        <w:ind w:left="346"/>
        <w:jc w:val="center"/>
        <w:textAlignment w:val="auto"/>
        <w:outlineLvl w:val="9"/>
        <w:rPr>
          <w:rStyle w:val="17"/>
          <w:rFonts w:hint="default" w:ascii="Times New Roman" w:hAnsi="Times New Roman" w:eastAsia="宋体" w:cs="Times New Roman"/>
          <w:b/>
          <w:bCs/>
          <w:sz w:val="44"/>
          <w:szCs w:val="44"/>
          <w:lang w:val="en-US" w:eastAsia="zh-CN"/>
        </w:rPr>
      </w:pPr>
      <w:r>
        <w:rPr>
          <w:rStyle w:val="17"/>
          <w:rFonts w:hint="eastAsia" w:ascii="Times New Roman" w:hAnsi="Times New Roman" w:cs="Times New Roman"/>
          <w:b/>
          <w:bCs/>
          <w:sz w:val="44"/>
          <w:szCs w:val="44"/>
          <w:lang w:val="en-US" w:eastAsia="zh-CN"/>
        </w:rPr>
        <w:t>采购技术</w:t>
      </w:r>
      <w:r>
        <w:rPr>
          <w:rStyle w:val="17"/>
          <w:rFonts w:hint="eastAsia" w:ascii="Times New Roman" w:hAnsi="Times New Roman" w:eastAsia="宋体" w:cs="Times New Roman"/>
          <w:b/>
          <w:bCs/>
          <w:sz w:val="44"/>
          <w:szCs w:val="44"/>
          <w:lang w:val="en-US" w:eastAsia="zh-CN"/>
        </w:rPr>
        <w:t>方案</w:t>
      </w:r>
    </w:p>
    <w:p w14:paraId="5CFD8047">
      <w:pPr>
        <w:spacing w:before="91" w:line="218" w:lineRule="auto"/>
        <w:ind w:left="1109" w:leftChars="504" w:firstLine="0" w:firstLineChars="0"/>
        <w:outlineLvl w:val="9"/>
        <w:rPr>
          <w:rFonts w:ascii="宋体" w:hAnsi="宋体" w:eastAsia="宋体" w:cs="宋体"/>
          <w:b/>
          <w:bCs/>
          <w:spacing w:val="-3"/>
          <w:sz w:val="28"/>
          <w:szCs w:val="28"/>
        </w:rPr>
      </w:pPr>
    </w:p>
    <w:p w14:paraId="3D5E7D87">
      <w:pPr>
        <w:spacing w:before="91" w:line="218" w:lineRule="auto"/>
        <w:ind w:left="1109" w:leftChars="504" w:firstLine="0" w:firstLineChars="0"/>
        <w:outlineLvl w:val="9"/>
        <w:rPr>
          <w:rFonts w:ascii="宋体" w:hAnsi="宋体" w:eastAsia="宋体" w:cs="宋体"/>
          <w:b/>
          <w:bCs/>
          <w:spacing w:val="-3"/>
          <w:sz w:val="28"/>
          <w:szCs w:val="28"/>
        </w:rPr>
      </w:pPr>
    </w:p>
    <w:p w14:paraId="3D4717FA">
      <w:pPr>
        <w:spacing w:before="91" w:line="218" w:lineRule="auto"/>
        <w:ind w:left="1109" w:leftChars="504" w:firstLine="0" w:firstLineChars="0"/>
        <w:outlineLvl w:val="9"/>
        <w:rPr>
          <w:rFonts w:ascii="宋体" w:hAnsi="宋体" w:eastAsia="宋体" w:cs="宋体"/>
          <w:b/>
          <w:bCs/>
          <w:spacing w:val="-3"/>
          <w:sz w:val="28"/>
          <w:szCs w:val="28"/>
        </w:rPr>
      </w:pPr>
    </w:p>
    <w:p w14:paraId="4C5B4DDF">
      <w:pPr>
        <w:spacing w:before="91" w:line="218" w:lineRule="auto"/>
        <w:ind w:left="1109" w:leftChars="504" w:firstLine="0" w:firstLineChars="0"/>
        <w:outlineLvl w:val="9"/>
        <w:rPr>
          <w:rFonts w:ascii="宋体" w:hAnsi="宋体" w:eastAsia="宋体" w:cs="宋体"/>
          <w:b/>
          <w:bCs/>
          <w:spacing w:val="-3"/>
          <w:sz w:val="28"/>
          <w:szCs w:val="28"/>
        </w:rPr>
      </w:pPr>
    </w:p>
    <w:p w14:paraId="4EFCB371">
      <w:pPr>
        <w:spacing w:before="91" w:line="218" w:lineRule="auto"/>
        <w:ind w:left="1109" w:leftChars="504" w:firstLine="0" w:firstLineChars="0"/>
        <w:outlineLvl w:val="9"/>
        <w:rPr>
          <w:rFonts w:ascii="宋体" w:hAnsi="宋体" w:eastAsia="宋体" w:cs="宋体"/>
          <w:b/>
          <w:bCs/>
          <w:spacing w:val="-3"/>
          <w:sz w:val="28"/>
          <w:szCs w:val="28"/>
        </w:rPr>
      </w:pPr>
    </w:p>
    <w:p w14:paraId="1656AFA9">
      <w:pPr>
        <w:spacing w:before="91" w:line="218" w:lineRule="auto"/>
        <w:ind w:left="1109" w:leftChars="504" w:firstLine="0" w:firstLineChars="0"/>
        <w:outlineLvl w:val="9"/>
        <w:rPr>
          <w:rFonts w:ascii="宋体" w:hAnsi="宋体" w:eastAsia="宋体" w:cs="宋体"/>
          <w:b/>
          <w:bCs/>
          <w:spacing w:val="-3"/>
          <w:sz w:val="28"/>
          <w:szCs w:val="28"/>
        </w:rPr>
      </w:pPr>
    </w:p>
    <w:p w14:paraId="2FC9719A">
      <w:pPr>
        <w:spacing w:before="91" w:line="218" w:lineRule="auto"/>
        <w:ind w:left="1109" w:leftChars="504" w:firstLine="0" w:firstLineChars="0"/>
        <w:outlineLvl w:val="9"/>
        <w:rPr>
          <w:rFonts w:ascii="宋体" w:hAnsi="宋体" w:eastAsia="宋体" w:cs="宋体"/>
          <w:b/>
          <w:bCs/>
          <w:spacing w:val="-3"/>
          <w:sz w:val="28"/>
          <w:szCs w:val="28"/>
        </w:rPr>
      </w:pPr>
    </w:p>
    <w:p w14:paraId="52095AAB">
      <w:pPr>
        <w:spacing w:before="91" w:line="218" w:lineRule="auto"/>
        <w:ind w:left="1109" w:leftChars="504" w:firstLine="0" w:firstLineChars="0"/>
        <w:outlineLvl w:val="9"/>
        <w:rPr>
          <w:rFonts w:ascii="宋体" w:hAnsi="宋体" w:eastAsia="宋体" w:cs="宋体"/>
          <w:b/>
          <w:bCs/>
          <w:spacing w:val="-3"/>
          <w:sz w:val="28"/>
          <w:szCs w:val="28"/>
        </w:rPr>
      </w:pPr>
    </w:p>
    <w:p w14:paraId="1383072F">
      <w:pPr>
        <w:spacing w:before="91" w:line="218" w:lineRule="auto"/>
        <w:ind w:left="1109" w:leftChars="504" w:firstLine="0" w:firstLineChars="0"/>
        <w:outlineLvl w:val="9"/>
        <w:rPr>
          <w:rFonts w:ascii="宋体" w:hAnsi="宋体" w:eastAsia="宋体" w:cs="宋体"/>
          <w:b/>
          <w:bCs/>
          <w:spacing w:val="-3"/>
          <w:sz w:val="28"/>
          <w:szCs w:val="28"/>
        </w:rPr>
      </w:pPr>
    </w:p>
    <w:p w14:paraId="047157E4">
      <w:pPr>
        <w:spacing w:before="91" w:line="218" w:lineRule="auto"/>
        <w:ind w:left="1109" w:leftChars="504" w:firstLine="0" w:firstLineChars="0"/>
        <w:outlineLvl w:val="9"/>
        <w:rPr>
          <w:rFonts w:ascii="宋体" w:hAnsi="宋体" w:eastAsia="宋体" w:cs="宋体"/>
          <w:sz w:val="28"/>
          <w:szCs w:val="28"/>
        </w:rPr>
      </w:pPr>
      <w:r>
        <w:rPr>
          <w:rFonts w:ascii="宋体" w:hAnsi="宋体" w:eastAsia="宋体" w:cs="宋体"/>
          <w:b/>
          <w:bCs/>
          <w:spacing w:val="-3"/>
          <w:sz w:val="28"/>
          <w:szCs w:val="28"/>
        </w:rPr>
        <w:t>采购单位：</w:t>
      </w:r>
      <w:r>
        <w:rPr>
          <w:rFonts w:ascii="宋体" w:hAnsi="宋体" w:eastAsia="宋体" w:cs="宋体"/>
          <w:spacing w:val="-3"/>
          <w:sz w:val="28"/>
          <w:szCs w:val="28"/>
          <w:u w:val="single" w:color="auto"/>
        </w:rPr>
        <w:t xml:space="preserve"> </w:t>
      </w:r>
      <w:r>
        <w:rPr>
          <w:rFonts w:hint="eastAsia" w:ascii="宋体" w:hAnsi="宋体" w:eastAsia="宋体" w:cs="宋体"/>
          <w:spacing w:val="-3"/>
          <w:sz w:val="28"/>
          <w:szCs w:val="28"/>
          <w:u w:val="single" w:color="auto"/>
        </w:rPr>
        <w:t>赤峰市元宝山区卫生健康委员会</w:t>
      </w:r>
    </w:p>
    <w:bookmarkEnd w:id="0"/>
    <w:bookmarkEnd w:id="1"/>
    <w:bookmarkEnd w:id="2"/>
    <w:bookmarkEnd w:id="3"/>
    <w:p w14:paraId="3707705D">
      <w:pPr>
        <w:rPr>
          <w:rFonts w:hint="default" w:cs="宋体"/>
          <w:b/>
          <w:bCs/>
          <w:sz w:val="24"/>
          <w:szCs w:val="24"/>
          <w:lang w:val="en-US" w:eastAsia="zh-CN"/>
        </w:rPr>
        <w:sectPr>
          <w:headerReference r:id="rId3" w:type="default"/>
          <w:pgSz w:w="11906" w:h="16838"/>
          <w:pgMar w:top="1440" w:right="1800" w:bottom="1440" w:left="1800" w:header="1134" w:footer="992" w:gutter="0"/>
          <w:pgNumType w:fmt="decimal" w:start="1"/>
          <w:cols w:space="425" w:num="1"/>
          <w:docGrid w:type="lines" w:linePitch="312" w:charSpace="0"/>
        </w:sectPr>
      </w:pPr>
    </w:p>
    <w:p w14:paraId="64350DB4">
      <w:pPr>
        <w:bidi w:val="0"/>
        <w:rPr>
          <w:rFonts w:hint="eastAsia"/>
          <w:lang w:val="en-US" w:eastAsia="zh-CN"/>
        </w:rPr>
      </w:pPr>
    </w:p>
    <w:sdt>
      <w:sdtPr>
        <w:rPr>
          <w:rFonts w:ascii="宋体" w:hAnsi="宋体" w:eastAsia="宋体" w:cs="宋体"/>
          <w:b/>
          <w:bCs/>
          <w:sz w:val="28"/>
          <w:szCs w:val="28"/>
          <w:lang w:val="en-US" w:eastAsia="en-US" w:bidi="ar-SA"/>
        </w:rPr>
        <w:id w:val="147478109"/>
        <w15:color w:val="DBDBDB"/>
        <w:docPartObj>
          <w:docPartGallery w:val="Table of Contents"/>
          <w:docPartUnique/>
        </w:docPartObj>
      </w:sdtPr>
      <w:sdtEndPr>
        <w:rPr>
          <w:rFonts w:ascii="宋体" w:hAnsi="宋体" w:eastAsia="宋体" w:cs="宋体"/>
          <w:b/>
          <w:bCs/>
          <w:sz w:val="22"/>
          <w:szCs w:val="22"/>
          <w:lang w:val="en-US" w:eastAsia="en-US" w:bidi="ar-SA"/>
        </w:rPr>
      </w:sdtEndPr>
      <w:sdtContent>
        <w:p w14:paraId="1178AAEF">
          <w:pPr>
            <w:spacing w:before="0" w:beforeLines="0" w:after="0" w:afterLines="0" w:line="240" w:lineRule="auto"/>
            <w:ind w:left="0" w:leftChars="0" w:right="0" w:rightChars="0" w:firstLine="0" w:firstLineChars="0"/>
            <w:jc w:val="center"/>
            <w:rPr>
              <w:b/>
              <w:bCs/>
              <w:sz w:val="28"/>
              <w:szCs w:val="28"/>
            </w:rPr>
          </w:pPr>
          <w:r>
            <w:rPr>
              <w:rFonts w:ascii="宋体" w:hAnsi="宋体" w:eastAsia="宋体"/>
              <w:b/>
              <w:bCs/>
              <w:sz w:val="28"/>
              <w:szCs w:val="28"/>
            </w:rPr>
            <w:t>目录</w:t>
          </w:r>
        </w:p>
        <w:p w14:paraId="4DE027C9">
          <w:pPr>
            <w:pStyle w:val="11"/>
            <w:tabs>
              <w:tab w:val="right" w:leader="dot" w:pos="8306"/>
            </w:tabs>
            <w:spacing w:line="360" w:lineRule="auto"/>
          </w:pPr>
          <w:r>
            <w:fldChar w:fldCharType="begin"/>
          </w:r>
          <w:r>
            <w:instrText xml:space="preserve">TOC \o "1-2" \h \u </w:instrText>
          </w:r>
          <w:r>
            <w:fldChar w:fldCharType="separate"/>
          </w:r>
          <w:r>
            <w:fldChar w:fldCharType="begin"/>
          </w:r>
          <w:r>
            <w:instrText xml:space="preserve"> HYPERLINK \l _Toc1915 </w:instrText>
          </w:r>
          <w:r>
            <w:fldChar w:fldCharType="separate"/>
          </w:r>
          <w:r>
            <w:rPr>
              <w:rFonts w:hint="eastAsia" w:cs="宋体"/>
              <w:bCs/>
              <w:szCs w:val="24"/>
              <w:lang w:val="en-US" w:eastAsia="zh-CN"/>
            </w:rPr>
            <w:t>一、项目背景和目标</w:t>
          </w:r>
          <w:r>
            <w:tab/>
          </w:r>
          <w:r>
            <w:fldChar w:fldCharType="begin"/>
          </w:r>
          <w:r>
            <w:instrText xml:space="preserve"> PAGEREF _Toc1915 \h </w:instrText>
          </w:r>
          <w:r>
            <w:fldChar w:fldCharType="separate"/>
          </w:r>
          <w:r>
            <w:t>1</w:t>
          </w:r>
          <w:r>
            <w:fldChar w:fldCharType="end"/>
          </w:r>
          <w:r>
            <w:fldChar w:fldCharType="end"/>
          </w:r>
        </w:p>
        <w:p w14:paraId="2EB3E6C9">
          <w:pPr>
            <w:pStyle w:val="11"/>
            <w:tabs>
              <w:tab w:val="right" w:leader="dot" w:pos="8306"/>
            </w:tabs>
            <w:spacing w:line="360" w:lineRule="auto"/>
          </w:pPr>
          <w:r>
            <w:fldChar w:fldCharType="begin"/>
          </w:r>
          <w:r>
            <w:instrText xml:space="preserve"> HYPERLINK \l _Toc29246 </w:instrText>
          </w:r>
          <w:r>
            <w:fldChar w:fldCharType="separate"/>
          </w:r>
          <w:r>
            <w:rPr>
              <w:rFonts w:hint="eastAsia" w:cs="宋体"/>
              <w:bCs/>
              <w:szCs w:val="24"/>
              <w:lang w:val="en-US" w:eastAsia="zh-CN"/>
            </w:rPr>
            <w:t>二、</w:t>
          </w:r>
          <w:r>
            <w:rPr>
              <w:rFonts w:hint="default" w:cs="宋体"/>
              <w:bCs/>
              <w:szCs w:val="24"/>
              <w:lang w:val="en-US" w:eastAsia="zh-CN"/>
            </w:rPr>
            <w:t>建设内容</w:t>
          </w:r>
          <w:r>
            <w:rPr>
              <w:rFonts w:hint="eastAsia" w:cs="宋体"/>
              <w:bCs/>
              <w:szCs w:val="24"/>
              <w:lang w:val="en-US" w:eastAsia="zh-CN"/>
            </w:rPr>
            <w:t>清单</w:t>
          </w:r>
          <w:r>
            <w:tab/>
          </w:r>
          <w:r>
            <w:fldChar w:fldCharType="begin"/>
          </w:r>
          <w:r>
            <w:instrText xml:space="preserve"> PAGEREF _Toc29246 \h </w:instrText>
          </w:r>
          <w:r>
            <w:fldChar w:fldCharType="separate"/>
          </w:r>
          <w:r>
            <w:t>1</w:t>
          </w:r>
          <w:r>
            <w:fldChar w:fldCharType="end"/>
          </w:r>
          <w:r>
            <w:fldChar w:fldCharType="end"/>
          </w:r>
        </w:p>
        <w:p w14:paraId="42C10918">
          <w:pPr>
            <w:pStyle w:val="11"/>
            <w:tabs>
              <w:tab w:val="right" w:leader="dot" w:pos="8306"/>
            </w:tabs>
            <w:spacing w:line="360" w:lineRule="auto"/>
          </w:pPr>
          <w:r>
            <w:fldChar w:fldCharType="begin"/>
          </w:r>
          <w:r>
            <w:instrText xml:space="preserve"> HYPERLINK \l _Toc10075 </w:instrText>
          </w:r>
          <w:r>
            <w:fldChar w:fldCharType="separate"/>
          </w:r>
          <w:r>
            <w:rPr>
              <w:rFonts w:hint="eastAsia" w:cs="宋体"/>
              <w:bCs/>
              <w:szCs w:val="24"/>
              <w:lang w:val="en-US" w:eastAsia="zh-CN"/>
            </w:rPr>
            <w:t>三、主要技术方案和参数</w:t>
          </w:r>
          <w:r>
            <w:tab/>
          </w:r>
          <w:r>
            <w:fldChar w:fldCharType="begin"/>
          </w:r>
          <w:r>
            <w:instrText xml:space="preserve"> PAGEREF _Toc10075 \h </w:instrText>
          </w:r>
          <w:r>
            <w:fldChar w:fldCharType="separate"/>
          </w:r>
          <w:r>
            <w:t>2</w:t>
          </w:r>
          <w:r>
            <w:fldChar w:fldCharType="end"/>
          </w:r>
          <w:r>
            <w:fldChar w:fldCharType="end"/>
          </w:r>
        </w:p>
        <w:p w14:paraId="5DF94B8B">
          <w:pPr>
            <w:pStyle w:val="12"/>
            <w:tabs>
              <w:tab w:val="right" w:leader="dot" w:pos="8306"/>
            </w:tabs>
            <w:spacing w:line="360" w:lineRule="auto"/>
          </w:pPr>
          <w:r>
            <w:fldChar w:fldCharType="begin"/>
          </w:r>
          <w:r>
            <w:instrText xml:space="preserve"> HYPERLINK \l _Toc11651 </w:instrText>
          </w:r>
          <w:r>
            <w:fldChar w:fldCharType="separate"/>
          </w:r>
          <w:r>
            <w:rPr>
              <w:rFonts w:hint="eastAsia"/>
              <w:bCs/>
              <w:szCs w:val="24"/>
              <w:lang w:val="en-US" w:eastAsia="zh-CN"/>
            </w:rPr>
            <w:t>1.基础医疗卫生综合管理</w:t>
          </w:r>
          <w:r>
            <w:tab/>
          </w:r>
          <w:r>
            <w:fldChar w:fldCharType="begin"/>
          </w:r>
          <w:r>
            <w:instrText xml:space="preserve"> PAGEREF _Toc11651 \h </w:instrText>
          </w:r>
          <w:r>
            <w:fldChar w:fldCharType="separate"/>
          </w:r>
          <w:r>
            <w:t>2</w:t>
          </w:r>
          <w:r>
            <w:fldChar w:fldCharType="end"/>
          </w:r>
          <w:r>
            <w:fldChar w:fldCharType="end"/>
          </w:r>
        </w:p>
        <w:p w14:paraId="365335CD">
          <w:pPr>
            <w:pStyle w:val="12"/>
            <w:tabs>
              <w:tab w:val="right" w:leader="dot" w:pos="8306"/>
            </w:tabs>
            <w:spacing w:line="360" w:lineRule="auto"/>
          </w:pPr>
          <w:r>
            <w:fldChar w:fldCharType="begin"/>
          </w:r>
          <w:r>
            <w:instrText xml:space="preserve"> HYPERLINK \l _Toc22910 </w:instrText>
          </w:r>
          <w:r>
            <w:fldChar w:fldCharType="separate"/>
          </w:r>
          <w:r>
            <w:rPr>
              <w:rFonts w:hint="eastAsia" w:cs="宋体"/>
              <w:bCs/>
              <w:szCs w:val="28"/>
              <w:lang w:val="en-US" w:eastAsia="zh-CN"/>
            </w:rPr>
            <w:t>2.</w:t>
          </w:r>
          <w:r>
            <w:rPr>
              <w:rFonts w:hint="eastAsia" w:ascii="宋体" w:hAnsi="宋体" w:eastAsia="宋体" w:cs="宋体"/>
              <w:bCs/>
              <w:szCs w:val="28"/>
              <w:lang w:val="en-US" w:eastAsia="zh-CN"/>
            </w:rPr>
            <w:t>区域医疗服务系统应用</w:t>
          </w:r>
          <w:r>
            <w:tab/>
          </w:r>
          <w:r>
            <w:fldChar w:fldCharType="begin"/>
          </w:r>
          <w:r>
            <w:instrText xml:space="preserve"> PAGEREF _Toc22910 \h </w:instrText>
          </w:r>
          <w:r>
            <w:fldChar w:fldCharType="separate"/>
          </w:r>
          <w:r>
            <w:t>6</w:t>
          </w:r>
          <w:r>
            <w:fldChar w:fldCharType="end"/>
          </w:r>
          <w:r>
            <w:fldChar w:fldCharType="end"/>
          </w:r>
        </w:p>
        <w:p w14:paraId="4EB6F568">
          <w:pPr>
            <w:pStyle w:val="12"/>
            <w:tabs>
              <w:tab w:val="right" w:leader="dot" w:pos="8306"/>
            </w:tabs>
            <w:spacing w:line="360" w:lineRule="auto"/>
          </w:pPr>
          <w:r>
            <w:fldChar w:fldCharType="begin"/>
          </w:r>
          <w:r>
            <w:instrText xml:space="preserve"> HYPERLINK \l _Toc19812 </w:instrText>
          </w:r>
          <w:r>
            <w:fldChar w:fldCharType="separate"/>
          </w:r>
          <w:r>
            <w:rPr>
              <w:rFonts w:hint="eastAsia" w:cs="宋体"/>
              <w:bCs/>
              <w:szCs w:val="28"/>
              <w:lang w:val="en-US" w:eastAsia="zh-CN"/>
            </w:rPr>
            <w:t>3.</w:t>
          </w:r>
          <w:r>
            <w:rPr>
              <w:rFonts w:hint="eastAsia" w:cs="宋体"/>
              <w:bCs/>
              <w:szCs w:val="28"/>
              <w:lang w:val="en-US" w:eastAsia="en-US"/>
            </w:rPr>
            <w:t>基层LIS系统</w:t>
          </w:r>
          <w:r>
            <w:tab/>
          </w:r>
          <w:r>
            <w:fldChar w:fldCharType="begin"/>
          </w:r>
          <w:r>
            <w:instrText xml:space="preserve"> PAGEREF _Toc19812 \h </w:instrText>
          </w:r>
          <w:r>
            <w:fldChar w:fldCharType="separate"/>
          </w:r>
          <w:r>
            <w:t>9</w:t>
          </w:r>
          <w:r>
            <w:fldChar w:fldCharType="end"/>
          </w:r>
          <w:r>
            <w:fldChar w:fldCharType="end"/>
          </w:r>
        </w:p>
        <w:p w14:paraId="6AFA13F6">
          <w:pPr>
            <w:pStyle w:val="12"/>
            <w:tabs>
              <w:tab w:val="right" w:leader="dot" w:pos="8306"/>
            </w:tabs>
            <w:spacing w:line="360" w:lineRule="auto"/>
          </w:pPr>
          <w:r>
            <w:fldChar w:fldCharType="begin"/>
          </w:r>
          <w:r>
            <w:instrText xml:space="preserve"> HYPERLINK \l _Toc12446 </w:instrText>
          </w:r>
          <w:r>
            <w:fldChar w:fldCharType="separate"/>
          </w:r>
          <w:r>
            <w:rPr>
              <w:rFonts w:hint="eastAsia" w:cs="宋体"/>
              <w:bCs/>
              <w:szCs w:val="28"/>
              <w:lang w:val="en-US" w:eastAsia="zh-CN" w:bidi="ar-SA"/>
            </w:rPr>
            <w:t>4.</w:t>
          </w:r>
          <w:r>
            <w:rPr>
              <w:rFonts w:hint="eastAsia" w:ascii="宋体" w:hAnsi="宋体" w:eastAsia="宋体" w:cs="宋体"/>
              <w:bCs/>
              <w:szCs w:val="28"/>
              <w:lang w:val="en-US" w:eastAsia="en-US" w:bidi="ar-SA"/>
            </w:rPr>
            <w:t>便民惠民服务系统应用</w:t>
          </w:r>
          <w:r>
            <w:tab/>
          </w:r>
          <w:r>
            <w:fldChar w:fldCharType="begin"/>
          </w:r>
          <w:r>
            <w:instrText xml:space="preserve"> PAGEREF _Toc12446 \h </w:instrText>
          </w:r>
          <w:r>
            <w:fldChar w:fldCharType="separate"/>
          </w:r>
          <w:r>
            <w:t>12</w:t>
          </w:r>
          <w:r>
            <w:fldChar w:fldCharType="end"/>
          </w:r>
          <w:r>
            <w:fldChar w:fldCharType="end"/>
          </w:r>
        </w:p>
        <w:p w14:paraId="2C61C1C8">
          <w:pPr>
            <w:pStyle w:val="12"/>
            <w:tabs>
              <w:tab w:val="right" w:leader="dot" w:pos="8306"/>
            </w:tabs>
            <w:spacing w:line="360" w:lineRule="auto"/>
          </w:pPr>
          <w:r>
            <w:fldChar w:fldCharType="begin"/>
          </w:r>
          <w:r>
            <w:instrText xml:space="preserve"> HYPERLINK \l _Toc5855 </w:instrText>
          </w:r>
          <w:r>
            <w:fldChar w:fldCharType="separate"/>
          </w:r>
          <w:r>
            <w:rPr>
              <w:rFonts w:hint="eastAsia" w:cs="宋体"/>
              <w:bCs/>
              <w:szCs w:val="28"/>
              <w:lang w:val="en-US" w:eastAsia="zh-CN" w:bidi="ar-SA"/>
            </w:rPr>
            <w:t>5.</w:t>
          </w:r>
          <w:r>
            <w:rPr>
              <w:rFonts w:hint="eastAsia" w:ascii="宋体" w:hAnsi="宋体" w:eastAsia="宋体" w:cs="宋体"/>
              <w:bCs/>
              <w:szCs w:val="28"/>
              <w:lang w:val="en-US" w:eastAsia="en-US" w:bidi="ar-SA"/>
            </w:rPr>
            <w:t>公共卫生服务协同应用</w:t>
          </w:r>
          <w:r>
            <w:tab/>
          </w:r>
          <w:r>
            <w:fldChar w:fldCharType="begin"/>
          </w:r>
          <w:r>
            <w:instrText xml:space="preserve"> PAGEREF _Toc5855 \h </w:instrText>
          </w:r>
          <w:r>
            <w:fldChar w:fldCharType="separate"/>
          </w:r>
          <w:r>
            <w:t>14</w:t>
          </w:r>
          <w:r>
            <w:fldChar w:fldCharType="end"/>
          </w:r>
          <w:r>
            <w:fldChar w:fldCharType="end"/>
          </w:r>
        </w:p>
        <w:p w14:paraId="0A9E2BF0">
          <w:pPr>
            <w:pStyle w:val="12"/>
            <w:tabs>
              <w:tab w:val="right" w:leader="dot" w:pos="8306"/>
            </w:tabs>
            <w:spacing w:line="360" w:lineRule="auto"/>
          </w:pPr>
          <w:r>
            <w:fldChar w:fldCharType="begin"/>
          </w:r>
          <w:r>
            <w:instrText xml:space="preserve"> HYPERLINK \l _Toc3649 </w:instrText>
          </w:r>
          <w:r>
            <w:fldChar w:fldCharType="separate"/>
          </w:r>
          <w:r>
            <w:rPr>
              <w:rFonts w:hint="eastAsia" w:cs="宋体"/>
              <w:bCs/>
              <w:szCs w:val="28"/>
              <w:lang w:val="en-US" w:eastAsia="zh-CN" w:bidi="ar-SA"/>
            </w:rPr>
            <w:t>6.</w:t>
          </w:r>
          <w:r>
            <w:rPr>
              <w:rFonts w:hint="eastAsia" w:ascii="宋体" w:hAnsi="宋体" w:eastAsia="宋体" w:cs="宋体"/>
              <w:bCs/>
              <w:szCs w:val="28"/>
              <w:lang w:val="en-US" w:eastAsia="en-US" w:bidi="ar-SA"/>
            </w:rPr>
            <w:t>公卫体检信息系统</w:t>
          </w:r>
          <w:r>
            <w:tab/>
          </w:r>
          <w:r>
            <w:fldChar w:fldCharType="begin"/>
          </w:r>
          <w:r>
            <w:instrText xml:space="preserve"> PAGEREF _Toc3649 \h </w:instrText>
          </w:r>
          <w:r>
            <w:fldChar w:fldCharType="separate"/>
          </w:r>
          <w:r>
            <w:t>16</w:t>
          </w:r>
          <w:r>
            <w:fldChar w:fldCharType="end"/>
          </w:r>
          <w:r>
            <w:fldChar w:fldCharType="end"/>
          </w:r>
        </w:p>
        <w:p w14:paraId="5164A801">
          <w:pPr>
            <w:pStyle w:val="12"/>
            <w:tabs>
              <w:tab w:val="right" w:leader="dot" w:pos="8306"/>
            </w:tabs>
            <w:spacing w:line="360" w:lineRule="auto"/>
          </w:pPr>
          <w:r>
            <w:fldChar w:fldCharType="begin"/>
          </w:r>
          <w:r>
            <w:instrText xml:space="preserve"> HYPERLINK \l _Toc23513 </w:instrText>
          </w:r>
          <w:r>
            <w:fldChar w:fldCharType="separate"/>
          </w:r>
          <w:r>
            <w:rPr>
              <w:rFonts w:hint="eastAsia" w:cs="宋体"/>
              <w:bCs/>
              <w:szCs w:val="28"/>
              <w:lang w:val="en-US" w:eastAsia="zh-CN" w:bidi="ar-SA"/>
            </w:rPr>
            <w:t>7.</w:t>
          </w:r>
          <w:r>
            <w:rPr>
              <w:rFonts w:hint="eastAsia" w:ascii="宋体" w:hAnsi="宋体" w:eastAsia="宋体" w:cs="宋体"/>
              <w:bCs/>
              <w:szCs w:val="28"/>
              <w:lang w:val="en-US" w:eastAsia="en-US" w:bidi="ar-SA"/>
            </w:rPr>
            <w:t>妇产医院业务协同</w:t>
          </w:r>
          <w:r>
            <w:tab/>
          </w:r>
          <w:r>
            <w:fldChar w:fldCharType="begin"/>
          </w:r>
          <w:r>
            <w:instrText xml:space="preserve"> PAGEREF _Toc23513 \h </w:instrText>
          </w:r>
          <w:r>
            <w:fldChar w:fldCharType="separate"/>
          </w:r>
          <w:r>
            <w:t>21</w:t>
          </w:r>
          <w:r>
            <w:fldChar w:fldCharType="end"/>
          </w:r>
          <w:r>
            <w:fldChar w:fldCharType="end"/>
          </w:r>
        </w:p>
        <w:p w14:paraId="3B582159">
          <w:pPr>
            <w:pStyle w:val="12"/>
            <w:tabs>
              <w:tab w:val="right" w:leader="dot" w:pos="8306"/>
            </w:tabs>
            <w:spacing w:line="360" w:lineRule="auto"/>
          </w:pPr>
          <w:r>
            <w:fldChar w:fldCharType="begin"/>
          </w:r>
          <w:r>
            <w:instrText xml:space="preserve"> HYPERLINK \l _Toc333 </w:instrText>
          </w:r>
          <w:r>
            <w:fldChar w:fldCharType="separate"/>
          </w:r>
          <w:r>
            <w:rPr>
              <w:rFonts w:hint="eastAsia" w:cs="宋体"/>
              <w:bCs/>
              <w:szCs w:val="28"/>
              <w:lang w:val="en-US" w:eastAsia="zh-CN" w:bidi="ar-SA"/>
            </w:rPr>
            <w:t>8.</w:t>
          </w:r>
          <w:r>
            <w:rPr>
              <w:rFonts w:hint="eastAsia" w:cs="宋体"/>
              <w:bCs/>
              <w:szCs w:val="28"/>
              <w:lang w:val="en-US" w:eastAsia="en-US" w:bidi="ar-SA"/>
            </w:rPr>
            <w:t>网络数据灾备软件</w:t>
          </w:r>
          <w:r>
            <w:tab/>
          </w:r>
          <w:r>
            <w:fldChar w:fldCharType="begin"/>
          </w:r>
          <w:r>
            <w:instrText xml:space="preserve"> PAGEREF _Toc333 \h </w:instrText>
          </w:r>
          <w:r>
            <w:fldChar w:fldCharType="separate"/>
          </w:r>
          <w:r>
            <w:t>21</w:t>
          </w:r>
          <w:r>
            <w:fldChar w:fldCharType="end"/>
          </w:r>
          <w:r>
            <w:fldChar w:fldCharType="end"/>
          </w:r>
        </w:p>
        <w:p w14:paraId="586A99CE">
          <w:pPr>
            <w:pStyle w:val="12"/>
            <w:tabs>
              <w:tab w:val="right" w:leader="dot" w:pos="8306"/>
            </w:tabs>
            <w:spacing w:line="360" w:lineRule="auto"/>
          </w:pPr>
          <w:r>
            <w:fldChar w:fldCharType="begin"/>
          </w:r>
          <w:r>
            <w:instrText xml:space="preserve"> HYPERLINK \l _Toc10728 </w:instrText>
          </w:r>
          <w:r>
            <w:fldChar w:fldCharType="separate"/>
          </w:r>
          <w:r>
            <w:rPr>
              <w:rFonts w:hint="eastAsia" w:cs="宋体"/>
              <w:bCs/>
              <w:szCs w:val="28"/>
              <w:lang w:val="en-US" w:eastAsia="zh-CN" w:bidi="ar-SA"/>
            </w:rPr>
            <w:t>9.</w:t>
          </w:r>
          <w:r>
            <w:rPr>
              <w:rFonts w:hint="eastAsia" w:cs="宋体"/>
              <w:bCs/>
              <w:szCs w:val="28"/>
              <w:lang w:val="en-US" w:eastAsia="en-US" w:bidi="ar-SA"/>
            </w:rPr>
            <w:t>内外网文件摆渡软件</w:t>
          </w:r>
          <w:r>
            <w:tab/>
          </w:r>
          <w:r>
            <w:fldChar w:fldCharType="begin"/>
          </w:r>
          <w:r>
            <w:instrText xml:space="preserve"> PAGEREF _Toc10728 \h </w:instrText>
          </w:r>
          <w:r>
            <w:fldChar w:fldCharType="separate"/>
          </w:r>
          <w:r>
            <w:t>24</w:t>
          </w:r>
          <w:r>
            <w:fldChar w:fldCharType="end"/>
          </w:r>
          <w:r>
            <w:fldChar w:fldCharType="end"/>
          </w:r>
        </w:p>
        <w:p w14:paraId="18D9B1B6">
          <w:pPr>
            <w:pStyle w:val="12"/>
            <w:tabs>
              <w:tab w:val="right" w:leader="dot" w:pos="8306"/>
            </w:tabs>
            <w:spacing w:line="360" w:lineRule="auto"/>
          </w:pPr>
          <w:r>
            <w:fldChar w:fldCharType="begin"/>
          </w:r>
          <w:r>
            <w:instrText xml:space="preserve"> HYPERLINK \l _Toc23070 </w:instrText>
          </w:r>
          <w:r>
            <w:fldChar w:fldCharType="separate"/>
          </w:r>
          <w:r>
            <w:rPr>
              <w:rFonts w:hint="eastAsia" w:cs="宋体"/>
              <w:bCs/>
              <w:szCs w:val="28"/>
              <w:lang w:val="en-US" w:eastAsia="zh-CN" w:bidi="ar-SA"/>
            </w:rPr>
            <w:t>10.</w:t>
          </w:r>
          <w:r>
            <w:rPr>
              <w:rFonts w:hint="eastAsia" w:cs="宋体"/>
              <w:bCs/>
              <w:szCs w:val="28"/>
              <w:lang w:val="en-US" w:eastAsia="en-US" w:bidi="ar-SA"/>
            </w:rPr>
            <w:t>防火墙扩展卡</w:t>
          </w:r>
          <w:r>
            <w:tab/>
          </w:r>
          <w:r>
            <w:fldChar w:fldCharType="begin"/>
          </w:r>
          <w:r>
            <w:instrText xml:space="preserve"> PAGEREF _Toc23070 \h </w:instrText>
          </w:r>
          <w:r>
            <w:fldChar w:fldCharType="separate"/>
          </w:r>
          <w:r>
            <w:t>27</w:t>
          </w:r>
          <w:r>
            <w:fldChar w:fldCharType="end"/>
          </w:r>
          <w:r>
            <w:fldChar w:fldCharType="end"/>
          </w:r>
        </w:p>
        <w:p w14:paraId="7B2794F9">
          <w:pPr>
            <w:pStyle w:val="12"/>
            <w:tabs>
              <w:tab w:val="right" w:leader="dot" w:pos="8306"/>
            </w:tabs>
            <w:spacing w:line="360" w:lineRule="auto"/>
          </w:pPr>
          <w:r>
            <w:fldChar w:fldCharType="begin"/>
          </w:r>
          <w:r>
            <w:instrText xml:space="preserve"> HYPERLINK \l _Toc11417 </w:instrText>
          </w:r>
          <w:r>
            <w:fldChar w:fldCharType="separate"/>
          </w:r>
          <w:r>
            <w:rPr>
              <w:rFonts w:hint="eastAsia" w:cs="宋体"/>
              <w:bCs/>
              <w:szCs w:val="28"/>
              <w:lang w:val="en-US" w:eastAsia="zh-CN" w:bidi="ar-SA"/>
            </w:rPr>
            <w:t>11.</w:t>
          </w:r>
          <w:r>
            <w:rPr>
              <w:rFonts w:hint="eastAsia" w:cs="宋体"/>
              <w:bCs/>
              <w:szCs w:val="28"/>
              <w:lang w:val="en-US" w:eastAsia="en-US" w:bidi="ar-SA"/>
            </w:rPr>
            <w:t>云桌面服务器</w:t>
          </w:r>
          <w:r>
            <w:tab/>
          </w:r>
          <w:r>
            <w:fldChar w:fldCharType="begin"/>
          </w:r>
          <w:r>
            <w:instrText xml:space="preserve"> PAGEREF _Toc11417 \h </w:instrText>
          </w:r>
          <w:r>
            <w:fldChar w:fldCharType="separate"/>
          </w:r>
          <w:r>
            <w:t>27</w:t>
          </w:r>
          <w:r>
            <w:fldChar w:fldCharType="end"/>
          </w:r>
          <w:r>
            <w:fldChar w:fldCharType="end"/>
          </w:r>
        </w:p>
        <w:p w14:paraId="1E54B6D2">
          <w:pPr>
            <w:pStyle w:val="12"/>
            <w:tabs>
              <w:tab w:val="right" w:leader="dot" w:pos="8306"/>
            </w:tabs>
            <w:spacing w:line="360" w:lineRule="auto"/>
          </w:pPr>
          <w:r>
            <w:fldChar w:fldCharType="begin"/>
          </w:r>
          <w:r>
            <w:instrText xml:space="preserve"> HYPERLINK \l _Toc10308 </w:instrText>
          </w:r>
          <w:r>
            <w:fldChar w:fldCharType="separate"/>
          </w:r>
          <w:r>
            <w:rPr>
              <w:rFonts w:hint="eastAsia" w:cs="宋体"/>
              <w:bCs/>
              <w:szCs w:val="28"/>
              <w:lang w:val="en-US" w:eastAsia="zh-CN" w:bidi="ar-SA"/>
            </w:rPr>
            <w:t>12.</w:t>
          </w:r>
          <w:r>
            <w:rPr>
              <w:rFonts w:hint="eastAsia" w:cs="宋体"/>
              <w:bCs/>
              <w:szCs w:val="28"/>
              <w:lang w:val="en-US" w:eastAsia="en-US" w:bidi="ar-SA"/>
            </w:rPr>
            <w:t>汇聚防火墙</w:t>
          </w:r>
          <w:r>
            <w:tab/>
          </w:r>
          <w:r>
            <w:fldChar w:fldCharType="begin"/>
          </w:r>
          <w:r>
            <w:instrText xml:space="preserve"> PAGEREF _Toc10308 \h </w:instrText>
          </w:r>
          <w:r>
            <w:fldChar w:fldCharType="separate"/>
          </w:r>
          <w:r>
            <w:t>27</w:t>
          </w:r>
          <w:r>
            <w:fldChar w:fldCharType="end"/>
          </w:r>
          <w:r>
            <w:fldChar w:fldCharType="end"/>
          </w:r>
        </w:p>
        <w:p w14:paraId="2200AC30">
          <w:pPr>
            <w:pStyle w:val="12"/>
            <w:tabs>
              <w:tab w:val="right" w:leader="dot" w:pos="8306"/>
            </w:tabs>
            <w:spacing w:line="360" w:lineRule="auto"/>
          </w:pPr>
          <w:r>
            <w:fldChar w:fldCharType="begin"/>
          </w:r>
          <w:r>
            <w:instrText xml:space="preserve"> HYPERLINK \l _Toc18080 </w:instrText>
          </w:r>
          <w:r>
            <w:fldChar w:fldCharType="separate"/>
          </w:r>
          <w:r>
            <w:rPr>
              <w:rFonts w:hint="eastAsia" w:cs="宋体"/>
              <w:bCs/>
              <w:szCs w:val="28"/>
              <w:lang w:val="en-US" w:eastAsia="zh-CN" w:bidi="ar-SA"/>
            </w:rPr>
            <w:t>13.</w:t>
          </w:r>
          <w:r>
            <w:rPr>
              <w:rFonts w:hint="eastAsia" w:cs="宋体"/>
              <w:bCs/>
              <w:szCs w:val="28"/>
              <w:lang w:val="en-US" w:eastAsia="en-US" w:bidi="ar-SA"/>
            </w:rPr>
            <w:t>接入交换机</w:t>
          </w:r>
          <w:r>
            <w:tab/>
          </w:r>
          <w:r>
            <w:fldChar w:fldCharType="begin"/>
          </w:r>
          <w:r>
            <w:instrText xml:space="preserve"> PAGEREF _Toc18080 \h </w:instrText>
          </w:r>
          <w:r>
            <w:fldChar w:fldCharType="separate"/>
          </w:r>
          <w:r>
            <w:t>28</w:t>
          </w:r>
          <w:r>
            <w:fldChar w:fldCharType="end"/>
          </w:r>
          <w:r>
            <w:fldChar w:fldCharType="end"/>
          </w:r>
        </w:p>
        <w:p w14:paraId="702B78FB">
          <w:pPr>
            <w:pStyle w:val="12"/>
            <w:tabs>
              <w:tab w:val="right" w:leader="dot" w:pos="8306"/>
            </w:tabs>
            <w:spacing w:line="360" w:lineRule="auto"/>
          </w:pPr>
          <w:r>
            <w:fldChar w:fldCharType="begin"/>
          </w:r>
          <w:r>
            <w:instrText xml:space="preserve"> HYPERLINK \l _Toc14176 </w:instrText>
          </w:r>
          <w:r>
            <w:fldChar w:fldCharType="separate"/>
          </w:r>
          <w:r>
            <w:rPr>
              <w:rFonts w:hint="eastAsia" w:cs="宋体"/>
              <w:bCs/>
              <w:szCs w:val="28"/>
              <w:lang w:val="en-US" w:eastAsia="zh-CN" w:bidi="ar-SA"/>
            </w:rPr>
            <w:t>14.</w:t>
          </w:r>
          <w:r>
            <w:rPr>
              <w:rFonts w:hint="eastAsia" w:cs="宋体"/>
              <w:bCs/>
              <w:szCs w:val="28"/>
              <w:lang w:val="en-US" w:eastAsia="en-US" w:bidi="ar-SA"/>
            </w:rPr>
            <w:t>灾备服务器</w:t>
          </w:r>
          <w:r>
            <w:tab/>
          </w:r>
          <w:r>
            <w:fldChar w:fldCharType="begin"/>
          </w:r>
          <w:r>
            <w:instrText xml:space="preserve"> PAGEREF _Toc14176 \h </w:instrText>
          </w:r>
          <w:r>
            <w:fldChar w:fldCharType="separate"/>
          </w:r>
          <w:r>
            <w:t>28</w:t>
          </w:r>
          <w:r>
            <w:fldChar w:fldCharType="end"/>
          </w:r>
          <w:r>
            <w:fldChar w:fldCharType="end"/>
          </w:r>
        </w:p>
        <w:p w14:paraId="6EE0FDAE">
          <w:pPr>
            <w:pStyle w:val="12"/>
            <w:tabs>
              <w:tab w:val="right" w:leader="dot" w:pos="8306"/>
            </w:tabs>
            <w:spacing w:line="360" w:lineRule="auto"/>
          </w:pPr>
          <w:r>
            <w:fldChar w:fldCharType="begin"/>
          </w:r>
          <w:r>
            <w:instrText xml:space="preserve"> HYPERLINK \l _Toc16856 </w:instrText>
          </w:r>
          <w:r>
            <w:fldChar w:fldCharType="separate"/>
          </w:r>
          <w:r>
            <w:rPr>
              <w:rFonts w:hint="eastAsia" w:cs="宋体"/>
              <w:bCs/>
              <w:szCs w:val="28"/>
              <w:lang w:val="en-US" w:eastAsia="zh-CN" w:bidi="ar-SA"/>
            </w:rPr>
            <w:t>15.</w:t>
          </w:r>
          <w:r>
            <w:rPr>
              <w:rFonts w:hint="eastAsia" w:ascii="宋体" w:hAnsi="宋体" w:eastAsia="宋体" w:cs="宋体"/>
              <w:bCs/>
              <w:szCs w:val="28"/>
              <w:lang w:val="en-US" w:eastAsia="en-US" w:bidi="ar-SA"/>
            </w:rPr>
            <w:t>文件中转摆渡服务器</w:t>
          </w:r>
          <w:r>
            <w:tab/>
          </w:r>
          <w:r>
            <w:fldChar w:fldCharType="begin"/>
          </w:r>
          <w:r>
            <w:instrText xml:space="preserve"> PAGEREF _Toc16856 \h </w:instrText>
          </w:r>
          <w:r>
            <w:fldChar w:fldCharType="separate"/>
          </w:r>
          <w:r>
            <w:t>28</w:t>
          </w:r>
          <w:r>
            <w:fldChar w:fldCharType="end"/>
          </w:r>
          <w:r>
            <w:fldChar w:fldCharType="end"/>
          </w:r>
        </w:p>
        <w:p w14:paraId="12AC4355">
          <w:pPr>
            <w:pStyle w:val="12"/>
            <w:tabs>
              <w:tab w:val="right" w:leader="dot" w:pos="8306"/>
            </w:tabs>
            <w:spacing w:line="360" w:lineRule="auto"/>
          </w:pPr>
          <w:r>
            <w:fldChar w:fldCharType="begin"/>
          </w:r>
          <w:r>
            <w:instrText xml:space="preserve"> HYPERLINK \l _Toc2996 </w:instrText>
          </w:r>
          <w:r>
            <w:fldChar w:fldCharType="separate"/>
          </w:r>
          <w:r>
            <w:rPr>
              <w:rFonts w:hint="eastAsia" w:cs="宋体"/>
              <w:bCs/>
              <w:szCs w:val="28"/>
              <w:lang w:val="en-US" w:eastAsia="zh-CN" w:bidi="ar-SA"/>
            </w:rPr>
            <w:t>16.</w:t>
          </w:r>
          <w:r>
            <w:rPr>
              <w:rFonts w:hint="eastAsia" w:cs="宋体"/>
              <w:bCs/>
              <w:szCs w:val="28"/>
              <w:lang w:val="en-US" w:eastAsia="en-US" w:bidi="ar-SA"/>
            </w:rPr>
            <w:t>身高体重仪</w:t>
          </w:r>
          <w:r>
            <w:tab/>
          </w:r>
          <w:r>
            <w:fldChar w:fldCharType="begin"/>
          </w:r>
          <w:r>
            <w:instrText xml:space="preserve"> PAGEREF _Toc2996 \h </w:instrText>
          </w:r>
          <w:r>
            <w:fldChar w:fldCharType="separate"/>
          </w:r>
          <w:r>
            <w:t>29</w:t>
          </w:r>
          <w:r>
            <w:fldChar w:fldCharType="end"/>
          </w:r>
          <w:r>
            <w:fldChar w:fldCharType="end"/>
          </w:r>
        </w:p>
        <w:p w14:paraId="1981D03B">
          <w:pPr>
            <w:pStyle w:val="12"/>
            <w:tabs>
              <w:tab w:val="right" w:leader="dot" w:pos="8306"/>
            </w:tabs>
            <w:spacing w:line="360" w:lineRule="auto"/>
          </w:pPr>
          <w:r>
            <w:fldChar w:fldCharType="begin"/>
          </w:r>
          <w:r>
            <w:instrText xml:space="preserve"> HYPERLINK \l _Toc13315 </w:instrText>
          </w:r>
          <w:r>
            <w:fldChar w:fldCharType="separate"/>
          </w:r>
          <w:r>
            <w:rPr>
              <w:rFonts w:hint="eastAsia" w:cs="宋体"/>
              <w:bCs/>
              <w:szCs w:val="28"/>
              <w:lang w:val="en-US" w:eastAsia="zh-CN" w:bidi="ar-SA"/>
            </w:rPr>
            <w:t>17.</w:t>
          </w:r>
          <w:r>
            <w:rPr>
              <w:rFonts w:hint="eastAsia" w:ascii="宋体" w:hAnsi="宋体" w:eastAsia="宋体" w:cs="宋体"/>
              <w:bCs/>
              <w:szCs w:val="28"/>
              <w:lang w:val="en-US" w:eastAsia="en-US" w:bidi="ar-SA"/>
            </w:rPr>
            <w:t>电子血压仪</w:t>
          </w:r>
          <w:r>
            <w:tab/>
          </w:r>
          <w:r>
            <w:fldChar w:fldCharType="begin"/>
          </w:r>
          <w:r>
            <w:instrText xml:space="preserve"> PAGEREF _Toc13315 \h </w:instrText>
          </w:r>
          <w:r>
            <w:fldChar w:fldCharType="separate"/>
          </w:r>
          <w:r>
            <w:t>29</w:t>
          </w:r>
          <w:r>
            <w:fldChar w:fldCharType="end"/>
          </w:r>
          <w:r>
            <w:fldChar w:fldCharType="end"/>
          </w:r>
        </w:p>
        <w:p w14:paraId="3BBCC82F">
          <w:pPr>
            <w:pStyle w:val="12"/>
            <w:tabs>
              <w:tab w:val="right" w:leader="dot" w:pos="8306"/>
            </w:tabs>
            <w:spacing w:line="360" w:lineRule="auto"/>
          </w:pPr>
          <w:r>
            <w:fldChar w:fldCharType="begin"/>
          </w:r>
          <w:r>
            <w:instrText xml:space="preserve"> HYPERLINK \l _Toc9313 </w:instrText>
          </w:r>
          <w:r>
            <w:fldChar w:fldCharType="separate"/>
          </w:r>
          <w:r>
            <w:rPr>
              <w:rFonts w:hint="eastAsia" w:cs="宋体"/>
              <w:bCs/>
              <w:szCs w:val="28"/>
              <w:lang w:val="en-US" w:eastAsia="zh-CN" w:bidi="ar-SA"/>
            </w:rPr>
            <w:t>18.</w:t>
          </w:r>
          <w:r>
            <w:rPr>
              <w:rFonts w:hint="eastAsia" w:cs="宋体"/>
              <w:bCs/>
              <w:szCs w:val="28"/>
              <w:lang w:val="en-US" w:eastAsia="en-US" w:bidi="ar-SA"/>
            </w:rPr>
            <w:t>心电图机</w:t>
          </w:r>
          <w:r>
            <w:tab/>
          </w:r>
          <w:r>
            <w:fldChar w:fldCharType="begin"/>
          </w:r>
          <w:r>
            <w:instrText xml:space="preserve"> PAGEREF _Toc9313 \h </w:instrText>
          </w:r>
          <w:r>
            <w:fldChar w:fldCharType="separate"/>
          </w:r>
          <w:r>
            <w:t>29</w:t>
          </w:r>
          <w:r>
            <w:fldChar w:fldCharType="end"/>
          </w:r>
          <w:r>
            <w:fldChar w:fldCharType="end"/>
          </w:r>
        </w:p>
        <w:p w14:paraId="0FA7D577">
          <w:pPr>
            <w:pStyle w:val="12"/>
            <w:tabs>
              <w:tab w:val="right" w:leader="dot" w:pos="8306"/>
            </w:tabs>
            <w:spacing w:line="360" w:lineRule="auto"/>
          </w:pPr>
          <w:r>
            <w:fldChar w:fldCharType="begin"/>
          </w:r>
          <w:r>
            <w:instrText xml:space="preserve"> HYPERLINK \l _Toc26266 </w:instrText>
          </w:r>
          <w:r>
            <w:fldChar w:fldCharType="separate"/>
          </w:r>
          <w:r>
            <w:rPr>
              <w:rFonts w:hint="eastAsia" w:cs="宋体"/>
              <w:bCs/>
              <w:szCs w:val="28"/>
              <w:lang w:val="en-US" w:eastAsia="zh-CN" w:bidi="ar-SA"/>
            </w:rPr>
            <w:t>19.</w:t>
          </w:r>
          <w:r>
            <w:rPr>
              <w:rFonts w:hint="eastAsia" w:ascii="宋体" w:hAnsi="宋体" w:eastAsia="宋体" w:cs="宋体"/>
              <w:bCs/>
              <w:szCs w:val="28"/>
              <w:lang w:val="en-US" w:eastAsia="en-US" w:bidi="ar-SA"/>
            </w:rPr>
            <w:t>激光打印机</w:t>
          </w:r>
          <w:r>
            <w:tab/>
          </w:r>
          <w:r>
            <w:fldChar w:fldCharType="begin"/>
          </w:r>
          <w:r>
            <w:instrText xml:space="preserve"> PAGEREF _Toc26266 \h </w:instrText>
          </w:r>
          <w:r>
            <w:fldChar w:fldCharType="separate"/>
          </w:r>
          <w:r>
            <w:t>30</w:t>
          </w:r>
          <w:r>
            <w:fldChar w:fldCharType="end"/>
          </w:r>
          <w:r>
            <w:fldChar w:fldCharType="end"/>
          </w:r>
        </w:p>
        <w:p w14:paraId="0365A4DE">
          <w:pPr>
            <w:pStyle w:val="12"/>
            <w:tabs>
              <w:tab w:val="right" w:leader="dot" w:pos="8306"/>
            </w:tabs>
            <w:spacing w:line="360" w:lineRule="auto"/>
          </w:pPr>
          <w:r>
            <w:fldChar w:fldCharType="begin"/>
          </w:r>
          <w:r>
            <w:instrText xml:space="preserve"> HYPERLINK \l _Toc14441 </w:instrText>
          </w:r>
          <w:r>
            <w:fldChar w:fldCharType="separate"/>
          </w:r>
          <w:r>
            <w:rPr>
              <w:rFonts w:hint="eastAsia" w:cs="宋体"/>
              <w:bCs/>
              <w:szCs w:val="28"/>
              <w:lang w:val="en-US" w:eastAsia="zh-CN" w:bidi="ar-SA"/>
            </w:rPr>
            <w:t>20.热敏</w:t>
          </w:r>
          <w:r>
            <w:rPr>
              <w:rFonts w:hint="eastAsia" w:cs="宋体"/>
              <w:bCs/>
              <w:szCs w:val="28"/>
              <w:lang w:val="en-US" w:eastAsia="en-US" w:bidi="ar-SA"/>
            </w:rPr>
            <w:t>打印机</w:t>
          </w:r>
          <w:r>
            <w:tab/>
          </w:r>
          <w:r>
            <w:fldChar w:fldCharType="begin"/>
          </w:r>
          <w:r>
            <w:instrText xml:space="preserve"> PAGEREF _Toc14441 \h </w:instrText>
          </w:r>
          <w:r>
            <w:fldChar w:fldCharType="separate"/>
          </w:r>
          <w:r>
            <w:t>30</w:t>
          </w:r>
          <w:r>
            <w:fldChar w:fldCharType="end"/>
          </w:r>
          <w:r>
            <w:fldChar w:fldCharType="end"/>
          </w:r>
        </w:p>
        <w:p w14:paraId="02BAED28">
          <w:pPr>
            <w:pStyle w:val="12"/>
            <w:tabs>
              <w:tab w:val="right" w:leader="dot" w:pos="8306"/>
            </w:tabs>
            <w:spacing w:line="360" w:lineRule="auto"/>
          </w:pPr>
          <w:r>
            <w:fldChar w:fldCharType="begin"/>
          </w:r>
          <w:r>
            <w:instrText xml:space="preserve"> HYPERLINK \l _Toc16956 </w:instrText>
          </w:r>
          <w:r>
            <w:fldChar w:fldCharType="separate"/>
          </w:r>
          <w:r>
            <w:rPr>
              <w:rFonts w:hint="eastAsia" w:cs="宋体"/>
              <w:bCs/>
              <w:szCs w:val="28"/>
              <w:lang w:val="en-US" w:eastAsia="zh-CN" w:bidi="ar-SA"/>
            </w:rPr>
            <w:t>21.</w:t>
          </w:r>
          <w:r>
            <w:rPr>
              <w:rFonts w:hint="eastAsia" w:cs="宋体"/>
              <w:bCs/>
              <w:szCs w:val="28"/>
              <w:lang w:val="en-US" w:eastAsia="en-US" w:bidi="ar-SA"/>
            </w:rPr>
            <w:t>云电脑</w:t>
          </w:r>
          <w:r>
            <w:tab/>
          </w:r>
          <w:r>
            <w:fldChar w:fldCharType="begin"/>
          </w:r>
          <w:r>
            <w:instrText xml:space="preserve"> PAGEREF _Toc16956 \h </w:instrText>
          </w:r>
          <w:r>
            <w:fldChar w:fldCharType="separate"/>
          </w:r>
          <w:r>
            <w:t>30</w:t>
          </w:r>
          <w:r>
            <w:fldChar w:fldCharType="end"/>
          </w:r>
          <w:r>
            <w:fldChar w:fldCharType="end"/>
          </w:r>
        </w:p>
        <w:p w14:paraId="0B3E9156">
          <w:pPr>
            <w:pStyle w:val="12"/>
            <w:tabs>
              <w:tab w:val="right" w:leader="dot" w:pos="8306"/>
            </w:tabs>
            <w:spacing w:line="360" w:lineRule="auto"/>
          </w:pPr>
          <w:r>
            <w:fldChar w:fldCharType="begin"/>
          </w:r>
          <w:r>
            <w:instrText xml:space="preserve"> HYPERLINK \l _Toc3311 </w:instrText>
          </w:r>
          <w:r>
            <w:fldChar w:fldCharType="separate"/>
          </w:r>
          <w:r>
            <w:rPr>
              <w:rFonts w:hint="eastAsia" w:cs="宋体"/>
              <w:bCs/>
              <w:szCs w:val="28"/>
              <w:lang w:val="en-US" w:eastAsia="zh-CN" w:bidi="ar-SA"/>
            </w:rPr>
            <w:t>22.</w:t>
          </w:r>
          <w:r>
            <w:rPr>
              <w:rFonts w:hint="eastAsia" w:cs="宋体"/>
              <w:bCs/>
              <w:szCs w:val="28"/>
              <w:lang w:val="en-US" w:eastAsia="en-US" w:bidi="ar-SA"/>
            </w:rPr>
            <w:t>体检工作站</w:t>
          </w:r>
          <w:r>
            <w:tab/>
          </w:r>
          <w:r>
            <w:fldChar w:fldCharType="begin"/>
          </w:r>
          <w:r>
            <w:instrText xml:space="preserve"> PAGEREF _Toc3311 \h </w:instrText>
          </w:r>
          <w:r>
            <w:fldChar w:fldCharType="separate"/>
          </w:r>
          <w:r>
            <w:t>31</w:t>
          </w:r>
          <w:r>
            <w:fldChar w:fldCharType="end"/>
          </w:r>
          <w:r>
            <w:fldChar w:fldCharType="end"/>
          </w:r>
        </w:p>
        <w:p w14:paraId="521E3045">
          <w:pPr>
            <w:pStyle w:val="12"/>
            <w:tabs>
              <w:tab w:val="right" w:leader="dot" w:pos="8306"/>
            </w:tabs>
            <w:spacing w:line="360" w:lineRule="auto"/>
          </w:pPr>
          <w:r>
            <w:fldChar w:fldCharType="begin"/>
          </w:r>
          <w:r>
            <w:instrText xml:space="preserve"> HYPERLINK \l _Toc638 </w:instrText>
          </w:r>
          <w:r>
            <w:fldChar w:fldCharType="separate"/>
          </w:r>
          <w:r>
            <w:rPr>
              <w:rFonts w:hint="eastAsia" w:cs="宋体"/>
              <w:bCs/>
              <w:szCs w:val="28"/>
              <w:lang w:val="en-US" w:eastAsia="zh-CN" w:bidi="ar-SA"/>
            </w:rPr>
            <w:t>23.</w:t>
          </w:r>
          <w:r>
            <w:rPr>
              <w:rFonts w:hint="eastAsia" w:ascii="宋体" w:hAnsi="宋体" w:eastAsia="宋体" w:cs="宋体"/>
              <w:bCs/>
              <w:szCs w:val="28"/>
              <w:lang w:val="en-US" w:eastAsia="en-US" w:bidi="ar-SA"/>
            </w:rPr>
            <w:t>显示器</w:t>
          </w:r>
          <w:r>
            <w:tab/>
          </w:r>
          <w:r>
            <w:fldChar w:fldCharType="begin"/>
          </w:r>
          <w:r>
            <w:instrText xml:space="preserve"> PAGEREF _Toc638 \h </w:instrText>
          </w:r>
          <w:r>
            <w:fldChar w:fldCharType="separate"/>
          </w:r>
          <w:r>
            <w:t>31</w:t>
          </w:r>
          <w:r>
            <w:fldChar w:fldCharType="end"/>
          </w:r>
          <w:r>
            <w:fldChar w:fldCharType="end"/>
          </w:r>
        </w:p>
        <w:p w14:paraId="161BBDAE">
          <w:pPr>
            <w:pStyle w:val="12"/>
            <w:tabs>
              <w:tab w:val="right" w:leader="dot" w:pos="8306"/>
            </w:tabs>
            <w:spacing w:line="360" w:lineRule="auto"/>
          </w:pPr>
          <w:r>
            <w:fldChar w:fldCharType="begin"/>
          </w:r>
          <w:r>
            <w:instrText xml:space="preserve"> HYPERLINK \l _Toc13902 </w:instrText>
          </w:r>
          <w:r>
            <w:fldChar w:fldCharType="separate"/>
          </w:r>
          <w:r>
            <w:rPr>
              <w:rFonts w:hint="eastAsia" w:cs="宋体"/>
              <w:bCs/>
              <w:szCs w:val="28"/>
              <w:lang w:val="en-US" w:eastAsia="zh-CN" w:bidi="ar-SA"/>
            </w:rPr>
            <w:t>24.</w:t>
          </w:r>
          <w:r>
            <w:rPr>
              <w:rFonts w:hint="eastAsia" w:cs="宋体"/>
              <w:bCs/>
              <w:szCs w:val="28"/>
              <w:lang w:val="en-US" w:eastAsia="en-US" w:bidi="ar-SA"/>
            </w:rPr>
            <w:t>采集卡</w:t>
          </w:r>
          <w:r>
            <w:tab/>
          </w:r>
          <w:r>
            <w:fldChar w:fldCharType="begin"/>
          </w:r>
          <w:r>
            <w:instrText xml:space="preserve"> PAGEREF _Toc13902 \h </w:instrText>
          </w:r>
          <w:r>
            <w:fldChar w:fldCharType="separate"/>
          </w:r>
          <w:r>
            <w:t>31</w:t>
          </w:r>
          <w:r>
            <w:fldChar w:fldCharType="end"/>
          </w:r>
          <w:r>
            <w:fldChar w:fldCharType="end"/>
          </w:r>
        </w:p>
        <w:p w14:paraId="3370D897">
          <w:pPr>
            <w:pStyle w:val="12"/>
            <w:tabs>
              <w:tab w:val="right" w:leader="dot" w:pos="8306"/>
            </w:tabs>
            <w:spacing w:line="360" w:lineRule="auto"/>
          </w:pPr>
          <w:r>
            <w:fldChar w:fldCharType="begin"/>
          </w:r>
          <w:r>
            <w:instrText xml:space="preserve"> HYPERLINK \l _Toc23833 </w:instrText>
          </w:r>
          <w:r>
            <w:fldChar w:fldCharType="separate"/>
          </w:r>
          <w:r>
            <w:rPr>
              <w:rFonts w:hint="eastAsia" w:cs="宋体"/>
              <w:bCs/>
              <w:szCs w:val="28"/>
              <w:lang w:val="en-US" w:eastAsia="zh-CN" w:bidi="ar-SA"/>
            </w:rPr>
            <w:t>25.</w:t>
          </w:r>
          <w:r>
            <w:rPr>
              <w:rFonts w:hint="eastAsia" w:cs="宋体"/>
              <w:bCs/>
              <w:szCs w:val="28"/>
              <w:lang w:val="en-US" w:eastAsia="en-US" w:bidi="ar-SA"/>
            </w:rPr>
            <w:t>身份证读卡器</w:t>
          </w:r>
          <w:r>
            <w:tab/>
          </w:r>
          <w:r>
            <w:fldChar w:fldCharType="begin"/>
          </w:r>
          <w:r>
            <w:instrText xml:space="preserve"> PAGEREF _Toc23833 \h </w:instrText>
          </w:r>
          <w:r>
            <w:fldChar w:fldCharType="separate"/>
          </w:r>
          <w:r>
            <w:t>31</w:t>
          </w:r>
          <w:r>
            <w:fldChar w:fldCharType="end"/>
          </w:r>
          <w:r>
            <w:fldChar w:fldCharType="end"/>
          </w:r>
        </w:p>
        <w:p w14:paraId="0BEA81B4">
          <w:pPr>
            <w:pStyle w:val="12"/>
            <w:tabs>
              <w:tab w:val="right" w:leader="dot" w:pos="8306"/>
            </w:tabs>
            <w:spacing w:line="360" w:lineRule="auto"/>
          </w:pPr>
          <w:r>
            <w:fldChar w:fldCharType="begin"/>
          </w:r>
          <w:r>
            <w:instrText xml:space="preserve"> HYPERLINK \l _Toc25332 </w:instrText>
          </w:r>
          <w:r>
            <w:fldChar w:fldCharType="separate"/>
          </w:r>
          <w:r>
            <w:rPr>
              <w:rFonts w:hint="eastAsia" w:cs="宋体"/>
              <w:bCs/>
              <w:szCs w:val="28"/>
              <w:lang w:val="en-US" w:eastAsia="zh-CN" w:bidi="ar-SA"/>
            </w:rPr>
            <w:t>26.</w:t>
          </w:r>
          <w:r>
            <w:rPr>
              <w:rFonts w:hint="eastAsia" w:cs="宋体"/>
              <w:bCs/>
              <w:szCs w:val="28"/>
              <w:lang w:val="en-US" w:eastAsia="en-US" w:bidi="ar-SA"/>
            </w:rPr>
            <w:t>扫码敦</w:t>
          </w:r>
          <w:r>
            <w:tab/>
          </w:r>
          <w:r>
            <w:fldChar w:fldCharType="begin"/>
          </w:r>
          <w:r>
            <w:instrText xml:space="preserve"> PAGEREF _Toc25332 \h </w:instrText>
          </w:r>
          <w:r>
            <w:fldChar w:fldCharType="separate"/>
          </w:r>
          <w:r>
            <w:t>32</w:t>
          </w:r>
          <w:r>
            <w:fldChar w:fldCharType="end"/>
          </w:r>
          <w:r>
            <w:fldChar w:fldCharType="end"/>
          </w:r>
        </w:p>
        <w:p w14:paraId="301C0A1F">
          <w:pPr>
            <w:pStyle w:val="12"/>
            <w:tabs>
              <w:tab w:val="right" w:leader="dot" w:pos="8306"/>
            </w:tabs>
            <w:spacing w:line="360" w:lineRule="auto"/>
          </w:pPr>
          <w:r>
            <w:fldChar w:fldCharType="begin"/>
          </w:r>
          <w:r>
            <w:instrText xml:space="preserve"> HYPERLINK \l _Toc24538 </w:instrText>
          </w:r>
          <w:r>
            <w:fldChar w:fldCharType="separate"/>
          </w:r>
          <w:r>
            <w:rPr>
              <w:rFonts w:hint="eastAsia" w:cs="宋体"/>
              <w:bCs/>
              <w:szCs w:val="28"/>
              <w:lang w:val="en-US" w:eastAsia="zh-CN" w:bidi="ar-SA"/>
            </w:rPr>
            <w:t>27.</w:t>
          </w:r>
          <w:r>
            <w:rPr>
              <w:rFonts w:hint="eastAsia" w:cs="宋体"/>
              <w:bCs/>
              <w:szCs w:val="28"/>
              <w:lang w:val="en-US" w:eastAsia="en-US" w:bidi="ar-SA"/>
            </w:rPr>
            <w:t>5G路由器</w:t>
          </w:r>
          <w:r>
            <w:tab/>
          </w:r>
          <w:r>
            <w:fldChar w:fldCharType="begin"/>
          </w:r>
          <w:r>
            <w:instrText xml:space="preserve"> PAGEREF _Toc24538 \h </w:instrText>
          </w:r>
          <w:r>
            <w:fldChar w:fldCharType="separate"/>
          </w:r>
          <w:r>
            <w:t>32</w:t>
          </w:r>
          <w:r>
            <w:fldChar w:fldCharType="end"/>
          </w:r>
          <w:r>
            <w:fldChar w:fldCharType="end"/>
          </w:r>
        </w:p>
        <w:p w14:paraId="75F9CDC9">
          <w:pPr>
            <w:pStyle w:val="12"/>
            <w:tabs>
              <w:tab w:val="right" w:leader="dot" w:pos="8306"/>
            </w:tabs>
            <w:spacing w:line="360" w:lineRule="auto"/>
          </w:pPr>
          <w:r>
            <w:fldChar w:fldCharType="begin"/>
          </w:r>
          <w:r>
            <w:instrText xml:space="preserve"> HYPERLINK \l _Toc1586 </w:instrText>
          </w:r>
          <w:r>
            <w:fldChar w:fldCharType="separate"/>
          </w:r>
          <w:r>
            <w:rPr>
              <w:rFonts w:hint="eastAsia" w:cs="宋体"/>
              <w:bCs/>
              <w:szCs w:val="28"/>
              <w:lang w:val="en-US" w:eastAsia="zh-CN" w:bidi="ar-SA"/>
            </w:rPr>
            <w:t>28.</w:t>
          </w:r>
          <w:r>
            <w:rPr>
              <w:rFonts w:hint="eastAsia" w:cs="宋体"/>
              <w:bCs/>
              <w:szCs w:val="28"/>
              <w:lang w:val="en-US" w:eastAsia="en-US" w:bidi="ar-SA"/>
            </w:rPr>
            <w:t>电视机</w:t>
          </w:r>
          <w:r>
            <w:tab/>
          </w:r>
          <w:r>
            <w:fldChar w:fldCharType="begin"/>
          </w:r>
          <w:r>
            <w:instrText xml:space="preserve"> PAGEREF _Toc1586 \h </w:instrText>
          </w:r>
          <w:r>
            <w:fldChar w:fldCharType="separate"/>
          </w:r>
          <w:r>
            <w:t>32</w:t>
          </w:r>
          <w:r>
            <w:fldChar w:fldCharType="end"/>
          </w:r>
          <w:r>
            <w:fldChar w:fldCharType="end"/>
          </w:r>
        </w:p>
        <w:p w14:paraId="557FF0A4">
          <w:pPr>
            <w:pStyle w:val="12"/>
            <w:tabs>
              <w:tab w:val="right" w:leader="dot" w:pos="8306"/>
            </w:tabs>
            <w:spacing w:line="360" w:lineRule="auto"/>
          </w:pPr>
          <w:r>
            <w:fldChar w:fldCharType="begin"/>
          </w:r>
          <w:r>
            <w:instrText xml:space="preserve"> HYPERLINK \l _Toc8893 </w:instrText>
          </w:r>
          <w:r>
            <w:fldChar w:fldCharType="separate"/>
          </w:r>
          <w:r>
            <w:rPr>
              <w:rFonts w:hint="eastAsia" w:cs="宋体"/>
              <w:bCs/>
              <w:szCs w:val="28"/>
              <w:lang w:val="en-US" w:eastAsia="zh-CN" w:bidi="ar-SA"/>
            </w:rPr>
            <w:t>29.</w:t>
          </w:r>
          <w:r>
            <w:rPr>
              <w:rFonts w:hint="eastAsia" w:cs="宋体"/>
              <w:bCs/>
              <w:szCs w:val="28"/>
              <w:lang w:val="en-US" w:eastAsia="en-US" w:bidi="ar-SA"/>
            </w:rPr>
            <w:t>视频设备</w:t>
          </w:r>
          <w:r>
            <w:tab/>
          </w:r>
          <w:r>
            <w:fldChar w:fldCharType="begin"/>
          </w:r>
          <w:r>
            <w:instrText xml:space="preserve"> PAGEREF _Toc8893 \h </w:instrText>
          </w:r>
          <w:r>
            <w:fldChar w:fldCharType="separate"/>
          </w:r>
          <w:r>
            <w:t>32</w:t>
          </w:r>
          <w:r>
            <w:fldChar w:fldCharType="end"/>
          </w:r>
          <w:r>
            <w:fldChar w:fldCharType="end"/>
          </w:r>
        </w:p>
        <w:p w14:paraId="6A47C413">
          <w:pPr>
            <w:pStyle w:val="12"/>
            <w:tabs>
              <w:tab w:val="right" w:leader="dot" w:pos="8306"/>
            </w:tabs>
            <w:spacing w:line="360" w:lineRule="auto"/>
          </w:pPr>
          <w:r>
            <w:fldChar w:fldCharType="begin"/>
          </w:r>
          <w:r>
            <w:instrText xml:space="preserve"> HYPERLINK \l _Toc10838 </w:instrText>
          </w:r>
          <w:r>
            <w:fldChar w:fldCharType="separate"/>
          </w:r>
          <w:r>
            <w:rPr>
              <w:rFonts w:hint="eastAsia" w:cs="宋体"/>
              <w:bCs/>
              <w:szCs w:val="28"/>
              <w:lang w:val="en-US" w:eastAsia="zh-CN" w:bidi="ar-SA"/>
            </w:rPr>
            <w:t>30.</w:t>
          </w:r>
          <w:r>
            <w:rPr>
              <w:rFonts w:hint="eastAsia" w:cs="宋体"/>
              <w:bCs/>
              <w:szCs w:val="28"/>
              <w:lang w:val="en-US" w:eastAsia="en-US" w:bidi="ar-SA"/>
            </w:rPr>
            <w:t>数据专线</w:t>
          </w:r>
          <w:r>
            <w:tab/>
          </w:r>
          <w:r>
            <w:fldChar w:fldCharType="begin"/>
          </w:r>
          <w:r>
            <w:instrText xml:space="preserve"> PAGEREF _Toc10838 \h </w:instrText>
          </w:r>
          <w:r>
            <w:fldChar w:fldCharType="separate"/>
          </w:r>
          <w:r>
            <w:t>34</w:t>
          </w:r>
          <w:r>
            <w:fldChar w:fldCharType="end"/>
          </w:r>
          <w:r>
            <w:fldChar w:fldCharType="end"/>
          </w:r>
        </w:p>
        <w:p w14:paraId="06070647">
          <w:pPr>
            <w:pStyle w:val="12"/>
            <w:tabs>
              <w:tab w:val="right" w:leader="dot" w:pos="8306"/>
            </w:tabs>
            <w:spacing w:line="360" w:lineRule="auto"/>
          </w:pPr>
          <w:r>
            <w:fldChar w:fldCharType="begin"/>
          </w:r>
          <w:r>
            <w:instrText xml:space="preserve"> HYPERLINK \l _Toc6157 </w:instrText>
          </w:r>
          <w:r>
            <w:fldChar w:fldCharType="separate"/>
          </w:r>
          <w:r>
            <w:rPr>
              <w:rFonts w:hint="eastAsia" w:cs="宋体"/>
              <w:bCs/>
              <w:szCs w:val="28"/>
              <w:lang w:val="en-US" w:eastAsia="zh-CN" w:bidi="ar-SA"/>
            </w:rPr>
            <w:t>31.</w:t>
          </w:r>
          <w:r>
            <w:rPr>
              <w:rFonts w:hint="eastAsia" w:ascii="宋体" w:hAnsi="宋体" w:eastAsia="宋体" w:cs="宋体"/>
              <w:bCs/>
              <w:szCs w:val="28"/>
              <w:lang w:val="en-US" w:eastAsia="zh-CN" w:bidi="ar-SA"/>
            </w:rPr>
            <w:t>互联网专线</w:t>
          </w:r>
          <w:r>
            <w:tab/>
          </w:r>
          <w:r>
            <w:fldChar w:fldCharType="begin"/>
          </w:r>
          <w:r>
            <w:instrText xml:space="preserve"> PAGEREF _Toc6157 \h </w:instrText>
          </w:r>
          <w:r>
            <w:fldChar w:fldCharType="separate"/>
          </w:r>
          <w:r>
            <w:t>34</w:t>
          </w:r>
          <w:r>
            <w:fldChar w:fldCharType="end"/>
          </w:r>
          <w:r>
            <w:fldChar w:fldCharType="end"/>
          </w:r>
        </w:p>
        <w:p w14:paraId="5FA4F3AB">
          <w:pPr>
            <w:rPr>
              <w:rFonts w:ascii="宋体" w:hAnsi="宋体" w:eastAsia="宋体" w:cs="宋体"/>
              <w:sz w:val="22"/>
              <w:szCs w:val="22"/>
              <w:lang w:val="en-US" w:eastAsia="en-US" w:bidi="ar-SA"/>
            </w:rPr>
          </w:pPr>
          <w:r>
            <w:fldChar w:fldCharType="end"/>
          </w:r>
        </w:p>
      </w:sdtContent>
    </w:sdt>
    <w:p w14:paraId="24AA54D9">
      <w:pPr>
        <w:rPr>
          <w:rFonts w:ascii="宋体" w:hAnsi="宋体" w:eastAsia="宋体" w:cs="宋体"/>
          <w:sz w:val="22"/>
          <w:szCs w:val="22"/>
          <w:lang w:val="en-US" w:eastAsia="en-US" w:bidi="ar-SA"/>
        </w:rPr>
      </w:pPr>
    </w:p>
    <w:p w14:paraId="7967252C"/>
    <w:p w14:paraId="1ACE6DED"/>
    <w:p w14:paraId="1637C5D0"/>
    <w:p w14:paraId="78EFC791"/>
    <w:p w14:paraId="1808303A"/>
    <w:p w14:paraId="4280ABB1"/>
    <w:p w14:paraId="24363DAE">
      <w:pPr>
        <w:tabs>
          <w:tab w:val="left" w:pos="5288"/>
        </w:tabs>
        <w:rPr>
          <w:rFonts w:hint="eastAsia" w:eastAsia="宋体"/>
          <w:lang w:eastAsia="zh-CN"/>
        </w:rPr>
      </w:pPr>
      <w:r>
        <w:rPr>
          <w:rFonts w:hint="eastAsia"/>
          <w:lang w:eastAsia="zh-CN"/>
        </w:rPr>
        <w:tab/>
      </w:r>
    </w:p>
    <w:p w14:paraId="6988DB0F"/>
    <w:p w14:paraId="6A099F83"/>
    <w:p w14:paraId="0BE633B6"/>
    <w:p w14:paraId="6F69E5EA"/>
    <w:p w14:paraId="5BDC7C67"/>
    <w:p w14:paraId="76C89EC0"/>
    <w:p w14:paraId="42CD4723"/>
    <w:p w14:paraId="67EF2C37"/>
    <w:p w14:paraId="38DCBDBC"/>
    <w:p w14:paraId="67ED0CDF"/>
    <w:p w14:paraId="49C1AC0E"/>
    <w:p w14:paraId="72707D2B"/>
    <w:p w14:paraId="70E0A4B5"/>
    <w:p w14:paraId="1F4315A2"/>
    <w:p w14:paraId="545C1602"/>
    <w:p w14:paraId="1D9BC06F"/>
    <w:p w14:paraId="7124073C"/>
    <w:p w14:paraId="6A43DF85"/>
    <w:p w14:paraId="57FCAAD8"/>
    <w:p w14:paraId="50E80142"/>
    <w:p w14:paraId="1208704C"/>
    <w:p w14:paraId="44089633"/>
    <w:p w14:paraId="51FDBBB0"/>
    <w:p w14:paraId="1BD53CD8"/>
    <w:p w14:paraId="31D792A4"/>
    <w:p w14:paraId="010FAD33">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eastAsia" w:cs="宋体"/>
          <w:b/>
          <w:bCs/>
          <w:sz w:val="24"/>
          <w:szCs w:val="24"/>
          <w:lang w:val="en-US" w:eastAsia="zh-CN"/>
        </w:rPr>
        <w:sectPr>
          <w:footerReference r:id="rId4" w:type="default"/>
          <w:pgSz w:w="11906" w:h="16838"/>
          <w:pgMar w:top="1440" w:right="1800" w:bottom="1440" w:left="1800" w:header="1134" w:footer="992" w:gutter="0"/>
          <w:pgNumType w:fmt="decimal" w:start="1"/>
          <w:cols w:space="425" w:num="1"/>
          <w:docGrid w:type="lines" w:linePitch="312" w:charSpace="0"/>
        </w:sectPr>
      </w:pPr>
    </w:p>
    <w:p w14:paraId="4EEB929A">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eastAsia" w:cs="宋体"/>
          <w:b/>
          <w:bCs/>
          <w:sz w:val="24"/>
          <w:szCs w:val="24"/>
          <w:lang w:val="en-US" w:eastAsia="zh-CN"/>
        </w:rPr>
      </w:pPr>
      <w:bookmarkStart w:id="4" w:name="_Toc1915"/>
      <w:r>
        <w:rPr>
          <w:rFonts w:hint="eastAsia" w:cs="宋体"/>
          <w:b/>
          <w:bCs/>
          <w:sz w:val="24"/>
          <w:szCs w:val="24"/>
          <w:lang w:val="en-US" w:eastAsia="zh-CN"/>
        </w:rPr>
        <w:t>一、项目背景和目标</w:t>
      </w:r>
      <w:bookmarkEnd w:id="4"/>
    </w:p>
    <w:p w14:paraId="6590F03C">
      <w:pPr>
        <w:numPr>
          <w:ilvl w:val="0"/>
          <w:numId w:val="0"/>
        </w:numPr>
        <w:spacing w:line="360" w:lineRule="auto"/>
        <w:ind w:firstLine="480" w:firstLineChars="200"/>
        <w:rPr>
          <w:rFonts w:hint="default"/>
          <w:sz w:val="24"/>
          <w:szCs w:val="24"/>
          <w:lang w:val="en-US" w:eastAsia="zh-CN"/>
        </w:rPr>
      </w:pPr>
      <w:r>
        <w:rPr>
          <w:rFonts w:hint="default"/>
          <w:sz w:val="24"/>
          <w:szCs w:val="24"/>
          <w:lang w:val="en-US" w:eastAsia="zh-CN"/>
        </w:rPr>
        <w:t>本项目为元宝山区紧密型县域医共体二期建设的技术实施方案，旨在通过对医共体信息化系统的升级、扩容与协同改造，强化医共体内医疗资源整合与数据共享能力，支撑基础医疗管理、区域医疗服务、公共卫生协同、便民惠民服务等核心业务的高效运行，最终实现医共体“管理一体化、服务同质化、信息互联互通”的建设目标。</w:t>
      </w:r>
    </w:p>
    <w:p w14:paraId="308AE413">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eastAsia"/>
          <w:sz w:val="24"/>
          <w:szCs w:val="24"/>
          <w:lang w:val="en-US" w:eastAsia="zh-CN"/>
        </w:rPr>
      </w:pPr>
      <w:bookmarkStart w:id="5" w:name="_Toc29246"/>
      <w:r>
        <w:rPr>
          <w:rFonts w:hint="eastAsia" w:cs="宋体"/>
          <w:b/>
          <w:bCs/>
          <w:sz w:val="24"/>
          <w:szCs w:val="24"/>
          <w:lang w:val="en-US" w:eastAsia="zh-CN"/>
        </w:rPr>
        <w:t>二、</w:t>
      </w:r>
      <w:r>
        <w:rPr>
          <w:rFonts w:hint="default" w:cs="宋体"/>
          <w:b/>
          <w:bCs/>
          <w:sz w:val="24"/>
          <w:szCs w:val="24"/>
          <w:lang w:val="en-US" w:eastAsia="zh-CN"/>
        </w:rPr>
        <w:t>建设内容</w:t>
      </w:r>
      <w:r>
        <w:rPr>
          <w:rFonts w:hint="eastAsia" w:cs="宋体"/>
          <w:b/>
          <w:bCs/>
          <w:sz w:val="24"/>
          <w:szCs w:val="24"/>
          <w:lang w:val="en-US" w:eastAsia="zh-CN"/>
        </w:rPr>
        <w:t>清单</w:t>
      </w:r>
      <w:bookmarkEnd w:id="5"/>
    </w:p>
    <w:tbl>
      <w:tblPr>
        <w:tblStyle w:val="14"/>
        <w:tblW w:w="82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7"/>
        <w:gridCol w:w="1907"/>
        <w:gridCol w:w="2456"/>
        <w:gridCol w:w="1152"/>
        <w:gridCol w:w="994"/>
        <w:gridCol w:w="938"/>
      </w:tblGrid>
      <w:tr w14:paraId="42AEF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BF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A5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B4F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小项</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BD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技术方案和参数</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06A7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93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40DCC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13E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BD3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基础医疗卫生综合管理</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4C4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443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见第三节主要技术方案和参数</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1B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CA9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4FA57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584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70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区域医疗服务系统应用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E9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1C0A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E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500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709B4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0E8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FC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基层LIS系统</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8AC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C6ECD">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90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09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2D687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04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DC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便民惠民服务系统应用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66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91BC4">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87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F7F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2BCB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A1D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00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公共卫生服务协同应用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AC8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940C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18C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755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47228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D73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5F7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公卫体检信息系统</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0B4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EC4B1">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47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24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7874B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AF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8B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妇产医院业务协同</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10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6D2CC">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AE3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618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2FA42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2DE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E86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网络数据灾备软件</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EB0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A0DC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27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F78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43D3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76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1DF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内外网文件摆渡软件</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923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70440">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C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9CD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7704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2C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34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防火墙扩展卡</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F79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9288D">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8B2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F45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块</w:t>
            </w:r>
          </w:p>
        </w:tc>
      </w:tr>
      <w:tr w14:paraId="2D65A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6FD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D7D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云桌面服务器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3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SSD硬盘</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FE35A">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CD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A8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块</w:t>
            </w:r>
          </w:p>
        </w:tc>
      </w:tr>
      <w:tr w14:paraId="35CA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DC78A">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96F7">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CC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内存条</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2441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8E2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F4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r w14:paraId="77C3F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0E5A">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028F">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C6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云桌面VOI授权</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23AA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CAB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5A0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点</w:t>
            </w:r>
          </w:p>
        </w:tc>
      </w:tr>
      <w:tr w14:paraId="6447D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D0CC">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6EF7">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44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云桌面VDI授权</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A971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626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F7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点</w:t>
            </w:r>
          </w:p>
        </w:tc>
      </w:tr>
      <w:tr w14:paraId="559E4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BB40D">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BBED3">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C7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终端安全管理系统</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DAA50">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0D0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58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点</w:t>
            </w:r>
          </w:p>
        </w:tc>
      </w:tr>
      <w:tr w14:paraId="7D56A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E7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26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汇聚防火墙</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17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66394">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05D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DA4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605E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A5F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02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接入交换机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EC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E412D">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013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869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C9F1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43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55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灾备服务器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7C0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3E867">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D0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DD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7D688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77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54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文件中转摆渡服务器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8EE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5B96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1F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6B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3AA56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79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35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身高体重仪</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12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4580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4F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6D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187DA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9D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42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电子血压仪</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5CE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01E3C">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BD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54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04700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03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CAC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心电图机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34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B85A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00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FB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3433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E56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56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激光打印机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F96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B908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0CA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F03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1438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851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CC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热敏打印机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772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9F44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98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41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DB6D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63B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04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云电脑</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C78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5F90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66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15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7EF61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484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675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体检工作站</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09E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8041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3A7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8E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22263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CE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9E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显示器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05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AB059">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6A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29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3B42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B93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56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采集卡</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D7E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D92A2">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F39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BB5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块</w:t>
            </w:r>
          </w:p>
        </w:tc>
      </w:tr>
      <w:tr w14:paraId="6D169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622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998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身份证读卡器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321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6AC82">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426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71B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r>
      <w:tr w14:paraId="2519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F0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26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扫码敦</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632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2DC81">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A3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4C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r>
      <w:tr w14:paraId="7812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87D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187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5G路由器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09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D085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EF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6D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r>
      <w:tr w14:paraId="113C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C3D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F86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电视机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CB4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8C466">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65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FF9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61C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7FA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28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视频设备</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05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A064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8F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361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r>
      <w:tr w14:paraId="02772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91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36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数据专线</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B8A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基层卫生院到牵头医院</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7A0F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74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9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r w14:paraId="61255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740">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A17A3">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5B6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牵头医院到赤峰卫健委指定机房</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D39C6">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E8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5A8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r w14:paraId="7E47B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E0D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1D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互联网专线</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EF9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8A0A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F22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779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bl>
    <w:p w14:paraId="5E242645">
      <w:pPr>
        <w:numPr>
          <w:ilvl w:val="0"/>
          <w:numId w:val="0"/>
        </w:numPr>
        <w:spacing w:line="360" w:lineRule="auto"/>
        <w:rPr>
          <w:rFonts w:hint="eastAsia"/>
          <w:sz w:val="24"/>
          <w:szCs w:val="24"/>
          <w:lang w:val="en-US" w:eastAsia="zh-CN"/>
        </w:rPr>
      </w:pPr>
    </w:p>
    <w:p w14:paraId="3D35BC75">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default" w:cs="宋体"/>
          <w:b/>
          <w:bCs/>
          <w:sz w:val="24"/>
          <w:szCs w:val="24"/>
          <w:lang w:val="en-US" w:eastAsia="zh-CN"/>
        </w:rPr>
      </w:pPr>
      <w:bookmarkStart w:id="6" w:name="_Toc10075"/>
      <w:r>
        <w:rPr>
          <w:rFonts w:hint="eastAsia" w:cs="宋体"/>
          <w:b/>
          <w:bCs/>
          <w:sz w:val="24"/>
          <w:szCs w:val="24"/>
          <w:lang w:val="en-US" w:eastAsia="zh-CN"/>
        </w:rPr>
        <w:t>三、主要技术方案和参数</w:t>
      </w:r>
      <w:bookmarkEnd w:id="6"/>
    </w:p>
    <w:p w14:paraId="24A5E219">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1"/>
        <w:rPr>
          <w:rFonts w:hint="eastAsia"/>
          <w:b/>
          <w:bCs/>
          <w:sz w:val="24"/>
          <w:szCs w:val="24"/>
          <w:lang w:val="en-US" w:eastAsia="zh-CN"/>
        </w:rPr>
      </w:pPr>
      <w:bookmarkStart w:id="7" w:name="_Toc11651"/>
      <w:r>
        <w:rPr>
          <w:rFonts w:hint="eastAsia"/>
          <w:b/>
          <w:bCs/>
          <w:sz w:val="24"/>
          <w:szCs w:val="24"/>
          <w:lang w:val="en-US" w:eastAsia="zh-CN"/>
        </w:rPr>
        <w:t>1.基础医疗卫生综合管理</w:t>
      </w:r>
      <w:bookmarkEnd w:id="7"/>
    </w:p>
    <w:p w14:paraId="157DB3CD">
      <w:pPr>
        <w:adjustRightInd w:val="0"/>
        <w:snapToGrid w:val="0"/>
        <w:spacing w:line="360" w:lineRule="auto"/>
        <w:ind w:firstLine="480" w:firstLineChars="200"/>
        <w:jc w:val="left"/>
        <w:rPr>
          <w:rFonts w:hint="eastAsia" w:ascii="宋体" w:hAnsi="宋体"/>
          <w:sz w:val="24"/>
          <w:szCs w:val="24"/>
        </w:rPr>
      </w:pPr>
      <w:r>
        <w:rPr>
          <w:rFonts w:hint="eastAsia" w:ascii="宋体" w:hAnsi="宋体"/>
          <w:sz w:val="24"/>
          <w:szCs w:val="24"/>
        </w:rPr>
        <w:t>整体技术要求：</w:t>
      </w:r>
    </w:p>
    <w:p w14:paraId="75105E6C">
      <w:pPr>
        <w:numPr>
          <w:ilvl w:val="0"/>
          <w:numId w:val="0"/>
        </w:numPr>
        <w:adjustRightInd w:val="0"/>
        <w:snapToGrid w:val="0"/>
        <w:spacing w:line="360" w:lineRule="auto"/>
        <w:ind w:firstLine="480" w:firstLineChars="200"/>
        <w:jc w:val="left"/>
        <w:rPr>
          <w:rFonts w:hint="eastAsia" w:ascii="宋体" w:hAnsi="宋体"/>
          <w:sz w:val="24"/>
          <w:szCs w:val="24"/>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ascii="宋体" w:hAnsi="宋体"/>
          <w:sz w:val="24"/>
          <w:szCs w:val="24"/>
        </w:rPr>
        <w:t>须提供完成数据采集规则和数据标准并协助现有各类应用软件采集数据及接口改造服务。</w:t>
      </w:r>
    </w:p>
    <w:p w14:paraId="28EDB7D9">
      <w:pPr>
        <w:numPr>
          <w:ilvl w:val="0"/>
          <w:numId w:val="0"/>
        </w:numPr>
        <w:adjustRightInd w:val="0"/>
        <w:snapToGrid w:val="0"/>
        <w:spacing w:line="360" w:lineRule="auto"/>
        <w:jc w:val="left"/>
        <w:rPr>
          <w:rFonts w:hint="default" w:ascii="宋体" w:hAnsi="宋体"/>
          <w:sz w:val="24"/>
          <w:szCs w:val="24"/>
          <w:lang w:val="en-US" w:eastAsia="zh-CN"/>
        </w:rPr>
      </w:pPr>
      <w:r>
        <w:rPr>
          <w:rFonts w:hint="eastAsia" w:ascii="宋体" w:hAnsi="宋体"/>
          <w:sz w:val="24"/>
          <w:szCs w:val="24"/>
          <w:lang w:val="en-US" w:eastAsia="zh-CN"/>
        </w:rPr>
        <w:t>须支持适配国产化数据库、服务器、操作系统，</w:t>
      </w:r>
      <w:r>
        <w:rPr>
          <w:rFonts w:hint="eastAsia" w:ascii="宋体" w:hAnsi="宋体"/>
          <w:sz w:val="24"/>
          <w:szCs w:val="24"/>
        </w:rPr>
        <w:t>本地私有化部署</w:t>
      </w:r>
      <w:r>
        <w:rPr>
          <w:rFonts w:hint="eastAsia" w:ascii="宋体" w:hAnsi="宋体"/>
          <w:sz w:val="24"/>
          <w:szCs w:val="24"/>
          <w:lang w:eastAsia="zh-CN"/>
        </w:rPr>
        <w:t>。</w:t>
      </w:r>
    </w:p>
    <w:p w14:paraId="319F42D8">
      <w:pPr>
        <w:numPr>
          <w:ilvl w:val="0"/>
          <w:numId w:val="0"/>
        </w:numPr>
        <w:adjustRightInd w:val="0"/>
        <w:snapToGrid w:val="0"/>
        <w:spacing w:line="360" w:lineRule="auto"/>
        <w:ind w:firstLine="480" w:firstLineChars="200"/>
        <w:jc w:val="left"/>
        <w:rPr>
          <w:rFonts w:hint="default" w:ascii="宋体" w:hAnsi="宋体"/>
          <w:sz w:val="24"/>
          <w:szCs w:val="24"/>
          <w:lang w:val="en-US" w:eastAsia="zh-CN"/>
        </w:rPr>
      </w:pPr>
      <w:r>
        <w:rPr>
          <w:rFonts w:hint="eastAsia"/>
          <w:sz w:val="24"/>
          <w:szCs w:val="24"/>
          <w:lang w:val="en-US" w:eastAsia="zh-CN"/>
        </w:rPr>
        <w:t>（2）</w:t>
      </w:r>
      <w:r>
        <w:rPr>
          <w:rFonts w:hint="eastAsia" w:ascii="宋体" w:hAnsi="宋体"/>
          <w:sz w:val="24"/>
          <w:szCs w:val="24"/>
          <w:lang w:val="en-US" w:eastAsia="zh-CN"/>
        </w:rPr>
        <w:t>须提供ETL工具</w:t>
      </w:r>
      <w:r>
        <w:rPr>
          <w:rFonts w:hint="eastAsia" w:ascii="宋体" w:hAnsi="宋体"/>
          <w:sz w:val="24"/>
          <w:szCs w:val="24"/>
        </w:rPr>
        <w:t>采集医共体现有的信息系统</w:t>
      </w:r>
      <w:r>
        <w:rPr>
          <w:rFonts w:hint="eastAsia" w:ascii="宋体" w:hAnsi="宋体"/>
          <w:sz w:val="24"/>
          <w:szCs w:val="24"/>
          <w:lang w:eastAsia="zh-CN"/>
        </w:rPr>
        <w:t>，</w:t>
      </w:r>
      <w:r>
        <w:rPr>
          <w:rFonts w:hint="eastAsia" w:ascii="宋体" w:hAnsi="宋体"/>
          <w:sz w:val="24"/>
          <w:szCs w:val="24"/>
          <w:lang w:val="en-US" w:eastAsia="zh-CN"/>
        </w:rPr>
        <w:t>包括但不限于</w:t>
      </w:r>
      <w:r>
        <w:rPr>
          <w:rFonts w:hint="eastAsia" w:ascii="宋体" w:hAnsi="宋体"/>
          <w:sz w:val="24"/>
          <w:szCs w:val="24"/>
        </w:rPr>
        <w:t>（HIS\LIS\PACS\EMR\护理\财务\人事\绩效\DIP\病案\慢病\药学\体检）、医保平台反馈数据及赤峰市全民健康管理平台等系统的数据</w:t>
      </w:r>
      <w:r>
        <w:rPr>
          <w:rFonts w:hint="eastAsia" w:ascii="宋体" w:hAnsi="宋体"/>
          <w:sz w:val="24"/>
          <w:szCs w:val="24"/>
          <w:lang w:val="en-US" w:eastAsia="zh-CN"/>
        </w:rPr>
        <w:t>及接口改造服务</w:t>
      </w:r>
      <w:r>
        <w:rPr>
          <w:rFonts w:hint="eastAsia" w:ascii="宋体" w:hAnsi="宋体"/>
          <w:sz w:val="24"/>
          <w:szCs w:val="24"/>
          <w:lang w:eastAsia="zh-CN"/>
        </w:rPr>
        <w:t>。</w:t>
      </w:r>
    </w:p>
    <w:p w14:paraId="3FEF7B3C">
      <w:pPr>
        <w:numPr>
          <w:ilvl w:val="0"/>
          <w:numId w:val="0"/>
        </w:numPr>
        <w:adjustRightInd w:val="0"/>
        <w:snapToGrid w:val="0"/>
        <w:spacing w:line="360" w:lineRule="auto"/>
        <w:ind w:leftChars="0" w:firstLine="480" w:firstLineChars="200"/>
        <w:jc w:val="left"/>
        <w:rPr>
          <w:rFonts w:hint="eastAsia" w:ascii="宋体" w:hAnsi="宋体"/>
          <w:sz w:val="24"/>
          <w:szCs w:val="24"/>
        </w:rPr>
      </w:pPr>
      <w:r>
        <w:rPr>
          <w:rFonts w:hint="eastAsia"/>
          <w:sz w:val="24"/>
          <w:szCs w:val="24"/>
          <w:lang w:val="en-US" w:eastAsia="zh-CN"/>
        </w:rPr>
        <w:t>（3）</w:t>
      </w:r>
      <w:r>
        <w:rPr>
          <w:rFonts w:hint="eastAsia" w:ascii="宋体" w:hAnsi="宋体"/>
          <w:sz w:val="24"/>
          <w:szCs w:val="24"/>
          <w:lang w:val="en-US" w:eastAsia="zh-CN"/>
        </w:rPr>
        <w:t>★须支持</w:t>
      </w:r>
      <w:r>
        <w:rPr>
          <w:rFonts w:hint="eastAsia" w:ascii="宋体" w:hAnsi="宋体"/>
          <w:sz w:val="24"/>
          <w:szCs w:val="24"/>
        </w:rPr>
        <w:t>一数多屏动态展示（PC电脑屏、电视大屏和移动手机屏</w:t>
      </w:r>
      <w:r>
        <w:rPr>
          <w:rFonts w:hint="eastAsia" w:ascii="宋体" w:hAnsi="宋体"/>
          <w:sz w:val="24"/>
          <w:szCs w:val="24"/>
          <w:lang w:val="en-US" w:eastAsia="zh-CN"/>
        </w:rPr>
        <w:t>(微信小程序或H5页面）</w:t>
      </w:r>
      <w:r>
        <w:rPr>
          <w:rFonts w:hint="eastAsia" w:ascii="宋体" w:hAnsi="宋体"/>
          <w:sz w:val="24"/>
          <w:szCs w:val="24"/>
        </w:rPr>
        <w:t>），实现数据实时可视化监管。</w:t>
      </w:r>
    </w:p>
    <w:p w14:paraId="16DCA18F">
      <w:pPr>
        <w:numPr>
          <w:ilvl w:val="0"/>
          <w:numId w:val="0"/>
        </w:numPr>
        <w:adjustRightInd w:val="0"/>
        <w:snapToGrid w:val="0"/>
        <w:spacing w:line="360" w:lineRule="auto"/>
        <w:ind w:leftChars="0" w:firstLine="480" w:firstLineChars="200"/>
        <w:jc w:val="left"/>
        <w:rPr>
          <w:rFonts w:ascii="宋体" w:hAnsi="宋体"/>
          <w:sz w:val="24"/>
          <w:szCs w:val="24"/>
        </w:rPr>
      </w:pPr>
      <w:r>
        <w:rPr>
          <w:rFonts w:hint="eastAsia"/>
          <w:sz w:val="24"/>
          <w:szCs w:val="24"/>
          <w:lang w:val="en-US" w:eastAsia="zh-CN"/>
        </w:rPr>
        <w:t>（4）</w:t>
      </w:r>
      <w:r>
        <w:rPr>
          <w:rFonts w:hint="eastAsia" w:ascii="宋体" w:hAnsi="宋体"/>
          <w:sz w:val="24"/>
          <w:szCs w:val="24"/>
          <w:lang w:val="en-US" w:eastAsia="zh-CN"/>
        </w:rPr>
        <w:t>须支持数据分级分权查看，</w:t>
      </w:r>
      <w:r>
        <w:rPr>
          <w:rFonts w:hint="eastAsia" w:ascii="宋体" w:hAnsi="宋体"/>
          <w:sz w:val="24"/>
          <w:szCs w:val="24"/>
        </w:rPr>
        <w:t>数据展示</w:t>
      </w:r>
      <w:r>
        <w:rPr>
          <w:rFonts w:hint="eastAsia" w:ascii="宋体" w:hAnsi="宋体"/>
          <w:sz w:val="24"/>
          <w:szCs w:val="24"/>
          <w:lang w:eastAsia="zh-CN"/>
        </w:rPr>
        <w:t>、</w:t>
      </w:r>
      <w:r>
        <w:rPr>
          <w:rFonts w:hint="eastAsia" w:ascii="宋体" w:hAnsi="宋体"/>
          <w:sz w:val="24"/>
          <w:szCs w:val="24"/>
        </w:rPr>
        <w:t>数据下钻、分析、数据目标设定与管理等功能</w:t>
      </w:r>
      <w:r>
        <w:rPr>
          <w:rFonts w:hint="eastAsia" w:ascii="宋体" w:hAnsi="宋体"/>
          <w:sz w:val="24"/>
          <w:szCs w:val="24"/>
          <w:lang w:eastAsia="zh-CN"/>
        </w:rPr>
        <w:t>，</w:t>
      </w:r>
      <w:r>
        <w:rPr>
          <w:rFonts w:hint="eastAsia" w:ascii="宋体" w:hAnsi="宋体"/>
          <w:sz w:val="24"/>
          <w:szCs w:val="24"/>
          <w:lang w:val="en-US" w:eastAsia="zh-CN"/>
        </w:rPr>
        <w:t>要求不限制用户数量</w:t>
      </w:r>
      <w:r>
        <w:rPr>
          <w:rFonts w:hint="eastAsia" w:ascii="宋体" w:hAnsi="宋体"/>
          <w:sz w:val="24"/>
          <w:szCs w:val="24"/>
          <w:lang w:eastAsia="zh-CN"/>
        </w:rPr>
        <w:t>。</w:t>
      </w:r>
    </w:p>
    <w:p w14:paraId="52B87CF3">
      <w:pPr>
        <w:numPr>
          <w:ilvl w:val="0"/>
          <w:numId w:val="0"/>
        </w:numPr>
        <w:adjustRightInd w:val="0"/>
        <w:snapToGrid w:val="0"/>
        <w:spacing w:line="360" w:lineRule="auto"/>
        <w:ind w:leftChars="0" w:firstLine="480" w:firstLineChars="200"/>
        <w:jc w:val="left"/>
        <w:rPr>
          <w:rFonts w:ascii="宋体" w:hAnsi="宋体"/>
          <w:sz w:val="24"/>
          <w:szCs w:val="24"/>
        </w:rPr>
      </w:pPr>
      <w:r>
        <w:rPr>
          <w:rFonts w:hint="eastAsia"/>
          <w:sz w:val="24"/>
          <w:szCs w:val="24"/>
          <w:lang w:val="en-US" w:eastAsia="zh-CN"/>
        </w:rPr>
        <w:t>（5）</w:t>
      </w:r>
      <w:r>
        <w:rPr>
          <w:rFonts w:hint="eastAsia" w:ascii="宋体" w:hAnsi="宋体"/>
          <w:sz w:val="24"/>
          <w:szCs w:val="24"/>
          <w:lang w:val="en-US" w:eastAsia="zh-CN"/>
        </w:rPr>
        <w:t>★须支持用户根据业务需要利用低代码工具</w:t>
      </w:r>
      <w:r>
        <w:rPr>
          <w:rFonts w:hint="eastAsia" w:ascii="宋体" w:hAnsi="宋体"/>
          <w:sz w:val="24"/>
          <w:szCs w:val="24"/>
        </w:rPr>
        <w:t>快速</w:t>
      </w:r>
      <w:r>
        <w:rPr>
          <w:rFonts w:hint="eastAsia" w:ascii="宋体" w:hAnsi="宋体"/>
          <w:sz w:val="24"/>
          <w:szCs w:val="24"/>
          <w:lang w:val="en-US" w:eastAsia="zh-CN"/>
        </w:rPr>
        <w:t>实现</w:t>
      </w:r>
      <w:r>
        <w:rPr>
          <w:rFonts w:hint="eastAsia" w:ascii="宋体" w:hAnsi="宋体"/>
          <w:sz w:val="24"/>
          <w:szCs w:val="24"/>
        </w:rPr>
        <w:t>应用</w:t>
      </w:r>
      <w:r>
        <w:rPr>
          <w:rFonts w:hint="eastAsia" w:ascii="宋体" w:hAnsi="宋体"/>
          <w:sz w:val="24"/>
          <w:szCs w:val="24"/>
          <w:lang w:val="en-US" w:eastAsia="zh-CN"/>
        </w:rPr>
        <w:t>报表及数据</w:t>
      </w:r>
      <w:r>
        <w:rPr>
          <w:rFonts w:hint="eastAsia" w:ascii="宋体" w:hAnsi="宋体"/>
          <w:sz w:val="24"/>
          <w:szCs w:val="24"/>
        </w:rPr>
        <w:t>BI开发</w:t>
      </w:r>
      <w:r>
        <w:rPr>
          <w:rFonts w:hint="eastAsia" w:ascii="宋体" w:hAnsi="宋体"/>
          <w:sz w:val="24"/>
          <w:szCs w:val="24"/>
          <w:lang w:val="en-US" w:eastAsia="zh-CN"/>
        </w:rPr>
        <w:t>展示</w:t>
      </w:r>
      <w:r>
        <w:rPr>
          <w:rFonts w:hint="eastAsia" w:ascii="宋体" w:hAnsi="宋体"/>
          <w:sz w:val="24"/>
          <w:szCs w:val="24"/>
          <w:lang w:eastAsia="zh-CN"/>
        </w:rPr>
        <w:t>，</w:t>
      </w:r>
      <w:r>
        <w:rPr>
          <w:rFonts w:hint="eastAsia" w:ascii="宋体" w:hAnsi="宋体"/>
          <w:sz w:val="24"/>
          <w:szCs w:val="24"/>
          <w:lang w:val="en-US" w:eastAsia="zh-CN"/>
        </w:rPr>
        <w:t>完成</w:t>
      </w:r>
      <w:r>
        <w:rPr>
          <w:rFonts w:hint="eastAsia" w:ascii="宋体" w:hAnsi="宋体"/>
          <w:sz w:val="24"/>
          <w:szCs w:val="24"/>
        </w:rPr>
        <w:t>数据加工、图表统计、数据大屏、数据报表和数据服务，实现业务系统功能无限自定义抽取。</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829"/>
        <w:gridCol w:w="1480"/>
        <w:gridCol w:w="4213"/>
      </w:tblGrid>
      <w:tr w14:paraId="27D1F11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90" w:hRule="atLeast"/>
          <w:tblHeader/>
          <w:jc w:val="center"/>
        </w:trPr>
        <w:tc>
          <w:tcPr>
            <w:tcW w:w="2829" w:type="dxa"/>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4A5D1A05">
            <w:pPr>
              <w:keepNext/>
              <w:widowControl/>
              <w:snapToGrid w:val="0"/>
              <w:ind w:left="0" w:leftChars="0" w:right="0" w:rightChars="0" w:firstLine="0" w:firstLineChars="0"/>
              <w:jc w:val="center"/>
              <w:textAlignment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系统</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0A8F100C">
            <w:pPr>
              <w:keepNext/>
              <w:widowControl/>
              <w:snapToGrid w:val="0"/>
              <w:ind w:left="0" w:leftChars="0" w:right="0" w:rightChars="0" w:firstLine="0" w:firstLineChars="0"/>
              <w:jc w:val="center"/>
              <w:textAlignment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子系统</w:t>
            </w:r>
          </w:p>
        </w:tc>
        <w:tc>
          <w:tcPr>
            <w:tcW w:w="4213" w:type="dxa"/>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6812C003">
            <w:pPr>
              <w:keepNext/>
              <w:widowControl/>
              <w:snapToGrid w:val="0"/>
              <w:ind w:left="0" w:leftChars="0" w:right="0" w:rightChars="0" w:firstLine="0" w:firstLineChars="0"/>
              <w:jc w:val="center"/>
              <w:textAlignment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功能说明</w:t>
            </w:r>
          </w:p>
        </w:tc>
      </w:tr>
      <w:tr w14:paraId="477F788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2392C0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医疗服务监测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09DCA96">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医疗服务利用监测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644B16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w:t>
            </w:r>
            <w:r>
              <w:rPr>
                <w:rFonts w:hint="eastAsia" w:cs="宋体"/>
                <w:sz w:val="21"/>
                <w:szCs w:val="21"/>
                <w:lang w:val="en-US" w:eastAsia="zh-CN" w:bidi="ar-SA"/>
              </w:rPr>
              <w:t>.</w:t>
            </w:r>
            <w:r>
              <w:rPr>
                <w:rFonts w:hint="eastAsia" w:ascii="宋体" w:hAnsi="宋体" w:eastAsia="宋体" w:cs="宋体"/>
                <w:sz w:val="21"/>
                <w:szCs w:val="21"/>
                <w:lang w:val="en-US" w:eastAsia="en-US" w:bidi="ar-SA"/>
              </w:rPr>
              <w:t>综合数据分析</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提供综合数据分析功能，统计县域就诊率并按照多渠道门诊预约挂号率及履约率分机构统计，在医共体内对比分析医院住院县域内流向情况和疾病谱的发病情况。</w:t>
            </w:r>
          </w:p>
          <w:p w14:paraId="36FBEE3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w:t>
            </w:r>
            <w:r>
              <w:rPr>
                <w:rFonts w:hint="eastAsia" w:cs="宋体"/>
                <w:sz w:val="21"/>
                <w:szCs w:val="21"/>
                <w:lang w:val="en-US" w:eastAsia="zh-CN" w:bidi="ar-SA"/>
              </w:rPr>
              <w:t>。</w:t>
            </w:r>
            <w:r>
              <w:rPr>
                <w:rFonts w:hint="eastAsia" w:ascii="宋体" w:hAnsi="宋体" w:eastAsia="宋体" w:cs="宋体"/>
                <w:sz w:val="21"/>
                <w:szCs w:val="21"/>
                <w:lang w:val="en-US" w:eastAsia="en-US" w:bidi="ar-SA"/>
              </w:rPr>
              <w:t>门诊数据分析</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提供门诊数据分析功能，支持统计门诊总人次、专家门诊人次、急诊总人次、检查人次、检验人次、医师日均担负门诊人次情况。（提供功能截图）</w:t>
            </w:r>
          </w:p>
          <w:p w14:paraId="04AC6E4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3</w:t>
            </w:r>
            <w:r>
              <w:rPr>
                <w:rFonts w:hint="eastAsia" w:cs="宋体"/>
                <w:sz w:val="21"/>
                <w:szCs w:val="21"/>
                <w:lang w:val="en-US" w:eastAsia="zh-CN" w:bidi="ar-SA"/>
              </w:rPr>
              <w:t>.</w:t>
            </w:r>
            <w:r>
              <w:rPr>
                <w:rFonts w:hint="eastAsia" w:ascii="宋体" w:hAnsi="宋体" w:eastAsia="宋体" w:cs="宋体"/>
                <w:sz w:val="21"/>
                <w:szCs w:val="21"/>
                <w:lang w:val="en-US" w:eastAsia="en-US" w:bidi="ar-SA"/>
              </w:rPr>
              <w:t>住院数据分析</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提供住院数据分析功能，支持多维度统计病床数据、住院患者按机构统计情况及手术情况、出院患者数据按机构统计情况及平均住院情况，监控多周期内的入院发生率，支持统计住院患者死亡率和重症病人抢救成功率。</w:t>
            </w:r>
          </w:p>
        </w:tc>
      </w:tr>
      <w:tr w14:paraId="0ACAD59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18BC2F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BF2701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医疗服务</w:t>
            </w:r>
          </w:p>
          <w:p w14:paraId="66E328F8">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质量监测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234C38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w:t>
            </w:r>
            <w:r>
              <w:rPr>
                <w:rFonts w:hint="eastAsia" w:cs="宋体"/>
                <w:sz w:val="21"/>
                <w:szCs w:val="21"/>
                <w:lang w:val="en-US" w:eastAsia="zh-CN" w:bidi="ar-SA"/>
              </w:rPr>
              <w:t>.</w:t>
            </w:r>
            <w:r>
              <w:rPr>
                <w:rFonts w:hint="eastAsia" w:ascii="宋体" w:hAnsi="宋体" w:eastAsia="宋体" w:cs="宋体"/>
                <w:sz w:val="21"/>
                <w:szCs w:val="21"/>
                <w:lang w:val="en-US" w:eastAsia="en-US" w:bidi="ar-SA"/>
              </w:rPr>
              <w:t>药事质控：提供药事质控功能，支持统计抗菌药物和注射药物产生的费用的使用率，支持统计处方药品的按数量和大额处方数量以及处方药品产生的费用多维度统计。</w:t>
            </w:r>
          </w:p>
          <w:p w14:paraId="4711279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w:t>
            </w:r>
            <w:r>
              <w:rPr>
                <w:rFonts w:hint="eastAsia" w:cs="宋体"/>
                <w:sz w:val="21"/>
                <w:szCs w:val="21"/>
                <w:lang w:val="en-US" w:eastAsia="zh-CN" w:bidi="ar-SA"/>
              </w:rPr>
              <w:t>.</w:t>
            </w:r>
            <w:r>
              <w:rPr>
                <w:rFonts w:hint="eastAsia" w:ascii="宋体" w:hAnsi="宋体" w:eastAsia="宋体" w:cs="宋体"/>
                <w:sz w:val="21"/>
                <w:szCs w:val="21"/>
                <w:lang w:val="en-US" w:eastAsia="en-US" w:bidi="ar-SA"/>
              </w:rPr>
              <w:t>诊疗监管：提供诊疗监管功能，支持监管重症监护、重点手术、手术麻醉、急诊、会诊的发生率和成功率等，支持统计恶性肿瘤的治理记录符合率，统计诊断的数量、方式、符合率和正确情况。</w:t>
            </w:r>
          </w:p>
          <w:p w14:paraId="6A330B3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3</w:t>
            </w:r>
            <w:r>
              <w:rPr>
                <w:rFonts w:hint="eastAsia" w:cs="宋体"/>
                <w:sz w:val="21"/>
                <w:szCs w:val="21"/>
                <w:lang w:val="en-US" w:eastAsia="zh-CN" w:bidi="ar-SA"/>
              </w:rPr>
              <w:t>.</w:t>
            </w:r>
            <w:r>
              <w:rPr>
                <w:rFonts w:hint="eastAsia" w:ascii="宋体" w:hAnsi="宋体" w:eastAsia="宋体" w:cs="宋体"/>
                <w:sz w:val="21"/>
                <w:szCs w:val="21"/>
                <w:lang w:val="en-US" w:eastAsia="en-US" w:bidi="ar-SA"/>
              </w:rPr>
              <w:t xml:space="preserve">医技监管：提供医技监管功能，支持监管输血的开展成分输血比例和输血适应症合格率，支持监管检验的急诊生化、免疫项目出报告时间符合率和标本采集、运送规范合格率，支持监管检查的特殊检查患者告知率和检查报告误报率。 </w:t>
            </w:r>
          </w:p>
          <w:p w14:paraId="325A8A9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4</w:t>
            </w:r>
            <w:r>
              <w:rPr>
                <w:rFonts w:hint="eastAsia" w:cs="宋体"/>
                <w:sz w:val="21"/>
                <w:szCs w:val="21"/>
                <w:lang w:val="en-US" w:eastAsia="zh-CN" w:bidi="ar-SA"/>
              </w:rPr>
              <w:t>.</w:t>
            </w:r>
            <w:r>
              <w:rPr>
                <w:rFonts w:hint="eastAsia" w:ascii="宋体" w:hAnsi="宋体" w:eastAsia="宋体" w:cs="宋体"/>
                <w:sz w:val="21"/>
                <w:szCs w:val="21"/>
                <w:lang w:val="en-US" w:eastAsia="en-US" w:bidi="ar-SA"/>
              </w:rPr>
              <w:t>护理质量监管：提供护理质量监管功能，支持统计护理服务方面的护士人数与病床数和手术间配比情况，统计护士在本单位的职业注册率和护理在岗人员参加“三基”培训覆盖率，支持统计护理服务满意度，支持统计由于药物使用和护理服务中发生的各类不良事件的例数和发生率。</w:t>
            </w:r>
          </w:p>
          <w:p w14:paraId="1ED2352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5</w:t>
            </w:r>
            <w:r>
              <w:rPr>
                <w:rFonts w:hint="eastAsia" w:cs="宋体"/>
                <w:sz w:val="21"/>
                <w:szCs w:val="21"/>
                <w:lang w:val="en-US" w:eastAsia="zh-CN" w:bidi="ar-SA"/>
              </w:rPr>
              <w:t>.</w:t>
            </w:r>
            <w:r>
              <w:rPr>
                <w:rFonts w:hint="eastAsia" w:ascii="宋体" w:hAnsi="宋体" w:eastAsia="宋体" w:cs="宋体"/>
                <w:sz w:val="21"/>
                <w:szCs w:val="21"/>
                <w:lang w:val="en-US" w:eastAsia="en-US" w:bidi="ar-SA"/>
              </w:rPr>
              <w:t>医疗安全监管：提供医疗安全监管功能，支持监管各类型医疗安全不良事件的发生例数和各类医院感染事件的感染率，安全监管全年定性为完全或主要责任的事故率，监管知情同意书告知率和医患纠纷投诉数量。</w:t>
            </w:r>
          </w:p>
        </w:tc>
      </w:tr>
      <w:tr w14:paraId="38B6D7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C31E6C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E11A703">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患者负担</w:t>
            </w:r>
          </w:p>
          <w:p w14:paraId="52B7FB38">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3A18E0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患者负担监测功能，支持按照年度对比统计门急诊就诊的诊次费用和次均药品费用，支持按照年度对比医保患者和非医保患者的诊次费用。支持按照年度对比统计门诊费用总额、门诊患者人均费用、检查化验占比、住院费用总额、住院床日平均费用、住院患者人均费用。</w:t>
            </w:r>
          </w:p>
        </w:tc>
      </w:tr>
      <w:tr w14:paraId="0A0BDE6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BF0861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5A5CFC4">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远程医疗</w:t>
            </w:r>
          </w:p>
          <w:p w14:paraId="3B7ABE34">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580CBF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w:t>
            </w:r>
            <w:r>
              <w:rPr>
                <w:rFonts w:hint="eastAsia" w:cs="宋体"/>
                <w:sz w:val="21"/>
                <w:szCs w:val="21"/>
                <w:lang w:val="en-US" w:eastAsia="zh-CN" w:bidi="ar-SA"/>
              </w:rPr>
              <w:t>、</w:t>
            </w:r>
            <w:r>
              <w:rPr>
                <w:rFonts w:hint="eastAsia" w:ascii="宋体" w:hAnsi="宋体" w:eastAsia="宋体" w:cs="宋体"/>
                <w:sz w:val="21"/>
                <w:szCs w:val="21"/>
                <w:lang w:val="en-US" w:eastAsia="en-US" w:bidi="ar-SA"/>
              </w:rPr>
              <w:t>医学检验中心服务监测：提供医学检验中心服务监测功能，支持委托检验、接诊量、检验排名等数据分析与展示。</w:t>
            </w:r>
          </w:p>
          <w:p w14:paraId="779907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w:t>
            </w:r>
            <w:r>
              <w:rPr>
                <w:rFonts w:hint="eastAsia" w:cs="宋体"/>
                <w:sz w:val="21"/>
                <w:szCs w:val="21"/>
                <w:lang w:val="en-US" w:eastAsia="zh-CN" w:bidi="ar-SA"/>
              </w:rPr>
              <w:t>、</w:t>
            </w:r>
            <w:r>
              <w:rPr>
                <w:rFonts w:hint="eastAsia" w:ascii="宋体" w:hAnsi="宋体" w:eastAsia="宋体" w:cs="宋体"/>
                <w:sz w:val="21"/>
                <w:szCs w:val="21"/>
                <w:lang w:val="en-US" w:eastAsia="en-US" w:bidi="ar-SA"/>
              </w:rPr>
              <w:t>影像诊断中心服务监测：提供影像诊断中心服务监测功能，支持远程影像诊断人次、接诊量、诊断排名、诊断明细等数据分析展现。</w:t>
            </w:r>
          </w:p>
          <w:p w14:paraId="3647C71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3</w:t>
            </w:r>
            <w:r>
              <w:rPr>
                <w:rFonts w:hint="eastAsia" w:cs="宋体"/>
                <w:sz w:val="21"/>
                <w:szCs w:val="21"/>
                <w:lang w:val="en-US" w:eastAsia="zh-CN" w:bidi="ar-SA"/>
              </w:rPr>
              <w:t>、</w:t>
            </w:r>
            <w:r>
              <w:rPr>
                <w:rFonts w:hint="eastAsia" w:ascii="宋体" w:hAnsi="宋体" w:eastAsia="宋体" w:cs="宋体"/>
                <w:sz w:val="21"/>
                <w:szCs w:val="21"/>
                <w:lang w:val="en-US" w:eastAsia="en-US" w:bidi="ar-SA"/>
              </w:rPr>
              <w:t>心电诊断中心服务监测：提供心电诊断中心服务监测功能，支持远程心电诊断人次、接诊量、诊断排名、诊断明细等数据分析展现。</w:t>
            </w:r>
          </w:p>
          <w:p w14:paraId="3FCED9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4</w:t>
            </w:r>
            <w:r>
              <w:rPr>
                <w:rFonts w:hint="eastAsia" w:cs="宋体"/>
                <w:sz w:val="21"/>
                <w:szCs w:val="21"/>
                <w:lang w:val="en-US" w:eastAsia="zh-CN" w:bidi="ar-SA"/>
              </w:rPr>
              <w:t>、</w:t>
            </w:r>
            <w:r>
              <w:rPr>
                <w:rFonts w:hint="eastAsia" w:ascii="宋体" w:hAnsi="宋体" w:eastAsia="宋体" w:cs="宋体"/>
                <w:sz w:val="21"/>
                <w:szCs w:val="21"/>
                <w:lang w:val="en-US" w:eastAsia="en-US" w:bidi="ar-SA"/>
              </w:rPr>
              <w:t>病理诊断中心服务监测：提供病理诊断中心服务监测功能，支持远程病理诊断人次、接诊量、诊断排名等数据分析展现。</w:t>
            </w:r>
          </w:p>
          <w:p w14:paraId="11766DA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5</w:t>
            </w:r>
            <w:r>
              <w:rPr>
                <w:rFonts w:hint="eastAsia" w:cs="宋体"/>
                <w:sz w:val="21"/>
                <w:szCs w:val="21"/>
                <w:lang w:val="en-US" w:eastAsia="zh-CN" w:bidi="ar-SA"/>
              </w:rPr>
              <w:t>、</w:t>
            </w:r>
            <w:r>
              <w:rPr>
                <w:rFonts w:hint="eastAsia" w:ascii="宋体" w:hAnsi="宋体" w:eastAsia="宋体" w:cs="宋体"/>
                <w:sz w:val="21"/>
                <w:szCs w:val="21"/>
                <w:lang w:val="en-US" w:eastAsia="en-US" w:bidi="ar-SA"/>
              </w:rPr>
              <w:t>转诊服务监测：提供转诊服务监测功能，支持门诊上转人次、履约人次、住院下转人次、履约人次相关指标数据分析展现。</w:t>
            </w:r>
          </w:p>
          <w:p w14:paraId="6E315E0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6</w:t>
            </w:r>
            <w:r>
              <w:rPr>
                <w:rFonts w:hint="eastAsia" w:cs="宋体"/>
                <w:sz w:val="21"/>
                <w:szCs w:val="21"/>
                <w:lang w:val="en-US" w:eastAsia="zh-CN" w:bidi="ar-SA"/>
              </w:rPr>
              <w:t>、</w:t>
            </w:r>
            <w:r>
              <w:rPr>
                <w:rFonts w:hint="eastAsia" w:ascii="宋体" w:hAnsi="宋体" w:eastAsia="宋体" w:cs="宋体"/>
                <w:sz w:val="21"/>
                <w:szCs w:val="21"/>
                <w:lang w:val="en-US" w:eastAsia="en-US" w:bidi="ar-SA"/>
              </w:rPr>
              <w:t>会诊服务监测：提供会诊服务监测功能，支持远程会诊发起人次、接诊量、接诊排名、会诊明细等数据分析展现。</w:t>
            </w:r>
          </w:p>
        </w:tc>
      </w:tr>
      <w:tr w14:paraId="77032DC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91563B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基本公共卫生服务监测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17DA6E1">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▲电子健康档案服务监测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B9BF5D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提供电子健康档案服务监测功能，支持按照年度对比电子健康档案总建档人数、电子健康档案建档率、电子健康档案规范管理率、电子健康档案动态管理率、电子健康档案使用率。（提供功能截图）</w:t>
            </w:r>
          </w:p>
        </w:tc>
      </w:tr>
      <w:tr w14:paraId="7B13BF6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2C98C9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DA6B1EB">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健康教育</w:t>
            </w:r>
          </w:p>
          <w:p w14:paraId="018DA452">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B63055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健康教育服务监测功能，支持统计健康教育音像资料的次数、时长、种类数，支持统计举办健康教育讲座和健康教育活动的次数和参加人数，支持统计健康教育宣传栏的设置个数和内容更新次数，支持统计发放健康教育印刷资料的数量、覆盖率和详细种类。</w:t>
            </w:r>
          </w:p>
        </w:tc>
      </w:tr>
      <w:tr w14:paraId="0F2CF2A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89CE77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74DA22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预防接种</w:t>
            </w:r>
          </w:p>
          <w:p w14:paraId="24C88B70">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B36B2C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提供预防接种服务监测功能，支持按年度统计疫苗接种人次、预防接种率、国家免疫规划疫苗接种率。</w:t>
            </w:r>
          </w:p>
        </w:tc>
      </w:tr>
      <w:tr w14:paraId="17C0CE2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9CF859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1BC3B72">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0~6岁儿童健康管理服务监测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CF3D9C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儿童健康管理服务监测功能，支持分别统计三岁以下、五岁以下、七岁以下儿童的数量、系统管理数、系统管理率、死亡数、死亡率，支持统计儿童健康管理率和为儿童健康管理数，支持统计各类新生儿数据。</w:t>
            </w:r>
          </w:p>
        </w:tc>
      </w:tr>
      <w:tr w14:paraId="3DEEEAC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A7074C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82B5549">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孕产妇健康管理</w:t>
            </w:r>
          </w:p>
          <w:p w14:paraId="45E7FA2A">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B8C374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提供孕产妇健康管理服务监测功能，支持按年度统计早孕、孕产妇、高危孕产妇的建册数量，支持按年度统计产妇数量、孕产妇活产数、剖腹产数，支持按机构对比统计孕产访视人数和产后42天健康检查人数。</w:t>
            </w:r>
          </w:p>
        </w:tc>
      </w:tr>
      <w:tr w14:paraId="29B60F2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762ED8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9B6EDCD">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高血压患者健康管理</w:t>
            </w:r>
          </w:p>
          <w:p w14:paraId="3EA3398C">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82160D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高血压患者健康管理服务监测功能，支持按照机构对比统计高血压患者有效管理率、高血压患者规范管理率、管理人群高血压控制率、高血压新增管理数、高血压新增终止管理数、高血压随访人数、高血压随访数。</w:t>
            </w:r>
          </w:p>
        </w:tc>
      </w:tr>
      <w:tr w14:paraId="3C76550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6B87D9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2EA4CF3">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Ⅱ型糖尿病患者健康管理服务监测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0C578E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提供Ⅱ型糖尿病患者健康管理服务监测功能，支持按年度对比统计糖尿病健康管理的累计和新增人数，支持按年度对比糖尿病患者的有效管理率、规范管理率和随访情况。</w:t>
            </w:r>
          </w:p>
        </w:tc>
      </w:tr>
      <w:tr w14:paraId="0266209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14225C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737BB65">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严重精神障碍患者管理服务监测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E78063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提供严重精神障碍患者管理服务监测功能，支持按年度和月份分别对比统计重症精神病专家人数、重症精神病新增专家数、重症精神病随访人数、重症精神病随访人次、严重精神障碍换这个规范管理人数。</w:t>
            </w:r>
          </w:p>
        </w:tc>
      </w:tr>
      <w:tr w14:paraId="4B3F06B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64F4A7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D66676E">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中医药健康管理服务监测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3F4F95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提供中医药健康管理服务监测功能，支持按年度和月份分别对比统计老年人中医药健康管理人数、老年人中医药健康管理率、0~36个月儿童医药健康管理人数。</w:t>
            </w:r>
          </w:p>
        </w:tc>
      </w:tr>
      <w:tr w14:paraId="30FEBC7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E0012D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50D8BF0">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传染病及突发公共卫生事件报告和处理服务监测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5A9A05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提供传染病及突发公共卫生事件报告和处理服务监测功能，支持按年度和月份分别对比统计传染病的发病数、发病率、死亡数、死亡率、漏报数、漏报率、报告率、报告及时率。</w:t>
            </w:r>
          </w:p>
        </w:tc>
      </w:tr>
      <w:tr w14:paraId="0EFEBE4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E0AEE40">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家庭医生签约服务监测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BD959CE">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▲家庭医生签约服务</w:t>
            </w:r>
          </w:p>
          <w:p w14:paraId="04291DDC">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18F3F8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签约服务监测功能，支持统计家庭医生签约的医保基金金额、财政投人金额、公共卫生服务经费金额，支持按年度和月份分别对比统计家庭医生签约覆盖率和签约就诊率、有处方权的全科医生数、落实签约服务费机构。（提供功能截图）</w:t>
            </w:r>
          </w:p>
        </w:tc>
      </w:tr>
      <w:tr w14:paraId="32A3477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3EA649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机构人员管理监测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1094D12">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机构管理</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66DB8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医共体运营机构管理功能，支持统计展示医共体内机构数、机构科室数、机构设备数、机构服务人群统计、机构服务地理范围统计，支持统计展示集团内各个机构的科室数及各科室内人员分布情况、设别数及各类设备拥有数量、各类服务人群详细统计及对比。</w:t>
            </w:r>
          </w:p>
        </w:tc>
      </w:tr>
      <w:tr w14:paraId="564C899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6DBFCD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0D44D16">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综合管理</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E57028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医共体运营综合管理功能，支持统计展示集团内的医疗卫生总人数、在编人数、合同人数，支持统计展示医共体内各个机构的人员动态管理包括机构总人数、在编人数、合同人数、执业医师数、注册护士数、岗位管理情况。</w:t>
            </w:r>
          </w:p>
        </w:tc>
      </w:tr>
      <w:tr w14:paraId="36BE752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80A2D9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1"/>
                <w:szCs w:val="21"/>
                <w:lang w:val="en-US" w:eastAsia="en-US" w:bidi="ar-SA"/>
              </w:rPr>
              <w:t>医保追溯码登记与上传服务</w:t>
            </w:r>
          </w:p>
        </w:tc>
        <w:tc>
          <w:tcPr>
            <w:tcW w:w="4213" w:type="dxa"/>
            <w:gridSpan w:val="2"/>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899899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按照自治区医保局要求，对医保药品耗材开展追溯信息采集。根据医保两定接口要求，须对元宝山区医共体现有卫生院管理信息系统（HIS\PACS\EMR）增加药品上传，销售等交易药品追溯码字段。保存药品、耗材对应的医保追溯码信息。并可进行正向追踪和逆向溯源药品的生产、流通和使用情况，获取药品全生命周期追溯信息的活动。在每个基层医疗机构及村卫生室应提供具体追溯码采集及上传软件模块。具体医保接口开发如下：</w:t>
            </w:r>
          </w:p>
          <w:p w14:paraId="451B3A5A">
            <w:pPr>
              <w:keepNext/>
              <w:numPr>
                <w:ilvl w:val="0"/>
                <w:numId w:val="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新增批量上传、删除等交易：</w:t>
            </w:r>
          </w:p>
          <w:p w14:paraId="61492CA4">
            <w:pPr>
              <w:keepNext/>
              <w:numPr>
                <w:ilvl w:val="0"/>
                <w:numId w:val="0"/>
              </w:numPr>
              <w:adjustRightInd w:val="0"/>
              <w:snapToGrid w:val="0"/>
              <w:spacing w:line="240" w:lineRule="auto"/>
              <w:ind w:leftChars="0" w:right="0" w:right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（1）新增批量上传商品盘存信息【3501A】交易。</w:t>
            </w:r>
          </w:p>
          <w:p w14:paraId="540E04F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（2）新增批量上传商品的库存变化【3502A】交易。</w:t>
            </w:r>
          </w:p>
          <w:p w14:paraId="6B6C196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（3）新增批量上传商品采购信息【3503A】交易。</w:t>
            </w:r>
          </w:p>
          <w:p w14:paraId="0BDAC0E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（4）新增批量上传商品采购退货信息【3504A】交易。</w:t>
            </w:r>
          </w:p>
          <w:p w14:paraId="43D2CFA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（5）新增批量上传商品销售信息【3505A】交易。</w:t>
            </w:r>
          </w:p>
          <w:p w14:paraId="6E15C1D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（6）新增批量上传商品销售退货信息【3506A】交易。</w:t>
            </w:r>
          </w:p>
          <w:p w14:paraId="794F310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（7）新增批量删除某一批次商品信息【3507A】交易。</w:t>
            </w:r>
          </w:p>
          <w:p w14:paraId="12AC9EB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（8）新增查询定点医药机构上传商品库存信息【3508】交易。</w:t>
            </w:r>
          </w:p>
          <w:p w14:paraId="03CAC5F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（9）新增查询定点医药机构上传商品库存变更记录信息【3509】交易。</w:t>
            </w:r>
          </w:p>
          <w:p w14:paraId="2C0D1C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（10）新增查询定点医药机构上传商品采购信息表【3510】交易。</w:t>
            </w:r>
          </w:p>
          <w:p w14:paraId="2C9B65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（11）新增查询定点医药机构上传商品销售信息表【3511】交易。</w:t>
            </w:r>
          </w:p>
          <w:p w14:paraId="05F17CC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（12）新增查询定点医药机构入库药品追溯信息【3512】交易。</w:t>
            </w:r>
          </w:p>
          <w:p w14:paraId="41DBC05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（13）新增查询定点医药机构销售库药品追溯信息【3513】交易。</w:t>
            </w:r>
          </w:p>
          <w:p w14:paraId="31BAFD4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2、个别接口新增追溯码信息上传字段：</w:t>
            </w:r>
          </w:p>
          <w:p w14:paraId="0BACCFF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（1）【3501】、【3502】、【3505】、【3506】接口，增加追溯码信息上传入参。</w:t>
            </w:r>
          </w:p>
          <w:p w14:paraId="49DEDE9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（2）【2102】接口，增加追溯码节点信息，费用明细流水号与药品追溯码绑定上传。</w:t>
            </w:r>
          </w:p>
        </w:tc>
      </w:tr>
    </w:tbl>
    <w:p w14:paraId="1EBD175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49C7572">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1"/>
        <w:rPr>
          <w:rFonts w:hint="eastAsia" w:ascii="宋体" w:hAnsi="宋体" w:eastAsia="宋体" w:cs="宋体"/>
          <w:b/>
          <w:bCs/>
          <w:sz w:val="28"/>
          <w:szCs w:val="28"/>
          <w:lang w:val="en-US" w:eastAsia="zh-CN"/>
        </w:rPr>
      </w:pPr>
      <w:bookmarkStart w:id="8" w:name="_Toc22910"/>
      <w:r>
        <w:rPr>
          <w:rFonts w:hint="eastAsia" w:cs="宋体"/>
          <w:b/>
          <w:bCs/>
          <w:sz w:val="28"/>
          <w:szCs w:val="28"/>
          <w:lang w:val="en-US" w:eastAsia="zh-CN"/>
        </w:rPr>
        <w:t>2.</w:t>
      </w:r>
      <w:r>
        <w:rPr>
          <w:rFonts w:hint="eastAsia" w:ascii="宋体" w:hAnsi="宋体" w:eastAsia="宋体" w:cs="宋体"/>
          <w:b/>
          <w:bCs/>
          <w:sz w:val="28"/>
          <w:szCs w:val="28"/>
          <w:lang w:val="en-US" w:eastAsia="zh-CN"/>
        </w:rPr>
        <w:t>区域医疗服务系统应用</w:t>
      </w:r>
      <w:bookmarkEnd w:id="8"/>
    </w:p>
    <w:p w14:paraId="7E4FA50F">
      <w:pPr>
        <w:bidi w:val="0"/>
        <w:spacing w:line="360" w:lineRule="auto"/>
        <w:ind w:firstLine="480" w:firstLineChars="200"/>
        <w:rPr>
          <w:rFonts w:hint="eastAsia"/>
          <w:sz w:val="24"/>
          <w:szCs w:val="24"/>
          <w:lang w:val="en-US" w:eastAsia="en-US"/>
        </w:rPr>
      </w:pPr>
      <w:r>
        <w:rPr>
          <w:rFonts w:hint="eastAsia"/>
          <w:sz w:val="24"/>
          <w:szCs w:val="24"/>
          <w:lang w:val="en-US" w:eastAsia="en-US"/>
        </w:rPr>
        <w:t>整体技术要求：</w:t>
      </w:r>
    </w:p>
    <w:p w14:paraId="3EDD0922">
      <w:pPr>
        <w:bidi w:val="0"/>
        <w:spacing w:line="360" w:lineRule="auto"/>
        <w:ind w:firstLine="480" w:firstLineChars="200"/>
        <w:rPr>
          <w:rFonts w:hint="default" w:ascii="宋体" w:hAnsi="宋体" w:eastAsia="宋体" w:cs="宋体"/>
          <w:b w:val="0"/>
          <w:bCs w:val="0"/>
          <w:sz w:val="24"/>
          <w:szCs w:val="24"/>
          <w:lang w:val="en-US" w:eastAsia="zh-CN"/>
        </w:rPr>
      </w:pPr>
      <w:r>
        <w:rPr>
          <w:rFonts w:hint="eastAsia" w:cs="宋体"/>
          <w:b w:val="0"/>
          <w:bCs w:val="0"/>
          <w:sz w:val="24"/>
          <w:szCs w:val="24"/>
          <w:lang w:val="en-US" w:eastAsia="zh-CN"/>
        </w:rPr>
        <w:t>（1）</w:t>
      </w:r>
      <w:r>
        <w:rPr>
          <w:rFonts w:hint="eastAsia" w:ascii="宋体" w:hAnsi="宋体" w:eastAsia="宋体" w:cs="宋体"/>
          <w:b w:val="0"/>
          <w:bCs w:val="0"/>
          <w:sz w:val="24"/>
          <w:szCs w:val="24"/>
          <w:lang w:val="en-US" w:eastAsia="zh-CN"/>
        </w:rPr>
        <w:t>在元宝山区医共体内应用，</w:t>
      </w:r>
      <w:r>
        <w:rPr>
          <w:rFonts w:hint="eastAsia" w:ascii="宋体" w:hAnsi="宋体" w:eastAsia="宋体" w:cs="宋体"/>
          <w:b w:val="0"/>
          <w:bCs w:val="0"/>
          <w:sz w:val="24"/>
          <w:szCs w:val="24"/>
          <w:lang w:val="en-US" w:eastAsia="en-US"/>
        </w:rPr>
        <w:t>不限制接入机构和对接检验系统数量。</w:t>
      </w:r>
    </w:p>
    <w:p w14:paraId="7929309B">
      <w:pPr>
        <w:bidi w:val="0"/>
        <w:spacing w:line="360" w:lineRule="auto"/>
        <w:ind w:firstLine="480" w:firstLineChars="200"/>
        <w:rPr>
          <w:rFonts w:hint="default" w:ascii="宋体" w:hAnsi="宋体" w:eastAsia="宋体" w:cs="宋体"/>
          <w:b w:val="0"/>
          <w:bCs w:val="0"/>
          <w:sz w:val="24"/>
          <w:szCs w:val="24"/>
          <w:lang w:val="en-US" w:eastAsia="zh-CN"/>
        </w:rPr>
      </w:pPr>
      <w:r>
        <w:rPr>
          <w:rFonts w:hint="eastAsia" w:cs="宋体"/>
          <w:b w:val="0"/>
          <w:bCs w:val="0"/>
          <w:sz w:val="24"/>
          <w:szCs w:val="24"/>
          <w:lang w:val="en-US" w:eastAsia="zh-CN"/>
        </w:rPr>
        <w:t>（2）</w:t>
      </w:r>
      <w:r>
        <w:rPr>
          <w:rFonts w:hint="eastAsia" w:ascii="宋体" w:hAnsi="宋体" w:eastAsia="宋体" w:cs="宋体"/>
          <w:b w:val="0"/>
          <w:bCs w:val="0"/>
          <w:sz w:val="24"/>
          <w:szCs w:val="24"/>
          <w:lang w:val="en-US" w:eastAsia="zh-CN"/>
        </w:rPr>
        <w:t>须支持适配国产化数据库、服务器、操作系统，</w:t>
      </w:r>
      <w:r>
        <w:rPr>
          <w:rFonts w:hint="eastAsia" w:ascii="宋体" w:hAnsi="宋体" w:eastAsia="宋体" w:cs="宋体"/>
          <w:b w:val="0"/>
          <w:bCs w:val="0"/>
          <w:sz w:val="24"/>
          <w:szCs w:val="24"/>
          <w:lang w:val="en-US" w:eastAsia="en-US"/>
        </w:rPr>
        <w:t>本地私有化部署</w:t>
      </w:r>
      <w:r>
        <w:rPr>
          <w:rFonts w:hint="eastAsia" w:ascii="宋体" w:hAnsi="宋体" w:eastAsia="宋体" w:cs="宋体"/>
          <w:b w:val="0"/>
          <w:bCs w:val="0"/>
          <w:sz w:val="24"/>
          <w:szCs w:val="24"/>
          <w:lang w:val="en-US" w:eastAsia="zh-CN"/>
        </w:rPr>
        <w:t>。</w:t>
      </w:r>
    </w:p>
    <w:p w14:paraId="429BEA2B">
      <w:pPr>
        <w:bidi w:val="0"/>
        <w:spacing w:line="360" w:lineRule="auto"/>
        <w:ind w:firstLine="480" w:firstLineChars="200"/>
        <w:rPr>
          <w:rFonts w:hint="eastAsia" w:ascii="宋体" w:hAnsi="宋体" w:eastAsia="宋体" w:cs="宋体"/>
          <w:b w:val="0"/>
          <w:bCs w:val="0"/>
          <w:sz w:val="24"/>
          <w:szCs w:val="24"/>
          <w:lang w:val="en-US" w:eastAsia="en-US"/>
        </w:rPr>
      </w:pPr>
      <w:r>
        <w:rPr>
          <w:rFonts w:hint="eastAsia" w:cs="宋体"/>
          <w:b w:val="0"/>
          <w:bCs w:val="0"/>
          <w:sz w:val="24"/>
          <w:szCs w:val="24"/>
          <w:lang w:val="en-US" w:eastAsia="zh-CN"/>
        </w:rPr>
        <w:t>（3）</w:t>
      </w:r>
      <w:r>
        <w:rPr>
          <w:rFonts w:hint="eastAsia" w:ascii="宋体" w:hAnsi="宋体" w:eastAsia="宋体" w:cs="宋体"/>
          <w:b w:val="0"/>
          <w:bCs w:val="0"/>
          <w:sz w:val="24"/>
          <w:szCs w:val="24"/>
          <w:lang w:val="en-US" w:eastAsia="en-US"/>
        </w:rPr>
        <w:t>须包含与赤峰宝山医院</w:t>
      </w:r>
      <w:r>
        <w:rPr>
          <w:rFonts w:hint="eastAsia" w:ascii="宋体" w:hAnsi="宋体" w:eastAsia="宋体" w:cs="宋体"/>
          <w:b w:val="0"/>
          <w:bCs w:val="0"/>
          <w:sz w:val="24"/>
          <w:szCs w:val="24"/>
          <w:lang w:val="en-US" w:eastAsia="zh-CN"/>
        </w:rPr>
        <w:t>、中医院、妇产医院</w:t>
      </w:r>
      <w:r>
        <w:rPr>
          <w:rFonts w:hint="eastAsia" w:ascii="宋体" w:hAnsi="宋体" w:eastAsia="宋体" w:cs="宋体"/>
          <w:b w:val="0"/>
          <w:bCs w:val="0"/>
          <w:sz w:val="24"/>
          <w:szCs w:val="24"/>
          <w:lang w:val="en-US" w:eastAsia="en-US"/>
        </w:rPr>
        <w:t>及</w:t>
      </w:r>
      <w:r>
        <w:rPr>
          <w:rFonts w:hint="eastAsia" w:ascii="宋体" w:hAnsi="宋体" w:eastAsia="宋体" w:cs="宋体"/>
          <w:b w:val="0"/>
          <w:bCs w:val="0"/>
          <w:sz w:val="24"/>
          <w:szCs w:val="24"/>
          <w:lang w:val="en-US" w:eastAsia="zh-CN"/>
        </w:rPr>
        <w:t>本次采购的</w:t>
      </w:r>
      <w:r>
        <w:rPr>
          <w:rFonts w:hint="eastAsia" w:ascii="宋体" w:hAnsi="宋体" w:eastAsia="宋体" w:cs="宋体"/>
          <w:b w:val="0"/>
          <w:bCs w:val="0"/>
          <w:sz w:val="24"/>
          <w:szCs w:val="24"/>
          <w:lang w:val="en-US" w:eastAsia="en-US"/>
        </w:rPr>
        <w:t>基层卫生院LIS系统</w:t>
      </w:r>
      <w:r>
        <w:rPr>
          <w:rFonts w:hint="eastAsia" w:cs="宋体"/>
          <w:b w:val="0"/>
          <w:bCs w:val="0"/>
          <w:sz w:val="24"/>
          <w:szCs w:val="24"/>
          <w:lang w:val="en-US" w:eastAsia="zh-CN"/>
        </w:rPr>
        <w:t>。</w:t>
      </w:r>
      <w:r>
        <w:rPr>
          <w:rFonts w:hint="eastAsia" w:ascii="宋体" w:hAnsi="宋体" w:eastAsia="宋体" w:cs="宋体"/>
          <w:b w:val="0"/>
          <w:bCs w:val="0"/>
          <w:sz w:val="24"/>
          <w:szCs w:val="24"/>
          <w:lang w:val="en-US" w:eastAsia="en-US"/>
        </w:rPr>
        <w:t>对接并包含对应接口改造服务</w:t>
      </w:r>
      <w:r>
        <w:rPr>
          <w:rFonts w:hint="eastAsia" w:ascii="宋体" w:hAnsi="宋体" w:eastAsia="宋体" w:cs="宋体"/>
          <w:b w:val="0"/>
          <w:bCs w:val="0"/>
          <w:sz w:val="24"/>
          <w:szCs w:val="24"/>
          <w:lang w:val="en-US" w:eastAsia="zh-CN"/>
        </w:rPr>
        <w:t>及界面集成</w:t>
      </w:r>
      <w:r>
        <w:rPr>
          <w:rFonts w:hint="eastAsia" w:ascii="宋体" w:hAnsi="宋体" w:eastAsia="宋体" w:cs="宋体"/>
          <w:b w:val="0"/>
          <w:bCs w:val="0"/>
          <w:sz w:val="24"/>
          <w:szCs w:val="24"/>
          <w:lang w:val="en-US" w:eastAsia="en-US"/>
        </w:rPr>
        <w:t>。</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729"/>
        <w:gridCol w:w="1350"/>
        <w:gridCol w:w="6443"/>
      </w:tblGrid>
      <w:tr w14:paraId="002317F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D31E17F">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b/>
                <w:bCs/>
                <w:color w:val="000000" w:themeColor="text1"/>
                <w:sz w:val="24"/>
                <w:szCs w:val="24"/>
                <w:lang w:val="en-US" w:eastAsia="zh-CN" w:bidi="ar-SA"/>
                <w14:textFill>
                  <w14:solidFill>
                    <w14:schemeClr w14:val="tx1"/>
                  </w14:solidFill>
                </w14:textFill>
              </w:rPr>
              <w:t>序号</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E2FB3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787DD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EDBB70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17ABB9">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DA04F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平台基础数据管理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A9C69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权限管理</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维护用户基本信息、角色、角色权限、角色对应用户、角色对应区域、用户对应区域、区域基本信息、医院基本信息。</w:t>
            </w:r>
          </w:p>
          <w:p w14:paraId="4228B13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支持区域内统一的条码规则字典和标本类型标准库管理，支持建立统一的申请项目标准库、报告项目标准库、抗生素项目标准库。</w:t>
            </w:r>
          </w:p>
          <w:p w14:paraId="1631320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支持区域内检验机构和平台对接；医院标本类型上传；医院申请项目上传；医院报告项目上传；医院抗生素上传。</w:t>
            </w:r>
          </w:p>
          <w:p w14:paraId="7F8505D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提供接口运行情况看板可以展示请求总数、错误请求、申请单上传/下载、报告单上传/下载，图形化展示各个医疗机构申请单上传、送检申请单、送检报告单平台接口交互情况和接口请求记录、错误请求记录、接口请求统计、接口任务查询菜单和功能。</w:t>
            </w:r>
          </w:p>
          <w:p w14:paraId="72FCAEF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支持与</w:t>
            </w:r>
            <w:r>
              <w:rPr>
                <w:rFonts w:hint="eastAsia" w:ascii="宋体" w:hAnsi="宋体" w:eastAsia="宋体" w:cs="宋体"/>
                <w:sz w:val="21"/>
                <w:szCs w:val="21"/>
                <w:lang w:val="en-US" w:eastAsia="zh-CN" w:bidi="ar-SA"/>
              </w:rPr>
              <w:t>赤峰宝山医院、赤峰宝山中</w:t>
            </w:r>
            <w:r>
              <w:rPr>
                <w:rFonts w:hint="eastAsia" w:ascii="宋体" w:hAnsi="宋体" w:eastAsia="宋体" w:cs="宋体"/>
                <w:sz w:val="21"/>
                <w:szCs w:val="21"/>
                <w:lang w:val="en-US" w:eastAsia="en-US" w:bidi="ar-SA"/>
              </w:rPr>
              <w:t>医院LIS</w:t>
            </w:r>
            <w:r>
              <w:rPr>
                <w:rFonts w:hint="eastAsia" w:ascii="宋体" w:hAnsi="宋体" w:eastAsia="宋体" w:cs="宋体"/>
                <w:sz w:val="21"/>
                <w:szCs w:val="21"/>
                <w:lang w:val="en-US" w:eastAsia="zh-CN" w:bidi="ar-SA"/>
              </w:rPr>
              <w:t>系统</w:t>
            </w:r>
            <w:r>
              <w:rPr>
                <w:rFonts w:hint="eastAsia" w:ascii="宋体" w:hAnsi="宋体" w:eastAsia="宋体" w:cs="宋体"/>
                <w:sz w:val="21"/>
                <w:szCs w:val="21"/>
                <w:lang w:val="en-US" w:eastAsia="en-US" w:bidi="ar-SA"/>
              </w:rPr>
              <w:t>对接</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实现检验申请信息下载和检验项目结果数据，PDF报告文件上传；提供申请单概况看板可以展示区域内今日申请、待处理申请单、今日申请单上传/下载、7日申请单上传/下载，可以图形化显示申请单来源、待处理申请单等数据。</w:t>
            </w:r>
          </w:p>
          <w:p w14:paraId="1FB0B6E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6</w:t>
            </w:r>
            <w:r>
              <w:rPr>
                <w:rFonts w:hint="eastAsia" w:cs="宋体"/>
                <w:sz w:val="21"/>
                <w:szCs w:val="21"/>
                <w:lang w:val="en-US" w:eastAsia="zh-CN" w:bidi="ar-SA"/>
              </w:rPr>
              <w:t>.</w:t>
            </w:r>
            <w:r>
              <w:rPr>
                <w:rFonts w:hint="eastAsia" w:ascii="宋体" w:hAnsi="宋体" w:eastAsia="宋体" w:cs="宋体"/>
                <w:sz w:val="21"/>
                <w:szCs w:val="21"/>
                <w:lang w:val="en-US" w:eastAsia="en-US" w:bidi="ar-SA"/>
              </w:rPr>
              <w:t>支持与基层医院LIS对接实现检验申请信息上传和检验项目结果数据，PDF报告文件报告下载。</w:t>
            </w:r>
          </w:p>
        </w:tc>
      </w:tr>
      <w:tr w14:paraId="66E98C0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454DA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312F7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08D47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1.支持字典维护，可选择不同医疗机构设置字典名称、类型、状态，可开启是否内置操作可新增、修改、删除；</w:t>
            </w:r>
          </w:p>
          <w:p w14:paraId="4F2C982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2.支持根据字典名称维护，支持默认、使用状态开启，可新增、修改、删除；</w:t>
            </w:r>
          </w:p>
          <w:p w14:paraId="5A9B7D4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3.支持可自定义调整表单样式内容，选择显示项目、必填项、保留项目，样式复制，可新增、修改、删除、顺序调整； </w:t>
            </w:r>
          </w:p>
          <w:p w14:paraId="5148FD0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4.支持送检机构新增科室医生，医生名称、拼音码、所在科室；</w:t>
            </w:r>
          </w:p>
          <w:p w14:paraId="6A46B82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5.支持维护送检机构信息，修改和删除送检单位（下属医院）；</w:t>
            </w:r>
          </w:p>
          <w:p w14:paraId="0412FB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6.支持对医疗机构、医院名称、院内联系人、联系方式进行新增、修改、删除；</w:t>
            </w:r>
          </w:p>
          <w:p w14:paraId="527F467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7.支持设置医共体各医疗机构编码规则；</w:t>
            </w:r>
          </w:p>
          <w:p w14:paraId="320994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8.支持对设置好的区域医疗机构、联系人、联系方式进行修改、删除；</w:t>
            </w:r>
          </w:p>
          <w:p w14:paraId="21194E2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9.支持机构用户添加本医疗机构的科室，科室名称、科室名称的拼音码；</w:t>
            </w:r>
          </w:p>
          <w:p w14:paraId="1812ED6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系统可支持用户维护设置用户权限，新增、修改、删除用户信息，可添加用户电子签名；</w:t>
            </w:r>
          </w:p>
          <w:p w14:paraId="44AA1CF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10.支持统计用户登录日志和操作日志，支持通过IP、时间、状态查询日志信息；</w:t>
            </w:r>
          </w:p>
          <w:p w14:paraId="69DB2D5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11.支持管理员对平台现有的医疗机构的科室进行新增、修改和删除；</w:t>
            </w:r>
          </w:p>
          <w:p w14:paraId="20EF97F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12.支持对区域内的医疗机构科室内的医生姓名、所在科室、代码进行修改、删除；</w:t>
            </w:r>
          </w:p>
          <w:p w14:paraId="0252B03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13.支持快捷录入功能维护，可新增、修改、删除备注、临床诊断信息；</w:t>
            </w:r>
          </w:p>
          <w:p w14:paraId="09CE8E8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14.支持快捷录入短语查询列表，方便用户添加快捷录入短语；</w:t>
            </w:r>
          </w:p>
          <w:p w14:paraId="5774C0F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15.支持提供列表查询功能可方便对已添加的内容进行查询</w:t>
            </w:r>
            <w:r>
              <w:rPr>
                <w:rFonts w:hint="eastAsia" w:cs="宋体"/>
                <w:sz w:val="21"/>
                <w:szCs w:val="21"/>
                <w:lang w:val="en-US" w:eastAsia="zh-CN" w:bidi="ar-SA"/>
              </w:rPr>
              <w:t>。</w:t>
            </w:r>
          </w:p>
        </w:tc>
      </w:tr>
      <w:tr w14:paraId="1E9C319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11DF4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449F15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登记工作站</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AF06B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1.支持预制码方式管理标本，降低医疗差错风险；</w:t>
            </w:r>
          </w:p>
          <w:p w14:paraId="6687B5C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2.支持根据患者姓名、申请单状态、登记时间查询申请单；</w:t>
            </w:r>
          </w:p>
          <w:p w14:paraId="1113367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3.支持医疗机构用户登记编辑修改申请单信息；</w:t>
            </w:r>
          </w:p>
          <w:p w14:paraId="4283977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4.支持对已录入的申请单信息，系统支持修、改删除申请单；</w:t>
            </w:r>
          </w:p>
          <w:p w14:paraId="0F37F14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5.支持新增申请单，患者姓名、性别、年龄、开单科室、开单医生、临床诊断、备注选择收费项目；</w:t>
            </w:r>
          </w:p>
          <w:p w14:paraId="5E412FB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6.支持根据患者姓名、申请单状态、登记时间段查询申请单；不同机构只能查看本机构的申请单；（提供功能截图）</w:t>
            </w:r>
            <w:r>
              <w:rPr>
                <w:rFonts w:hint="eastAsia" w:cs="宋体"/>
                <w:sz w:val="21"/>
                <w:szCs w:val="21"/>
                <w:lang w:val="en-US" w:eastAsia="zh-CN" w:bidi="ar-SA"/>
              </w:rPr>
              <w:t>；</w:t>
            </w:r>
          </w:p>
          <w:p w14:paraId="16EC379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7.支持XML\EXCEL等格式批量导入检验申请信息</w:t>
            </w:r>
            <w:r>
              <w:rPr>
                <w:rFonts w:hint="eastAsia" w:cs="宋体"/>
                <w:sz w:val="21"/>
                <w:szCs w:val="21"/>
                <w:lang w:val="en-US" w:eastAsia="zh-CN" w:bidi="ar-SA"/>
              </w:rPr>
              <w:t>。</w:t>
            </w:r>
          </w:p>
        </w:tc>
      </w:tr>
      <w:tr w14:paraId="082C424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9D2CBC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E7AF0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派送单</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C8256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1.支持将已登记的多个患者项目标本，生成一个总的派送单</w:t>
            </w:r>
            <w:r>
              <w:rPr>
                <w:rFonts w:hint="eastAsia" w:cs="宋体"/>
                <w:sz w:val="21"/>
                <w:szCs w:val="21"/>
                <w:lang w:val="en-US" w:eastAsia="zh-CN" w:bidi="ar-SA"/>
              </w:rPr>
              <w:t>；</w:t>
            </w:r>
          </w:p>
          <w:p w14:paraId="5D0194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2.派送单内容不应少于样本来源医院名称，检验医院名称，检验项目，条码号，姓名</w:t>
            </w:r>
            <w:r>
              <w:rPr>
                <w:rFonts w:hint="eastAsia" w:cs="宋体"/>
                <w:sz w:val="21"/>
                <w:szCs w:val="21"/>
                <w:lang w:val="en-US" w:eastAsia="zh-CN" w:bidi="ar-SA"/>
              </w:rPr>
              <w:t>；</w:t>
            </w:r>
          </w:p>
          <w:p w14:paraId="36FFC4C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3.支持对派送单进行打印，并将多个检验项生成一个二维码方便LIS系统进行审核申请单信息，支持派送单多次打印；</w:t>
            </w:r>
          </w:p>
          <w:p w14:paraId="329C098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4.支持查询派送单，查询已打印派送单，派送单补打。根据申请单登记时段查询已打印派送单，支持下钻查询该派送单号条码、患者姓名及打印时间等信息。</w:t>
            </w:r>
          </w:p>
        </w:tc>
      </w:tr>
      <w:tr w14:paraId="70BDC49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22A41C9">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E87AA8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报告查阅</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E774C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1.支持多条件查询报告单，报告发布时间、患者姓名等信息；</w:t>
            </w:r>
          </w:p>
          <w:p w14:paraId="54FA02A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2.支持报告单查询，送检机构可查询检验医院已发布的报告单信息；</w:t>
            </w:r>
          </w:p>
          <w:p w14:paraId="4D7B8CD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3.支持单个/批量打印报告单</w:t>
            </w:r>
            <w:r>
              <w:rPr>
                <w:rFonts w:hint="eastAsia" w:cs="宋体"/>
                <w:sz w:val="21"/>
                <w:szCs w:val="21"/>
                <w:lang w:val="en-US" w:eastAsia="zh-CN" w:bidi="ar-SA"/>
              </w:rPr>
              <w:t>；</w:t>
            </w:r>
          </w:p>
          <w:p w14:paraId="1825C73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4.支持报告单多条件查询，包括但不限于患者信息、标本状态、起始时间、截止时间、送检单位等；（提供功能截图）</w:t>
            </w:r>
          </w:p>
          <w:p w14:paraId="7792F58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5.支持报告单下载。可选择下载目录，本地保存。</w:t>
            </w:r>
          </w:p>
        </w:tc>
      </w:tr>
      <w:tr w14:paraId="08A8FE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3CEA6B">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D50CC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标本查询</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48E1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1.支持标本查询，包括但不限于标本登记日期、标本状态、患者姓名查询；</w:t>
            </w:r>
          </w:p>
          <w:p w14:paraId="6A91BEB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2.标本查询结果包括但不限于显示登记时间、条码号、患者姓名、年龄、所在科室、收费项目、登记人、物流取样时间、派送单号、实验室审核时间、审核者等信息</w:t>
            </w:r>
            <w:r>
              <w:rPr>
                <w:rFonts w:hint="eastAsia" w:cs="宋体"/>
                <w:sz w:val="21"/>
                <w:szCs w:val="21"/>
                <w:lang w:val="en-US" w:eastAsia="zh-CN" w:bidi="ar-SA"/>
              </w:rPr>
              <w:t>。</w:t>
            </w:r>
          </w:p>
        </w:tc>
      </w:tr>
      <w:tr w14:paraId="00FAB24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E501550">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410C7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区域检验危急值分析管理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E6C25B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▲可进行各医疗机构危急值上传、下载；危急值预警提醒和危急值查询、统计。（提供功能截图）</w:t>
            </w:r>
            <w:r>
              <w:rPr>
                <w:rFonts w:hint="eastAsia" w:cs="宋体"/>
                <w:sz w:val="21"/>
                <w:szCs w:val="21"/>
                <w:lang w:val="en-US" w:eastAsia="zh-CN" w:bidi="ar-SA"/>
              </w:rPr>
              <w:t>。</w:t>
            </w:r>
          </w:p>
        </w:tc>
      </w:tr>
      <w:tr w14:paraId="29BE81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F565E69">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CE0B4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区域检验中心监管大屏</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565F0E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监管大屏应有效展示区域内的检验信息和检验质量指标；</w:t>
            </w:r>
          </w:p>
          <w:p w14:paraId="18386FC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按照地图化展示区域内医疗机构情况，地图应支持下钻展示该医疗机构具体的标本和质控情况。包括但不限于展示检验中心营运情况，例如今日送检标本数、镇（社区）送检数、村（站）送检数、镇（社区）送检报告数、村（站）送检报告数；</w:t>
            </w:r>
          </w:p>
          <w:p w14:paraId="560683B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支持通过图形化展示区域内流感检验等传染病的检测数据情况；</w:t>
            </w:r>
          </w:p>
          <w:p w14:paraId="770F1A4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支持展示送检机构质控项目数、失控数、失控率。各个医疗机构质控测试数、失控数、失控率；可支持屏幕上数据点击显示详细的数据内容和信息。</w:t>
            </w:r>
          </w:p>
        </w:tc>
      </w:tr>
      <w:tr w14:paraId="256DD98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8AE120">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D293B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区域检验数据统计分析</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BA9ED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支持对各医疗机构检验数据进行统一分类管理和统计、展示、排序；</w:t>
            </w:r>
          </w:p>
          <w:p w14:paraId="480ADBE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支持多条件查询统计，例如：时间、区域、医疗机构、标本类型等；</w:t>
            </w:r>
          </w:p>
          <w:p w14:paraId="4824841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支持以患者身份信息为主索引关联患者在不同时间段、不同机构进行的检验信息；</w:t>
            </w:r>
          </w:p>
          <w:p w14:paraId="02F21E6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支持医疗机构根据标本接收单位、送检单位统计标本量、申请项目、报告项目、报告数量、异常项目等统计查询。</w:t>
            </w:r>
          </w:p>
        </w:tc>
      </w:tr>
      <w:tr w14:paraId="3D70259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58F9B2A">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913AB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区域检验质控分析管理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49367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支持维护质控仪器供应商、试剂供应商、质控品供应商基础数据；</w:t>
            </w:r>
          </w:p>
          <w:p w14:paraId="325D25C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支持各个医疗机构质控仪器数据、质控品数据、质控数据上传；</w:t>
            </w:r>
          </w:p>
          <w:p w14:paraId="1DFF9B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支持各个医疗质控仪器、试剂、质控品与平台基础数据对照；</w:t>
            </w:r>
          </w:p>
          <w:p w14:paraId="521976B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质控数据展示，按月或者按日展示所有医疗机构质控情况包括各个医疗机构仪器数、项目数、质控结果数、失控数，支持下钻显示单个医疗机构质控情况，单个仪器质控情况，可以显示对应项目的Z分数图、L-J图等；</w:t>
            </w:r>
          </w:p>
          <w:p w14:paraId="1DCEE58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5.</w:t>
            </w:r>
            <w:r>
              <w:rPr>
                <w:rFonts w:hint="eastAsia" w:ascii="宋体" w:hAnsi="宋体" w:eastAsia="宋体" w:cs="宋体"/>
                <w:sz w:val="21"/>
                <w:szCs w:val="21"/>
                <w:lang w:val="en-US" w:eastAsia="zh-CN" w:bidi="ar-SA"/>
              </w:rPr>
              <w:t>支持质控数据比对选择质控项目可以显示质控数据统计对比和质控数据多种条件查询统计、月报等。</w:t>
            </w:r>
          </w:p>
        </w:tc>
      </w:tr>
    </w:tbl>
    <w:p w14:paraId="2B05698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7371B7F">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1"/>
        <w:rPr>
          <w:rFonts w:hint="eastAsia" w:cs="宋体"/>
          <w:b/>
          <w:bCs/>
          <w:sz w:val="28"/>
          <w:szCs w:val="28"/>
          <w:lang w:val="en-US" w:eastAsia="en-US"/>
        </w:rPr>
      </w:pPr>
      <w:bookmarkStart w:id="9" w:name="_Toc19812"/>
      <w:r>
        <w:rPr>
          <w:rFonts w:hint="eastAsia" w:cs="宋体"/>
          <w:b/>
          <w:bCs/>
          <w:sz w:val="28"/>
          <w:szCs w:val="28"/>
          <w:lang w:val="en-US" w:eastAsia="zh-CN"/>
        </w:rPr>
        <w:t>3.</w:t>
      </w:r>
      <w:r>
        <w:rPr>
          <w:rFonts w:hint="eastAsia" w:cs="宋体"/>
          <w:b/>
          <w:bCs/>
          <w:sz w:val="28"/>
          <w:szCs w:val="28"/>
          <w:lang w:val="en-US" w:eastAsia="en-US"/>
        </w:rPr>
        <w:t>基层LIS系统</w:t>
      </w:r>
      <w:bookmarkEnd w:id="9"/>
    </w:p>
    <w:p w14:paraId="3444EDC6">
      <w:pPr>
        <w:bidi w:val="0"/>
        <w:spacing w:line="360" w:lineRule="auto"/>
        <w:ind w:firstLine="480" w:firstLineChars="200"/>
        <w:rPr>
          <w:rFonts w:hint="eastAsia"/>
          <w:b w:val="0"/>
          <w:bCs w:val="0"/>
          <w:sz w:val="24"/>
          <w:szCs w:val="24"/>
          <w:lang w:val="en-US" w:eastAsia="en-US"/>
        </w:rPr>
      </w:pPr>
      <w:r>
        <w:rPr>
          <w:rFonts w:hint="eastAsia"/>
          <w:b w:val="0"/>
          <w:bCs w:val="0"/>
          <w:sz w:val="24"/>
          <w:szCs w:val="24"/>
          <w:lang w:val="en-US" w:eastAsia="en-US"/>
        </w:rPr>
        <w:t>整体技术要求：</w:t>
      </w:r>
    </w:p>
    <w:p w14:paraId="0A1E7B90">
      <w:pPr>
        <w:bidi w:val="0"/>
        <w:spacing w:line="360" w:lineRule="auto"/>
        <w:ind w:firstLine="480" w:firstLineChars="200"/>
        <w:rPr>
          <w:rFonts w:hint="eastAsia" w:cs="宋体"/>
          <w:b w:val="0"/>
          <w:bCs w:val="0"/>
          <w:sz w:val="24"/>
          <w:szCs w:val="24"/>
          <w:lang w:val="en-US" w:eastAsia="en-US"/>
        </w:rPr>
      </w:pPr>
      <w:r>
        <w:rPr>
          <w:rFonts w:hint="eastAsia" w:cs="宋体"/>
          <w:b w:val="0"/>
          <w:bCs w:val="0"/>
          <w:sz w:val="24"/>
          <w:szCs w:val="24"/>
          <w:lang w:val="en-US" w:eastAsia="zh-CN"/>
        </w:rPr>
        <w:t>（1）在元宝山区医共体内应用，</w:t>
      </w:r>
      <w:r>
        <w:rPr>
          <w:rFonts w:hint="eastAsia" w:cs="宋体"/>
          <w:b w:val="0"/>
          <w:bCs w:val="0"/>
          <w:sz w:val="24"/>
          <w:szCs w:val="24"/>
          <w:lang w:val="en-US" w:eastAsia="en-US"/>
        </w:rPr>
        <w:t>不限制接入基层医疗机构</w:t>
      </w:r>
      <w:r>
        <w:rPr>
          <w:rFonts w:hint="eastAsia" w:cs="宋体"/>
          <w:b w:val="0"/>
          <w:bCs w:val="0"/>
          <w:sz w:val="24"/>
          <w:szCs w:val="24"/>
          <w:lang w:val="en-US" w:eastAsia="zh-CN"/>
        </w:rPr>
        <w:t>数量与</w:t>
      </w:r>
      <w:r>
        <w:rPr>
          <w:rFonts w:hint="eastAsia" w:cs="宋体"/>
          <w:b w:val="0"/>
          <w:bCs w:val="0"/>
          <w:sz w:val="24"/>
          <w:szCs w:val="24"/>
          <w:lang w:val="en-US" w:eastAsia="en-US"/>
        </w:rPr>
        <w:t>检验设备数量。</w:t>
      </w:r>
    </w:p>
    <w:p w14:paraId="37008BE6">
      <w:pPr>
        <w:bidi w:val="0"/>
        <w:spacing w:line="360" w:lineRule="auto"/>
        <w:ind w:firstLine="480" w:firstLineChars="200"/>
        <w:rPr>
          <w:rFonts w:hint="default" w:cs="宋体"/>
          <w:b w:val="0"/>
          <w:bCs w:val="0"/>
          <w:sz w:val="24"/>
          <w:szCs w:val="24"/>
          <w:lang w:val="en-US" w:eastAsia="zh-CN"/>
        </w:rPr>
      </w:pPr>
      <w:r>
        <w:rPr>
          <w:rFonts w:hint="eastAsia" w:cs="宋体"/>
          <w:b w:val="0"/>
          <w:bCs w:val="0"/>
          <w:sz w:val="24"/>
          <w:szCs w:val="24"/>
          <w:lang w:val="en-US" w:eastAsia="zh-CN"/>
        </w:rPr>
        <w:t>（2）须支持适配国产化数据库、服务器、操作系统，</w:t>
      </w:r>
      <w:r>
        <w:rPr>
          <w:rFonts w:hint="eastAsia" w:cs="宋体"/>
          <w:b w:val="0"/>
          <w:bCs w:val="0"/>
          <w:sz w:val="24"/>
          <w:szCs w:val="24"/>
          <w:lang w:val="en-US" w:eastAsia="en-US"/>
        </w:rPr>
        <w:t>本地私有化部署</w:t>
      </w:r>
      <w:r>
        <w:rPr>
          <w:rFonts w:hint="eastAsia" w:cs="宋体"/>
          <w:b w:val="0"/>
          <w:bCs w:val="0"/>
          <w:sz w:val="24"/>
          <w:szCs w:val="24"/>
          <w:lang w:val="en-US" w:eastAsia="zh-CN"/>
        </w:rPr>
        <w:t>。</w:t>
      </w:r>
    </w:p>
    <w:p w14:paraId="7FBFF8B5">
      <w:pPr>
        <w:bidi w:val="0"/>
        <w:spacing w:line="360" w:lineRule="auto"/>
        <w:ind w:firstLine="480" w:firstLineChars="200"/>
        <w:rPr>
          <w:rFonts w:hint="default" w:cs="宋体"/>
          <w:b w:val="0"/>
          <w:bCs w:val="0"/>
          <w:sz w:val="24"/>
          <w:szCs w:val="24"/>
          <w:lang w:val="en-US" w:eastAsia="zh-CN"/>
        </w:rPr>
      </w:pPr>
      <w:r>
        <w:rPr>
          <w:rFonts w:hint="eastAsia" w:cs="宋体"/>
          <w:b w:val="0"/>
          <w:bCs w:val="0"/>
          <w:sz w:val="24"/>
          <w:szCs w:val="24"/>
          <w:lang w:val="en-US" w:eastAsia="zh-CN"/>
        </w:rPr>
        <w:t>（3）须</w:t>
      </w:r>
      <w:r>
        <w:rPr>
          <w:rFonts w:hint="eastAsia" w:cs="宋体"/>
          <w:b w:val="0"/>
          <w:bCs w:val="0"/>
          <w:sz w:val="24"/>
          <w:szCs w:val="24"/>
          <w:lang w:val="en-US" w:eastAsia="en-US"/>
        </w:rPr>
        <w:t>与医共体区域医疗服务系统、各机构HIS\EMR\PACS\体检\慢病管理\公卫系统的对接和数据回写，实现病人信息与检验信息的信息化流转及临床科室对检验数据的调阅</w:t>
      </w:r>
      <w:r>
        <w:rPr>
          <w:rFonts w:hint="eastAsia" w:cs="宋体"/>
          <w:b w:val="0"/>
          <w:bCs w:val="0"/>
          <w:sz w:val="24"/>
          <w:szCs w:val="24"/>
          <w:lang w:val="en-US" w:eastAsia="zh-CN"/>
        </w:rPr>
        <w:t>及界面集成</w:t>
      </w:r>
      <w:r>
        <w:rPr>
          <w:rFonts w:hint="eastAsia" w:cs="宋体"/>
          <w:b w:val="0"/>
          <w:bCs w:val="0"/>
          <w:sz w:val="24"/>
          <w:szCs w:val="24"/>
          <w:lang w:val="en-US" w:eastAsia="en-US"/>
        </w:rPr>
        <w:t>。并且支持检验报告对接基层卫生院自助终端完成检验报告自</w:t>
      </w:r>
      <w:r>
        <w:rPr>
          <w:rFonts w:hint="eastAsia" w:cs="宋体"/>
          <w:b w:val="0"/>
          <w:bCs w:val="0"/>
          <w:sz w:val="24"/>
          <w:szCs w:val="24"/>
          <w:lang w:val="en-US" w:eastAsia="zh-CN"/>
        </w:rPr>
        <w:t>助</w:t>
      </w:r>
      <w:r>
        <w:rPr>
          <w:rFonts w:hint="eastAsia" w:cs="宋体"/>
          <w:b w:val="0"/>
          <w:bCs w:val="0"/>
          <w:sz w:val="24"/>
          <w:szCs w:val="24"/>
          <w:lang w:val="en-US" w:eastAsia="en-US"/>
        </w:rPr>
        <w:t>打印。</w:t>
      </w:r>
    </w:p>
    <w:p w14:paraId="41F1CCDC">
      <w:pPr>
        <w:bidi w:val="0"/>
        <w:spacing w:line="360" w:lineRule="auto"/>
        <w:ind w:firstLine="480" w:firstLineChars="200"/>
        <w:rPr>
          <w:rFonts w:hint="eastAsia" w:cs="宋体"/>
          <w:b w:val="0"/>
          <w:bCs w:val="0"/>
          <w:sz w:val="24"/>
          <w:szCs w:val="24"/>
          <w:lang w:val="en-US" w:eastAsia="zh-CN"/>
        </w:rPr>
      </w:pPr>
      <w:r>
        <w:rPr>
          <w:rFonts w:hint="eastAsia" w:cs="宋体"/>
          <w:b w:val="0"/>
          <w:bCs w:val="0"/>
          <w:sz w:val="24"/>
          <w:szCs w:val="24"/>
          <w:lang w:val="en-US" w:eastAsia="zh-CN"/>
        </w:rPr>
        <w:t>（4）系统采用</w:t>
      </w:r>
      <w:r>
        <w:rPr>
          <w:rFonts w:hint="eastAsia" w:cs="宋体"/>
          <w:b w:val="0"/>
          <w:bCs w:val="0"/>
          <w:sz w:val="24"/>
          <w:szCs w:val="24"/>
          <w:lang w:val="en-US" w:eastAsia="en-US"/>
        </w:rPr>
        <w:t>集中式部署模式</w:t>
      </w:r>
      <w:r>
        <w:rPr>
          <w:rFonts w:hint="eastAsia" w:cs="宋体"/>
          <w:b w:val="0"/>
          <w:bCs w:val="0"/>
          <w:sz w:val="24"/>
          <w:szCs w:val="24"/>
          <w:lang w:val="en-US" w:eastAsia="zh-CN"/>
        </w:rPr>
        <w:t>，</w:t>
      </w:r>
      <w:r>
        <w:rPr>
          <w:rFonts w:hint="eastAsia" w:cs="宋体"/>
          <w:b w:val="0"/>
          <w:bCs w:val="0"/>
          <w:sz w:val="24"/>
          <w:szCs w:val="24"/>
          <w:lang w:val="en-US" w:eastAsia="en-US"/>
        </w:rPr>
        <w:t>基层医疗机构不再需要进行专门的业务系统部署，仅需完成业务终端部署</w:t>
      </w:r>
      <w:r>
        <w:rPr>
          <w:rFonts w:hint="eastAsia" w:cs="宋体"/>
          <w:b w:val="0"/>
          <w:bCs w:val="0"/>
          <w:sz w:val="24"/>
          <w:szCs w:val="24"/>
          <w:lang w:val="en-US" w:eastAsia="zh-CN"/>
        </w:rPr>
        <w:t>。</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715DC3C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2DD8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37719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E3D29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470ED06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76BDA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检验前管理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DDC9A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获取检验申请</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72C56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支持门诊或体检人员通过条码号提取HIS已收费或体检系统检验项目，根据LIS分单类别自动分单后打印出条码标签贴在试管上进行采血。</w:t>
            </w:r>
          </w:p>
          <w:p w14:paraId="6A4A35C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住院条码可根据病区获取统一打印条码或者每个病人打印条码的方式。</w:t>
            </w:r>
          </w:p>
        </w:tc>
      </w:tr>
      <w:tr w14:paraId="1C67404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AA797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6877F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检验标签的管理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2C1C2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支持打印条码与预置条码两种模式。</w:t>
            </w:r>
          </w:p>
          <w:p w14:paraId="7A3EFF8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条码打印：护士站提取HIS检验申请按照LIS分单类别自动生成条码，打印条码标签贴在试管上进行标本采集，条码标签应包含临检常用信息。</w:t>
            </w:r>
          </w:p>
          <w:p w14:paraId="1E99AFF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条码打印支持在单界面读卡，条码打印即可，减少操作流程。</w:t>
            </w:r>
          </w:p>
          <w:p w14:paraId="610F77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打印条码时检验申请项目自动归类，自动提示管型、标本采集量、采样要求等。</w:t>
            </w:r>
          </w:p>
          <w:p w14:paraId="31421D0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支持不同专业的项目合并和不同分类的条码可以打印不同样式的标签。（提供功能截图）</w:t>
            </w:r>
          </w:p>
          <w:p w14:paraId="6AC9AD2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支持自动按照标本类型、采集要求、检验项目等条件条码合并和拆分。</w:t>
            </w:r>
          </w:p>
          <w:p w14:paraId="25FC965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7.</w:t>
            </w:r>
            <w:r>
              <w:rPr>
                <w:rFonts w:hint="eastAsia" w:ascii="宋体" w:hAnsi="宋体" w:eastAsia="宋体" w:cs="宋体"/>
                <w:sz w:val="21"/>
                <w:szCs w:val="21"/>
                <w:lang w:val="en-US" w:eastAsia="en-US" w:bidi="ar-SA"/>
              </w:rPr>
              <w:t>支持敏感患者脱敏展现（如：姓名、性别、年龄、科室、床号等以**显示）和患者敏感信息如身份证号码、电话等进行数据库加密存储，从而避免病人信息的泄露。</w:t>
            </w:r>
          </w:p>
        </w:tc>
      </w:tr>
      <w:tr w14:paraId="2BFC46E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A5A02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D644F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采血</w:t>
            </w:r>
          </w:p>
          <w:p w14:paraId="1583F03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98AA1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自动显示提醒采血管颜色、采血量；</w:t>
            </w:r>
          </w:p>
          <w:p w14:paraId="503B5C0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支持标本全流程查询，可查看标本绑定，签收，入库，发布报告、撤销、拒绝等信息。</w:t>
            </w:r>
          </w:p>
        </w:tc>
      </w:tr>
      <w:tr w14:paraId="58F83E2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77EDD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DA574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仪器通讯接口</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24EF9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1.支持检验设备</w:t>
            </w:r>
            <w:r>
              <w:rPr>
                <w:rFonts w:hint="eastAsia" w:ascii="宋体" w:hAnsi="宋体" w:eastAsia="宋体" w:cs="宋体"/>
                <w:sz w:val="21"/>
                <w:szCs w:val="21"/>
                <w:lang w:val="en-US" w:eastAsia="en-US" w:bidi="ar-SA"/>
              </w:rPr>
              <w:t>单向、双向通讯，可以实现仪器条形码自动识别；</w:t>
            </w:r>
          </w:p>
          <w:p w14:paraId="044C27B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具备通讯接口设备连接率100%，可以实现仪器报警信息采集；</w:t>
            </w:r>
          </w:p>
          <w:p w14:paraId="3DD69AE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3.支持标本</w:t>
            </w:r>
            <w:r>
              <w:rPr>
                <w:rFonts w:hint="eastAsia" w:ascii="宋体" w:hAnsi="宋体" w:eastAsia="宋体" w:cs="宋体"/>
                <w:sz w:val="21"/>
                <w:szCs w:val="21"/>
                <w:lang w:val="en-US" w:eastAsia="en-US" w:bidi="ar-SA"/>
              </w:rPr>
              <w:t>上机时间、检验完成时间采集；</w:t>
            </w:r>
          </w:p>
          <w:p w14:paraId="47B515D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4.支持</w:t>
            </w:r>
            <w:r>
              <w:rPr>
                <w:rFonts w:hint="eastAsia" w:ascii="宋体" w:hAnsi="宋体" w:eastAsia="宋体" w:cs="宋体"/>
                <w:sz w:val="21"/>
                <w:szCs w:val="21"/>
                <w:lang w:val="en-US" w:eastAsia="en-US" w:bidi="ar-SA"/>
              </w:rPr>
              <w:t>一台设备向多个检验单元传送数据；</w:t>
            </w:r>
          </w:p>
          <w:p w14:paraId="79A1D2B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5.支持</w:t>
            </w:r>
            <w:r>
              <w:rPr>
                <w:rFonts w:hint="eastAsia" w:ascii="宋体" w:hAnsi="宋体" w:eastAsia="宋体" w:cs="宋体"/>
                <w:sz w:val="21"/>
                <w:szCs w:val="21"/>
                <w:lang w:val="en-US" w:eastAsia="en-US" w:bidi="ar-SA"/>
              </w:rPr>
              <w:t>质控数据采集。</w:t>
            </w:r>
          </w:p>
          <w:p w14:paraId="26CF0EA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6.支持</w:t>
            </w:r>
            <w:r>
              <w:rPr>
                <w:rFonts w:hint="eastAsia" w:ascii="宋体" w:hAnsi="宋体" w:eastAsia="宋体" w:cs="宋体"/>
                <w:sz w:val="21"/>
                <w:szCs w:val="21"/>
                <w:lang w:val="en-US" w:eastAsia="en-US" w:bidi="ar-SA"/>
              </w:rPr>
              <w:t>LIS与平台/HIS</w:t>
            </w:r>
            <w:r>
              <w:rPr>
                <w:rFonts w:hint="eastAsia" w:ascii="宋体" w:hAnsi="宋体" w:eastAsia="宋体" w:cs="宋体"/>
                <w:sz w:val="21"/>
                <w:szCs w:val="21"/>
                <w:lang w:val="en-US" w:eastAsia="zh-CN" w:bidi="ar-SA"/>
              </w:rPr>
              <w:t>、EMR等系统</w:t>
            </w:r>
            <w:r>
              <w:rPr>
                <w:rFonts w:hint="eastAsia" w:ascii="宋体" w:hAnsi="宋体" w:eastAsia="宋体" w:cs="宋体"/>
                <w:sz w:val="21"/>
                <w:szCs w:val="21"/>
                <w:lang w:val="en-US" w:eastAsia="en-US" w:bidi="ar-SA"/>
              </w:rPr>
              <w:t>多样化对接</w:t>
            </w:r>
            <w:r>
              <w:rPr>
                <w:rFonts w:hint="eastAsia" w:ascii="宋体" w:hAnsi="宋体" w:eastAsia="宋体" w:cs="宋体"/>
                <w:sz w:val="21"/>
                <w:szCs w:val="21"/>
                <w:lang w:val="en-US" w:eastAsia="zh-CN" w:bidi="ar-SA"/>
              </w:rPr>
              <w:t>，例如：</w:t>
            </w:r>
            <w:r>
              <w:rPr>
                <w:rFonts w:hint="eastAsia" w:ascii="宋体" w:hAnsi="宋体" w:eastAsia="宋体" w:cs="宋体"/>
                <w:sz w:val="21"/>
                <w:szCs w:val="21"/>
                <w:lang w:val="en-US" w:eastAsia="en-US" w:bidi="ar-SA"/>
              </w:rPr>
              <w:t>SQL直连，webservice等。</w:t>
            </w:r>
          </w:p>
        </w:tc>
      </w:tr>
      <w:tr w14:paraId="2F947CF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5888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检验中管理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24DB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标本</w:t>
            </w:r>
          </w:p>
          <w:p w14:paraId="1FF3AC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签收</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5D6285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支持标本签收时自动判断标本是否进行了采样确认，如果没有进行采样确认，自动提醒是否进行拒收。</w:t>
            </w:r>
          </w:p>
          <w:p w14:paraId="3826E88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支持对加急标本，异常签收标本弹窗提醒。</w:t>
            </w:r>
          </w:p>
          <w:p w14:paraId="2A35037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支持标本核收时自动判断标本是否送检超时（超过项目规定的送检时间），如果超时，则自动提醒标本送检超时是否拒收。</w:t>
            </w:r>
          </w:p>
          <w:p w14:paraId="51462C1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支持对于加急标本的病人姓名，性别以及加急勾选均显示醒目颜色</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并且在界面的标本列本中有加急直观标识急查标本，方便医护人员紧急处理。</w:t>
            </w:r>
          </w:p>
        </w:tc>
      </w:tr>
      <w:tr w14:paraId="6FE9BF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C21D7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9E516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标本</w:t>
            </w:r>
          </w:p>
          <w:p w14:paraId="206963F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上机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981C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支持手工编号登记、系统自动登记（按标本号、条码号等）等模式</w:t>
            </w:r>
            <w:r>
              <w:rPr>
                <w:rFonts w:hint="eastAsia" w:ascii="宋体" w:hAnsi="宋体" w:eastAsia="宋体" w:cs="宋体"/>
                <w:sz w:val="21"/>
                <w:szCs w:val="21"/>
                <w:lang w:val="en-US" w:eastAsia="zh-CN" w:bidi="ar-SA"/>
              </w:rPr>
              <w:t>。</w:t>
            </w:r>
          </w:p>
          <w:p w14:paraId="634B6F8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支持检测后：批量修改、批量增加、批量录入。</w:t>
            </w:r>
          </w:p>
          <w:p w14:paraId="4C7B10D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支持糖耐量/2H血糖合并:手工操作单个病人进行合并，多个标本一个项目合并为一个标本。</w:t>
            </w:r>
          </w:p>
          <w:p w14:paraId="723B096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支持手工修改仪器检测结果需要支持记录修改原因。</w:t>
            </w:r>
          </w:p>
          <w:p w14:paraId="11B4D38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支持系统自动从仪器接口获取检验结果。</w:t>
            </w:r>
          </w:p>
        </w:tc>
      </w:tr>
      <w:tr w14:paraId="3FFB858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51EB3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DEEAB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不合格标本</w:t>
            </w:r>
          </w:p>
          <w:p w14:paraId="2F6B582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1E4DB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不合格标本类型标准化，包括：标本容器错误、标本类型错误、标本采集量不合格、标本容器损坏、标本丢失、标签损坏、脂血、溶血、抗凝标本凝集、微生物标本污染、采集时机不准确、运转时间不当、运转温度不当、信息错误、信息与完整、其它等；</w:t>
            </w:r>
          </w:p>
          <w:p w14:paraId="70D6398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支持用户自定义不合格类型并与标准作对照；</w:t>
            </w:r>
          </w:p>
          <w:p w14:paraId="23CDAD7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支持不合格标本退回和部分不合格标本登记备注信息；</w:t>
            </w:r>
          </w:p>
          <w:p w14:paraId="76F84AD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支持不合格标本临床提醒、确认作废等操作。</w:t>
            </w:r>
          </w:p>
        </w:tc>
      </w:tr>
      <w:tr w14:paraId="08BAD9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60C71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514D0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危急值闭环管理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01D06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支持实验室对检验危急值的及时处理、处理完毕后对检验危急值及时从网络上报告给临床，以及临床及时对危急值进行接报。（提供功能截图）</w:t>
            </w:r>
            <w:r>
              <w:rPr>
                <w:rFonts w:hint="eastAsia" w:cs="宋体"/>
                <w:sz w:val="21"/>
                <w:szCs w:val="21"/>
                <w:lang w:val="en-US" w:eastAsia="zh-CN" w:bidi="ar-SA"/>
              </w:rPr>
              <w:t>；</w:t>
            </w:r>
          </w:p>
          <w:p w14:paraId="7DAF706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2.支持</w:t>
            </w:r>
            <w:r>
              <w:rPr>
                <w:rFonts w:hint="eastAsia" w:ascii="宋体" w:hAnsi="宋体" w:eastAsia="宋体" w:cs="宋体"/>
                <w:sz w:val="21"/>
                <w:szCs w:val="21"/>
                <w:lang w:val="en-US" w:eastAsia="en-US" w:bidi="ar-SA"/>
              </w:rPr>
              <w:t>危急值规则设置、预警、感知、处理、报告、接报/反馈全过程理；</w:t>
            </w:r>
          </w:p>
          <w:p w14:paraId="2DE5FE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w:t>
            </w:r>
            <w:r>
              <w:rPr>
                <w:rFonts w:hint="eastAsia" w:ascii="宋体" w:hAnsi="宋体" w:eastAsia="宋体" w:cs="宋体"/>
                <w:sz w:val="21"/>
                <w:szCs w:val="21"/>
                <w:lang w:val="en-US" w:eastAsia="en-US" w:bidi="ar-SA"/>
              </w:rPr>
              <w:t>提供门诊、体检危急值集中地回报；</w:t>
            </w:r>
            <w:r>
              <w:rPr>
                <w:rFonts w:hint="eastAsia" w:ascii="宋体" w:hAnsi="宋体" w:eastAsia="宋体" w:cs="宋体"/>
                <w:sz w:val="21"/>
                <w:szCs w:val="21"/>
                <w:lang w:val="en-US" w:eastAsia="zh-CN" w:bidi="ar-SA"/>
              </w:rPr>
              <w:t>例如</w:t>
            </w:r>
            <w:r>
              <w:rPr>
                <w:rFonts w:hint="eastAsia" w:ascii="宋体" w:hAnsi="宋体" w:eastAsia="宋体" w:cs="宋体"/>
                <w:sz w:val="21"/>
                <w:szCs w:val="21"/>
                <w:lang w:val="en-US" w:eastAsia="en-US" w:bidi="ar-SA"/>
              </w:rPr>
              <w:t>在门诊部设置危急值接收终端，将门诊危急值发送到门诊部，通知门诊部联系患者并作处理登记</w:t>
            </w:r>
            <w:r>
              <w:rPr>
                <w:rFonts w:hint="eastAsia" w:cs="宋体"/>
                <w:sz w:val="21"/>
                <w:szCs w:val="21"/>
                <w:lang w:val="en-US" w:eastAsia="zh-CN" w:bidi="ar-SA"/>
              </w:rPr>
              <w:t>；</w:t>
            </w:r>
          </w:p>
          <w:p w14:paraId="13B5C8F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临床接报通过临床消息终端进行显示和处理，如果是一级报警将自动弹出消息窗口到工作站前端，如果是二、三级报警将以闪烁形式在工作站右下角显示；临床消息终端可以直接进行接报/回馈、转科、危急值报告单打印、危急值信息复制等操作，可以对历史危急值进行查询浏览，并可形成危急值清单存档和打印</w:t>
            </w:r>
            <w:r>
              <w:rPr>
                <w:rFonts w:hint="eastAsia" w:cs="宋体"/>
                <w:sz w:val="21"/>
                <w:szCs w:val="21"/>
                <w:lang w:val="en-US" w:eastAsia="zh-CN" w:bidi="ar-SA"/>
              </w:rPr>
              <w:t>；</w:t>
            </w:r>
          </w:p>
          <w:p w14:paraId="53F909B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支持能完整准确记录以下时间及时间差：检验危急值报警时间-检验危急值被感知时间-检验危急值复核完成时间-检验危急值报告时间-临床危急值阅读时间-报警-被感知时间差-报警-报告时间差-阅读-报告时间差</w:t>
            </w:r>
            <w:r>
              <w:rPr>
                <w:rFonts w:hint="eastAsia" w:cs="宋体"/>
                <w:sz w:val="21"/>
                <w:szCs w:val="21"/>
                <w:lang w:val="en-US" w:eastAsia="zh-CN" w:bidi="ar-SA"/>
              </w:rPr>
              <w:t>；</w:t>
            </w:r>
          </w:p>
          <w:p w14:paraId="4A4AE2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支持根据病人的年龄、性别、标本种类、科别、临床诊断来分别设定危急值</w:t>
            </w:r>
            <w:r>
              <w:rPr>
                <w:rFonts w:hint="eastAsia" w:cs="宋体"/>
                <w:sz w:val="21"/>
                <w:szCs w:val="21"/>
                <w:lang w:val="en-US" w:eastAsia="zh-CN" w:bidi="ar-SA"/>
              </w:rPr>
              <w:t>；</w:t>
            </w:r>
          </w:p>
          <w:p w14:paraId="3BC997F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w:t>
            </w:r>
            <w:r>
              <w:rPr>
                <w:rFonts w:hint="eastAsia" w:ascii="宋体" w:hAnsi="宋体" w:eastAsia="宋体" w:cs="宋体"/>
                <w:sz w:val="21"/>
                <w:szCs w:val="21"/>
                <w:lang w:val="en-US" w:eastAsia="en-US" w:bidi="ar-SA"/>
              </w:rPr>
              <w:t>支持仪器分析完成后将数据传送到LIS系统，LIS系统能根据危急值规则对危急值进行预警</w:t>
            </w:r>
            <w:r>
              <w:rPr>
                <w:rFonts w:hint="eastAsia" w:cs="宋体"/>
                <w:sz w:val="21"/>
                <w:szCs w:val="21"/>
                <w:lang w:val="en-US" w:eastAsia="zh-CN" w:bidi="ar-SA"/>
              </w:rPr>
              <w:t>；</w:t>
            </w:r>
          </w:p>
          <w:p w14:paraId="0792889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8.</w:t>
            </w:r>
            <w:r>
              <w:rPr>
                <w:rFonts w:hint="eastAsia" w:ascii="宋体" w:hAnsi="宋体" w:eastAsia="宋体" w:cs="宋体"/>
                <w:sz w:val="21"/>
                <w:szCs w:val="21"/>
                <w:lang w:val="en-US" w:eastAsia="en-US" w:bidi="ar-SA"/>
              </w:rPr>
              <w:t>支持危急值预警信息、超时报警信息均可以通过大屏幕和工作站消息终端进行显示，超时报警形式将以更加强烈形式进行提示。工作站消息终端直接可以进行进一步处理，处理的动作包括感知确认、危急值消除、复查、报告、电话报告登记等操作</w:t>
            </w:r>
            <w:r>
              <w:rPr>
                <w:rFonts w:hint="eastAsia" w:cs="宋体"/>
                <w:sz w:val="21"/>
                <w:szCs w:val="21"/>
                <w:lang w:val="en-US" w:eastAsia="zh-CN" w:bidi="ar-SA"/>
              </w:rPr>
              <w:t>；</w:t>
            </w:r>
          </w:p>
          <w:p w14:paraId="44E5FCA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9.</w:t>
            </w:r>
            <w:r>
              <w:rPr>
                <w:rFonts w:hint="eastAsia" w:ascii="宋体" w:hAnsi="宋体" w:eastAsia="宋体" w:cs="宋体"/>
                <w:sz w:val="21"/>
                <w:szCs w:val="21"/>
                <w:lang w:val="en-US" w:eastAsia="en-US" w:bidi="ar-SA"/>
              </w:rPr>
              <w:t>支持项目结果为危急值时，为了医护人员更直观清楚的看到，整个项目名称显示用醒目颜色来提示，方便医护人员直观看到</w:t>
            </w:r>
            <w:r>
              <w:rPr>
                <w:rFonts w:hint="eastAsia" w:cs="宋体"/>
                <w:sz w:val="21"/>
                <w:szCs w:val="21"/>
                <w:lang w:val="en-US" w:eastAsia="zh-CN" w:bidi="ar-SA"/>
              </w:rPr>
              <w:t>；</w:t>
            </w:r>
          </w:p>
          <w:p w14:paraId="06BA01A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10.</w:t>
            </w:r>
            <w:r>
              <w:rPr>
                <w:rFonts w:hint="eastAsia" w:ascii="宋体" w:hAnsi="宋体" w:eastAsia="宋体" w:cs="宋体"/>
                <w:sz w:val="21"/>
                <w:szCs w:val="21"/>
                <w:lang w:val="en-US" w:eastAsia="en-US" w:bidi="ar-SA"/>
              </w:rPr>
              <w:t>支持形成多样化的危急值分析报表，满足管理要求</w:t>
            </w:r>
            <w:r>
              <w:rPr>
                <w:rFonts w:hint="eastAsia" w:cs="宋体"/>
                <w:sz w:val="21"/>
                <w:szCs w:val="21"/>
                <w:lang w:val="en-US" w:eastAsia="zh-CN" w:bidi="ar-SA"/>
              </w:rPr>
              <w:t>；</w:t>
            </w:r>
          </w:p>
          <w:p w14:paraId="224CF26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11.</w:t>
            </w:r>
            <w:r>
              <w:rPr>
                <w:rFonts w:hint="eastAsia" w:ascii="宋体" w:hAnsi="宋体" w:eastAsia="宋体" w:cs="宋体"/>
                <w:sz w:val="21"/>
                <w:szCs w:val="21"/>
                <w:lang w:val="en-US" w:eastAsia="en-US" w:bidi="ar-SA"/>
              </w:rPr>
              <w:t>支持提供危急值回报第三方平台接口和短信、微信等回报形式接口。</w:t>
            </w:r>
          </w:p>
        </w:tc>
      </w:tr>
      <w:tr w14:paraId="66430EC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31FEF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w:t>
            </w:r>
          </w:p>
          <w:p w14:paraId="2A966B5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后管理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9B71A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质控</w:t>
            </w:r>
          </w:p>
          <w:p w14:paraId="43EF008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F72B5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Levey-Jennings质控、Westgrat多规则质控、微生物质量控制、室间或室内质控比对、月、季、年的质控总结分析、失控自动报警、质控数据自动分析、失控处理、质控规则自定义管理、与临检中心质控系统接口的自动上传</w:t>
            </w:r>
            <w:r>
              <w:rPr>
                <w:rFonts w:hint="eastAsia" w:cs="宋体"/>
                <w:sz w:val="21"/>
                <w:szCs w:val="21"/>
                <w:lang w:val="en-US" w:eastAsia="zh-CN" w:bidi="ar-SA"/>
              </w:rPr>
              <w:t>；</w:t>
            </w:r>
          </w:p>
          <w:p w14:paraId="45ABE69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支持质控多规则、质控图、质控数据查询、质控报警等功能。</w:t>
            </w:r>
          </w:p>
        </w:tc>
      </w:tr>
      <w:tr w14:paraId="3792E25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17D697">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BFBC6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实验室统计</w:t>
            </w:r>
          </w:p>
          <w:p w14:paraId="509DCA0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分析</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1E219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支持检验数据综合统计，支持按照申请项目，报告项目等多元素综合统计</w:t>
            </w:r>
            <w:r>
              <w:rPr>
                <w:rFonts w:hint="eastAsia" w:cs="宋体"/>
                <w:sz w:val="21"/>
                <w:szCs w:val="21"/>
                <w:lang w:val="en-US" w:eastAsia="zh-CN" w:bidi="ar-SA"/>
              </w:rPr>
              <w:t>；</w:t>
            </w:r>
          </w:p>
          <w:p w14:paraId="5BE27FE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支持临床检验专业医疗质量控制指标统计分析。</w:t>
            </w:r>
          </w:p>
        </w:tc>
      </w:tr>
      <w:tr w14:paraId="57D26F5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F26C83">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4EF3E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报告</w:t>
            </w:r>
          </w:p>
          <w:p w14:paraId="773E49F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508E44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1.支持报告分</w:t>
            </w:r>
            <w:r>
              <w:rPr>
                <w:rFonts w:hint="eastAsia" w:ascii="宋体" w:hAnsi="宋体" w:eastAsia="宋体" w:cs="宋体"/>
                <w:sz w:val="21"/>
                <w:szCs w:val="21"/>
                <w:lang w:val="en-US" w:eastAsia="en-US" w:bidi="ar-SA"/>
              </w:rPr>
              <w:t>一般报告、图文报告、门诊自助取单报告、临床报告等</w:t>
            </w:r>
            <w:r>
              <w:rPr>
                <w:rFonts w:hint="eastAsia" w:cs="宋体"/>
                <w:sz w:val="21"/>
                <w:szCs w:val="21"/>
                <w:lang w:val="en-US" w:eastAsia="zh-CN" w:bidi="ar-SA"/>
              </w:rPr>
              <w:t>；</w:t>
            </w:r>
          </w:p>
          <w:p w14:paraId="5678158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支持自动从仪器或手工录入数据生成初步报告</w:t>
            </w:r>
            <w:r>
              <w:rPr>
                <w:rFonts w:hint="eastAsia" w:cs="宋体"/>
                <w:sz w:val="21"/>
                <w:szCs w:val="21"/>
                <w:lang w:val="en-US" w:eastAsia="zh-CN" w:bidi="ar-SA"/>
              </w:rPr>
              <w:t>；</w:t>
            </w:r>
          </w:p>
          <w:p w14:paraId="59B05A9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支持报告多级审核机制、异常结果标记与提示、历史结果对比功能、审核电子签名</w:t>
            </w:r>
            <w:r>
              <w:rPr>
                <w:rFonts w:hint="eastAsia" w:cs="宋体"/>
                <w:sz w:val="21"/>
                <w:szCs w:val="21"/>
                <w:lang w:val="en-US" w:eastAsia="zh-CN" w:bidi="ar-SA"/>
              </w:rPr>
              <w:t>；</w:t>
            </w:r>
          </w:p>
          <w:p w14:paraId="2EFFEDB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支持多种发布渠道（打印、电子等）、报告状态管理（已审核、已发布等）、紧急结果优先处理与通知</w:t>
            </w:r>
            <w:r>
              <w:rPr>
                <w:rFonts w:hint="eastAsia" w:cs="宋体"/>
                <w:sz w:val="21"/>
                <w:szCs w:val="21"/>
                <w:lang w:val="en-US" w:eastAsia="zh-CN" w:bidi="ar-SA"/>
              </w:rPr>
              <w:t>；</w:t>
            </w:r>
          </w:p>
          <w:p w14:paraId="704CBA8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支持多条件组合报告查询与检索、快速检索功能、历史报告对比查看</w:t>
            </w:r>
            <w:r>
              <w:rPr>
                <w:rFonts w:hint="eastAsia" w:cs="宋体"/>
                <w:sz w:val="21"/>
                <w:szCs w:val="21"/>
                <w:lang w:val="en-US" w:eastAsia="zh-CN" w:bidi="ar-SA"/>
              </w:rPr>
              <w:t>；</w:t>
            </w:r>
          </w:p>
          <w:p w14:paraId="2A2B53E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支持报告修改与追溯，支持查看修改记录、版本控制、修改原因记录。</w:t>
            </w:r>
          </w:p>
        </w:tc>
      </w:tr>
      <w:tr w14:paraId="4B2031C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831FB8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524DC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查询</w:t>
            </w:r>
          </w:p>
          <w:p w14:paraId="24763AC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打印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0AF1C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支持门急诊病人自助打印报告；</w:t>
            </w:r>
          </w:p>
          <w:p w14:paraId="5597086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支持门诊急病人通过综合服务台打印报告；</w:t>
            </w:r>
          </w:p>
          <w:p w14:paraId="43E88FA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支持住院工作站直接查询和打印检验报告；</w:t>
            </w:r>
          </w:p>
          <w:p w14:paraId="0018019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支持同一专业门诊病人和住院病人采用不同尺寸的报告单。</w:t>
            </w:r>
          </w:p>
          <w:p w14:paraId="4B0BC2E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 xml:space="preserve">支持报告查看自动对同一病人多次结果进行比较 </w:t>
            </w:r>
            <w:r>
              <w:rPr>
                <w:rFonts w:hint="eastAsia" w:cs="宋体"/>
                <w:sz w:val="21"/>
                <w:szCs w:val="21"/>
                <w:lang w:val="en-US" w:eastAsia="zh-CN" w:bidi="ar-SA"/>
              </w:rPr>
              <w:t>。</w:t>
            </w:r>
          </w:p>
        </w:tc>
      </w:tr>
      <w:tr w14:paraId="5CD8AF6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B3ECA5A">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7388D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统计</w:t>
            </w:r>
          </w:p>
          <w:p w14:paraId="60D73B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51E39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支持系统能够提供月汇总检验种类工作量报表或按照报告日期、患者类型、工作小组、工作人员、检验种类、检验项目等条件任意组合生成工作量报表，方便工作人员进行工作量统计</w:t>
            </w:r>
            <w:r>
              <w:rPr>
                <w:rFonts w:hint="eastAsia" w:cs="宋体"/>
                <w:sz w:val="21"/>
                <w:szCs w:val="21"/>
                <w:lang w:val="en-US" w:eastAsia="zh-CN" w:bidi="ar-SA"/>
              </w:rPr>
              <w:t>；</w:t>
            </w:r>
          </w:p>
          <w:p w14:paraId="2E5CA85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支持系统支持按报告日期、检验种类、检验者等条件汇总检验明细项目，满足工作人员工作量统计要求</w:t>
            </w:r>
            <w:r>
              <w:rPr>
                <w:rFonts w:hint="eastAsia" w:cs="宋体"/>
                <w:sz w:val="21"/>
                <w:szCs w:val="21"/>
                <w:lang w:val="en-US" w:eastAsia="zh-CN" w:bidi="ar-SA"/>
              </w:rPr>
              <w:t>；</w:t>
            </w:r>
          </w:p>
          <w:p w14:paraId="657A98F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支持系统支持按报告日期、检验种类等条件统计危急值报告信息，方便检验科对危急值进行管控</w:t>
            </w:r>
            <w:r>
              <w:rPr>
                <w:rFonts w:hint="eastAsia" w:cs="宋体"/>
                <w:sz w:val="21"/>
                <w:szCs w:val="21"/>
                <w:lang w:val="en-US" w:eastAsia="zh-CN" w:bidi="ar-SA"/>
              </w:rPr>
              <w:t>；</w:t>
            </w:r>
          </w:p>
          <w:p w14:paraId="2397341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支持系统提供按照报告日期、患者类别、检验项目等条件检索存在阳性结果的检验报告及项目明细供科室查询使用，满足科室阳性结果管理要求。（提供功能截图）</w:t>
            </w:r>
            <w:r>
              <w:rPr>
                <w:rFonts w:hint="eastAsia" w:cs="宋体"/>
                <w:sz w:val="21"/>
                <w:szCs w:val="21"/>
                <w:lang w:val="en-US" w:eastAsia="zh-CN" w:bidi="ar-SA"/>
              </w:rPr>
              <w:t>；</w:t>
            </w:r>
          </w:p>
          <w:p w14:paraId="165B1E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支持系统提供按照报告日期、患者类别等条件汇总检验项目阳性情况供科室使用，满足科室设备阳性率管理要求</w:t>
            </w:r>
            <w:r>
              <w:rPr>
                <w:rFonts w:hint="eastAsia" w:cs="宋体"/>
                <w:sz w:val="21"/>
                <w:szCs w:val="21"/>
                <w:lang w:val="en-US" w:eastAsia="zh-CN" w:bidi="ar-SA"/>
              </w:rPr>
              <w:t>；</w:t>
            </w:r>
          </w:p>
          <w:p w14:paraId="0C00B14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支持按照工作组、报告日期、检验者、患者类型等检索条件统计检验科工作日报明细表、汇总表以及仪器分组汇总表</w:t>
            </w:r>
            <w:r>
              <w:rPr>
                <w:rFonts w:hint="eastAsia" w:cs="宋体"/>
                <w:sz w:val="21"/>
                <w:szCs w:val="21"/>
                <w:lang w:val="en-US" w:eastAsia="zh-CN" w:bidi="ar-SA"/>
              </w:rPr>
              <w:t>；</w:t>
            </w:r>
          </w:p>
          <w:p w14:paraId="41BEB2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7.支持</w:t>
            </w:r>
            <w:r>
              <w:rPr>
                <w:rFonts w:hint="eastAsia" w:ascii="宋体" w:hAnsi="宋体" w:eastAsia="宋体" w:cs="宋体"/>
                <w:sz w:val="21"/>
                <w:szCs w:val="21"/>
                <w:lang w:val="en-US" w:eastAsia="en-US" w:bidi="ar-SA"/>
              </w:rPr>
              <w:t>满足国家颁布的检验质量指标统计分析管理。</w:t>
            </w:r>
          </w:p>
        </w:tc>
      </w:tr>
      <w:tr w14:paraId="4FCC5D2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EE726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8E622A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与医共体现有第三方系统集成</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01BAD4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支持基层LIS系统与医共体各成员单位现有HIS\EMR\PACS\体检系统的接口对接</w:t>
            </w:r>
            <w:r>
              <w:rPr>
                <w:rFonts w:hint="eastAsia" w:ascii="宋体" w:hAnsi="宋体" w:eastAsia="宋体" w:cs="宋体"/>
                <w:sz w:val="21"/>
                <w:szCs w:val="21"/>
                <w:lang w:val="en-US" w:eastAsia="zh-CN" w:bidi="ar-SA"/>
              </w:rPr>
              <w:t>并包含接口服务费</w:t>
            </w:r>
            <w:r>
              <w:rPr>
                <w:rFonts w:hint="eastAsia" w:cs="宋体"/>
                <w:sz w:val="21"/>
                <w:szCs w:val="21"/>
                <w:lang w:val="en-US" w:eastAsia="zh-CN" w:bidi="ar-SA"/>
              </w:rPr>
              <w:t>；</w:t>
            </w:r>
          </w:p>
          <w:p w14:paraId="74B4488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数据接口交互有监控机制和完整的日志记录机制，可以即时监控或事后分析数据交互内容，原始完整地记录请求发起的参数以及请求返回的时间点、原始内容、耗用时间等，当接口交互发生异常时便于快速定位和排查问题。</w:t>
            </w:r>
          </w:p>
        </w:tc>
      </w:tr>
    </w:tbl>
    <w:p w14:paraId="42CCD89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6F680BF">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0" w:name="_Toc12446"/>
      <w:r>
        <w:rPr>
          <w:rFonts w:hint="eastAsia" w:cs="宋体"/>
          <w:b/>
          <w:bCs/>
          <w:sz w:val="28"/>
          <w:szCs w:val="28"/>
          <w:lang w:val="en-US" w:eastAsia="zh-CN" w:bidi="ar-SA"/>
        </w:rPr>
        <w:t>4.</w:t>
      </w:r>
      <w:r>
        <w:rPr>
          <w:rFonts w:hint="eastAsia" w:ascii="宋体" w:hAnsi="宋体" w:eastAsia="宋体" w:cs="宋体"/>
          <w:b/>
          <w:bCs/>
          <w:sz w:val="28"/>
          <w:szCs w:val="28"/>
          <w:lang w:val="en-US" w:eastAsia="en-US" w:bidi="ar-SA"/>
        </w:rPr>
        <w:t>便民惠民服务系统应用</w:t>
      </w:r>
      <w:bookmarkEnd w:id="10"/>
    </w:p>
    <w:p w14:paraId="53AE472C">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en-US" w:bidi="ar-SA"/>
        </w:rPr>
      </w:pPr>
      <w:r>
        <w:rPr>
          <w:rFonts w:hint="eastAsia" w:ascii="宋体" w:hAnsi="宋体" w:eastAsia="宋体" w:cs="宋体"/>
          <w:b w:val="0"/>
          <w:bCs w:val="0"/>
          <w:sz w:val="24"/>
          <w:szCs w:val="24"/>
          <w:lang w:val="en-US" w:eastAsia="en-US" w:bidi="ar-SA"/>
        </w:rPr>
        <w:t>整体技术要求：</w:t>
      </w:r>
    </w:p>
    <w:p w14:paraId="644DC5E8">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rPr>
          <w:rFonts w:hint="eastAsia" w:ascii="宋体" w:hAnsi="宋体" w:eastAsia="宋体" w:cs="宋体"/>
          <w:sz w:val="24"/>
          <w:szCs w:val="24"/>
          <w:lang w:val="en-US" w:eastAsia="en-US" w:bidi="ar-SA"/>
        </w:rPr>
      </w:pPr>
      <w:r>
        <w:rPr>
          <w:rFonts w:hint="eastAsia" w:cs="宋体"/>
          <w:sz w:val="24"/>
          <w:szCs w:val="24"/>
          <w:lang w:val="en-US" w:eastAsia="zh-CN" w:bidi="ar-SA"/>
        </w:rPr>
        <w:t>（1）</w:t>
      </w:r>
      <w:r>
        <w:rPr>
          <w:rFonts w:hint="eastAsia" w:ascii="宋体" w:hAnsi="宋体" w:eastAsia="宋体" w:cs="宋体"/>
          <w:sz w:val="24"/>
          <w:szCs w:val="24"/>
          <w:lang w:val="en-US" w:eastAsia="zh-CN" w:bidi="ar-SA"/>
        </w:rPr>
        <w:t>在元宝山区医共体内应用，</w:t>
      </w:r>
      <w:r>
        <w:rPr>
          <w:rFonts w:hint="eastAsia" w:ascii="宋体" w:hAnsi="宋体" w:eastAsia="宋体" w:cs="宋体"/>
          <w:sz w:val="24"/>
          <w:szCs w:val="24"/>
          <w:lang w:val="en-US" w:eastAsia="en-US" w:bidi="ar-SA"/>
        </w:rPr>
        <w:t>不限制接入基层医疗机构</w:t>
      </w:r>
      <w:r>
        <w:rPr>
          <w:rFonts w:hint="eastAsia" w:ascii="宋体" w:hAnsi="宋体" w:eastAsia="宋体" w:cs="宋体"/>
          <w:sz w:val="24"/>
          <w:szCs w:val="24"/>
          <w:lang w:val="en-US" w:eastAsia="zh-CN" w:bidi="ar-SA"/>
        </w:rPr>
        <w:t>数量和用户数量</w:t>
      </w:r>
      <w:r>
        <w:rPr>
          <w:rFonts w:hint="eastAsia" w:ascii="宋体" w:hAnsi="宋体" w:eastAsia="宋体" w:cs="宋体"/>
          <w:sz w:val="24"/>
          <w:szCs w:val="24"/>
          <w:lang w:val="en-US" w:eastAsia="en-US" w:bidi="ar-SA"/>
        </w:rPr>
        <w:t>。</w:t>
      </w:r>
    </w:p>
    <w:p w14:paraId="647AB50A">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rPr>
          <w:rFonts w:hint="eastAsia" w:ascii="宋体" w:hAnsi="宋体" w:eastAsia="宋体" w:cs="宋体"/>
          <w:sz w:val="24"/>
          <w:szCs w:val="24"/>
          <w:lang w:val="en-US" w:eastAsia="zh-CN" w:bidi="ar-SA"/>
        </w:rPr>
      </w:pPr>
      <w:r>
        <w:rPr>
          <w:rFonts w:hint="eastAsia" w:cs="宋体"/>
          <w:sz w:val="24"/>
          <w:szCs w:val="24"/>
          <w:lang w:val="en-US" w:eastAsia="zh-CN" w:bidi="ar-SA"/>
        </w:rPr>
        <w:t>（2）</w:t>
      </w:r>
      <w:r>
        <w:rPr>
          <w:rFonts w:hint="eastAsia" w:ascii="宋体" w:hAnsi="宋体" w:eastAsia="宋体" w:cs="宋体"/>
          <w:sz w:val="24"/>
          <w:szCs w:val="24"/>
          <w:lang w:val="en-US" w:eastAsia="zh-CN" w:bidi="ar-SA"/>
        </w:rPr>
        <w:t>须支持适配国产化数据库、服务器、操作系统，</w:t>
      </w:r>
      <w:r>
        <w:rPr>
          <w:rFonts w:hint="eastAsia" w:ascii="宋体" w:hAnsi="宋体" w:eastAsia="宋体" w:cs="宋体"/>
          <w:sz w:val="24"/>
          <w:szCs w:val="24"/>
          <w:lang w:val="en-US" w:eastAsia="en-US" w:bidi="ar-SA"/>
        </w:rPr>
        <w:t>本地私有化部署</w:t>
      </w:r>
      <w:r>
        <w:rPr>
          <w:rFonts w:hint="eastAsia" w:ascii="宋体" w:hAnsi="宋体" w:eastAsia="宋体" w:cs="宋体"/>
          <w:sz w:val="24"/>
          <w:szCs w:val="24"/>
          <w:lang w:val="en-US" w:eastAsia="zh-CN" w:bidi="ar-SA"/>
        </w:rPr>
        <w:t>。</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160F95B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A6EB2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EF22E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3108A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5D7ADD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F2C65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36EF8C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EFC96C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0C2E3B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F584FA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21ACCA4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健康档案建档</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CCAF9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全维度健康信息采集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FCFB4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档案内容严格遵循国家电子健康档案规范，涵盖居民全生命周期健康数据——基础身份信息（姓名、性别、年龄、身份证号、联系方式、户籍地址与现居住地址，区分常住与流动人口标识）、生活方式信息（吸烟饮酒史、饮食习惯、运动频率、睡眠状况等）、健康史（既往疾病史，含高血压、糖尿病等慢性病诊断信息；手术史、外伤史、过敏史；家族病史，含遗传疾病、恶性肿瘤等家族聚集性疾病记录）、体格检查数据（身高、体重、BMI、血压、心率、视力、听力等常规体检指标）、辅助检查结果（血常规、生化指标、影像报告、心电图等数字化报告）、重点人群标识（孕产妇、0-6 岁儿童、老年人、慢性病患者、残疾人等特殊人群分类标签），形成完整的居民健康画像。</w:t>
            </w:r>
          </w:p>
        </w:tc>
      </w:tr>
      <w:tr w14:paraId="0F5CA2E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922741">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2A862A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F95221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多场景高效建档与管理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D601D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支持多样化建档方式</w:t>
            </w:r>
            <w:r>
              <w:rPr>
                <w:rFonts w:hint="eastAsia" w:cs="宋体"/>
                <w:sz w:val="21"/>
                <w:szCs w:val="21"/>
                <w:lang w:val="en-US" w:eastAsia="zh-CN" w:bidi="ar-SA"/>
              </w:rPr>
              <w:t>；</w:t>
            </w:r>
          </w:p>
          <w:p w14:paraId="5332932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支持线上自主建档</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居民通过手机APP、微信小程序填写信息并提交，后台审核后生成档案</w:t>
            </w:r>
            <w:r>
              <w:rPr>
                <w:rFonts w:hint="eastAsia" w:ascii="宋体" w:hAnsi="宋体" w:eastAsia="宋体" w:cs="宋体"/>
                <w:sz w:val="21"/>
                <w:szCs w:val="21"/>
                <w:lang w:val="en-US" w:eastAsia="zh-CN" w:bidi="ar-SA"/>
              </w:rPr>
              <w:t>；</w:t>
            </w:r>
          </w:p>
          <w:p w14:paraId="0AD6750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en-US" w:bidi="ar-SA"/>
              </w:rPr>
              <w:t>支持线下协助建档</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社区卫生服务中心、村卫生室工作人员通过PC端或移动终端为居民现场录入信息</w:t>
            </w:r>
            <w:r>
              <w:rPr>
                <w:rFonts w:hint="eastAsia" w:ascii="宋体" w:hAnsi="宋体" w:eastAsia="宋体" w:cs="宋体"/>
                <w:sz w:val="21"/>
                <w:szCs w:val="21"/>
                <w:lang w:val="en-US" w:eastAsia="zh-CN" w:bidi="ar-SA"/>
              </w:rPr>
              <w:t>；</w:t>
            </w:r>
          </w:p>
          <w:p w14:paraId="28E9AF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4.</w:t>
            </w:r>
            <w:r>
              <w:rPr>
                <w:rFonts w:hint="eastAsia" w:ascii="宋体" w:hAnsi="宋体" w:eastAsia="宋体" w:cs="宋体"/>
                <w:sz w:val="21"/>
                <w:szCs w:val="21"/>
                <w:lang w:val="en-US" w:eastAsia="en-US" w:bidi="ar-SA"/>
              </w:rPr>
              <w:t>支持批量导入建档</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针对企业、学校、社区等集体单位，支持通过 Excel 模板批量导入人员信息，快速完成群体建档</w:t>
            </w:r>
            <w:r>
              <w:rPr>
                <w:rFonts w:hint="eastAsia" w:ascii="宋体" w:hAnsi="宋体" w:eastAsia="宋体" w:cs="宋体"/>
                <w:sz w:val="21"/>
                <w:szCs w:val="21"/>
                <w:lang w:val="en-US" w:eastAsia="zh-CN" w:bidi="ar-SA"/>
              </w:rPr>
              <w:t>；</w:t>
            </w:r>
          </w:p>
          <w:p w14:paraId="4DE8CB5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5.</w:t>
            </w:r>
            <w:r>
              <w:rPr>
                <w:rFonts w:hint="eastAsia" w:ascii="宋体" w:hAnsi="宋体" w:eastAsia="宋体" w:cs="宋体"/>
                <w:sz w:val="21"/>
                <w:szCs w:val="21"/>
                <w:lang w:val="en-US" w:eastAsia="en-US" w:bidi="ar-SA"/>
              </w:rPr>
              <w:t>支持提供档案补录</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补充缺失的历史健康数据</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更新</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居民健康状况变化后实时修改信息，如新增疾病诊断</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查询</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居民可自主查询本人档案，医务人员经授权查询服务对象档案</w:t>
            </w:r>
            <w:r>
              <w:rPr>
                <w:rFonts w:hint="eastAsia" w:ascii="宋体" w:hAnsi="宋体" w:eastAsia="宋体" w:cs="宋体"/>
                <w:sz w:val="21"/>
                <w:szCs w:val="21"/>
                <w:lang w:val="en-US" w:eastAsia="zh-CN" w:bidi="ar-SA"/>
              </w:rPr>
              <w:t>等</w:t>
            </w:r>
            <w:r>
              <w:rPr>
                <w:rFonts w:hint="eastAsia" w:ascii="宋体" w:hAnsi="宋体" w:eastAsia="宋体" w:cs="宋体"/>
                <w:sz w:val="21"/>
                <w:szCs w:val="21"/>
                <w:lang w:val="en-US" w:eastAsia="en-US" w:bidi="ar-SA"/>
              </w:rPr>
              <w:t>功能</w:t>
            </w:r>
            <w:r>
              <w:rPr>
                <w:rFonts w:hint="eastAsia" w:ascii="宋体" w:hAnsi="宋体" w:eastAsia="宋体" w:cs="宋体"/>
                <w:sz w:val="21"/>
                <w:szCs w:val="21"/>
                <w:lang w:val="en-US" w:eastAsia="zh-CN" w:bidi="ar-SA"/>
              </w:rPr>
              <w:t>；</w:t>
            </w:r>
          </w:p>
          <w:p w14:paraId="68B7DA2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6.</w:t>
            </w:r>
            <w:r>
              <w:rPr>
                <w:rFonts w:hint="eastAsia" w:ascii="宋体" w:hAnsi="宋体" w:eastAsia="宋体" w:cs="宋体"/>
                <w:sz w:val="21"/>
                <w:szCs w:val="21"/>
                <w:lang w:val="en-US" w:eastAsia="en-US" w:bidi="ar-SA"/>
              </w:rPr>
              <w:t>支持档案数据批量导出</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按需求生成Excel或PDF格式，用于健康统计分析。</w:t>
            </w:r>
          </w:p>
        </w:tc>
      </w:tr>
      <w:tr w14:paraId="08769E8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2DA68E">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B484B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数据质控与跨平台</w:t>
            </w:r>
          </w:p>
          <w:p w14:paraId="3DDB91D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436DC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必填项数据校验规则</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如身份证号、联系方式等关键字段缺失时无法提交）</w:t>
            </w:r>
          </w:p>
          <w:p w14:paraId="4615459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数据逻辑性校验</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如“年龄5岁居民填写高血压病史”时自动提示异常</w:t>
            </w:r>
            <w:r>
              <w:rPr>
                <w:rFonts w:hint="eastAsia" w:ascii="宋体" w:hAnsi="宋体" w:eastAsia="宋体" w:cs="宋体"/>
                <w:sz w:val="21"/>
                <w:szCs w:val="21"/>
                <w:lang w:val="en-US" w:eastAsia="zh-CN" w:bidi="ar-SA"/>
              </w:rPr>
              <w:t>；</w:t>
            </w:r>
          </w:p>
          <w:p w14:paraId="65ABE2E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支持数据</w:t>
            </w:r>
            <w:r>
              <w:rPr>
                <w:rFonts w:hint="eastAsia" w:ascii="宋体" w:hAnsi="宋体" w:eastAsia="宋体" w:cs="宋体"/>
                <w:sz w:val="21"/>
                <w:szCs w:val="21"/>
                <w:lang w:val="en-US" w:eastAsia="en-US" w:bidi="ar-SA"/>
              </w:rPr>
              <w:t>格式校验</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如身份证号位数、手机号格式验证</w:t>
            </w:r>
            <w:r>
              <w:rPr>
                <w:rFonts w:hint="eastAsia" w:ascii="宋体" w:hAnsi="宋体" w:eastAsia="宋体" w:cs="宋体"/>
                <w:sz w:val="21"/>
                <w:szCs w:val="21"/>
                <w:lang w:val="en-US" w:eastAsia="zh-CN" w:bidi="ar-SA"/>
              </w:rPr>
              <w:t>；</w:t>
            </w:r>
          </w:p>
          <w:p w14:paraId="6A0AD06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档案建立或更新后，通过标准化接口与公卫平台实时同步</w:t>
            </w:r>
            <w:r>
              <w:rPr>
                <w:rFonts w:hint="eastAsia" w:ascii="宋体" w:hAnsi="宋体" w:eastAsia="宋体" w:cs="宋体"/>
                <w:sz w:val="21"/>
                <w:szCs w:val="21"/>
                <w:lang w:val="en-US" w:eastAsia="zh-CN" w:bidi="ar-SA"/>
              </w:rPr>
              <w:t>。</w:t>
            </w:r>
          </w:p>
        </w:tc>
      </w:tr>
      <w:tr w14:paraId="5EBE62A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361"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7FAE9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家庭医生签约</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6BFE6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线上签约管理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5F061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通过手机APP</w:t>
            </w:r>
            <w:r>
              <w:rPr>
                <w:rFonts w:hint="eastAsia" w:ascii="宋体" w:hAnsi="宋体" w:eastAsia="宋体" w:cs="宋体"/>
                <w:sz w:val="21"/>
                <w:szCs w:val="21"/>
                <w:lang w:val="en-US" w:eastAsia="zh-CN" w:bidi="ar-SA"/>
              </w:rPr>
              <w:t>或</w:t>
            </w:r>
            <w:r>
              <w:rPr>
                <w:rFonts w:hint="eastAsia" w:ascii="宋体" w:hAnsi="宋体" w:eastAsia="宋体" w:cs="宋体"/>
                <w:sz w:val="21"/>
                <w:szCs w:val="21"/>
                <w:lang w:val="en-US" w:eastAsia="en-US" w:bidi="ar-SA"/>
              </w:rPr>
              <w:t>微信小程序完成家庭医生签约、解约与续约操作</w:t>
            </w:r>
            <w:r>
              <w:rPr>
                <w:rFonts w:hint="eastAsia" w:ascii="宋体" w:hAnsi="宋体" w:eastAsia="宋体" w:cs="宋体"/>
                <w:sz w:val="21"/>
                <w:szCs w:val="21"/>
                <w:lang w:val="en-US" w:eastAsia="zh-CN" w:bidi="ar-SA"/>
              </w:rPr>
              <w:t>。（提供功能截图）</w:t>
            </w:r>
          </w:p>
          <w:p w14:paraId="16C120B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签约时，展示辖区内所有家庭医生团队信息（含团队成员、服务范围、擅长领域，如“老年人慢病管理团队”“妇幼健康服务团队”）及对应的签约服务包（区分基础包、个性化包，基础包含免费健康体检、慢病随访等基础服务，个性化包含上门巡诊、专科转诊协调等增值服务），居民可根据自身需求（如老年人选择慢病管理团队，孕产妇选择妇幼健康团队）自主选择签约团队、签约医生及服务包，在线查看并签署电子签约协议（支持电子签名确认），协议生效后系统自动生成签约凭证；</w:t>
            </w:r>
          </w:p>
          <w:p w14:paraId="40CC566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解约或续约时，居民可在线提交申请，系统实时推送至家庭医生团队审核，审核结果通过短信或APP消息告知居民，全程无需线下跑腿。</w:t>
            </w:r>
          </w:p>
        </w:tc>
      </w:tr>
      <w:tr w14:paraId="790E9AD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7D475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77EA6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线下</w:t>
            </w:r>
          </w:p>
          <w:p w14:paraId="13A8B3D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签约</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34BE23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支持对签约居民分类管理</w:t>
            </w:r>
            <w:r>
              <w:rPr>
                <w:rFonts w:hint="eastAsia" w:ascii="宋体" w:hAnsi="宋体" w:eastAsia="宋体" w:cs="宋体"/>
                <w:sz w:val="21"/>
                <w:szCs w:val="21"/>
                <w:lang w:val="en-US" w:eastAsia="en-US" w:bidi="ar-SA"/>
              </w:rPr>
              <w:t>展示居民健康档案信息</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可根据重点人群分类进行筛选展示不同健康档案信息。</w:t>
            </w:r>
          </w:p>
          <w:p w14:paraId="3D26375A">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健康档案浏览器：进入健康档案浏览器页面，可以进行所有的健康档案管理新增、修改、删除等操作。</w:t>
            </w:r>
          </w:p>
        </w:tc>
      </w:tr>
      <w:tr w14:paraId="74361F8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E392D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7EAC5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签约后常态化健康</w:t>
            </w:r>
          </w:p>
          <w:p w14:paraId="4B34EE8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互动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F10727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w:t>
            </w:r>
            <w:r>
              <w:rPr>
                <w:rFonts w:hint="eastAsia" w:ascii="宋体" w:hAnsi="宋体" w:eastAsia="宋体" w:cs="宋体"/>
                <w:sz w:val="21"/>
                <w:szCs w:val="21"/>
                <w:lang w:val="en-US" w:eastAsia="zh-CN" w:bidi="ar-SA"/>
              </w:rPr>
              <w:t>系统</w:t>
            </w:r>
            <w:r>
              <w:rPr>
                <w:rFonts w:hint="eastAsia" w:ascii="宋体" w:hAnsi="宋体" w:eastAsia="宋体" w:cs="宋体"/>
                <w:sz w:val="21"/>
                <w:szCs w:val="21"/>
                <w:lang w:val="en-US" w:eastAsia="en-US" w:bidi="ar-SA"/>
              </w:rPr>
              <w:t>展示工作提醒和快捷的访问途径，有签约到期提醒、数据上传信息等。支持</w:t>
            </w:r>
            <w:r>
              <w:rPr>
                <w:rFonts w:hint="eastAsia" w:ascii="宋体" w:hAnsi="宋体" w:eastAsia="宋体" w:cs="宋体"/>
                <w:sz w:val="21"/>
                <w:szCs w:val="21"/>
                <w:lang w:val="en-US" w:eastAsia="zh-CN" w:bidi="ar-SA"/>
              </w:rPr>
              <w:t>系统</w:t>
            </w:r>
            <w:r>
              <w:rPr>
                <w:rFonts w:hint="eastAsia" w:ascii="宋体" w:hAnsi="宋体" w:eastAsia="宋体" w:cs="宋体"/>
                <w:sz w:val="21"/>
                <w:szCs w:val="21"/>
                <w:lang w:val="en-US" w:eastAsia="en-US" w:bidi="ar-SA"/>
              </w:rPr>
              <w:t>展示工作提醒和快捷的访问途径，有签约到期提醒、数据上传信息等</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p w14:paraId="09C07F8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居民通过手机APP</w:t>
            </w:r>
            <w:r>
              <w:rPr>
                <w:rFonts w:hint="eastAsia" w:ascii="宋体" w:hAnsi="宋体" w:eastAsia="宋体" w:cs="宋体"/>
                <w:sz w:val="21"/>
                <w:szCs w:val="21"/>
                <w:lang w:val="en-US" w:eastAsia="zh-CN" w:bidi="ar-SA"/>
              </w:rPr>
              <w:t>或</w:t>
            </w:r>
            <w:r>
              <w:rPr>
                <w:rFonts w:hint="eastAsia" w:ascii="宋体" w:hAnsi="宋体" w:eastAsia="宋体" w:cs="宋体"/>
                <w:sz w:val="21"/>
                <w:szCs w:val="21"/>
                <w:lang w:val="en-US" w:eastAsia="en-US" w:bidi="ar-SA"/>
              </w:rPr>
              <w:t>微信小程序向签约医生发送文字、图片（如检查报告照片）、语音消息，咨询健康问题（如“高血压患者能否吃海鲜”“儿童发烧如何物理降温”）；家庭医生在24小时内（或约定时间内）予以专业反馈，包括病情解读、用药指导、生活建议等，对于复杂问题可引导居民线下就诊或预约视频问诊</w:t>
            </w:r>
            <w:r>
              <w:rPr>
                <w:rFonts w:hint="eastAsia" w:cs="宋体"/>
                <w:sz w:val="21"/>
                <w:szCs w:val="21"/>
                <w:lang w:val="en-US" w:eastAsia="zh-CN" w:bidi="ar-SA"/>
              </w:rPr>
              <w:t>；</w:t>
            </w:r>
          </w:p>
          <w:p w14:paraId="2D2D3A8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en-US" w:bidi="ar-SA"/>
              </w:rPr>
              <w:t>支持家庭医生向签约居民主动推送健康提醒（如“明天是您的慢病随访日，请携带相关检查报告到社区就诊”“近期流感高发，建议接种流感疫苗”），强化健康管理的主动性与针对性。</w:t>
            </w:r>
          </w:p>
        </w:tc>
      </w:tr>
      <w:tr w14:paraId="7D31940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674191">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459C11">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4"/>
                <w:szCs w:val="24"/>
                <w:lang w:val="en-US" w:eastAsia="en-US" w:bidi="ar-SA"/>
              </w:rPr>
              <w:t>签约服务质量追踪</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3F1CD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记录居民与家庭医生的互动记录、签约服务包兑现情况（如是否完成免费体检、随访次数是否达标）</w:t>
            </w:r>
            <w:r>
              <w:rPr>
                <w:rFonts w:hint="eastAsia" w:ascii="宋体" w:hAnsi="宋体" w:eastAsia="宋体" w:cs="宋体"/>
                <w:sz w:val="21"/>
                <w:szCs w:val="21"/>
                <w:lang w:val="en-US" w:eastAsia="zh-CN" w:bidi="ar-SA"/>
              </w:rPr>
              <w:t>；</w:t>
            </w:r>
          </w:p>
          <w:p w14:paraId="3793FD6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居民可对签约服务进行满意度评价（如 “非常满意”“一般”“不满意” 并填写评价理由）。</w:t>
            </w:r>
          </w:p>
        </w:tc>
      </w:tr>
      <w:tr w14:paraId="7AAB940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331E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402EC6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140FCE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AF1365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C9AA72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B0F5C2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A6AC22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53493C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B76F06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350DC7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公卫移动随访</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C9953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B824E9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30C4A3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▲个人随访信息全览</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72973E">
            <w:pPr>
              <w:keepNext/>
              <w:numPr>
                <w:ilvl w:val="0"/>
                <w:numId w:val="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居民通过手机APP或微信小程序登录系统后，可查看个人所有随访记录——历史随访信息（含每次随访的日期、随访方式（线上/线下）、随访医生、随访项目数据，如血压值、血糖值、服药情况（药物名称、剂量、是否规律服药）、生活习惯（每日盐摄入量、运动时长）、饮食结构（是否清淡饮食））；</w:t>
            </w:r>
          </w:p>
          <w:p w14:paraId="116960E7">
            <w:pPr>
              <w:keepNext/>
              <w:numPr>
                <w:ilvl w:val="0"/>
                <w:numId w:val="2"/>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预约随访信息（含下次随访时间、随访地点（社区卫生服务中心/居家）、需携带的资料（如近期检查报告）），系统会在随访前1-3天通过短信</w:t>
            </w:r>
            <w:r>
              <w:rPr>
                <w:rFonts w:hint="eastAsia" w:ascii="宋体" w:hAnsi="宋体" w:eastAsia="宋体" w:cs="宋体"/>
                <w:sz w:val="21"/>
                <w:szCs w:val="21"/>
                <w:lang w:val="en-US" w:eastAsia="zh-CN" w:bidi="ar-SA"/>
              </w:rPr>
              <w:t>或手机</w:t>
            </w:r>
            <w:r>
              <w:rPr>
                <w:rFonts w:hint="eastAsia" w:ascii="宋体" w:hAnsi="宋体" w:eastAsia="宋体" w:cs="宋体"/>
                <w:sz w:val="21"/>
                <w:szCs w:val="21"/>
                <w:lang w:val="en-US" w:eastAsia="en-US" w:bidi="ar-SA"/>
              </w:rPr>
              <w:t>APP</w:t>
            </w:r>
            <w:r>
              <w:rPr>
                <w:rFonts w:hint="eastAsia" w:ascii="宋体" w:hAnsi="宋体" w:eastAsia="宋体" w:cs="宋体"/>
                <w:sz w:val="21"/>
                <w:szCs w:val="21"/>
                <w:lang w:val="en-US" w:eastAsia="zh-CN" w:bidi="ar-SA"/>
              </w:rPr>
              <w:t>或微信小程序</w:t>
            </w:r>
            <w:r>
              <w:rPr>
                <w:rFonts w:hint="eastAsia" w:ascii="宋体" w:hAnsi="宋体" w:eastAsia="宋体" w:cs="宋体"/>
                <w:sz w:val="21"/>
                <w:szCs w:val="21"/>
                <w:lang w:val="en-US" w:eastAsia="en-US" w:bidi="ar-SA"/>
              </w:rPr>
              <w:t>消息提醒居民，避免遗漏。</w:t>
            </w:r>
          </w:p>
        </w:tc>
      </w:tr>
      <w:tr w14:paraId="2BE35F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05DF17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77050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▲基于随访结果的健康自我管理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1A454A">
            <w:pPr>
              <w:keepNext/>
              <w:numPr>
                <w:ilvl w:val="0"/>
                <w:numId w:val="3"/>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系统可根据家庭医生对每次随访结果的总结，生成个性化健康指导意见（如“本次随访血压150/95mmHg，高于正常范围，建议减少盐摄入至每日5克以下，增加快走运动，每日30分钟”“血糖控制达标，继续按当前剂量服药，每月监测一次空腹血糖”），指导意见以图文形式呈现，通俗易懂</w:t>
            </w:r>
            <w:r>
              <w:rPr>
                <w:rFonts w:hint="eastAsia" w:cs="宋体"/>
                <w:sz w:val="21"/>
                <w:szCs w:val="21"/>
                <w:lang w:val="en-US" w:eastAsia="zh-CN" w:bidi="ar-SA"/>
              </w:rPr>
              <w:t>；</w:t>
            </w:r>
          </w:p>
          <w:p w14:paraId="73E40435">
            <w:pPr>
              <w:keepNext/>
              <w:numPr>
                <w:ilvl w:val="0"/>
                <w:numId w:val="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居民可根据指导意见调整生活方式（如制定运动计划、优化饮食结构）、规范服药（设置服药提醒，避免漏服、错服），并在系统中记录日常健康数据（如每日自测血压、血糖），形成“随访记录-健康指导-自我管理-数据反馈”的闭环，帮助居民主动参与慢性病防控。（提供功能截图）</w:t>
            </w:r>
          </w:p>
        </w:tc>
      </w:tr>
      <w:tr w14:paraId="6850C0C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8AD08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D0BAE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随访数据同步与医生干预</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366D8E">
            <w:pPr>
              <w:keepNext/>
              <w:numPr>
                <w:ilvl w:val="0"/>
                <w:numId w:val="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居民记录的日常健康数据、随访过程中采集的信息，会实时同步至家庭医生的管理后台及公卫平台——家庭医生通过后台查看居民健康数据变化趋势（如近1个月血压波动曲线），若发现异常（如血压持续升高），可主动联系居民，调整干预方案（如建议调整药物剂量、增加随访频次）；</w:t>
            </w:r>
          </w:p>
          <w:p w14:paraId="2B0361DD">
            <w:pPr>
              <w:keepNext/>
              <w:numPr>
                <w:ilvl w:val="0"/>
                <w:numId w:val="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公卫平台则基于随访数据开展慢性病防控统计分析（如某辖区高血压患者血压控制达标率），为公共卫生决策提供数据支撑。</w:t>
            </w:r>
          </w:p>
        </w:tc>
      </w:tr>
      <w:tr w14:paraId="5BD15AA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EA05FB">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其它功能</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59149A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p w14:paraId="5A09557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C5477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签约服务管理</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对家医签约服务包中签约服务内容、服务人群、服务类型进行管理。支持医疗机构自定义服务包内容，并下载到家医签约服务包进行签约使用</w:t>
            </w:r>
            <w:r>
              <w:rPr>
                <w:rFonts w:hint="eastAsia" w:cs="宋体"/>
                <w:sz w:val="21"/>
                <w:szCs w:val="21"/>
                <w:lang w:val="en-US" w:eastAsia="zh-CN" w:bidi="ar-SA"/>
              </w:rPr>
              <w:t>；</w:t>
            </w:r>
          </w:p>
          <w:p w14:paraId="5B16D70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签约服务包登记</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对医院使用的家医签约服务包进行注册及授权</w:t>
            </w:r>
            <w:r>
              <w:rPr>
                <w:rFonts w:hint="eastAsia" w:cs="宋体"/>
                <w:sz w:val="21"/>
                <w:szCs w:val="21"/>
                <w:lang w:val="en-US" w:eastAsia="zh-CN" w:bidi="ar-SA"/>
              </w:rPr>
              <w:t>；</w:t>
            </w:r>
          </w:p>
          <w:p w14:paraId="667B2FC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考核项管理</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对居民健康档案、家医签约、慢病随访等表单中的考核项目进行管理。</w:t>
            </w:r>
          </w:p>
        </w:tc>
      </w:tr>
      <w:tr w14:paraId="2F6D3D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3EE37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A37E9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▲健康数据采集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98FA4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支持外部设备包括但不限于血糖、血压、血氧、体温、肺功能等家庭医生随访服务包设备</w:t>
            </w:r>
            <w:r>
              <w:rPr>
                <w:rFonts w:hint="eastAsia" w:cs="宋体"/>
                <w:sz w:val="21"/>
                <w:szCs w:val="21"/>
                <w:lang w:val="en-US" w:eastAsia="zh-CN" w:bidi="ar-SA"/>
              </w:rPr>
              <w:t>，</w:t>
            </w:r>
            <w:r>
              <w:rPr>
                <w:rFonts w:hint="eastAsia" w:ascii="宋体" w:hAnsi="宋体" w:eastAsia="宋体" w:cs="宋体"/>
                <w:sz w:val="21"/>
                <w:szCs w:val="21"/>
                <w:lang w:val="en-US" w:eastAsia="en-US" w:bidi="ar-SA"/>
              </w:rPr>
              <w:t>采集健康检查数据，身份证自动识别，体检设备与系统通过蓝牙连接及数据传输，并能实现健康检查数据离线存储，在线上传功能</w:t>
            </w:r>
            <w:r>
              <w:rPr>
                <w:rFonts w:hint="eastAsia" w:cs="宋体"/>
                <w:sz w:val="21"/>
                <w:szCs w:val="21"/>
                <w:lang w:val="en-US" w:eastAsia="zh-CN" w:bidi="ar-SA"/>
              </w:rPr>
              <w:t>，需支持并提供改造由采购方自行购置的物联网IOT设</w:t>
            </w:r>
            <w:bookmarkStart w:id="38" w:name="_GoBack"/>
            <w:bookmarkEnd w:id="38"/>
            <w:r>
              <w:rPr>
                <w:rFonts w:hint="eastAsia" w:cs="宋体"/>
                <w:sz w:val="21"/>
                <w:szCs w:val="21"/>
                <w:lang w:val="en-US" w:eastAsia="zh-CN" w:bidi="ar-SA"/>
              </w:rPr>
              <w:t>备对接</w:t>
            </w:r>
            <w:r>
              <w:rPr>
                <w:rFonts w:hint="eastAsia" w:ascii="宋体" w:hAnsi="宋体" w:eastAsia="宋体" w:cs="宋体"/>
                <w:sz w:val="21"/>
                <w:szCs w:val="21"/>
                <w:lang w:val="en-US" w:eastAsia="en-US" w:bidi="ar-SA"/>
              </w:rPr>
              <w:t>。（提供功能截图）</w:t>
            </w:r>
          </w:p>
        </w:tc>
      </w:tr>
      <w:tr w14:paraId="7E7204F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026F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88F94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接口</w:t>
            </w:r>
          </w:p>
          <w:p w14:paraId="23C5427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对接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FB476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根据其他系统提供的接口需求进行特定性接口开发对接，使数据可以进行上传推送或者下载提取，真正的达到数据互联互通，减少医院医生的重复性、疲劳性输入等。最终达到减负减压，让医生把更多的精力和时间用在刀刃上，能够更好的为居民服务，构建更好的医患关系。</w:t>
            </w:r>
          </w:p>
        </w:tc>
      </w:tr>
      <w:tr w14:paraId="7F7A415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A424B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AAA4AA6">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短消息提醒</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127F9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须具有关键节点短信推送功能，提供≥50万条的不限平台的短信服务包</w:t>
            </w:r>
          </w:p>
        </w:tc>
      </w:tr>
    </w:tbl>
    <w:p w14:paraId="137D551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1C55037">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1" w:name="_Toc5855"/>
      <w:r>
        <w:rPr>
          <w:rFonts w:hint="eastAsia" w:cs="宋体"/>
          <w:b/>
          <w:bCs/>
          <w:sz w:val="28"/>
          <w:szCs w:val="28"/>
          <w:lang w:val="en-US" w:eastAsia="zh-CN" w:bidi="ar-SA"/>
        </w:rPr>
        <w:t>5.</w:t>
      </w:r>
      <w:r>
        <w:rPr>
          <w:rFonts w:hint="eastAsia" w:ascii="宋体" w:hAnsi="宋体" w:eastAsia="宋体" w:cs="宋体"/>
          <w:b/>
          <w:bCs/>
          <w:sz w:val="28"/>
          <w:szCs w:val="28"/>
          <w:lang w:val="en-US" w:eastAsia="en-US" w:bidi="ar-SA"/>
        </w:rPr>
        <w:t>公共卫生服务协同应用</w:t>
      </w:r>
      <w:bookmarkEnd w:id="11"/>
    </w:p>
    <w:p w14:paraId="5FDC546E">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整体技术要求：</w:t>
      </w:r>
    </w:p>
    <w:p w14:paraId="3C9CB57A">
      <w:pPr>
        <w:keepNext/>
        <w:adjustRightInd w:val="0"/>
        <w:snapToGrid w:val="0"/>
        <w:spacing w:line="360" w:lineRule="auto"/>
        <w:ind w:left="0" w:leftChars="0" w:right="0" w:rightChars="0" w:firstLine="480" w:firstLineChars="200"/>
        <w:jc w:val="left"/>
        <w:rPr>
          <w:rFonts w:hint="default" w:ascii="宋体" w:hAnsi="宋体" w:eastAsia="宋体" w:cs="宋体"/>
          <w:sz w:val="24"/>
          <w:szCs w:val="24"/>
          <w:lang w:val="en-US" w:eastAsia="zh-CN" w:bidi="ar-SA"/>
        </w:rPr>
      </w:pPr>
      <w:r>
        <w:rPr>
          <w:rFonts w:hint="eastAsia" w:cs="宋体"/>
          <w:sz w:val="24"/>
          <w:szCs w:val="24"/>
          <w:lang w:val="en-US" w:eastAsia="zh-CN" w:bidi="ar-SA"/>
        </w:rPr>
        <w:t>（1）</w:t>
      </w:r>
      <w:r>
        <w:rPr>
          <w:rFonts w:hint="eastAsia" w:ascii="宋体" w:hAnsi="宋体" w:eastAsia="宋体" w:cs="宋体"/>
          <w:sz w:val="24"/>
          <w:szCs w:val="24"/>
          <w:lang w:val="en-US" w:eastAsia="en-US" w:bidi="ar-SA"/>
        </w:rPr>
        <w:t>须完成医共体各成员单位与赤峰市公共卫生管理平台相关接口与集成改造服务。</w:t>
      </w:r>
      <w:r>
        <w:rPr>
          <w:rFonts w:hint="eastAsia" w:ascii="宋体" w:hAnsi="宋体" w:eastAsia="宋体" w:cs="宋体"/>
          <w:sz w:val="24"/>
          <w:szCs w:val="24"/>
          <w:lang w:val="en-US" w:eastAsia="zh-CN" w:bidi="ar-SA"/>
        </w:rPr>
        <w:t>并提供数据交互工具。</w:t>
      </w:r>
    </w:p>
    <w:p w14:paraId="01A5F995">
      <w:pPr>
        <w:keepNext/>
        <w:adjustRightInd w:val="0"/>
        <w:snapToGrid w:val="0"/>
        <w:spacing w:line="360" w:lineRule="auto"/>
        <w:ind w:left="0" w:leftChars="0" w:right="0" w:rightChars="0" w:firstLine="480" w:firstLineChars="200"/>
        <w:jc w:val="left"/>
        <w:rPr>
          <w:rFonts w:hint="default" w:ascii="宋体" w:hAnsi="宋体" w:eastAsia="宋体" w:cs="宋体"/>
          <w:sz w:val="24"/>
          <w:szCs w:val="24"/>
          <w:lang w:val="en-US" w:eastAsia="zh-CN" w:bidi="ar-SA"/>
        </w:rPr>
      </w:pPr>
      <w:r>
        <w:rPr>
          <w:rFonts w:hint="eastAsia" w:cs="宋体"/>
          <w:sz w:val="24"/>
          <w:szCs w:val="24"/>
          <w:lang w:val="en-US" w:eastAsia="zh-CN" w:bidi="ar-SA"/>
        </w:rPr>
        <w:t>（2）</w:t>
      </w:r>
      <w:r>
        <w:rPr>
          <w:rFonts w:hint="eastAsia" w:ascii="宋体" w:hAnsi="宋体" w:eastAsia="宋体" w:cs="宋体"/>
          <w:sz w:val="24"/>
          <w:szCs w:val="24"/>
          <w:lang w:val="en-US" w:eastAsia="zh-CN" w:bidi="ar-SA"/>
        </w:rPr>
        <w:t>须</w:t>
      </w:r>
      <w:r>
        <w:rPr>
          <w:rFonts w:hint="eastAsia" w:ascii="宋体" w:hAnsi="宋体" w:eastAsia="宋体" w:cs="宋体"/>
          <w:sz w:val="24"/>
          <w:szCs w:val="24"/>
          <w:lang w:val="en-US" w:eastAsia="en-US" w:bidi="ar-SA"/>
        </w:rPr>
        <w:t>对医共体现有信息系统中的HIS\LIS\PACS\慢病管理、公卫体检、家庭医生签约等系统中需要调用或者上传数据到公卫系统的对接改造</w:t>
      </w:r>
      <w:r>
        <w:rPr>
          <w:rFonts w:hint="eastAsia" w:ascii="宋体" w:hAnsi="宋体" w:eastAsia="宋体" w:cs="宋体"/>
          <w:sz w:val="24"/>
          <w:szCs w:val="24"/>
          <w:lang w:val="en-US" w:eastAsia="zh-CN" w:bidi="ar-SA"/>
        </w:rPr>
        <w:t>及改造服务费。</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1F8390E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DABDC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1FBA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7A716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75414AE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89D62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基层系统调用公卫档案</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89B94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全维度档案调用与实时展示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69432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基层医疗卫生机构（村卫生室、社区卫生服务站）</w:t>
            </w:r>
            <w:r>
              <w:rPr>
                <w:rFonts w:hint="eastAsia" w:ascii="宋体" w:hAnsi="宋体" w:eastAsia="宋体" w:cs="宋体"/>
                <w:sz w:val="21"/>
                <w:szCs w:val="21"/>
                <w:lang w:val="en-US" w:eastAsia="zh-CN" w:bidi="ar-SA"/>
              </w:rPr>
              <w:t>HIS系统</w:t>
            </w:r>
            <w:r>
              <w:rPr>
                <w:rFonts w:hint="eastAsia" w:ascii="宋体" w:hAnsi="宋体" w:eastAsia="宋体" w:cs="宋体"/>
                <w:sz w:val="21"/>
                <w:szCs w:val="21"/>
                <w:lang w:val="en-US" w:eastAsia="en-US" w:bidi="ar-SA"/>
              </w:rPr>
              <w:t>通过标准化接口调用公卫健康档案平台中的完整健康档案，内容涵盖居民基本信息、既往病史、慢病管理记录、疫苗接种史、妇幼保健信息等关键内容。</w:t>
            </w:r>
          </w:p>
        </w:tc>
      </w:tr>
      <w:tr w14:paraId="2C7BFF1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7ED3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6A5A1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灵活检索与档案动态同步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54CC5B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支持多条件组合检索快速定位目标档案，适配基层机构日常接诊、慢病随访、疫苗接种通知等多样化场景需求。</w:t>
            </w:r>
          </w:p>
          <w:p w14:paraId="5ACD01C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支持公卫健康档案平台与基层系统实时同步更新，确保基层医生获取的始终是最新档案数据。</w:t>
            </w:r>
            <w:r>
              <w:rPr>
                <w:rFonts w:hint="eastAsia" w:ascii="宋体" w:hAnsi="宋体" w:eastAsia="宋体" w:cs="宋体"/>
                <w:sz w:val="24"/>
                <w:szCs w:val="24"/>
                <w:lang w:val="en-US" w:eastAsia="zh-CN" w:bidi="ar-SA"/>
              </w:rPr>
              <w:t>​</w:t>
            </w:r>
          </w:p>
        </w:tc>
      </w:tr>
      <w:tr w14:paraId="2829A6A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669550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临床业务系统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5DFF2E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全临床场景数据互通</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5E37CE">
            <w:pPr>
              <w:keepNext/>
              <w:numPr>
                <w:ilvl w:val="0"/>
                <w:numId w:val="5"/>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通过标准化接口将医共体现有信息系统产生的数据与公卫健康档案平台实现双向数据流转。例如：在诊疗启动阶段，医生开具检查单、处方前，系统自动从公卫平台调取居民健康档案（如慢病患者的近期用药史、过敏史），为临床决策提供参考；</w:t>
            </w:r>
          </w:p>
          <w:p w14:paraId="271220F0">
            <w:pPr>
              <w:keepNext/>
              <w:numPr>
                <w:ilvl w:val="0"/>
                <w:numId w:val="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在诊疗结束后，系统自动将新生成的诊疗数据（如门诊诊断结论、住院病程记录、检查检验报告、处方明细、治疗方案）回写至公卫健康档案平台，更新居民健康档案，确保公卫档案能实时反映居民最新健康状况。​</w:t>
            </w:r>
          </w:p>
        </w:tc>
      </w:tr>
      <w:tr w14:paraId="283CFE8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F94807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5458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针对性业务智能联动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6C964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支持对不同人群的公共卫生服务需求，系统具备智能联动功能：</w:t>
            </w:r>
          </w:p>
          <w:p w14:paraId="02B5B02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对于慢病患者（高血压、糖尿病等），系统在医生接诊时自动提示患者的近期随访计划（如 “该患者已超 15 天未随访，建议本次诊疗后完成随访”）及个性化干预措施（如 “患者近期血压波动较大，建议调整降压药剂量”）；</w:t>
            </w:r>
          </w:p>
          <w:p w14:paraId="69930A5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对于孕产妇，系统自动关联公卫平台中的妇幼保健档案，展示孕期产检次数、胎儿发育情况等，方便产科医生制定孕期诊疗方案；</w:t>
            </w:r>
          </w:p>
          <w:p w14:paraId="47F6D17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对于儿童，系统调用公卫平台中的儿童保健档案，提示疫苗接种时间（如 “该儿童已到水痘疫苗接种时间，建议家长预约接种”），并支持医生在诊疗后直接完成疫苗接种登记，登记信息实时同步至公卫平台。</w:t>
            </w:r>
          </w:p>
        </w:tc>
      </w:tr>
      <w:tr w14:paraId="62EB2BB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07972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DB5B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跨系统集成与协同服务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29DF73">
            <w:pPr>
              <w:keepNext/>
              <w:numPr>
                <w:ilvl w:val="0"/>
                <w:numId w:val="6"/>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支持与医共体现有各业务系统深度集成，实现数据跨系统共享。例如，患者就诊时在临床业务系统产生的数据回写至公卫平台；</w:t>
            </w:r>
          </w:p>
          <w:p w14:paraId="2BDD409B">
            <w:pPr>
              <w:keepNext/>
              <w:numPr>
                <w:ilvl w:val="0"/>
                <w:numId w:val="6"/>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PACS系统中的影像报告可在临床业务系统中直接调阅，同时关联至居民健康档案，方便跨机构医生会诊时参考。</w:t>
            </w:r>
          </w:p>
        </w:tc>
      </w:tr>
      <w:tr w14:paraId="210C7FD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984E2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慢病管理系统数据自动对接公卫平台</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3EA05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全维度慢病数据自动采集与上传</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EF41A6">
            <w:pPr>
              <w:keepNext/>
              <w:numPr>
                <w:ilvl w:val="0"/>
                <w:numId w:val="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系统按照预设周期（如每日凌晨）自动从慢病管理系统中提取关键数据，涵盖患者随访记录（随访日期、随访方式、随访医生、患者症状描述）、检查检验结果（血压、血糖、血脂等监测数据，肝肾功能、心电图等检查报告）、用药情况（当前用药名称、剂量、用法，用药调整记录）、生活方式干预记录（饮食指导、运动建议、戒烟戒酒干预效果）等</w:t>
            </w:r>
            <w:r>
              <w:rPr>
                <w:rFonts w:hint="eastAsia" w:cs="宋体"/>
                <w:sz w:val="21"/>
                <w:szCs w:val="21"/>
                <w:lang w:val="en-US" w:eastAsia="zh-CN" w:bidi="ar-SA"/>
              </w:rPr>
              <w:t>；</w:t>
            </w:r>
          </w:p>
          <w:p w14:paraId="61627993">
            <w:pPr>
              <w:keepNext/>
              <w:numPr>
                <w:ilvl w:val="0"/>
                <w:numId w:val="7"/>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系统按照国家公共卫生服务规范的数据标准（如《国家基本公共卫生服务规范（第三版）》中慢病管理数据字段要求）自动进行格式转换（如将 “mmol/L”“mg/dL” 等单位统一为规范单位）与数据校验（如判断 “血压值 180/110mmHg 是否符合逻辑范围”），校验通过后自动上传至公卫健康档案平台，更新慢病患者的健康档案信息。</w:t>
            </w:r>
          </w:p>
        </w:tc>
      </w:tr>
      <w:tr w14:paraId="1D71E60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0AE76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C89B4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公卫平台数据反向赋能慢病管理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ED6866">
            <w:pPr>
              <w:keepNext/>
              <w:numPr>
                <w:ilvl w:val="0"/>
                <w:numId w:val="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系统从公卫健康档案平台实时获取最新数据，为慢病管理提供全面支撑。例如，当居民在其他医疗机构新增高血压诊断（信息同步至公卫平台）时，慢病管理系统会自动获取该诊断信息，将居民纳入慢病管理名单；</w:t>
            </w:r>
          </w:p>
          <w:p w14:paraId="3C24C36F">
            <w:pPr>
              <w:keepNext/>
              <w:numPr>
                <w:ilvl w:val="0"/>
                <w:numId w:val="8"/>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当居民的基本信息（如联系方式、居住地址）发生变更时，系统自动同步更新，确保随访医生能准确联系患者，避免随访遗漏。</w:t>
            </w:r>
          </w:p>
        </w:tc>
      </w:tr>
      <w:tr w14:paraId="6C9A1A5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E75CF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53C87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数据质控与管理赋能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59C121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支持系统数据质控功能，对上传失败的数据（如格式错误、关键字段缺失）生成详细报错清单，并通过系统消息、短信等方式提醒管理人员，支持管理人员修正后一键重新上传，确保数据 “零漏报、零错报”；</w:t>
            </w:r>
          </w:p>
          <w:p w14:paraId="6F1512A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系统统计分析功能，可按“地区、慢病类型、随访完成率、血压/血糖控制达标率”等维度生成报表，帮助公卫管理人员实时监控慢病管理质量（如“某乡镇高血压患者随访完成率仅80%，需督促基层机构加强随访”）与服务覆盖率（如“某社区糖尿病患者管理覆盖率不足70%，需开展居民健康筛查”），为慢病防控决策提供数据依据。</w:t>
            </w:r>
          </w:p>
        </w:tc>
      </w:tr>
    </w:tbl>
    <w:p w14:paraId="6A1FFF7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54CE06F">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2" w:name="_Toc3649"/>
      <w:r>
        <w:rPr>
          <w:rFonts w:hint="eastAsia" w:cs="宋体"/>
          <w:b/>
          <w:bCs/>
          <w:sz w:val="28"/>
          <w:szCs w:val="28"/>
          <w:lang w:val="en-US" w:eastAsia="zh-CN" w:bidi="ar-SA"/>
        </w:rPr>
        <w:t>6.</w:t>
      </w:r>
      <w:r>
        <w:rPr>
          <w:rFonts w:hint="eastAsia" w:ascii="宋体" w:hAnsi="宋体" w:eastAsia="宋体" w:cs="宋体"/>
          <w:b/>
          <w:bCs/>
          <w:sz w:val="28"/>
          <w:szCs w:val="28"/>
          <w:lang w:val="en-US" w:eastAsia="en-US" w:bidi="ar-SA"/>
        </w:rPr>
        <w:t>公卫体检信息系统</w:t>
      </w:r>
      <w:bookmarkEnd w:id="12"/>
    </w:p>
    <w:p w14:paraId="13B6637F">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整体技术要求：</w:t>
      </w:r>
    </w:p>
    <w:p w14:paraId="69CE4479">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（1）</w:t>
      </w:r>
      <w:r>
        <w:rPr>
          <w:rFonts w:hint="eastAsia" w:ascii="宋体" w:hAnsi="宋体" w:eastAsia="宋体" w:cs="宋体"/>
          <w:sz w:val="24"/>
          <w:szCs w:val="24"/>
          <w:lang w:val="en-US" w:eastAsia="zh-CN" w:bidi="ar-SA"/>
        </w:rPr>
        <w:t>在元宝山区医共体内应用，</w:t>
      </w:r>
      <w:r>
        <w:rPr>
          <w:rFonts w:hint="eastAsia" w:ascii="宋体" w:hAnsi="宋体" w:eastAsia="宋体" w:cs="宋体"/>
          <w:sz w:val="24"/>
          <w:szCs w:val="24"/>
          <w:lang w:val="en-US" w:eastAsia="en-US" w:bidi="ar-SA"/>
        </w:rPr>
        <w:t>不限制接入基层医疗机构</w:t>
      </w:r>
      <w:r>
        <w:rPr>
          <w:rFonts w:hint="eastAsia" w:ascii="宋体" w:hAnsi="宋体" w:eastAsia="宋体" w:cs="宋体"/>
          <w:sz w:val="24"/>
          <w:szCs w:val="24"/>
          <w:lang w:val="en-US" w:eastAsia="zh-CN" w:bidi="ar-SA"/>
        </w:rPr>
        <w:t>数量与物联网采集</w:t>
      </w:r>
      <w:r>
        <w:rPr>
          <w:rFonts w:hint="eastAsia" w:ascii="宋体" w:hAnsi="宋体" w:eastAsia="宋体" w:cs="宋体"/>
          <w:sz w:val="24"/>
          <w:szCs w:val="24"/>
          <w:lang w:val="en-US" w:eastAsia="en-US" w:bidi="ar-SA"/>
        </w:rPr>
        <w:t>设备数量。</w:t>
      </w:r>
    </w:p>
    <w:p w14:paraId="145AEAB0">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（2）</w:t>
      </w:r>
      <w:r>
        <w:rPr>
          <w:rFonts w:hint="eastAsia" w:ascii="宋体" w:hAnsi="宋体" w:eastAsia="宋体" w:cs="宋体"/>
          <w:sz w:val="24"/>
          <w:szCs w:val="24"/>
          <w:lang w:val="en-US" w:eastAsia="en-US" w:bidi="ar-SA"/>
        </w:rPr>
        <w:t>系统应包括体检登记、体检管理、报告管理、总检评价、体检中医体质辨识、健康指导、统计管理、基础设置等功能。</w:t>
      </w:r>
    </w:p>
    <w:p w14:paraId="564FB1E0">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（3）</w:t>
      </w:r>
      <w:r>
        <w:rPr>
          <w:rFonts w:hint="eastAsia" w:ascii="宋体" w:hAnsi="宋体" w:eastAsia="宋体" w:cs="宋体"/>
          <w:sz w:val="24"/>
          <w:szCs w:val="24"/>
          <w:lang w:val="en-US" w:eastAsia="zh-CN" w:bidi="ar-SA"/>
        </w:rPr>
        <w:t>须</w:t>
      </w:r>
      <w:r>
        <w:rPr>
          <w:rFonts w:hint="eastAsia" w:ascii="宋体" w:hAnsi="宋体" w:eastAsia="宋体" w:cs="宋体"/>
          <w:sz w:val="24"/>
          <w:szCs w:val="24"/>
          <w:lang w:val="en-US" w:eastAsia="en-US" w:bidi="ar-SA"/>
        </w:rPr>
        <w:t>同时支持和院内检查检验设备（包括但不限于LIS、PACS、电生理系统）互联互通、支持上报区域基本公共卫生平台，可实现体检数据自动采集和自动上传，快速生成健康体检表、中医服务记录表、老年人自理能力评估表、影像报告、检验报告等，并且可批量打印居民健康档案、随访档案等不同模式下的个人体检报告，相关报告符合《国家基本公共卫生服务规范（第三版）》相关要求，方便公共卫生工作人员对居民开展健康管理工作。</w:t>
      </w:r>
    </w:p>
    <w:p w14:paraId="2C1656EC">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（4）</w:t>
      </w:r>
      <w:r>
        <w:rPr>
          <w:rFonts w:hint="eastAsia" w:ascii="宋体" w:hAnsi="宋体" w:eastAsia="宋体" w:cs="宋体"/>
          <w:sz w:val="24"/>
          <w:szCs w:val="24"/>
          <w:lang w:val="en-US" w:eastAsia="en-US" w:bidi="ar-SA"/>
        </w:rPr>
        <w:t>包含与院内检查检验设备（包括但不限于LIS、PACS、电生理系统）双向对接改造服务</w:t>
      </w:r>
      <w:r>
        <w:rPr>
          <w:rFonts w:hint="eastAsia" w:ascii="宋体" w:hAnsi="宋体" w:eastAsia="宋体" w:cs="宋体"/>
          <w:sz w:val="24"/>
          <w:szCs w:val="24"/>
          <w:lang w:val="en-US" w:eastAsia="zh-CN" w:bidi="ar-SA"/>
        </w:rPr>
        <w:t>。</w:t>
      </w:r>
    </w:p>
    <w:p w14:paraId="3024EF86">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（5）</w:t>
      </w:r>
      <w:r>
        <w:rPr>
          <w:rFonts w:hint="eastAsia" w:ascii="宋体" w:hAnsi="宋体" w:eastAsia="宋体" w:cs="宋体"/>
          <w:sz w:val="24"/>
          <w:szCs w:val="24"/>
          <w:lang w:val="en-US" w:eastAsia="en-US" w:bidi="ar-SA"/>
        </w:rPr>
        <w:t>具有关键节点短信推送功能</w:t>
      </w:r>
      <w:r>
        <w:rPr>
          <w:rFonts w:hint="eastAsia" w:ascii="宋体" w:hAnsi="宋体" w:eastAsia="宋体" w:cs="宋体"/>
          <w:sz w:val="24"/>
          <w:szCs w:val="24"/>
          <w:lang w:val="en-US" w:eastAsia="zh-CN" w:bidi="ar-SA"/>
        </w:rPr>
        <w:t>，提供</w:t>
      </w:r>
      <w:r>
        <w:rPr>
          <w:rFonts w:hint="eastAsia" w:ascii="宋体" w:hAnsi="宋体" w:eastAsia="宋体" w:cs="宋体"/>
          <w:sz w:val="24"/>
          <w:szCs w:val="24"/>
          <w:lang w:val="en-US" w:eastAsia="en-US" w:bidi="ar-SA"/>
        </w:rPr>
        <w:t>不少于50万条的不限平台的短信服务包。</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50744EC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75F162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C5832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9CDDF06">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功能说明</w:t>
            </w:r>
          </w:p>
        </w:tc>
      </w:tr>
      <w:tr w14:paraId="5C23687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138FC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9B358B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A12A88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78BF260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7369A2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4A57A02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0FDBAE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8A4050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447FB2A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0988C1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94C1FD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FC7003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基础</w:t>
            </w:r>
            <w:r>
              <w:rPr>
                <w:rFonts w:hint="eastAsia" w:ascii="宋体" w:hAnsi="宋体" w:eastAsia="宋体" w:cs="宋体"/>
                <w:b/>
                <w:bCs/>
                <w:sz w:val="24"/>
                <w:szCs w:val="24"/>
                <w:lang w:val="en-US" w:eastAsia="en-US" w:bidi="ar-SA"/>
              </w:rPr>
              <w:t>数据管理</w:t>
            </w:r>
          </w:p>
          <w:p w14:paraId="7ED96D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6628D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73800C7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2B19DEE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EF4356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40B77D3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86326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050E19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553F79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37B79C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23D6A10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5B63D7A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00A4511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基础</w:t>
            </w:r>
          </w:p>
          <w:p w14:paraId="4E65FF10">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9F468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支持医院机构信息维护，可以配置卫生院名称、所在区域、联系方式等；</w:t>
            </w:r>
          </w:p>
          <w:p w14:paraId="7FC8806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机构下科室维护，可以配置相关的业务科室；</w:t>
            </w:r>
          </w:p>
          <w:p w14:paraId="4ACE422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en-US" w:bidi="ar-SA"/>
              </w:rPr>
              <w:t>系统用户维护，可以维护用户的基本信息、审核权限、菜单权限等；</w:t>
            </w:r>
          </w:p>
          <w:p w14:paraId="530093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4.</w:t>
            </w:r>
            <w:r>
              <w:rPr>
                <w:rFonts w:hint="eastAsia" w:ascii="宋体" w:hAnsi="宋体" w:eastAsia="宋体" w:cs="宋体"/>
                <w:sz w:val="21"/>
                <w:szCs w:val="21"/>
                <w:lang w:val="en-US" w:eastAsia="en-US" w:bidi="ar-SA"/>
              </w:rPr>
              <w:t>支持自定义套餐名称、套餐项目内容组合，维护具体项目信息等；</w:t>
            </w:r>
          </w:p>
          <w:p w14:paraId="4936D6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5.</w:t>
            </w:r>
            <w:r>
              <w:rPr>
                <w:rFonts w:hint="eastAsia" w:ascii="宋体" w:hAnsi="宋体" w:eastAsia="宋体" w:cs="宋体"/>
                <w:sz w:val="21"/>
                <w:szCs w:val="21"/>
                <w:lang w:val="en-US" w:eastAsia="en-US" w:bidi="ar-SA"/>
              </w:rPr>
              <w:t>支持诊断模板维护，可以自定义相关诊断项目的常用诊断模板；</w:t>
            </w:r>
          </w:p>
          <w:p w14:paraId="264837B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6.</w:t>
            </w:r>
            <w:r>
              <w:rPr>
                <w:rFonts w:hint="eastAsia" w:ascii="宋体" w:hAnsi="宋体" w:eastAsia="宋体" w:cs="宋体"/>
                <w:sz w:val="21"/>
                <w:szCs w:val="21"/>
                <w:lang w:val="en-US" w:eastAsia="en-US" w:bidi="ar-SA"/>
              </w:rPr>
              <w:t>支持系统参数配置，可以根据医院实际需求进行配置，满足个性化需求。</w:t>
            </w:r>
          </w:p>
          <w:p w14:paraId="0FA241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7.</w:t>
            </w:r>
            <w:r>
              <w:rPr>
                <w:rFonts w:hint="eastAsia" w:ascii="宋体" w:hAnsi="宋体" w:eastAsia="宋体" w:cs="宋体"/>
                <w:sz w:val="21"/>
                <w:szCs w:val="21"/>
                <w:lang w:val="en-US" w:eastAsia="en-US" w:bidi="ar-SA"/>
              </w:rPr>
              <w:t>支持配置项目的报告签名医生和手写签名；配置项目的默认值、异常结论、检验项目单位、范围值等；维护药品信息，包括药品名称、分类、用量、方式；维护心电图、彩超等检查项目的常用诊断模板。</w:t>
            </w:r>
          </w:p>
          <w:p w14:paraId="739D90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8.</w:t>
            </w:r>
            <w:r>
              <w:rPr>
                <w:rFonts w:hint="eastAsia" w:ascii="宋体" w:hAnsi="宋体" w:eastAsia="宋体" w:cs="宋体"/>
                <w:sz w:val="21"/>
                <w:szCs w:val="21"/>
                <w:lang w:val="en-US" w:eastAsia="en-US" w:bidi="ar-SA"/>
              </w:rPr>
              <w:t>支持自定义体检套餐，满足老年人体检、普通健康体检、入职体检等不同人群的体检需求；不同套餐支持打印对应的《体检导检指引单》。</w:t>
            </w:r>
          </w:p>
          <w:p w14:paraId="747564E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9.</w:t>
            </w:r>
            <w:r>
              <w:rPr>
                <w:rFonts w:hint="eastAsia" w:ascii="宋体" w:hAnsi="宋体" w:eastAsia="宋体" w:cs="宋体"/>
                <w:sz w:val="21"/>
                <w:szCs w:val="21"/>
                <w:lang w:val="en-US" w:eastAsia="en-US" w:bidi="ar-SA"/>
              </w:rPr>
              <w:t>支持不同机构科室医生分配指定项目的检查编辑权限，确保安全性和专业性和未分配权限的检查项目只能查看不能编辑。</w:t>
            </w:r>
          </w:p>
          <w:p w14:paraId="549F936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10.</w:t>
            </w:r>
            <w:r>
              <w:rPr>
                <w:rFonts w:hint="eastAsia" w:ascii="宋体" w:hAnsi="宋体" w:eastAsia="宋体" w:cs="宋体"/>
                <w:sz w:val="21"/>
                <w:szCs w:val="21"/>
                <w:lang w:val="en-US" w:eastAsia="en-US" w:bidi="ar-SA"/>
              </w:rPr>
              <w:t>▲支持对常规体检设备的数据采集，例如：通过蓝牙或WIFI采集血压计数据；通过蓝牙或WIFI采集身高体重数据等。（提供功能截图）</w:t>
            </w:r>
          </w:p>
          <w:p w14:paraId="58A7115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11.</w:t>
            </w:r>
            <w:r>
              <w:rPr>
                <w:rFonts w:hint="eastAsia" w:ascii="宋体" w:hAnsi="宋体" w:eastAsia="宋体" w:cs="宋体"/>
                <w:sz w:val="21"/>
                <w:szCs w:val="21"/>
                <w:lang w:val="en-US" w:eastAsia="en-US" w:bidi="ar-SA"/>
              </w:rPr>
              <w:t>支持心电图数据采集功能，支持通过FTP、HTTP等方式实时传输和按照指定条件批量传输，以及补传输指定人员数据和报告；</w:t>
            </w:r>
          </w:p>
          <w:p w14:paraId="6FD71F9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12.</w:t>
            </w:r>
            <w:r>
              <w:rPr>
                <w:rFonts w:hint="eastAsia" w:ascii="宋体" w:hAnsi="宋体" w:eastAsia="宋体" w:cs="宋体"/>
                <w:sz w:val="21"/>
                <w:szCs w:val="21"/>
                <w:lang w:val="en-US" w:eastAsia="en-US" w:bidi="ar-SA"/>
              </w:rPr>
              <w:t>支持B超\DR影像数据通信系统模块支持DICOM协议传输数据和采集卡方式采集图片，数据支持实时传输和补传输数据和报告；</w:t>
            </w:r>
          </w:p>
          <w:p w14:paraId="3179E84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13.</w:t>
            </w:r>
            <w:r>
              <w:rPr>
                <w:rFonts w:hint="eastAsia" w:ascii="宋体" w:hAnsi="宋体" w:eastAsia="宋体" w:cs="宋体"/>
                <w:sz w:val="21"/>
                <w:szCs w:val="21"/>
                <w:lang w:val="en-US" w:eastAsia="en-US" w:bidi="ar-SA"/>
              </w:rPr>
              <w:t>支持与医院LIS系统数据对接或在体检现场通过采集模块采集血常规、生化全项、尿常规、糖化血红蛋白等数据功能模块，支持TCP/RS232 HL7方式实时传输和按照指定条件批量传输，以及补传输指定人员数据；</w:t>
            </w:r>
          </w:p>
          <w:p w14:paraId="729ABE7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14.</w:t>
            </w:r>
            <w:r>
              <w:rPr>
                <w:rFonts w:hint="eastAsia" w:ascii="宋体" w:hAnsi="宋体" w:eastAsia="宋体" w:cs="宋体"/>
                <w:sz w:val="21"/>
                <w:szCs w:val="21"/>
                <w:lang w:val="en-US" w:eastAsia="en-US" w:bidi="ar-SA"/>
              </w:rPr>
              <w:t>支持与第三方检验平台进行数据对接或通过Excel、TCP HL7方式进行数据批量采集导入。</w:t>
            </w:r>
          </w:p>
        </w:tc>
      </w:tr>
      <w:tr w14:paraId="6F261DB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C07A1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健康档案登记管理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FEFA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全维度信息采集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6940C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精准采集居民基础信息（姓名、性别、年龄、身份证号、联系方式、居住地址等关键字段）、既往病史（含慢性病、传染病、手术史、过敏史等）、生活方式信息（吸烟、饮酒、运动、饮食偏好等问询记录），并关联家庭医生签约信息（签约医生姓名、服务团队、签约类型等）</w:t>
            </w:r>
            <w:r>
              <w:rPr>
                <w:rFonts w:hint="eastAsia" w:ascii="宋体" w:hAnsi="宋体" w:eastAsia="宋体" w:cs="宋体"/>
                <w:sz w:val="21"/>
                <w:szCs w:val="21"/>
                <w:lang w:val="en-US" w:eastAsia="zh-CN" w:bidi="ar-SA"/>
              </w:rPr>
              <w:t>；</w:t>
            </w:r>
          </w:p>
          <w:p w14:paraId="05F1447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采集体检人员现场照片或使用身份证头像照片，保存并显示在居民健康档案报告中，形成完整的居民健康画像。</w:t>
            </w:r>
          </w:p>
        </w:tc>
      </w:tr>
      <w:tr w14:paraId="3F879FE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8B5750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8F86B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多模式高效</w:t>
            </w:r>
          </w:p>
          <w:p w14:paraId="261A989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录入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0FEB2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w:t>
            </w:r>
            <w:r>
              <w:rPr>
                <w:rFonts w:hint="eastAsia" w:ascii="宋体" w:hAnsi="宋体" w:eastAsia="宋体" w:cs="宋体"/>
                <w:sz w:val="21"/>
                <w:szCs w:val="21"/>
                <w:lang w:val="en-US" w:eastAsia="zh-CN" w:bidi="ar-SA"/>
              </w:rPr>
              <w:t>手工登记、身份证读取、</w:t>
            </w:r>
            <w:r>
              <w:rPr>
                <w:rFonts w:hint="eastAsia" w:ascii="宋体" w:hAnsi="宋体" w:eastAsia="宋体" w:cs="宋体"/>
                <w:sz w:val="21"/>
                <w:szCs w:val="21"/>
                <w:lang w:val="en-US" w:eastAsia="en-US" w:bidi="ar-SA"/>
              </w:rPr>
              <w:t>Excel</w:t>
            </w:r>
            <w:r>
              <w:rPr>
                <w:rFonts w:hint="eastAsia" w:ascii="宋体" w:hAnsi="宋体" w:eastAsia="宋体" w:cs="宋体"/>
                <w:sz w:val="21"/>
                <w:szCs w:val="21"/>
                <w:lang w:val="en-US" w:eastAsia="zh-CN" w:bidi="ar-SA"/>
              </w:rPr>
              <w:t>导入等</w:t>
            </w:r>
            <w:r>
              <w:rPr>
                <w:rFonts w:hint="eastAsia" w:ascii="宋体" w:hAnsi="宋体" w:eastAsia="宋体" w:cs="宋体"/>
                <w:sz w:val="21"/>
                <w:szCs w:val="21"/>
                <w:lang w:val="en-US" w:eastAsia="en-US" w:bidi="ar-SA"/>
              </w:rPr>
              <w:t>多样化信息录入方式。</w:t>
            </w:r>
          </w:p>
          <w:p w14:paraId="38D7B7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支持登记时生成并打印检者体检码，并可根据参数配置打印体检码张数；</w:t>
            </w:r>
          </w:p>
          <w:p w14:paraId="2D7AD88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支持打印个人体检指引导检单，里面包含个人信息、体检项目以及查看报告二维码等基本信息。</w:t>
            </w:r>
          </w:p>
        </w:tc>
      </w:tr>
      <w:tr w14:paraId="2AF1446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3BB7D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7DB9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身份核验与数据同步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DE254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体检开始前，通过姓名、身份证号、手机号等多维度检索条件，可快速定位居民档案并确认身份，有效避免重复建档；</w:t>
            </w:r>
          </w:p>
          <w:p w14:paraId="2AE4EBD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登记完成后，居民健康档案实时同步至公卫平台，确保后续体检数据录入、健康随访、疾病干预等业务均能调用最新档案信息。</w:t>
            </w:r>
          </w:p>
        </w:tc>
      </w:tr>
      <w:tr w14:paraId="3C4C464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14DF4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021FA5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40292F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D4EEA8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66EE416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D743A1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D2B299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5DA17F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1BC146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619083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382300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87E5FE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299A1C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E35014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61029BD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772EE9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02821A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B2F02A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公卫体检</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99D00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▲全项目体检覆盖</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0A07E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应严格遵循国家公共卫生服务规范，涵盖中医问询（体质辨识、中医健康指导）、基础健康问询（血压、血糖、心率、身高、体重及BMI计算）、检验采血（血常规、生化指标、肝肾功能等）、影像检查（X线拍片、超声检查）、功能检查（心电图、肺功能检测等）等核心体检项目，满足不同人群（老年人、慢性病患者等）的体检需求。​（提供功能截图）</w:t>
            </w:r>
          </w:p>
        </w:tc>
      </w:tr>
      <w:tr w14:paraId="7F25B13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C87AA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E2B40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多端协同录入与校验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4B3D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应内置符合国家规范的老年人体检表、慢性病体检表等标准化表单，支持分科室录入（如检验科录入检验结果、影像科上传影像报告）与集中汇总；</w:t>
            </w:r>
          </w:p>
          <w:p w14:paraId="1042DBA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支持通过PC端或移动终端实时录入检查结果</w:t>
            </w:r>
            <w:r>
              <w:rPr>
                <w:rFonts w:hint="eastAsia" w:cs="宋体"/>
                <w:sz w:val="21"/>
                <w:szCs w:val="21"/>
                <w:lang w:val="en-US" w:eastAsia="zh-CN" w:bidi="ar-SA"/>
              </w:rPr>
              <w:t>；</w:t>
            </w:r>
          </w:p>
          <w:p w14:paraId="243F9C3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支持具备检查项目提示（未完成项目自动提醒）与必填项校验功能（关键指标漏填时无法提交），保障数据完整性。</w:t>
            </w:r>
          </w:p>
        </w:tc>
      </w:tr>
      <w:tr w14:paraId="051BFA1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DD0FA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6744B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历史数据对比与初步评估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DDA0A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支持自动调取居民健康档案中的历史体检数据（如往年血压、血糖变化趋势），对比分析居民健康状况变化；</w:t>
            </w:r>
          </w:p>
          <w:p w14:paraId="6C50C94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支持基于标准化数据自动生成初步健康评估结论（如“血压偏高，建议低盐饮食并定期监测”），并将完整体检数据暂存于本地数据库，为后续上传至公卫平台做好准备。</w:t>
            </w:r>
          </w:p>
        </w:tc>
      </w:tr>
      <w:tr w14:paraId="5E6D3BC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3BED3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536C24">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体检中管理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4781C9">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支持在体检过程中通过条码绑定体检者与采集的血液、尿液标本关系；</w:t>
            </w:r>
          </w:p>
          <w:p w14:paraId="2195D5CD">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支持在个人体检指引导检单中，具备记录各个项目体检状态，如：已检查或已弃检，方便工作人员核对和引导；</w:t>
            </w:r>
          </w:p>
          <w:p w14:paraId="096D453E">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支持对接检查过程中的使用设备，并且能够自动获取数据，包含：身高体重仪、血压仪、尿液分析仪、心电图仪、彩超等</w:t>
            </w:r>
            <w:r>
              <w:rPr>
                <w:rFonts w:hint="eastAsia" w:cs="宋体"/>
                <w:sz w:val="21"/>
                <w:szCs w:val="21"/>
                <w:lang w:val="en-US" w:eastAsia="zh-CN" w:bidi="ar-SA"/>
              </w:rPr>
              <w:t>；</w:t>
            </w:r>
          </w:p>
          <w:p w14:paraId="474ACEC5">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支持查看每个体检人员的完成情况，包括已检项目、弃检项目、项目总数等；</w:t>
            </w:r>
          </w:p>
          <w:p w14:paraId="18D83A28">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支持标记回收个人体检指引导检单功能，方便工作人员统计数量和给体检者补打体检条码的功能</w:t>
            </w:r>
            <w:r>
              <w:rPr>
                <w:rFonts w:hint="eastAsia" w:cs="宋体"/>
                <w:sz w:val="21"/>
                <w:szCs w:val="21"/>
                <w:lang w:val="en-US" w:eastAsia="zh-CN" w:bidi="ar-SA"/>
              </w:rPr>
              <w:t>；</w:t>
            </w:r>
          </w:p>
          <w:p w14:paraId="3721E733">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快速新增居民健康档案；居民健康档案符合《国家基本公共卫生服务规范（第三版）》相关要求，包含一般情况、生活方式、查体信息、辅助检查、现存健康问题、住院用药情况、危险因素控制、健康指导健康评价、中医体质、老年人生活能力评估等模块</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4A8A5252">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支持居民健康档案中查体、辅助检查中的检测检验数据，可以自动从系统中已完成的项目中读取，并根据检测的结果自动标记正常或异常；</w:t>
            </w:r>
          </w:p>
          <w:p w14:paraId="439ED152">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支持健康档案中用药情况，支持预设相关常用药品和对应的使用规则；</w:t>
            </w:r>
          </w:p>
          <w:p w14:paraId="2A0A77A5">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支持健康档案中健康评价可以根据档案中相关检查项目结果自动匹配异常项目；</w:t>
            </w:r>
          </w:p>
          <w:p w14:paraId="64505C24">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支持根据体检情况自动勾选填充健康指导内容。支持重点人群分类标签，如65岁以上老年人、高血压、糖尿病、精神病等；</w:t>
            </w:r>
          </w:p>
          <w:p w14:paraId="7641837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支持汇总所有体检套餐项目，公卫体检包括辅助检查、体格检查、健康问诊、中医体质辨识；</w:t>
            </w:r>
          </w:p>
          <w:p w14:paraId="5F1597A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体检人员的具体每一个项目，可以根据具体内容自动获取异常信息和录入保存后当前项目直接标记为已完成，也可以暂时保存内容，根据用户个人情况也可以选择标记为弃检；单科体检项目使用知识库进行填写诊断结果。</w:t>
            </w:r>
          </w:p>
        </w:tc>
      </w:tr>
      <w:tr w14:paraId="3018DBA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E08E0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A98D41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体检结果上传（上传到公卫系统）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B5FA9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w:t>
            </w:r>
            <w:r>
              <w:rPr>
                <w:rFonts w:hint="eastAsia" w:ascii="宋体" w:hAnsi="宋体" w:eastAsia="宋体" w:cs="宋体"/>
                <w:b/>
                <w:bCs/>
                <w:sz w:val="24"/>
                <w:szCs w:val="24"/>
                <w:lang w:val="en-US" w:eastAsia="zh-CN" w:bidi="ar-SA"/>
              </w:rPr>
              <w:t>标准化数据适配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0E282D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严格按照国家公共卫生服务规范、公卫平台数据接口标准，对本地暂存的体检数据进行格式转换与字段映射（如将医院内部检验指标名称统一为国家规范名称），确保数据符合公卫平台接收要求，避免因数据格式不兼容导致的上传失败。（提供功能截图）</w:t>
            </w:r>
          </w:p>
        </w:tc>
      </w:tr>
      <w:tr w14:paraId="0E4656A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E5852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D275C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w:t>
            </w:r>
            <w:r>
              <w:rPr>
                <w:rFonts w:hint="eastAsia" w:ascii="宋体" w:hAnsi="宋体" w:eastAsia="宋体" w:cs="宋体"/>
                <w:b/>
                <w:bCs/>
                <w:sz w:val="24"/>
                <w:szCs w:val="24"/>
                <w:lang w:val="en-US" w:eastAsia="zh-CN" w:bidi="ar-SA"/>
              </w:rPr>
              <w:t>灵活上传模式与数据校验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D9F95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两种上传模式——自动上传（体检完成并审核通过后，系统按设定频率自动推送数据至公卫平台）、半自动上传（医务人员人工审核数据后，手动触发上传操作），适配不同管理需求。上传前，系统对数据进行三重校验：完整性校验（关键字段是否缺失）、逻辑性校验（如“年龄10岁居民出现高血压”等异常数据提示）、格式校验（数据格式是否符合接口要求），校验不通过的数据会生成详细报错清单，方便医务人员修正后重新上传。（提供功能截图）</w:t>
            </w:r>
            <w:r>
              <w:rPr>
                <w:rFonts w:hint="eastAsia" w:cs="宋体"/>
                <w:sz w:val="21"/>
                <w:szCs w:val="21"/>
                <w:lang w:val="en-US" w:eastAsia="zh-CN" w:bidi="ar-SA"/>
              </w:rPr>
              <w:t>。</w:t>
            </w:r>
          </w:p>
        </w:tc>
      </w:tr>
      <w:tr w14:paraId="52F32AC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18C0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FF020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▲上传状态追踪与数据更新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F529B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系统实时记录每一条体检数据的上传状态（待上传、上传中、上传成功、上传失败）</w:t>
            </w:r>
            <w:r>
              <w:rPr>
                <w:rFonts w:hint="eastAsia" w:cs="宋体"/>
                <w:sz w:val="21"/>
                <w:szCs w:val="21"/>
                <w:lang w:val="en-US" w:eastAsia="zh-CN" w:bidi="ar-SA"/>
              </w:rPr>
              <w:t>，</w:t>
            </w:r>
            <w:r>
              <w:rPr>
                <w:rFonts w:hint="eastAsia" w:ascii="宋体" w:hAnsi="宋体" w:eastAsia="宋体" w:cs="宋体"/>
                <w:sz w:val="21"/>
                <w:szCs w:val="21"/>
                <w:lang w:val="en-US" w:eastAsia="zh-CN" w:bidi="ar-SA"/>
              </w:rPr>
              <w:t>上传失败时明确提示失败原因（如网络问题、接口异常），并支持一键重试；上传成功后，公卫平台实时更新居民健康档案中的体检信息。（提供功能截图）</w:t>
            </w:r>
          </w:p>
        </w:tc>
      </w:tr>
      <w:tr w14:paraId="6227537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C566F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体检总检与报告管理（管理端）</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D99A68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总检</w:t>
            </w:r>
          </w:p>
          <w:p w14:paraId="01F99E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168718">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支持按日期、年龄、状态等条件查询列表人员并查看体检项目情况；</w:t>
            </w:r>
          </w:p>
          <w:p w14:paraId="5AC670B0">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支持自动汇总各个分检项目的检查检验结果；</w:t>
            </w:r>
          </w:p>
          <w:p w14:paraId="09FA4FAA">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支持总检医生权限可配置，只有授权的医生才有总检权限；</w:t>
            </w:r>
          </w:p>
          <w:p w14:paraId="5D529515">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支持总检审核后的数据不允许修改，如要修改需回退后再进行编辑</w:t>
            </w:r>
            <w:r>
              <w:rPr>
                <w:rFonts w:hint="eastAsia" w:cs="宋体"/>
                <w:sz w:val="21"/>
                <w:szCs w:val="21"/>
                <w:lang w:val="en-US" w:eastAsia="zh-CN" w:bidi="ar-SA"/>
              </w:rPr>
              <w:t>；</w:t>
            </w:r>
          </w:p>
          <w:p w14:paraId="1C0EABF4">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支持根据体检结果自动生成总检结论、健康评价、健康指导内容；总检审核时，通过常用诊断模板知识库方便导入诊断意见；知识库的词条、诊断建议可自定义修改添加补充</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tc>
      </w:tr>
      <w:tr w14:paraId="76B6E0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0870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B0E59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报告</w:t>
            </w:r>
          </w:p>
          <w:p w14:paraId="4565416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B849CC">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支持符合第三版公共卫生服务规范要求的体检报告，体检报告中支持显示分检单项结果，并在检查综述中显示总检评价</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6E6FC1DB">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体检报告打印内容包含档案封面、基本信息、居民健康档案卡、健康体检表、老年人自理能力随访表、老年人中医保健随访表；</w:t>
            </w:r>
          </w:p>
          <w:p w14:paraId="2ED368AF">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支持单独打印单项体检报告，如：心电图报告、彩超报告、尿常规报告、血常规报告、生化报告等</w:t>
            </w:r>
            <w:r>
              <w:rPr>
                <w:rFonts w:hint="eastAsia" w:cs="宋体"/>
                <w:sz w:val="21"/>
                <w:szCs w:val="21"/>
                <w:lang w:val="en-US" w:eastAsia="zh-CN" w:bidi="ar-SA"/>
              </w:rPr>
              <w:t>；</w:t>
            </w:r>
          </w:p>
          <w:p w14:paraId="3ED3CC85">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支持按体检时间、体检机构等条件过滤查询预览并打印</w:t>
            </w:r>
            <w:r>
              <w:rPr>
                <w:rFonts w:hint="eastAsia" w:cs="宋体"/>
                <w:sz w:val="21"/>
                <w:szCs w:val="21"/>
                <w:lang w:val="en-US" w:eastAsia="zh-CN" w:bidi="ar-SA"/>
              </w:rPr>
              <w:t>。</w:t>
            </w:r>
          </w:p>
        </w:tc>
      </w:tr>
      <w:tr w14:paraId="3A21CC0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EDA27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体检报告下载打印（居民端）</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6DE3B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多渠道便捷访问</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58800BE">
            <w:pPr>
              <w:keepNext/>
              <w:numPr>
                <w:ilvl w:val="0"/>
                <w:numId w:val="1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支持居民通过多种线上渠道登录系统，手机APP后微信小程序（绑定身份证号或手机号即可关联个人档案）、网页端，随时随地查询本人体检报告，打破“线下取报告”的时空限制</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3D1BE342">
            <w:pPr>
              <w:keepNext/>
              <w:numPr>
                <w:ilvl w:val="0"/>
                <w:numId w:val="12"/>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支持通过互联网查询体检报告时应具备身份验证功能，可设置通过身份证号码验证身份或短信验证码来验证身份。</w:t>
            </w:r>
          </w:p>
        </w:tc>
      </w:tr>
      <w:tr w14:paraId="7DAA7C2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0F8D18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C1CE9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多格式报告与个性化展示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714C6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生成多种格式的体检报告文件，如PDF（便于保存、打印）、Word（便于编辑），并提供简版与详细版两种报告类型——简版报告突出核心结论（如异常指标、健康建议），方便居民快速了解自身健康状况；详细版报告则包含所有检查项目的原始数据、参考范围、医生解读，满足居民深度查看需求。报告界面设计简洁明了，异常指标用红色标注，直观易懂。</w:t>
            </w:r>
          </w:p>
        </w:tc>
      </w:tr>
      <w:tr w14:paraId="732AEF3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4B125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28BE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健康指导联动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535F39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支持在体检报告页面，系统基于报告结论自动推送个性化健康指导（如针对血糖偏高居民推送“糖尿病预防饮食指南”），并提供家庭医生咨询入口，方便居民针对报告疑问直接与签约医生沟通。​</w:t>
            </w:r>
          </w:p>
        </w:tc>
      </w:tr>
      <w:tr w14:paraId="4C53BC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BCA7B3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心电、影像、检验对接</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3F878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多类型设备接口适配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296E5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与主流医技设备及系统对接，包括心电图机（通过HL7接口或专用数据线获取心电图波形数据与诊断结论）、影像设备（X线机、超声设备通过DICOM接口上传影像图片与报告）、检验仪器（血常规分析仪、生化分析仪通过LIS接口传输检验原始数据与结果），覆盖体检核心医技检查场景。</w:t>
            </w:r>
          </w:p>
        </w:tc>
      </w:tr>
      <w:tr w14:paraId="65764C7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6A4EB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F512B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数据自动传输与关联</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4105F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设备数据通过接口自动传输至公卫体检信息系统，无需人工抄录或二次录入，减少人为差错；系统接收数据后，自动与对应居民的体检记录进行关联（通过体检编号、身份证号匹配），生成统一的电子报告（如“心电图报告-张三-202X年X月X日”），并同步更新至居民体检档案中。</w:t>
            </w:r>
          </w:p>
        </w:tc>
      </w:tr>
      <w:tr w14:paraId="41A22E7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22B2F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043B7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数据质控与共享</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B4011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支持对接收的医技数据进行质控校验（如检验数据超出仪器检测范围时自动提示），确保数据准确性</w:t>
            </w:r>
            <w:r>
              <w:rPr>
                <w:rFonts w:hint="eastAsia" w:cs="宋体"/>
                <w:sz w:val="21"/>
                <w:szCs w:val="21"/>
                <w:lang w:val="en-US" w:eastAsia="zh-CN" w:bidi="ar-SA"/>
              </w:rPr>
              <w:t>。</w:t>
            </w:r>
          </w:p>
        </w:tc>
      </w:tr>
      <w:tr w14:paraId="4264D30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EA92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老年人管理与统计</w:t>
            </w:r>
          </w:p>
          <w:p w14:paraId="0F74E88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BFAD4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老年人管理与统计</w:t>
            </w:r>
          </w:p>
          <w:p w14:paraId="235DDE4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EBAC3D7">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支持对老年人进行生活能力健康评估、中医体质辨识评价；</w:t>
            </w:r>
          </w:p>
          <w:p w14:paraId="5DB0210C">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中医问诊可根据对应的问诊评分，自动勾选对应的中医体质</w:t>
            </w:r>
            <w:r>
              <w:rPr>
                <w:rFonts w:hint="eastAsia" w:cs="宋体"/>
                <w:sz w:val="21"/>
                <w:szCs w:val="21"/>
                <w:lang w:val="en-US" w:eastAsia="zh-CN" w:bidi="ar-SA"/>
              </w:rPr>
              <w:t>；</w:t>
            </w:r>
          </w:p>
          <w:p w14:paraId="38AFD8C8">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中医问诊时可自动关联已经测量的腰围及BMI值数据；在打印报告时，根据对应的中医体质，自动匹配对应的中医药健康管理服务记录表，里面包含对应的保健指导内容；</w:t>
            </w:r>
          </w:p>
          <w:p w14:paraId="67F43B54">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▲支持对老年人健康管理、高血压健康管理、糖尿病健康管理、肺结核健康管理、孕产妇健康管理、重型精神病健康管理等</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28F60F1B">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支持在体检系统首页展示当日体检数据，包含新增检查、新增人员、新增建档、近一周体检数据的组装图和饼状图；可根据筛选条件查询对应的正常或异常体检数据；可导出指定条件下的体检人员名单列表。</w:t>
            </w:r>
          </w:p>
        </w:tc>
      </w:tr>
      <w:tr w14:paraId="4C422D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CC01B4">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en-US" w:bidi="ar-SA"/>
              </w:rPr>
            </w:pPr>
            <w:r>
              <w:rPr>
                <w:rFonts w:hint="eastAsia" w:ascii="宋体" w:hAnsi="宋体" w:eastAsia="宋体" w:cs="宋体"/>
                <w:b/>
                <w:bCs/>
                <w:sz w:val="28"/>
                <w:szCs w:val="28"/>
                <w:lang w:val="en-US" w:eastAsia="en-US" w:bidi="ar-SA"/>
              </w:rPr>
              <w:t>上门体检</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0655CEF">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zh-CN" w:bidi="ar-SA"/>
              </w:rPr>
            </w:pPr>
            <w:r>
              <w:rPr>
                <w:rFonts w:hint="eastAsia" w:ascii="宋体" w:hAnsi="宋体" w:eastAsia="宋体" w:cs="宋体"/>
                <w:b/>
                <w:bCs/>
                <w:sz w:val="28"/>
                <w:szCs w:val="28"/>
                <w:lang w:val="en-US" w:eastAsia="zh-CN" w:bidi="ar-SA"/>
              </w:rPr>
              <w:t>个性化上门体检预约</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B22B11">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支持线上预约，通过手机APP、微信小程序填写体检对象信息、健康状况描述、选择体检日期与时间段、勾选体检项目完成预约；</w:t>
            </w:r>
          </w:p>
          <w:p w14:paraId="3ABD1859">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支持线下预约</w:t>
            </w:r>
            <w:r>
              <w:rPr>
                <w:rFonts w:hint="eastAsia" w:cs="宋体"/>
                <w:sz w:val="21"/>
                <w:szCs w:val="21"/>
                <w:lang w:val="en-US" w:eastAsia="zh-CN" w:bidi="ar-SA"/>
              </w:rPr>
              <w:t>；</w:t>
            </w:r>
          </w:p>
          <w:p w14:paraId="5BC661AC">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支持预约提交后，自动分配体检团队，并将预约信息推送至体检团队</w:t>
            </w:r>
            <w:r>
              <w:rPr>
                <w:rFonts w:hint="eastAsia" w:cs="宋体"/>
                <w:sz w:val="21"/>
                <w:szCs w:val="21"/>
                <w:lang w:val="en-US" w:eastAsia="zh-CN" w:bidi="ar-SA"/>
              </w:rPr>
              <w:t>；</w:t>
            </w:r>
          </w:p>
          <w:p w14:paraId="7F1261B9">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现场体检记录与数据采集：体检团队携带便携式体检设备（如便携式血压计、血糖仪、心电图机、移动终端）上门后，通过移动终端登录系统，调取预约体检信息，现场记录各项检查结果 —— 常规项目（如血压、血糖）数据实时录入系统，支持设备自动传输（如便携式心电图机检测完成后，数据通过蓝牙同步至移动终端）；</w:t>
            </w:r>
          </w:p>
          <w:p w14:paraId="7D94DDAA">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体格检查（如心肺听诊、四肢活动度评估）结果由医生手动录入，并可上传现场拍摄的检查照片（如皮肤状况照片）作为补充。体检过程中，系统实时校验数据完整性（如未完成关键项目时提示 “血糖检测未记录，请补充”），确保体检数据不遗漏、准确无误。​</w:t>
            </w:r>
          </w:p>
        </w:tc>
      </w:tr>
      <w:tr w14:paraId="7FF0A1C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723F0E">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732B1B">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zh-CN" w:bidi="ar-SA"/>
              </w:rPr>
            </w:pPr>
            <w:r>
              <w:rPr>
                <w:rFonts w:hint="eastAsia" w:ascii="宋体" w:hAnsi="宋体" w:eastAsia="宋体" w:cs="宋体"/>
                <w:b/>
                <w:bCs/>
                <w:sz w:val="28"/>
                <w:szCs w:val="28"/>
                <w:lang w:val="en-US" w:eastAsia="zh-CN" w:bidi="ar-SA"/>
              </w:rPr>
              <w:t>健康评估报告生成与档案更新</w:t>
            </w:r>
          </w:p>
          <w:p w14:paraId="54ABC476">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zh-CN" w:bidi="ar-SA"/>
              </w:rPr>
            </w:pP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BACAC8">
            <w:pPr>
              <w:keepNext/>
              <w:numPr>
                <w:ilvl w:val="0"/>
                <w:numId w:val="15"/>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zh-CN" w:bidi="ar-SA"/>
              </w:rPr>
              <w:t>支持基于现场采集的数据自动生成个性化健康评估报告，报告可通过APP或微信推送至居民或其家属</w:t>
            </w:r>
            <w:r>
              <w:rPr>
                <w:rFonts w:hint="eastAsia" w:cs="宋体"/>
                <w:sz w:val="21"/>
                <w:szCs w:val="21"/>
                <w:lang w:val="en-US" w:eastAsia="zh-CN" w:bidi="ar-SA"/>
              </w:rPr>
              <w:t>；</w:t>
            </w:r>
          </w:p>
          <w:p w14:paraId="0BDA2AB2">
            <w:pPr>
              <w:keepNext/>
              <w:numPr>
                <w:ilvl w:val="0"/>
                <w:numId w:val="1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支持将上门体检数据实时更新至居民电子健康档案，并同步至公卫平台，家庭医生可基于体检报告为居民制定后续健康管理计划（如增加随访频次、调整用药方案）。</w:t>
            </w:r>
          </w:p>
        </w:tc>
      </w:tr>
    </w:tbl>
    <w:p w14:paraId="43BA258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717B873">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3" w:name="_Toc23513"/>
      <w:r>
        <w:rPr>
          <w:rFonts w:hint="eastAsia" w:cs="宋体"/>
          <w:b/>
          <w:bCs/>
          <w:sz w:val="28"/>
          <w:szCs w:val="28"/>
          <w:lang w:val="en-US" w:eastAsia="zh-CN" w:bidi="ar-SA"/>
        </w:rPr>
        <w:t>7.</w:t>
      </w:r>
      <w:r>
        <w:rPr>
          <w:rFonts w:hint="eastAsia" w:ascii="宋体" w:hAnsi="宋体" w:eastAsia="宋体" w:cs="宋体"/>
          <w:b/>
          <w:bCs/>
          <w:sz w:val="28"/>
          <w:szCs w:val="28"/>
          <w:lang w:val="en-US" w:eastAsia="en-US" w:bidi="ar-SA"/>
        </w:rPr>
        <w:t>妇产医院业务协同</w:t>
      </w:r>
      <w:bookmarkEnd w:id="13"/>
    </w:p>
    <w:p w14:paraId="7C665492">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en-US" w:bidi="ar-SA"/>
        </w:rPr>
      </w:pPr>
      <w:r>
        <w:rPr>
          <w:rFonts w:hint="eastAsia" w:ascii="宋体" w:hAnsi="宋体" w:eastAsia="宋体" w:cs="宋体"/>
          <w:b w:val="0"/>
          <w:bCs w:val="0"/>
          <w:sz w:val="24"/>
          <w:szCs w:val="24"/>
          <w:lang w:val="en-US" w:eastAsia="en-US" w:bidi="ar-SA"/>
        </w:rPr>
        <w:t>整体技术要求：</w:t>
      </w:r>
    </w:p>
    <w:p w14:paraId="14644989">
      <w:pPr>
        <w:keepNext/>
        <w:adjustRightInd w:val="0"/>
        <w:snapToGrid w:val="0"/>
        <w:spacing w:line="360" w:lineRule="auto"/>
        <w:ind w:left="0" w:leftChars="0" w:right="0" w:rightChars="0" w:firstLine="480" w:firstLineChars="200"/>
        <w:jc w:val="left"/>
        <w:rPr>
          <w:rFonts w:hint="eastAsia" w:ascii="宋体" w:hAnsi="宋体" w:eastAsia="宋体" w:cs="宋体"/>
          <w:b w:val="0"/>
          <w:bCs w:val="0"/>
          <w:sz w:val="24"/>
          <w:szCs w:val="24"/>
          <w:lang w:val="en-US" w:eastAsia="en-US" w:bidi="ar-SA"/>
        </w:rPr>
      </w:pPr>
      <w:r>
        <w:rPr>
          <w:rFonts w:hint="eastAsia" w:cs="宋体"/>
          <w:b w:val="0"/>
          <w:bCs w:val="0"/>
          <w:sz w:val="24"/>
          <w:szCs w:val="24"/>
          <w:lang w:val="en-US" w:eastAsia="zh-CN" w:bidi="ar-SA"/>
        </w:rPr>
        <w:t>（1）</w:t>
      </w:r>
      <w:r>
        <w:rPr>
          <w:rFonts w:hint="eastAsia" w:ascii="宋体" w:hAnsi="宋体" w:eastAsia="宋体" w:cs="宋体"/>
          <w:b w:val="0"/>
          <w:bCs w:val="0"/>
          <w:sz w:val="24"/>
          <w:szCs w:val="24"/>
          <w:lang w:val="en-US" w:eastAsia="zh-CN" w:bidi="ar-SA"/>
        </w:rPr>
        <w:t>须提供采集医院现有系统的接口改造服务费用及采集工具。</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849"/>
        <w:gridCol w:w="1500"/>
        <w:gridCol w:w="6173"/>
      </w:tblGrid>
      <w:tr w14:paraId="402D538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E4B87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序号</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9775E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AA6F57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E3E338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EC8CA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1</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433F7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五大中心业务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6A69B2">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en-US" w:bidi="ar-SA"/>
              </w:rPr>
              <w:t>升级改造妇产医院现有业务系统，通过元宝山区医共体数据专网实现支持妇产医院心电、影像、检验、超声、消供等业务协同，达到妇产医院检查，医共体牵头医院出具报告的目标。本次主要将妇产医院心电、影像、检验设备及软件对接到元宝山区医共体信息化一期招标的区域心电网络系统、影像平台和本次招标的区域医疗服务系统功能服务；</w:t>
            </w:r>
            <w:r>
              <w:rPr>
                <w:rFonts w:hint="eastAsia" w:ascii="宋体" w:hAnsi="宋体" w:eastAsia="宋体" w:cs="宋体"/>
                <w:sz w:val="21"/>
                <w:szCs w:val="21"/>
                <w:lang w:val="en-US" w:eastAsia="zh-CN" w:bidi="ar-SA"/>
              </w:rPr>
              <w:t>须承担医院心电、影像、检验等设备及系统的对接改造费用及服务。</w:t>
            </w:r>
          </w:p>
        </w:tc>
      </w:tr>
      <w:tr w14:paraId="06F0462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FDE23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2</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80941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医共体云药房业务协同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78C53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通过牵头医院生成医共体统一药品目录，升级改造妇产医院现有业务系统，对接元宝山医共体信息化一期系统中云药房，通过提交药品采购申请完成药品入出库，实现药品统一采购、物流配送。</w:t>
            </w:r>
          </w:p>
        </w:tc>
      </w:tr>
      <w:tr w14:paraId="001FD7E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9208D5">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3</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E1DCA4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医共体运营监管业务协同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1D713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升级改造妇产医院现有业务系统，通过采集妇产医院各类生产系统数据，导入基础医疗卫生综合管理系统,实现医院运营数据在医共体内协调运营监管。</w:t>
            </w:r>
          </w:p>
        </w:tc>
      </w:tr>
      <w:tr w14:paraId="0098577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00410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4</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816FF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公卫及HIS业务对接改造</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AB7E55">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en-US" w:bidi="ar-SA"/>
              </w:rPr>
              <w:t>升级改造妇产医院现有业务系统，实现在临床HIS系统上实时查看公卫系统数据，并将医院临床系统产生的数据归集上传到公卫系统、慢性病管理系统和家庭医生随访等系统。</w:t>
            </w:r>
          </w:p>
        </w:tc>
      </w:tr>
      <w:tr w14:paraId="4332FA2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FCBB61">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5</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73A7DF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财务、绩效业务对接改造</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2C337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升级改造妇产医院现有业务系统，将数据通过医共体卫生专网与医共体财务、绩效等系统对接，实现医共体统一人财物管理和绩效考核</w:t>
            </w:r>
            <w:r>
              <w:rPr>
                <w:rFonts w:hint="eastAsia" w:ascii="宋体" w:hAnsi="宋体" w:eastAsia="宋体" w:cs="宋体"/>
                <w:sz w:val="21"/>
                <w:szCs w:val="21"/>
                <w:lang w:val="en-US" w:eastAsia="zh-CN" w:bidi="ar-SA"/>
              </w:rPr>
              <w:t>数据的抽取与运用</w:t>
            </w:r>
            <w:r>
              <w:rPr>
                <w:rFonts w:hint="eastAsia" w:ascii="宋体" w:hAnsi="宋体" w:eastAsia="宋体" w:cs="宋体"/>
                <w:sz w:val="21"/>
                <w:szCs w:val="21"/>
                <w:lang w:val="en-US" w:eastAsia="en-US" w:bidi="ar-SA"/>
              </w:rPr>
              <w:t>。</w:t>
            </w:r>
          </w:p>
        </w:tc>
      </w:tr>
    </w:tbl>
    <w:p w14:paraId="27417A9C">
      <w:pPr>
        <w:keepNext/>
        <w:adjustRightInd w:val="0"/>
        <w:snapToGrid w:val="0"/>
        <w:spacing w:line="240" w:lineRule="auto"/>
        <w:ind w:left="0" w:leftChars="0" w:right="0" w:rightChars="0" w:firstLine="0" w:firstLineChars="0"/>
        <w:jc w:val="left"/>
        <w:rPr>
          <w:rFonts w:hint="eastAsia" w:ascii="宋体" w:hAnsi="宋体" w:eastAsia="宋体" w:cs="宋体"/>
          <w:b/>
          <w:bCs/>
          <w:sz w:val="24"/>
          <w:szCs w:val="24"/>
          <w:lang w:val="en-US" w:eastAsia="en-US" w:bidi="ar-SA"/>
        </w:rPr>
      </w:pPr>
    </w:p>
    <w:p w14:paraId="7114CAA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4" w:name="_Toc333"/>
      <w:r>
        <w:rPr>
          <w:rFonts w:hint="eastAsia" w:cs="宋体"/>
          <w:b/>
          <w:bCs/>
          <w:sz w:val="28"/>
          <w:szCs w:val="28"/>
          <w:lang w:val="en-US" w:eastAsia="zh-CN" w:bidi="ar-SA"/>
        </w:rPr>
        <w:t>8.</w:t>
      </w:r>
      <w:r>
        <w:rPr>
          <w:rFonts w:hint="eastAsia" w:cs="宋体"/>
          <w:b/>
          <w:bCs/>
          <w:sz w:val="28"/>
          <w:szCs w:val="28"/>
          <w:lang w:val="en-US" w:eastAsia="en-US" w:bidi="ar-SA"/>
        </w:rPr>
        <w:t>网络数据灾备软件</w:t>
      </w:r>
      <w:bookmarkEnd w:id="14"/>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4DE7FF7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A8BF8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72A5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B15B0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3B1159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498F5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整体要求</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09D77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软件</w:t>
            </w:r>
            <w:r>
              <w:rPr>
                <w:rFonts w:hint="eastAsia" w:ascii="宋体" w:hAnsi="宋体" w:eastAsia="宋体" w:cs="宋体"/>
                <w:b/>
                <w:bCs/>
                <w:sz w:val="24"/>
                <w:szCs w:val="24"/>
                <w:lang w:val="en-US" w:eastAsia="en-US" w:bidi="ar-SA"/>
              </w:rPr>
              <w:t>架构</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D3E0A5">
            <w:pPr>
              <w:keepNext/>
              <w:numPr>
                <w:ilvl w:val="0"/>
                <w:numId w:val="16"/>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采⽤软硬⼀体化架构，通过将数据安全管理平台管理软件、容灾备份服务器和存储介质等集成为一体，广泛兼容国内外主流操作系统、数据库、虚拟化、云计算平台，在应用级、文件级和操作系统级等多个维度实现业务连续性和数据保护</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p w14:paraId="62387DB0">
            <w:pPr>
              <w:keepNext/>
              <w:numPr>
                <w:ilvl w:val="0"/>
                <w:numId w:val="16"/>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数据库备份≥25套、实时</w:t>
            </w:r>
            <w:r>
              <w:rPr>
                <w:rFonts w:hint="eastAsia" w:ascii="宋体" w:hAnsi="宋体" w:eastAsia="宋体" w:cs="宋体"/>
                <w:sz w:val="21"/>
                <w:szCs w:val="21"/>
                <w:lang w:val="en-US" w:eastAsia="zh-CN" w:bidi="ar-SA"/>
              </w:rPr>
              <w:t>数据库</w:t>
            </w:r>
            <w:r>
              <w:rPr>
                <w:rFonts w:hint="eastAsia" w:ascii="宋体" w:hAnsi="宋体" w:eastAsia="宋体" w:cs="宋体"/>
                <w:sz w:val="21"/>
                <w:szCs w:val="21"/>
                <w:lang w:val="en-US" w:eastAsia="en-US" w:bidi="ar-SA"/>
              </w:rPr>
              <w:t>容灾≥5套、操作系统及虚拟化</w:t>
            </w:r>
            <w:r>
              <w:rPr>
                <w:rFonts w:hint="eastAsia" w:ascii="宋体" w:hAnsi="宋体" w:eastAsia="宋体" w:cs="宋体"/>
                <w:sz w:val="21"/>
                <w:szCs w:val="21"/>
                <w:lang w:val="en-US" w:eastAsia="zh-CN" w:bidi="ar-SA"/>
              </w:rPr>
              <w:t>资源备份</w:t>
            </w:r>
            <w:r>
              <w:rPr>
                <w:rFonts w:hint="eastAsia" w:ascii="宋体" w:hAnsi="宋体" w:eastAsia="宋体" w:cs="宋体"/>
                <w:sz w:val="21"/>
                <w:szCs w:val="21"/>
                <w:lang w:val="en-US" w:eastAsia="en-US" w:bidi="ar-SA"/>
              </w:rPr>
              <w:t>不限制主机</w:t>
            </w:r>
            <w:r>
              <w:rPr>
                <w:rFonts w:hint="eastAsia" w:ascii="宋体" w:hAnsi="宋体" w:eastAsia="宋体" w:cs="宋体"/>
                <w:sz w:val="21"/>
                <w:szCs w:val="21"/>
                <w:lang w:val="en-US" w:eastAsia="zh-CN" w:bidi="ar-SA"/>
              </w:rPr>
              <w:t>及虚机数量</w:t>
            </w:r>
            <w:r>
              <w:rPr>
                <w:rFonts w:hint="eastAsia" w:ascii="宋体" w:hAnsi="宋体" w:eastAsia="宋体" w:cs="宋体"/>
                <w:sz w:val="21"/>
                <w:szCs w:val="21"/>
                <w:lang w:val="en-US" w:eastAsia="en-US" w:bidi="ar-SA"/>
              </w:rPr>
              <w:t>的功能授权</w:t>
            </w:r>
            <w:r>
              <w:rPr>
                <w:rFonts w:hint="eastAsia" w:ascii="宋体" w:hAnsi="宋体" w:eastAsia="宋体" w:cs="宋体"/>
                <w:sz w:val="21"/>
                <w:szCs w:val="21"/>
                <w:lang w:val="en-US" w:eastAsia="zh-CN" w:bidi="ar-SA"/>
              </w:rPr>
              <w:t>。</w:t>
            </w:r>
          </w:p>
        </w:tc>
      </w:tr>
      <w:tr w14:paraId="1420EA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EAD6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56D0180">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硬件设备</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612F7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本项目第十四项是网络数据灾备软件的硬件支持环境。</w:t>
            </w:r>
          </w:p>
        </w:tc>
      </w:tr>
      <w:tr w14:paraId="6E06FB9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2BFD1D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60EA37A">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主要功能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B2ADB7">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支持对数据库物理复制、数据库逻辑复制、应用版本同步、海量文件同步、主机CDP、数据备份、第三方等灾备能力的统一管控；（提供功能截图）</w:t>
            </w:r>
          </w:p>
          <w:p w14:paraId="5E3A1E43">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支持跨网络域资产统一纳管；</w:t>
            </w:r>
          </w:p>
          <w:p w14:paraId="3C6D21FF">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支持纳管应用、数据库、网络、中间件、负载均衡、消息队列、备份客户端、文件同步客户端、虚拟化平台等全业务级容灾资产；</w:t>
            </w:r>
          </w:p>
          <w:p w14:paraId="0CCBBC8B">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支持对已纳管资产的自动化环境检测；</w:t>
            </w:r>
          </w:p>
          <w:p w14:paraId="2DF9F1AD">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支持容灾拓扑的自动检测和管理，并通过动态拓扑图进行可视化展示；</w:t>
            </w:r>
          </w:p>
          <w:p w14:paraId="5D89A199">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支持按业务系统维度，进行资产归属管理；</w:t>
            </w:r>
          </w:p>
          <w:p w14:paraId="65D9AFA6">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支持按数据中心维度，进行资产归属管理，平台内置数据中心拓扑模板；</w:t>
            </w:r>
          </w:p>
          <w:p w14:paraId="240FB559">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应用版本文件或版本文件目录级无代理模式同步，并支持同步拓扑展示及状态监控；</w:t>
            </w:r>
          </w:p>
        </w:tc>
      </w:tr>
      <w:tr w14:paraId="0E483ED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7E893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4DCB7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对象适配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385B22">
            <w:pPr>
              <w:keepNext/>
              <w:numPr>
                <w:ilvl w:val="0"/>
                <w:numId w:val="1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支持Windows、Ubuntu、Redhat、Centos、Oracle Linux、suse、openEuler、麒麟 kylin、统信UOS、FusionOS、AnolisOS等各类操作系统的各个版本的备份和恢复功能；</w:t>
            </w:r>
          </w:p>
          <w:p w14:paraId="13B04442">
            <w:pPr>
              <w:keepNext/>
              <w:numPr>
                <w:ilvl w:val="0"/>
                <w:numId w:val="1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支持主流虚拟化平台无代理备份，包括VMware、 Hyper-V、华三（H3C）、深信服（HCI）、Huawei FusionCompute、EVEREST、红帽（RHV/oVirt）、SmartX、OpenStack、ZStack云平台、青云QingCloud、云宏CNware、宝德Cloud等虚拟化平台的无代理备份，支持完全、块级增量等备份类型。无需在虚拟主机上安装任何客户端代理，直接通过访问Hypervisor层，实现虚拟主机整机备份</w:t>
            </w:r>
            <w:r>
              <w:rPr>
                <w:rFonts w:hint="eastAsia" w:cs="宋体"/>
                <w:sz w:val="21"/>
                <w:szCs w:val="21"/>
                <w:lang w:val="en-US" w:eastAsia="zh-CN" w:bidi="ar-SA"/>
              </w:rPr>
              <w:t>；</w:t>
            </w:r>
          </w:p>
          <w:p w14:paraId="358BB74D">
            <w:pPr>
              <w:keepNext/>
              <w:numPr>
                <w:ilvl w:val="0"/>
                <w:numId w:val="1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支持VEEAM、VMware、CDP、NBU、DBRA、英方、kubernetes、阿里云平台、F5等三方厂商的产品适配；支持Oracle、SQL Server、MySQL、PostgreSQL、DB2、Redis、MongoDB、达梦、Informix、HANA、人大金仓、TiDB、TDSQL for MySQL、RDS for MySQL等数据库容灾纳管、备份与恢复；</w:t>
            </w:r>
          </w:p>
        </w:tc>
      </w:tr>
      <w:tr w14:paraId="0131A4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54998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数据备份能力</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E26A4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预案体系设置</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328F35E">
            <w:pPr>
              <w:keepNext/>
              <w:numPr>
                <w:ilvl w:val="0"/>
                <w:numId w:val="1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支持针对桌面演练、容灾演练、灾难切换，通过图形化方式灵活编排切换流程和一键应用级切换；</w:t>
            </w:r>
          </w:p>
          <w:p w14:paraId="1424F3A9">
            <w:pPr>
              <w:keepNext/>
              <w:numPr>
                <w:ilvl w:val="0"/>
                <w:numId w:val="1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支持对预案切换能力、接管能力、运行环境、编排完整度和预案文档等进行一键评估，内置Oracle、SQL Server、MySQL、DB2数据库切换评估和运行评估，并提供评估日志和评估建议</w:t>
            </w:r>
            <w:r>
              <w:rPr>
                <w:rFonts w:hint="eastAsia" w:cs="宋体"/>
                <w:sz w:val="21"/>
                <w:szCs w:val="21"/>
                <w:lang w:val="en-US" w:eastAsia="zh-CN" w:bidi="ar-SA"/>
              </w:rPr>
              <w:t>。</w:t>
            </w:r>
          </w:p>
        </w:tc>
      </w:tr>
      <w:tr w14:paraId="693708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BA94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31CA9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★桌面演练</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18EC45">
            <w:pPr>
              <w:keepNext/>
              <w:numPr>
                <w:ilvl w:val="0"/>
                <w:numId w:val="20"/>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支持对生产业务系统无任何影响的前提下</w:t>
            </w:r>
            <w:r>
              <w:rPr>
                <w:rFonts w:hint="eastAsia" w:cs="宋体"/>
                <w:sz w:val="21"/>
                <w:szCs w:val="21"/>
                <w:lang w:val="en-US" w:eastAsia="zh-CN" w:bidi="ar-SA"/>
              </w:rPr>
              <w:t>；</w:t>
            </w:r>
          </w:p>
          <w:p w14:paraId="62E12FDF">
            <w:pPr>
              <w:keepNext/>
              <w:numPr>
                <w:ilvl w:val="0"/>
                <w:numId w:val="2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支持一键发起桌面演练，提供灾备端资产可用性和数据完整性的验证能力，演练前灾备侧数据库资产可访问；</w:t>
            </w:r>
          </w:p>
          <w:p w14:paraId="27F24DCB">
            <w:pPr>
              <w:keepNext/>
              <w:numPr>
                <w:ilvl w:val="0"/>
                <w:numId w:val="2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支持桌面演练环境的自动化恢复，确保演练过程生成的脏数据得到处理</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tc>
      </w:tr>
      <w:tr w14:paraId="46A350D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B9800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F4410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▲容灾演练</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B62EB4">
            <w:pPr>
              <w:keepNext/>
              <w:numPr>
                <w:ilvl w:val="0"/>
                <w:numId w:val="21"/>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支持在确保数据不丢失前提下，提供一键容灾演练和一键演练回切能力</w:t>
            </w:r>
            <w:r>
              <w:rPr>
                <w:rFonts w:hint="eastAsia" w:cs="宋体"/>
                <w:sz w:val="21"/>
                <w:szCs w:val="21"/>
                <w:lang w:val="en-US" w:eastAsia="zh-CN" w:bidi="ar-SA"/>
              </w:rPr>
              <w:t>；</w:t>
            </w:r>
          </w:p>
          <w:p w14:paraId="3709A85B">
            <w:pPr>
              <w:keepNext/>
              <w:numPr>
                <w:ilvl w:val="0"/>
                <w:numId w:val="2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支持容灾演练过程前后的环境检查能力，针对状态、角色、权限、参数、同步等维度进行健康度检查，确保演练切换成功；</w:t>
            </w:r>
          </w:p>
          <w:p w14:paraId="28CD6382">
            <w:pPr>
              <w:keepNext/>
              <w:numPr>
                <w:ilvl w:val="0"/>
                <w:numId w:val="2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支持自动调整容灾关系、自动完成数据一致性的校验；（提供功能截图）</w:t>
            </w:r>
          </w:p>
        </w:tc>
      </w:tr>
      <w:tr w14:paraId="3BBFAAF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7CE14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5C61E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灾难切换</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DA2E815">
            <w:pPr>
              <w:keepNext/>
              <w:numPr>
                <w:ilvl w:val="0"/>
                <w:numId w:val="2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支持在灾难场景下，提供一键切换能力，快速拉起灾备端对外提供服务；</w:t>
            </w:r>
          </w:p>
          <w:p w14:paraId="662D5448">
            <w:pPr>
              <w:keepNext/>
              <w:numPr>
                <w:ilvl w:val="0"/>
                <w:numId w:val="22"/>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支持灾难切换过程前的环境检查能力，确保灾难切换成功率</w:t>
            </w:r>
            <w:r>
              <w:rPr>
                <w:rFonts w:hint="eastAsia" w:cs="宋体"/>
                <w:sz w:val="21"/>
                <w:szCs w:val="21"/>
                <w:lang w:val="en-US" w:eastAsia="zh-CN" w:bidi="ar-SA"/>
              </w:rPr>
              <w:t>。</w:t>
            </w:r>
            <w:r>
              <w:rPr>
                <w:rFonts w:hint="eastAsia" w:ascii="宋体" w:hAnsi="宋体" w:eastAsia="宋体" w:cs="宋体"/>
                <w:sz w:val="21"/>
                <w:szCs w:val="21"/>
                <w:lang w:val="en-US" w:eastAsia="en-US" w:bidi="ar-SA"/>
              </w:rPr>
              <w:t xml:space="preserve"> </w:t>
            </w:r>
          </w:p>
        </w:tc>
      </w:tr>
      <w:tr w14:paraId="1601EF9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D6F1D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D96C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安全合规认证</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DCCFC5">
            <w:pPr>
              <w:keepNext/>
              <w:numPr>
                <w:ilvl w:val="0"/>
                <w:numId w:val="2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支持切换过程中的命令回显，以图片形式进行实时展示，并自动保存在切换报告中；</w:t>
            </w:r>
          </w:p>
          <w:p w14:paraId="08E6380E">
            <w:pPr>
              <w:keepNext/>
              <w:numPr>
                <w:ilvl w:val="0"/>
                <w:numId w:val="2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 xml:space="preserve"> 提供安全授权认证机制</w:t>
            </w:r>
            <w:r>
              <w:rPr>
                <w:rFonts w:hint="eastAsia" w:cs="宋体"/>
                <w:sz w:val="21"/>
                <w:szCs w:val="21"/>
                <w:lang w:val="en-US" w:eastAsia="zh-CN" w:bidi="ar-SA"/>
              </w:rPr>
              <w:t>；</w:t>
            </w:r>
          </w:p>
          <w:p w14:paraId="75CDE043">
            <w:pPr>
              <w:keepNext/>
              <w:numPr>
                <w:ilvl w:val="0"/>
                <w:numId w:val="2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提供基于安全授权码的二次实时验证能力，确保操作安全性</w:t>
            </w:r>
            <w:r>
              <w:rPr>
                <w:rFonts w:hint="eastAsia" w:cs="宋体"/>
                <w:sz w:val="21"/>
                <w:szCs w:val="21"/>
                <w:lang w:val="en-US" w:eastAsia="zh-CN" w:bidi="ar-SA"/>
              </w:rPr>
              <w:t>。</w:t>
            </w:r>
          </w:p>
        </w:tc>
      </w:tr>
      <w:tr w14:paraId="4693BBD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AFFA1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51564D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报告中心</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23EF7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支持演练及切换完成后支持自动生成切换报告，报告内容包含但不限于指挥组人员、执行组人员、资产、编排流程、演练切换过程、演练切换结论等，需要附有过程的详细日志、命令行截图和虚机详情截图等信息</w:t>
            </w:r>
            <w:r>
              <w:rPr>
                <w:rFonts w:hint="eastAsia" w:cs="宋体"/>
                <w:sz w:val="21"/>
                <w:szCs w:val="21"/>
                <w:lang w:val="en-US" w:eastAsia="zh-CN" w:bidi="ar-SA"/>
              </w:rPr>
              <w:t>。</w:t>
            </w:r>
          </w:p>
        </w:tc>
      </w:tr>
      <w:tr w14:paraId="59EB99F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8EE22C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E1CE4F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大屏可视化</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67F754">
            <w:pPr>
              <w:keepNext/>
              <w:numPr>
                <w:ilvl w:val="0"/>
                <w:numId w:val="24"/>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zh-CN" w:bidi="ar-SA"/>
              </w:rPr>
              <w:t>支持多种大屏风格切换，支持自定义主标题和副标题</w:t>
            </w:r>
            <w:r>
              <w:rPr>
                <w:rFonts w:hint="eastAsia" w:cs="宋体"/>
                <w:sz w:val="21"/>
                <w:szCs w:val="21"/>
                <w:lang w:val="en-US" w:eastAsia="zh-CN" w:bidi="ar-SA"/>
              </w:rPr>
              <w:t>；</w:t>
            </w:r>
          </w:p>
          <w:p w14:paraId="654E5F8D">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支持指标项数据自定义</w:t>
            </w:r>
            <w:r>
              <w:rPr>
                <w:rFonts w:hint="eastAsia" w:cs="宋体"/>
                <w:sz w:val="21"/>
                <w:szCs w:val="21"/>
                <w:lang w:val="en-US" w:eastAsia="zh-CN" w:bidi="ar-SA"/>
              </w:rPr>
              <w:t>；</w:t>
            </w:r>
          </w:p>
          <w:p w14:paraId="1D876A84">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支持监控频率的自定义；</w:t>
            </w:r>
          </w:p>
          <w:p w14:paraId="6B198666">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提供一键切换指挥大屏</w:t>
            </w:r>
            <w:r>
              <w:rPr>
                <w:rFonts w:hint="eastAsia" w:cs="宋体"/>
                <w:sz w:val="21"/>
                <w:szCs w:val="21"/>
                <w:lang w:val="en-US" w:eastAsia="zh-CN" w:bidi="ar-SA"/>
              </w:rPr>
              <w:t>；</w:t>
            </w:r>
          </w:p>
          <w:p w14:paraId="6ACBD480">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支持切换过程中数据中心、切换过程、切换进度、切换耗时、指挥人员、执行人员、切换过程鹰眼图等全局信息的可视化实时展示；</w:t>
            </w:r>
          </w:p>
        </w:tc>
      </w:tr>
      <w:tr w14:paraId="6A2D1A3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CCB2E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9502C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备份模式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0A31D5">
            <w:pPr>
              <w:keepNext/>
              <w:numPr>
                <w:ilvl w:val="0"/>
                <w:numId w:val="25"/>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支持备份任务创建配置过程中全部采用图形化向导式完成，无需编写任何的脚本；</w:t>
            </w:r>
          </w:p>
          <w:p w14:paraId="3A1AD89A">
            <w:pPr>
              <w:keepNext/>
              <w:numPr>
                <w:ilvl w:val="0"/>
                <w:numId w:val="2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支持多个应用关联的虚拟机一致性组备份功能，保证数据时间点一致，同时支持多个非关联性虚拟机串行备份；</w:t>
            </w:r>
          </w:p>
          <w:p w14:paraId="2FAE158E">
            <w:pPr>
              <w:keepNext/>
              <w:numPr>
                <w:ilvl w:val="0"/>
                <w:numId w:val="2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支持对虚拟机深度有效数据提取功能，只备份已经写入的数据，对于虚拟机中无备份价值的数据（包含交换文件块、分区间隙等）无需再进行备份；</w:t>
            </w:r>
          </w:p>
        </w:tc>
      </w:tr>
      <w:tr w14:paraId="1A154D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F537E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14C2F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远程备份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520E4A">
            <w:pPr>
              <w:keepNext/>
              <w:numPr>
                <w:ilvl w:val="0"/>
                <w:numId w:val="26"/>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zh-CN" w:bidi="ar-SA"/>
              </w:rPr>
              <w:t>支持本地、异地远程备份，支持将本地备份数据向异地灾备中心进行数据同步</w:t>
            </w:r>
            <w:r>
              <w:rPr>
                <w:rFonts w:hint="eastAsia" w:cs="宋体"/>
                <w:sz w:val="21"/>
                <w:szCs w:val="21"/>
                <w:lang w:val="en-US" w:eastAsia="zh-CN" w:bidi="ar-SA"/>
              </w:rPr>
              <w:t>；</w:t>
            </w:r>
          </w:p>
          <w:p w14:paraId="478963DB">
            <w:pPr>
              <w:keepNext/>
              <w:numPr>
                <w:ilvl w:val="0"/>
                <w:numId w:val="26"/>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支持通过异地备份数据进行恢复，同时支持指定带宽、限速、加密及压缩等多种传输策略</w:t>
            </w:r>
            <w:r>
              <w:rPr>
                <w:rFonts w:hint="eastAsia" w:cs="宋体"/>
                <w:sz w:val="21"/>
                <w:szCs w:val="21"/>
                <w:lang w:val="en-US" w:eastAsia="zh-CN" w:bidi="ar-SA"/>
              </w:rPr>
              <w:t>。</w:t>
            </w:r>
          </w:p>
        </w:tc>
      </w:tr>
      <w:tr w14:paraId="55B61E7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33A3E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61F709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恢复模式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6B9118">
            <w:pPr>
              <w:keepNext/>
              <w:numPr>
                <w:ilvl w:val="0"/>
                <w:numId w:val="2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支持操作系统裸机恢复，支持主流Linux/Window及国产平台的操作系统从裸机状态直接恢复操作系统，无需重新安装操作系统、驱动程序和应用软件；</w:t>
            </w:r>
          </w:p>
          <w:p w14:paraId="403EFAC3">
            <w:pPr>
              <w:keepNext/>
              <w:numPr>
                <w:ilvl w:val="0"/>
                <w:numId w:val="2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支持文件、数据库、虚拟机等细粒度的异机恢复</w:t>
            </w:r>
            <w:r>
              <w:rPr>
                <w:rFonts w:hint="eastAsia" w:cs="宋体"/>
                <w:sz w:val="21"/>
                <w:szCs w:val="21"/>
                <w:lang w:val="en-US" w:eastAsia="zh-CN" w:bidi="ar-SA"/>
              </w:rPr>
              <w:t>。</w:t>
            </w:r>
          </w:p>
        </w:tc>
      </w:tr>
      <w:tr w14:paraId="6B2A8C2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6DEE8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BEFB6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细粒度恢复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0CD87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支持细粒度恢复功能，无需进行整机恢复，即可快速找回主机内某单一文件或文件夹，提升恢复效率；</w:t>
            </w:r>
          </w:p>
        </w:tc>
      </w:tr>
      <w:tr w14:paraId="4667536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EAAB6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0990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▲瞬时恢复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A8841C">
            <w:pPr>
              <w:keepNext/>
              <w:numPr>
                <w:ilvl w:val="0"/>
                <w:numId w:val="2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支持虚拟机同平台及跨平台瞬时恢复，可支持同时启动多个时间点数据副本瞬时恢复至同平台或异构平台上；</w:t>
            </w:r>
          </w:p>
          <w:p w14:paraId="3BFAC900">
            <w:pPr>
              <w:keepNext/>
              <w:numPr>
                <w:ilvl w:val="0"/>
                <w:numId w:val="2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支持对主流虚拟化平台跨平台恢复，可跨平台迁移恢复至任意品牌虚拟化，同时支持直接挂载备份副本即可实现虚拟机的快速恢复</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tc>
      </w:tr>
      <w:tr w14:paraId="45372D1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EBC1CC">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42A468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w:t>
            </w:r>
          </w:p>
          <w:p w14:paraId="70AE123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安全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4D105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支持对备份数据进行加密传输和存储，提供AES256、SM4等多种加密类型。支持在客户端加密后传送给备份设备；</w:t>
            </w:r>
          </w:p>
          <w:p w14:paraId="1C47B5A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支持提供自定义安全备份模式，可根据实际业务需求提供多种可选安全模式，将备份数据与生产网络完全隔离，形成不可被攻击的数据副本。可以有效防止备份数据被篡改、加密或恶意删除</w:t>
            </w:r>
            <w:r>
              <w:rPr>
                <w:rFonts w:hint="eastAsia" w:cs="宋体"/>
                <w:sz w:val="21"/>
                <w:szCs w:val="21"/>
                <w:lang w:val="en-US" w:eastAsia="zh-CN" w:bidi="ar-SA"/>
              </w:rPr>
              <w:t>。</w:t>
            </w:r>
          </w:p>
        </w:tc>
      </w:tr>
      <w:tr w14:paraId="1BDFCA7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61EDDA3">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数据同步能力</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D99AB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▲对象适配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5867F8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支持Oracle、SQLServer、MySQL数据库级容灾</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tc>
      </w:tr>
      <w:tr w14:paraId="5611192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52796B7">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A7D11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容灾搭建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86069B">
            <w:pPr>
              <w:keepNext/>
              <w:numPr>
                <w:ilvl w:val="0"/>
                <w:numId w:val="29"/>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支持Oracle单机、Oracle RAC、MySQL单机等数据库软件安装</w:t>
            </w:r>
            <w:r>
              <w:rPr>
                <w:rFonts w:hint="eastAsia" w:cs="宋体"/>
                <w:sz w:val="21"/>
                <w:szCs w:val="21"/>
                <w:lang w:val="en-US" w:eastAsia="zh-CN" w:bidi="ar-SA"/>
              </w:rPr>
              <w:t>；</w:t>
            </w:r>
          </w:p>
          <w:p w14:paraId="00BF424F">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支持使用外挂操作系统介质、数据库软件介质进行安装；</w:t>
            </w:r>
          </w:p>
          <w:p w14:paraId="143362AC">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支持Oracle单机到单机，RAC到单机，RAC到RAC容灾搭建；</w:t>
            </w:r>
          </w:p>
          <w:p w14:paraId="1692F445">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支持MySQL主备异步模式容灾搭建；</w:t>
            </w:r>
          </w:p>
          <w:p w14:paraId="6CD0C8C4">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支持SQL Server Always on容灾搭建</w:t>
            </w:r>
            <w:r>
              <w:rPr>
                <w:rFonts w:hint="eastAsia" w:cs="宋体"/>
                <w:sz w:val="21"/>
                <w:szCs w:val="21"/>
                <w:lang w:val="en-US" w:eastAsia="zh-CN" w:bidi="ar-SA"/>
              </w:rPr>
              <w:t>。</w:t>
            </w:r>
          </w:p>
        </w:tc>
      </w:tr>
      <w:tr w14:paraId="497BDEE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7BBAB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A1BB4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B22614">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支持物理机、虚拟化和云主机等平台下的数据库同步,要求同步过程中数据库内不允许嵌入任何程序，不增加数据库内的表格或其他对象；</w:t>
            </w:r>
          </w:p>
          <w:p w14:paraId="4D550268">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支持主备、一对多、级联等数据库容灾架构同步；</w:t>
            </w:r>
          </w:p>
          <w:p w14:paraId="5765AF4B">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支持自动全量和增量数据同步；</w:t>
            </w:r>
          </w:p>
          <w:p w14:paraId="3B13CDD6">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支持数据库级增量日志同步，支持数据库中所有对象同步，支持所有DDL、DML语句同步；</w:t>
            </w:r>
          </w:p>
          <w:p w14:paraId="368120FA">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数据同步支持配置同步和异步模式，且配置调整前需进行安全验证；同步模式下要求实现数据零丢失</w:t>
            </w:r>
            <w:r>
              <w:rPr>
                <w:rFonts w:hint="eastAsia" w:cs="宋体"/>
                <w:sz w:val="21"/>
                <w:szCs w:val="21"/>
                <w:lang w:val="en-US" w:eastAsia="zh-CN" w:bidi="ar-SA"/>
              </w:rPr>
              <w:t>。</w:t>
            </w:r>
          </w:p>
        </w:tc>
      </w:tr>
      <w:tr w14:paraId="768263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34A6EE">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E4ECC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可靠性/RPO保障</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724EFA">
            <w:pPr>
              <w:keepNext/>
              <w:numPr>
                <w:ilvl w:val="0"/>
                <w:numId w:val="3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支持因网络中断、备端数据库异常等原因导致同步中断，在故障恢复后可自动恢复同步能力；</w:t>
            </w:r>
          </w:p>
          <w:p w14:paraId="10EBDE31">
            <w:pPr>
              <w:keepNext/>
              <w:numPr>
                <w:ilvl w:val="0"/>
                <w:numId w:val="3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支持因各种原因导致备端日志丢失、损坏、删除等断档场景下自动修复能力，要求可追溯修复记录，定位具体修复日志文件和修复时间</w:t>
            </w:r>
            <w:r>
              <w:rPr>
                <w:rFonts w:hint="eastAsia" w:cs="宋体"/>
                <w:sz w:val="21"/>
                <w:szCs w:val="21"/>
                <w:lang w:val="en-US" w:eastAsia="zh-CN" w:bidi="ar-SA"/>
              </w:rPr>
              <w:t>；</w:t>
            </w:r>
          </w:p>
          <w:p w14:paraId="423A8968">
            <w:pPr>
              <w:keepNext/>
              <w:numPr>
                <w:ilvl w:val="0"/>
                <w:numId w:val="3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批量开启和关闭目标端自动修复开关；数据同步具备数据压缩、加密能力，支持千公里级别远距离、TB级海量数据同步，能适应在窄带宽稳定传输的要求；支持日志清理，支持基于日志同步延迟及日志空间使用率双指标进行日志清理；可靠性RPO≈0分钟，可用性RTO&lt;15分钟；</w:t>
            </w:r>
          </w:p>
        </w:tc>
      </w:tr>
      <w:tr w14:paraId="4430EEF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45E5B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53A33F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活动</w:t>
            </w:r>
          </w:p>
          <w:p w14:paraId="5363C05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站点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37E09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支持在线更改备库状态，设置备库为只读模式，且备库实时更新；</w:t>
            </w:r>
          </w:p>
        </w:tc>
      </w:tr>
      <w:tr w14:paraId="0987ECB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49ADB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2601E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误操作恢复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8CCFCE">
            <w:pPr>
              <w:keepNext/>
              <w:numPr>
                <w:ilvl w:val="0"/>
                <w:numId w:val="32"/>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支持数据库级别一键误操作恢复，无需额外提供恢复资源，备库具备快速恢复到任意时刻点数据的能力，误操作的数据可在备库上读写验证，不影响生产业务；具备在线配置Oracle闪回的能力</w:t>
            </w:r>
            <w:r>
              <w:rPr>
                <w:rFonts w:hint="eastAsia" w:cs="宋体"/>
                <w:sz w:val="21"/>
                <w:szCs w:val="21"/>
                <w:lang w:val="en-US" w:eastAsia="zh-CN" w:bidi="ar-SA"/>
              </w:rPr>
              <w:t>；</w:t>
            </w:r>
          </w:p>
          <w:p w14:paraId="45AFE735">
            <w:pPr>
              <w:keepNext/>
              <w:numPr>
                <w:ilvl w:val="0"/>
                <w:numId w:val="3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支持闪回策略启停，配置闪回保留天数、闪回空间大小、闪回空间路径等</w:t>
            </w:r>
            <w:r>
              <w:rPr>
                <w:rFonts w:hint="eastAsia" w:cs="宋体"/>
                <w:sz w:val="21"/>
                <w:szCs w:val="21"/>
                <w:lang w:val="en-US" w:eastAsia="zh-CN" w:bidi="ar-SA"/>
              </w:rPr>
              <w:t>。</w:t>
            </w:r>
          </w:p>
        </w:tc>
      </w:tr>
      <w:tr w14:paraId="71E1739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61E97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48C47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同步</w:t>
            </w:r>
          </w:p>
          <w:p w14:paraId="228AB0D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监控</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8F0510">
            <w:pPr>
              <w:keepNext/>
              <w:numPr>
                <w:ilvl w:val="0"/>
                <w:numId w:val="3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支持以业务系统视角实时监控数据库同步情况，监控信息包括但不限于数据库状态、同步状态、RPO、传输延时、传输延时个数、应用延时个数、当前SCN值等； </w:t>
            </w:r>
          </w:p>
          <w:p w14:paraId="617CE377">
            <w:pPr>
              <w:keepNext/>
              <w:numPr>
                <w:ilvl w:val="0"/>
                <w:numId w:val="33"/>
              </w:numPr>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支持</w:t>
            </w:r>
            <w:r>
              <w:rPr>
                <w:rFonts w:hint="eastAsia" w:ascii="宋体" w:hAnsi="宋体" w:eastAsia="宋体" w:cs="宋体"/>
                <w:sz w:val="21"/>
                <w:szCs w:val="21"/>
                <w:lang w:val="en-US" w:eastAsia="zh-CN" w:bidi="ar-SA"/>
              </w:rPr>
              <w:t>监控主备数据库空间容量变化趋势，包括软件安装目录、数据文件目录、归档空间等，监控内容包括总容量、已使用容量、剩余容量和容量使用率，支持线性统计图展示容量信息</w:t>
            </w:r>
            <w:r>
              <w:rPr>
                <w:rFonts w:hint="eastAsia" w:cs="宋体"/>
                <w:sz w:val="21"/>
                <w:szCs w:val="21"/>
                <w:lang w:val="en-US" w:eastAsia="zh-CN" w:bidi="ar-SA"/>
              </w:rPr>
              <w:t>。</w:t>
            </w:r>
          </w:p>
        </w:tc>
      </w:tr>
      <w:tr w14:paraId="4FE448B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E145F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4D2DE6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坏块</w:t>
            </w:r>
          </w:p>
          <w:p w14:paraId="60400B9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检测</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F24BD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支持Oracle、SQL Server等主流数据库备份坏块检查、预警机制。数据库备份过程中，支持针对数据库数据文件逻辑和物理坏块的检测，支持将坏块日志信息告警通知；</w:t>
            </w:r>
          </w:p>
        </w:tc>
      </w:tr>
      <w:tr w14:paraId="768BA9F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7DD18C">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数据库运维服务</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22C6D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▲数据库巡检</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D9328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按季度提供≥3年的数据库巡检服务，通过对数据的采集和系统指标的分析，提前排查系统潜在的风险，及时提出系统的调整建议，并在巡检结束后提交相应的巡检总结报告。（提供</w:t>
            </w:r>
            <w:r>
              <w:rPr>
                <w:rFonts w:hint="eastAsia" w:ascii="宋体" w:hAnsi="宋体" w:eastAsia="宋体" w:cs="宋体"/>
                <w:sz w:val="21"/>
                <w:szCs w:val="21"/>
                <w:lang w:val="en-US" w:eastAsia="zh-CN" w:bidi="ar-SA"/>
              </w:rPr>
              <w:t>服务承诺函</w:t>
            </w:r>
            <w:r>
              <w:rPr>
                <w:rFonts w:hint="eastAsia" w:ascii="宋体" w:hAnsi="宋体" w:eastAsia="宋体" w:cs="宋体"/>
                <w:sz w:val="21"/>
                <w:szCs w:val="21"/>
                <w:lang w:val="en-US" w:eastAsia="en-US" w:bidi="ar-SA"/>
              </w:rPr>
              <w:t>）</w:t>
            </w:r>
          </w:p>
        </w:tc>
      </w:tr>
      <w:tr w14:paraId="18ECF61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C66C5EA">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B5B96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▲应急支撑</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81EA6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服务期内，当遇到故障或复杂性问题，要求服务团队人员乃至专家后援服务团队人员到现场或远程进行综合诊断，直至问题解决。（提供</w:t>
            </w:r>
            <w:r>
              <w:rPr>
                <w:rFonts w:hint="eastAsia" w:ascii="宋体" w:hAnsi="宋体" w:eastAsia="宋体" w:cs="宋体"/>
                <w:sz w:val="21"/>
                <w:szCs w:val="21"/>
                <w:lang w:val="en-US" w:eastAsia="zh-CN" w:bidi="ar-SA"/>
              </w:rPr>
              <w:t>服务承诺函</w:t>
            </w:r>
            <w:r>
              <w:rPr>
                <w:rFonts w:hint="eastAsia" w:ascii="宋体" w:hAnsi="宋体" w:eastAsia="宋体" w:cs="宋体"/>
                <w:sz w:val="21"/>
                <w:szCs w:val="21"/>
                <w:lang w:val="en-US" w:eastAsia="en-US" w:bidi="ar-SA"/>
              </w:rPr>
              <w:t>）</w:t>
            </w:r>
          </w:p>
        </w:tc>
      </w:tr>
    </w:tbl>
    <w:p w14:paraId="2DB79A9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08EF53B">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5" w:name="_Toc10728"/>
      <w:r>
        <w:rPr>
          <w:rFonts w:hint="eastAsia" w:cs="宋体"/>
          <w:b/>
          <w:bCs/>
          <w:sz w:val="28"/>
          <w:szCs w:val="28"/>
          <w:lang w:val="en-US" w:eastAsia="zh-CN" w:bidi="ar-SA"/>
        </w:rPr>
        <w:t>9.</w:t>
      </w:r>
      <w:r>
        <w:rPr>
          <w:rFonts w:hint="eastAsia" w:cs="宋体"/>
          <w:b/>
          <w:bCs/>
          <w:sz w:val="28"/>
          <w:szCs w:val="28"/>
          <w:lang w:val="en-US" w:eastAsia="en-US" w:bidi="ar-SA"/>
        </w:rPr>
        <w:t>内外网文件摆渡软件</w:t>
      </w:r>
      <w:bookmarkEnd w:id="15"/>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729"/>
        <w:gridCol w:w="1620"/>
        <w:gridCol w:w="6173"/>
      </w:tblGrid>
      <w:tr w14:paraId="51BF8A6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9ACA23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序号</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68D0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8631F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E4CBA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B9BFE1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3855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系统构架</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8BC0E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en-US" w:bidi="ar-SA"/>
              </w:rPr>
              <w:t>系统应为B/S架构，在医共体卫生专网与互联网之间分别部署一台物理服务器。两台服务器通过网闸进行文件交换。</w:t>
            </w:r>
            <w:r>
              <w:rPr>
                <w:rFonts w:hint="eastAsia" w:ascii="宋体" w:hAnsi="宋体" w:eastAsia="宋体" w:cs="宋体"/>
                <w:sz w:val="21"/>
                <w:szCs w:val="21"/>
                <w:lang w:val="en-US" w:eastAsia="zh-CN" w:bidi="ar-SA"/>
              </w:rPr>
              <w:t>本项目第十五项是内外网文件摆渡软件的硬件支持环境</w:t>
            </w:r>
          </w:p>
        </w:tc>
      </w:tr>
      <w:tr w14:paraId="53FEB4B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520EC8F">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B011DE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用户数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FD3B48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不限制用户数，不限制并发数。</w:t>
            </w:r>
          </w:p>
        </w:tc>
      </w:tr>
      <w:tr w14:paraId="6FB0001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B855AF">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1FCCD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文件传输类型</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35E3C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支持用户将文件进行内、外网互传，也支持将文件发送给系统内部的其他用户。</w:t>
            </w:r>
          </w:p>
        </w:tc>
      </w:tr>
      <w:tr w14:paraId="714B584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89B206B">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C82A0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同步方式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4395D5A">
            <w:pPr>
              <w:keepNext/>
              <w:numPr>
                <w:ilvl w:val="0"/>
                <w:numId w:val="3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支持自动同步与手动同步。自动同步：</w:t>
            </w:r>
          </w:p>
          <w:p w14:paraId="2E4F6B52">
            <w:pPr>
              <w:keepNext/>
              <w:numPr>
                <w:ilvl w:val="0"/>
                <w:numId w:val="3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用户上传文件后，后自动同步到对向。手动同步:用户上传文件后，选择文件手动同步到对向。</w:t>
            </w:r>
          </w:p>
        </w:tc>
      </w:tr>
      <w:tr w14:paraId="062204D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518FF4">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B04D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文件杀毒</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38D9BF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支持内置杀毒引擎，并支持第三方杀毒引擎；在文件从外部传输到内部网时，产品能对文件进行病毒和木马检测，识别可能导致系统风险的恶意文件。一旦发现可疑文件，可自动阻止文件交换。</w:t>
            </w:r>
          </w:p>
        </w:tc>
      </w:tr>
      <w:tr w14:paraId="33B0D67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8C7B7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2DDBC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加密存储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C75EA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采用落地加密技术，当文件上传到设备上时，设备需以加密的方式保存在硬盘上。</w:t>
            </w:r>
          </w:p>
        </w:tc>
      </w:tr>
      <w:tr w14:paraId="7C37C14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196AB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FC24B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登录IP保护</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BD9B5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设置每个部门用户登录的IP地址范围，防止用户账号在非可控区域登录，给单位内部数据安全带来隐患。</w:t>
            </w:r>
          </w:p>
        </w:tc>
      </w:tr>
      <w:tr w14:paraId="58F0AE6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AC842E">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555AC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★外网审批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19214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内</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用户申请文件外发时，内</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设备不联通互联网的情况下，审批人员手机钉钉、企业微信在互联网上可以收到消息通知，进行审批后，信息会通过外</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设备传递给内</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设备，完成审批。（提供功能截图）</w:t>
            </w:r>
          </w:p>
        </w:tc>
      </w:tr>
      <w:tr w14:paraId="4A834CA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BA732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13FB7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文件类型保护</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C01C5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文件上传时，系统会对文件后缀名进行进行分析，可以准确判断文件类型是否被伪造，如果当前文件类型与真实类型不符，文件即刻被删除，禁止传输。</w:t>
            </w:r>
          </w:p>
        </w:tc>
      </w:tr>
      <w:tr w14:paraId="7CD50B3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FBEB0F">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8DCFF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移动端支持</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DDBD3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支持用户通过安卓APP、苹果APP端进行登录，可以查看登录账号的个人空间、回收站、公共空间文件信息，可以进行文件上传、下载、删除、移动。</w:t>
            </w:r>
          </w:p>
        </w:tc>
      </w:tr>
      <w:tr w14:paraId="307F5C6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B157A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3E98C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▲软件防火墙</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21FA31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支持自带软件防火墙，设置开放的源IP地址、目的IP地址、开放端口。</w:t>
            </w:r>
            <w:r>
              <w:rPr>
                <w:rFonts w:hint="eastAsia" w:ascii="宋体" w:hAnsi="宋体" w:eastAsia="宋体" w:cs="宋体"/>
                <w:sz w:val="21"/>
                <w:szCs w:val="21"/>
                <w:lang w:val="en-US" w:eastAsia="en-US" w:bidi="ar-SA"/>
              </w:rPr>
              <w:t>（提供功能截图）</w:t>
            </w:r>
          </w:p>
        </w:tc>
      </w:tr>
      <w:tr w14:paraId="4977FEC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98D8D0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8F29A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▲多系统终端支持</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BBBF19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支持具备Windows、MacOS、统信、麒麟等系统都有软件安装包，以客户端的形式实现文件的上传与下载。</w:t>
            </w:r>
            <w:r>
              <w:rPr>
                <w:rFonts w:hint="eastAsia" w:ascii="宋体" w:hAnsi="宋体" w:eastAsia="宋体" w:cs="宋体"/>
                <w:sz w:val="21"/>
                <w:szCs w:val="21"/>
                <w:lang w:val="en-US" w:eastAsia="en-US" w:bidi="ar-SA"/>
              </w:rPr>
              <w:t>（提供功能截图）</w:t>
            </w:r>
          </w:p>
        </w:tc>
      </w:tr>
      <w:tr w14:paraId="74ABA03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3FAB9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7CF0B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白名单</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04FE30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支持设置用户上传文件类型的白名单，用户只能上传指定类型的文件。</w:t>
            </w:r>
          </w:p>
        </w:tc>
      </w:tr>
      <w:tr w14:paraId="01C8636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389C75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14</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9F98C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账号角色</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193E6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支持设置管理员、审批员、普通用户三种角色。管理员可以对于系统进行管理，普通用户可以对于文件传输进行申请，审批员可以对于申请进行审批。</w:t>
            </w:r>
          </w:p>
        </w:tc>
      </w:tr>
      <w:tr w14:paraId="4BE258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DA3126">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15</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087072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个人空间</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1F6FA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支持设置存储个人的文档，用户可以对于文档进行备注说明。系统可以显示这个文档被下载的次数。</w:t>
            </w:r>
          </w:p>
        </w:tc>
      </w:tr>
      <w:tr w14:paraId="7D25F8F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C505C6">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16</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0FDE70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公共空间</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365BC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支持建立多个目录，给不同的部门设置不同的权限，包括查阅、管理、上传、下载等权限，也可以设置指定的用户的例外权限。</w:t>
            </w:r>
          </w:p>
        </w:tc>
      </w:tr>
      <w:tr w14:paraId="2E1F86D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DA1F19">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17</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544E6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在线编辑</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BFE75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支持在线编辑系统中存储的文档，包括WORD、EXCEL、PPT等文件，支持多人协同编辑。</w:t>
            </w:r>
          </w:p>
        </w:tc>
      </w:tr>
      <w:tr w14:paraId="16AD5C0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E0544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18</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6EEAC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版本管理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BD5A1E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支持所有文件在线修改都会进行版本备份，用户可以选择历史版本进行版本恢复。</w:t>
            </w:r>
          </w:p>
        </w:tc>
      </w:tr>
      <w:tr w14:paraId="603476A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B6A132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19</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C43FF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数据防泄漏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FE72A0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支持具备数据防泄漏功能，内置对于身份证号、银行卡号等多种检测规则，用户传输文件时，系统会对于文件进行检测，含有敏感信息的文件将不能外传。</w:t>
            </w:r>
          </w:p>
        </w:tc>
      </w:tr>
      <w:tr w14:paraId="0162E7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ECAAE36">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06FC9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▲统方文件AI识别</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5E95E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支持对于文件通过AI进行内容检测，管理员可以根据统方文件的特性设置指定的规则，系统可以将要传输的文件提交至AI，AI根据前期设置规则对于传输的文件进行检测，反馈是否为统方文件。</w:t>
            </w:r>
            <w:r>
              <w:rPr>
                <w:rFonts w:hint="eastAsia" w:ascii="宋体" w:hAnsi="宋体" w:eastAsia="宋体" w:cs="宋体"/>
                <w:sz w:val="21"/>
                <w:szCs w:val="21"/>
                <w:lang w:val="en-US" w:eastAsia="en-US" w:bidi="ar-SA"/>
              </w:rPr>
              <w:t>（提供功能截图）</w:t>
            </w:r>
          </w:p>
        </w:tc>
      </w:tr>
      <w:tr w14:paraId="05AD2BD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6BFB12">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B4AB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子管理员</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FDC9E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支持设置子管理员，子管理员可以对于下属分之机构进行管理，包括下属分支机构的组织构架、用户权限等，也可以查询下属分之机构的文件传输记录。</w:t>
            </w:r>
          </w:p>
        </w:tc>
      </w:tr>
      <w:tr w14:paraId="0467FD4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122F0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8F5A0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▲互联网安全接入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EC248B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虚拟隧道安全访问功能，用户在互联网直接访问系统时，系统的端口为隐藏的，用户无法访问系统。用户需要专用的身份验证客户端进行身份验证，验证成功后系统才会对这个终端开放访问端口，用户才可以访问系统登录页面。</w:t>
            </w:r>
            <w:r>
              <w:rPr>
                <w:rFonts w:hint="eastAsia" w:ascii="宋体" w:hAnsi="宋体" w:eastAsia="宋体" w:cs="宋体"/>
                <w:sz w:val="21"/>
                <w:szCs w:val="21"/>
                <w:lang w:val="en-US" w:eastAsia="en-US" w:bidi="ar-SA"/>
              </w:rPr>
              <w:t>（提供功能截图）</w:t>
            </w:r>
          </w:p>
        </w:tc>
      </w:tr>
      <w:tr w14:paraId="7DD2BF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68955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14B3C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▲账号安全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6E00E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对用户进行密码复杂度和登录验证项进行设置，可以设置密码密码需要包含数字、字母、特殊符号、大小写、以及密码，登录验证项设置可以设置是否绑定手机号、第一次登录校验姓名、手机号，以及设置是否禁止一共账号多人登录、页面超时自动退出、登录失败次数设置，并可以设置在登录页是否展示APP下载二维码。</w:t>
            </w:r>
            <w:r>
              <w:rPr>
                <w:rFonts w:hint="eastAsia" w:ascii="宋体" w:hAnsi="宋体" w:eastAsia="宋体" w:cs="宋体"/>
                <w:sz w:val="21"/>
                <w:szCs w:val="21"/>
                <w:lang w:val="en-US" w:eastAsia="en-US" w:bidi="ar-SA"/>
              </w:rPr>
              <w:t>（提供功能截图）</w:t>
            </w:r>
          </w:p>
        </w:tc>
      </w:tr>
      <w:tr w14:paraId="65B0EFD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057F6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24</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D7944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审批管理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864B290">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支持设置申请外传文件的审批流程，文件外发申 请后，管理员审批后，文件就进行内外网文件交换。</w:t>
            </w:r>
          </w:p>
        </w:tc>
      </w:tr>
      <w:tr w14:paraId="1F03587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23DE9A">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25</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6CD7B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▲水印管理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9F0904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支持设置水印展示的内容，包括传输人账号、姓名、日期、自定义文字；可以设置水印颜色；可以设置水印透明度、字体大小；可以设置单条水印或者多条水印；可以设置水印的密度，包括稀疏、正常、稠密。</w:t>
            </w:r>
            <w:r>
              <w:rPr>
                <w:rFonts w:hint="eastAsia" w:ascii="宋体" w:hAnsi="宋体" w:eastAsia="宋体" w:cs="宋体"/>
                <w:sz w:val="21"/>
                <w:szCs w:val="21"/>
                <w:lang w:val="en-US" w:eastAsia="en-US" w:bidi="ar-SA"/>
              </w:rPr>
              <w:t>（提供功能截图）</w:t>
            </w:r>
          </w:p>
        </w:tc>
      </w:tr>
      <w:tr w14:paraId="2B7DBEE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04C553">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26</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B44D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审计功能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23C21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对个人的文件交换行为进行审计，审计信息包括，上传时间、文件名称、用户名称，操作类型（上传文件、下载文件、删除文件、新建目录、共享文件、移动文件）、终端IP、终端位置（外网、内网）、终端名称等信息；且支持内容审计；</w:t>
            </w:r>
          </w:p>
        </w:tc>
      </w:tr>
      <w:tr w14:paraId="59C8D38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2D0A0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27</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D7BDC0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自动审批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6C8148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支持当用户申请外发时，系统会进行自动审批，所有申请操作都会形成审计记录保存。</w:t>
            </w:r>
          </w:p>
        </w:tc>
      </w:tr>
      <w:tr w14:paraId="5861AD7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556DDD0">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28</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89DD0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日志管理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D53B6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传输日志：可查看用户传输的文件，可以进行下载和查询。</w:t>
            </w:r>
          </w:p>
          <w:p w14:paraId="6A4579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上传日志：显示用户上传的所有文件，支持所有字段模糊查询</w:t>
            </w:r>
          </w:p>
          <w:p w14:paraId="414C125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下载日志：显示用户下传的所有文件，支持所有字段模糊查询</w:t>
            </w:r>
          </w:p>
          <w:p w14:paraId="6C12AE3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邮件日志：可以查看到通过跨网邮件发送的文件、主题、接收人、发送人和状态。</w:t>
            </w:r>
          </w:p>
          <w:p w14:paraId="5841EC0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审批日志：审批日志中可以查看需要审批的文件的信息，审核状态也可以下载，可以查看该文件目前的审批状态。</w:t>
            </w:r>
          </w:p>
          <w:p w14:paraId="28122E8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系统日志：可以查看哪个用户操作了那些功能，以及该用户登录的ip，和操作此功能的时间</w:t>
            </w:r>
          </w:p>
          <w:p w14:paraId="016EF0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删除审计：在回收站中将文件删除，可以在删除审计中将文件恢复到原目录，删除审计中文件删除后，文件将无法恢复。</w:t>
            </w:r>
          </w:p>
        </w:tc>
      </w:tr>
      <w:tr w14:paraId="36F1E0A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0A9D0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29</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584E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统计管理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82403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用户统计：可以以列表，柱状图等形式展示用户上传文件数量信息。可导出列表。</w:t>
            </w:r>
          </w:p>
          <w:p w14:paraId="0AF519E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上传文件统计：可以以列表，柱状图等形式展示部门上传文件数量信息。可导出列表。</w:t>
            </w:r>
          </w:p>
          <w:p w14:paraId="2744292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审批信息统计：可以以列表，柱状图等形式展示所有用户和部门上传文件的审批信息，可导出列表。</w:t>
            </w:r>
          </w:p>
          <w:p w14:paraId="64EA028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文件类型统计：可以以列表，柱状图等形式展示所有上传文件类型信息。可导出列表。</w:t>
            </w:r>
          </w:p>
          <w:p w14:paraId="61182BB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每日上传统计：可以以列表，柱状图，饼状图三种形式展示近10天所有上传文件数量信息。可导出列表。</w:t>
            </w:r>
          </w:p>
        </w:tc>
      </w:tr>
      <w:tr w14:paraId="472A3B6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8CB819B">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30</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80768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用户权限</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05AE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支持设置可以针对用户进行公告空间使用权限的配置，包括：查看、预览、在线编辑、下载、上传、删除权限。也可以针对用户设置是否展示功能空间、是否展示回收站。</w:t>
            </w:r>
          </w:p>
        </w:tc>
      </w:tr>
      <w:tr w14:paraId="4C797C2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D25C22E">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3ACF9E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外链分享</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B7A36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某个部门具有分享外链权限，具有分享权限的内部人员文件所有者需通过生成Web链接的方式将文件或文件夹分享给外部人员，并设置链接的有效期，外部人员可以访问链接和密码验证来获取文件；可配置邮件平台通知被分享外链的人员去下载；</w:t>
            </w:r>
          </w:p>
        </w:tc>
      </w:tr>
      <w:tr w14:paraId="3C66306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24DA84">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855AA5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回收站机制</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363D3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用户删除的文件会进入回收站中，回收站的文件删除掉后，用户的个人空间会释放掉，文件信息会进入删除审计中，删除审计中的文件默认保存六个月，管理员可以对于保存时间进行设置，可以将删除审计中的文件下载，支持在线预览。</w:t>
            </w:r>
          </w:p>
        </w:tc>
      </w:tr>
      <w:tr w14:paraId="12DDBF9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824D5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E0173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▲快捷登录</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FFF3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支持用户可以将账号与钉钉、企业微信绑定，实现外网用户只能通过钉钉、企业微信扫码登录。</w:t>
            </w:r>
            <w:r>
              <w:rPr>
                <w:rFonts w:hint="eastAsia" w:ascii="宋体" w:hAnsi="宋体" w:eastAsia="宋体" w:cs="宋体"/>
                <w:sz w:val="21"/>
                <w:szCs w:val="21"/>
                <w:lang w:val="en-US" w:eastAsia="en-US" w:bidi="ar-SA"/>
              </w:rPr>
              <w:t>（提供功能截图）</w:t>
            </w:r>
          </w:p>
        </w:tc>
      </w:tr>
    </w:tbl>
    <w:p w14:paraId="37CAD965">
      <w:pPr>
        <w:keepNext/>
        <w:adjustRightInd w:val="0"/>
        <w:snapToGrid w:val="0"/>
        <w:spacing w:line="240" w:lineRule="auto"/>
        <w:ind w:left="0" w:leftChars="0" w:right="0" w:rightChars="0" w:firstLine="0" w:firstLineChars="0"/>
        <w:jc w:val="left"/>
        <w:rPr>
          <w:rFonts w:hint="eastAsia" w:ascii="宋体" w:hAnsi="宋体" w:eastAsia="宋体" w:cs="宋体"/>
          <w:b/>
          <w:bCs/>
          <w:sz w:val="24"/>
          <w:szCs w:val="24"/>
          <w:lang w:val="en-US" w:eastAsia="en-US" w:bidi="ar-SA"/>
        </w:rPr>
      </w:pPr>
    </w:p>
    <w:p w14:paraId="0E73290F">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6" w:name="_Toc23070"/>
      <w:r>
        <w:rPr>
          <w:rFonts w:hint="eastAsia" w:cs="宋体"/>
          <w:b/>
          <w:bCs/>
          <w:sz w:val="28"/>
          <w:szCs w:val="28"/>
          <w:lang w:val="en-US" w:eastAsia="zh-CN" w:bidi="ar-SA"/>
        </w:rPr>
        <w:t>10.</w:t>
      </w:r>
      <w:r>
        <w:rPr>
          <w:rFonts w:hint="eastAsia" w:cs="宋体"/>
          <w:b/>
          <w:bCs/>
          <w:sz w:val="28"/>
          <w:szCs w:val="28"/>
          <w:lang w:val="en-US" w:eastAsia="en-US" w:bidi="ar-SA"/>
        </w:rPr>
        <w:t>防火墙扩展卡</w:t>
      </w:r>
      <w:bookmarkEnd w:id="16"/>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61258D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B7AFD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59789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4C5FD5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3084B0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▲防火墙扩展卡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5F840B">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zh-CN" w:bidi="ar-SA"/>
              </w:rPr>
              <w:t>因医共体现有防火墙，品牌型号（</w:t>
            </w:r>
            <w:r>
              <w:rPr>
                <w:rFonts w:hint="eastAsia" w:ascii="宋体" w:hAnsi="宋体" w:eastAsia="宋体" w:cs="宋体"/>
                <w:sz w:val="21"/>
                <w:szCs w:val="21"/>
                <w:lang w:val="en-US" w:eastAsia="en-US" w:bidi="ar-SA"/>
              </w:rPr>
              <w:t>H3C F1000-AK1342</w:t>
            </w:r>
            <w:r>
              <w:rPr>
                <w:rFonts w:hint="eastAsia" w:ascii="宋体" w:hAnsi="宋体" w:eastAsia="宋体" w:cs="宋体"/>
                <w:sz w:val="21"/>
                <w:szCs w:val="21"/>
                <w:lang w:val="en-US" w:eastAsia="zh-CN" w:bidi="ar-SA"/>
              </w:rPr>
              <w:t>）光口不足，须扩展一张</w:t>
            </w:r>
            <w:r>
              <w:rPr>
                <w:rFonts w:hint="eastAsia" w:ascii="宋体" w:hAnsi="宋体" w:eastAsia="宋体" w:cs="宋体"/>
                <w:sz w:val="21"/>
                <w:szCs w:val="21"/>
                <w:lang w:val="en-US" w:eastAsia="en-US" w:bidi="ar-SA"/>
              </w:rPr>
              <w:t>6光口万兆SFP+扩展卡</w:t>
            </w:r>
            <w:r>
              <w:rPr>
                <w:rFonts w:hint="eastAsia" w:ascii="宋体" w:hAnsi="宋体" w:eastAsia="宋体" w:cs="宋体"/>
                <w:sz w:val="21"/>
                <w:szCs w:val="21"/>
                <w:lang w:val="en-US" w:eastAsia="zh-CN" w:bidi="ar-SA"/>
              </w:rPr>
              <w:t>，须</w:t>
            </w:r>
            <w:r>
              <w:rPr>
                <w:rFonts w:hint="eastAsia" w:ascii="宋体" w:hAnsi="宋体" w:eastAsia="宋体" w:cs="宋体"/>
                <w:sz w:val="21"/>
                <w:szCs w:val="21"/>
                <w:lang w:val="en-US" w:eastAsia="en-US" w:bidi="ar-SA"/>
              </w:rPr>
              <w:t>满配</w:t>
            </w:r>
            <w:r>
              <w:rPr>
                <w:rFonts w:hint="eastAsia" w:ascii="宋体" w:hAnsi="宋体" w:eastAsia="宋体" w:cs="宋体"/>
                <w:sz w:val="21"/>
                <w:szCs w:val="21"/>
                <w:lang w:val="en-US" w:eastAsia="zh-CN" w:bidi="ar-SA"/>
              </w:rPr>
              <w:t>10G单模</w:t>
            </w:r>
            <w:r>
              <w:rPr>
                <w:rFonts w:hint="eastAsia" w:ascii="宋体" w:hAnsi="宋体" w:eastAsia="宋体" w:cs="宋体"/>
                <w:sz w:val="21"/>
                <w:szCs w:val="21"/>
                <w:lang w:val="en-US" w:eastAsia="en-US" w:bidi="ar-SA"/>
              </w:rPr>
              <w:t>光模块和光纤跳线</w:t>
            </w:r>
            <w:r>
              <w:rPr>
                <w:rFonts w:hint="eastAsia" w:ascii="宋体" w:hAnsi="宋体" w:eastAsia="宋体" w:cs="宋体"/>
                <w:sz w:val="21"/>
                <w:szCs w:val="21"/>
                <w:lang w:val="en-US" w:eastAsia="zh-CN" w:bidi="ar-SA"/>
              </w:rPr>
              <w:t>。含安装调试服务。</w:t>
            </w:r>
          </w:p>
        </w:tc>
      </w:tr>
    </w:tbl>
    <w:p w14:paraId="633A4D8B">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9"/>
        <w:rPr>
          <w:rFonts w:hint="eastAsia" w:cs="宋体"/>
          <w:b/>
          <w:bCs/>
          <w:sz w:val="28"/>
          <w:szCs w:val="28"/>
          <w:lang w:val="en-US" w:eastAsia="zh-CN" w:bidi="ar-SA"/>
        </w:rPr>
      </w:pPr>
    </w:p>
    <w:p w14:paraId="12CED2A4">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7" w:name="_Toc11417"/>
      <w:r>
        <w:rPr>
          <w:rFonts w:hint="eastAsia" w:cs="宋体"/>
          <w:b/>
          <w:bCs/>
          <w:sz w:val="28"/>
          <w:szCs w:val="28"/>
          <w:lang w:val="en-US" w:eastAsia="zh-CN" w:bidi="ar-SA"/>
        </w:rPr>
        <w:t>11.</w:t>
      </w:r>
      <w:r>
        <w:rPr>
          <w:rFonts w:hint="eastAsia" w:cs="宋体"/>
          <w:b/>
          <w:bCs/>
          <w:sz w:val="28"/>
          <w:szCs w:val="28"/>
          <w:lang w:val="en-US" w:eastAsia="en-US" w:bidi="ar-SA"/>
        </w:rPr>
        <w:t>云桌面服务器</w:t>
      </w:r>
      <w:bookmarkEnd w:id="17"/>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138674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584FDA">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DBA82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57AAC5C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4730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超融合集群进行扩容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1810E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en-US" w:bidi="ar-SA"/>
              </w:rPr>
            </w:pPr>
            <w:r>
              <w:rPr>
                <w:rFonts w:hint="eastAsia" w:ascii="宋体" w:hAnsi="宋体" w:eastAsia="宋体" w:cs="宋体"/>
                <w:sz w:val="21"/>
                <w:szCs w:val="21"/>
                <w:lang w:val="en-US" w:eastAsia="zh-CN" w:bidi="ar-SA"/>
              </w:rPr>
              <w:t>因医共体现有超融合集群服务器资源不足，须每台增加8Tb NVME SSD硬盘5块，其中1块缓存盘，4块数据盘，3台服务器总计15块；每台增加内存8条，内存类型：DDR4，内存容量：64GB，工作频率3200MT/S，3台服务器总计增加24条（增加的服务器内存与现有服务器内存同品牌同规格型号）。含安装调试服务。</w:t>
            </w:r>
          </w:p>
        </w:tc>
      </w:tr>
      <w:tr w14:paraId="433C111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5223C0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云桌面集群进行扩容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C699E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因医共体云桌面集群服务器资源不足，须每台增加内存8条，内存类型：DDR4，内存容量：64GB，工作频率3200MT/S，5台服务器总计增加40条（增加的服务器内存与现有服务器内存同品牌同规格型号）。含安装调试服务。</w:t>
            </w:r>
          </w:p>
        </w:tc>
      </w:tr>
      <w:tr w14:paraId="09F7E51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70ED8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云桌面管理平台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7AB6D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因医共体现有云桌面管理平台授权数量不足，须增加授权100节点，其中VOI授权70节点，VDI授权30节点。</w:t>
            </w:r>
          </w:p>
        </w:tc>
      </w:tr>
      <w:tr w14:paraId="2E9352F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9E7FF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终端安全管理系统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25D140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因医共体现有</w:t>
            </w:r>
            <w:r>
              <w:rPr>
                <w:rFonts w:hint="eastAsia" w:ascii="宋体" w:hAnsi="宋体" w:eastAsia="宋体" w:cs="宋体"/>
                <w:sz w:val="21"/>
                <w:szCs w:val="21"/>
                <w:lang w:val="en-US" w:eastAsia="en-US" w:bidi="ar-SA"/>
              </w:rPr>
              <w:t>终端安全管理系统</w:t>
            </w:r>
            <w:r>
              <w:rPr>
                <w:rFonts w:hint="eastAsia" w:ascii="宋体" w:hAnsi="宋体" w:eastAsia="宋体" w:cs="宋体"/>
                <w:sz w:val="21"/>
                <w:szCs w:val="21"/>
                <w:lang w:val="en-US" w:eastAsia="zh-CN" w:bidi="ar-SA"/>
              </w:rPr>
              <w:t>授权数量不足，须增加授权200节点</w:t>
            </w:r>
          </w:p>
        </w:tc>
      </w:tr>
    </w:tbl>
    <w:p w14:paraId="6C5B82B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54A87979">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8" w:name="_Toc10308"/>
      <w:r>
        <w:rPr>
          <w:rFonts w:hint="eastAsia" w:cs="宋体"/>
          <w:b/>
          <w:bCs/>
          <w:sz w:val="28"/>
          <w:szCs w:val="28"/>
          <w:lang w:val="en-US" w:eastAsia="zh-CN" w:bidi="ar-SA"/>
        </w:rPr>
        <w:t>12.</w:t>
      </w:r>
      <w:r>
        <w:rPr>
          <w:rFonts w:hint="eastAsia" w:cs="宋体"/>
          <w:b/>
          <w:bCs/>
          <w:sz w:val="28"/>
          <w:szCs w:val="28"/>
          <w:lang w:val="en-US" w:eastAsia="en-US" w:bidi="ar-SA"/>
        </w:rPr>
        <w:t>汇聚防火墙</w:t>
      </w:r>
      <w:bookmarkEnd w:id="18"/>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428EC4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63FE7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5F992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727498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60168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汇聚防火墙</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6DFE7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设备信息：采用非X86多核架构，≥16个千兆以太电口，≥6个千兆以太光口，≥4个COMBO接口，≥2个万兆以太光口，内存≥4G，硬盘≥480GSSD，≥1个配置口(CON)，≥1个RJ45管理口，≥2个外置USB，HOST接口</w:t>
            </w:r>
            <w:r>
              <w:rPr>
                <w:rFonts w:hint="eastAsia" w:cs="宋体"/>
                <w:sz w:val="21"/>
                <w:szCs w:val="21"/>
                <w:lang w:val="en-US" w:eastAsia="zh-CN" w:bidi="ar-SA"/>
              </w:rPr>
              <w:t>；</w:t>
            </w:r>
          </w:p>
          <w:p w14:paraId="1D3D15A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性能不低于：七层吞吐量≥1.2Gbps，三层吞吐量≥4.5Gbps；并发连接数≥120万，每秒新建连接数（HTTP）≥2万；WAN口带宽支持：流控≥380M，IPS+流控≥350M，流控+IPS+AV防病毒≥300M。具备访问控制、入侵防御（IPS）、防病毒（AV）、Web过滤、DDoS防护、应用识别、流量控制等全功能，与一期防火墙实现联动防护，避免防护断层。配置2个万兆单模双芯光纤模块及2条3米原厂单模双芯光纤跳线，内置AV/ACG/IPS特征库≥三年升级服务包</w:t>
            </w:r>
            <w:r>
              <w:rPr>
                <w:rFonts w:hint="eastAsia" w:cs="宋体"/>
                <w:sz w:val="21"/>
                <w:szCs w:val="21"/>
                <w:lang w:val="en-US" w:eastAsia="zh-CN" w:bidi="ar-SA"/>
              </w:rPr>
              <w:t>；</w:t>
            </w:r>
          </w:p>
          <w:p w14:paraId="1ADD49C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运行模式：路由模式、透明模式、混杂模式</w:t>
            </w:r>
            <w:r>
              <w:rPr>
                <w:rFonts w:hint="eastAsia" w:cs="宋体"/>
                <w:sz w:val="21"/>
                <w:szCs w:val="21"/>
                <w:lang w:val="en-US" w:eastAsia="zh-CN" w:bidi="ar-SA"/>
              </w:rPr>
              <w:t>；</w:t>
            </w:r>
          </w:p>
          <w:p w14:paraId="69DB2E1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AAA服务：Portal认证、RADIUS认证、HWTACACS认证、PKI /CA（X.509格式）认证、域认证、CHAP验证、PAP验证</w:t>
            </w:r>
            <w:r>
              <w:rPr>
                <w:rFonts w:hint="eastAsia" w:cs="宋体"/>
                <w:sz w:val="21"/>
                <w:szCs w:val="21"/>
                <w:lang w:val="en-US" w:eastAsia="zh-CN" w:bidi="ar-SA"/>
              </w:rPr>
              <w:t>；</w:t>
            </w:r>
          </w:p>
          <w:p w14:paraId="6FC8C3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防火墙：SOP虚拟防火墙技术，支持CPU、内存、存储等硬件资源划分的完全虚拟化；MAC和IP绑定功能；基于MAC的访问控制列表；支持802.1q VLAN 透传</w:t>
            </w:r>
            <w:r>
              <w:rPr>
                <w:rFonts w:hint="eastAsia" w:cs="宋体"/>
                <w:sz w:val="21"/>
                <w:szCs w:val="21"/>
                <w:lang w:val="en-US" w:eastAsia="zh-CN" w:bidi="ar-SA"/>
              </w:rPr>
              <w:t>；</w:t>
            </w:r>
          </w:p>
          <w:p w14:paraId="6BB4F78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病毒防护：基于病毒特征进行检测；支持病毒库手动和自动升级；支持HTTP、FTP、SMTP、POP3、IMAP协议等</w:t>
            </w:r>
            <w:r>
              <w:rPr>
                <w:rFonts w:hint="eastAsia" w:cs="宋体"/>
                <w:sz w:val="21"/>
                <w:szCs w:val="21"/>
                <w:lang w:val="en-US" w:eastAsia="zh-CN" w:bidi="ar-SA"/>
              </w:rPr>
              <w:t>；</w:t>
            </w:r>
          </w:p>
          <w:p w14:paraId="769F1A6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w:t>
            </w:r>
            <w:r>
              <w:rPr>
                <w:rFonts w:hint="eastAsia" w:ascii="宋体" w:hAnsi="宋体" w:eastAsia="宋体" w:cs="宋体"/>
                <w:sz w:val="21"/>
                <w:szCs w:val="21"/>
                <w:lang w:val="en-US" w:eastAsia="en-US" w:bidi="ar-SA"/>
              </w:rPr>
              <w:t>深度入侵防御：支持对黑客攻击、蠕虫/病毒、木马、恶意代码、间谍软件/广告软件、DoS/DDoS等常见的攻击防御；支持缓冲区溢出、SQL注入、IDS/IPS逃逸等攻击的防御；支持攻击特征库的分类（根据攻击类型、目标机系统进行分类）、分级（分高、中、低、提示四级）</w:t>
            </w:r>
            <w:r>
              <w:rPr>
                <w:rFonts w:hint="eastAsia" w:cs="宋体"/>
                <w:sz w:val="21"/>
                <w:szCs w:val="21"/>
                <w:lang w:val="en-US" w:eastAsia="zh-CN" w:bidi="ar-SA"/>
              </w:rPr>
              <w:t>；</w:t>
            </w:r>
          </w:p>
          <w:p w14:paraId="1D359F7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8.</w:t>
            </w:r>
            <w:r>
              <w:rPr>
                <w:rFonts w:hint="eastAsia" w:ascii="宋体" w:hAnsi="宋体" w:eastAsia="宋体" w:cs="宋体"/>
                <w:sz w:val="21"/>
                <w:szCs w:val="21"/>
                <w:lang w:val="en-US" w:eastAsia="en-US" w:bidi="ar-SA"/>
              </w:rPr>
              <w:t>NAT：支持多个内部地址映射到同一个公网地址；支持多个内部地址映射到多个公网地址；支持内部地址到公网地址一一映射；支持源地址和目的地址同时转换</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支持外部网络主机访问内部服务器；支持内部地址直接映射到接口公网IP地址；支持DNS映射功能；可配置支持地址转换的有效时间</w:t>
            </w:r>
            <w:r>
              <w:rPr>
                <w:rFonts w:hint="eastAsia" w:cs="宋体"/>
                <w:sz w:val="21"/>
                <w:szCs w:val="21"/>
                <w:lang w:val="en-US" w:eastAsia="zh-CN" w:bidi="ar-SA"/>
              </w:rPr>
              <w:t>；</w:t>
            </w:r>
          </w:p>
          <w:p w14:paraId="145D55D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9.</w:t>
            </w:r>
            <w:r>
              <w:rPr>
                <w:rFonts w:hint="eastAsia" w:ascii="宋体" w:hAnsi="宋体" w:eastAsia="宋体" w:cs="宋体"/>
                <w:sz w:val="21"/>
                <w:szCs w:val="21"/>
                <w:lang w:val="en-US" w:eastAsia="en-US" w:bidi="ar-SA"/>
              </w:rPr>
              <w:t>VPN：L2TP VPN、IPSec VPN、GRE VPN、SSL VPN</w:t>
            </w:r>
            <w:r>
              <w:rPr>
                <w:rFonts w:hint="eastAsia" w:cs="宋体"/>
                <w:sz w:val="21"/>
                <w:szCs w:val="21"/>
                <w:lang w:val="en-US" w:eastAsia="zh-CN" w:bidi="ar-SA"/>
              </w:rPr>
              <w:t>；</w:t>
            </w:r>
          </w:p>
          <w:p w14:paraId="3CF5576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10.</w:t>
            </w:r>
            <w:r>
              <w:rPr>
                <w:rFonts w:hint="eastAsia" w:ascii="宋体" w:hAnsi="宋体" w:eastAsia="宋体" w:cs="宋体"/>
                <w:sz w:val="21"/>
                <w:szCs w:val="21"/>
                <w:lang w:val="en-US" w:eastAsia="en-US" w:bidi="ar-SA"/>
              </w:rPr>
              <w:t>IPv6：基于IPv6的状态防火墙及攻击防范</w:t>
            </w:r>
            <w:r>
              <w:rPr>
                <w:rFonts w:hint="eastAsia" w:cs="宋体"/>
                <w:sz w:val="21"/>
                <w:szCs w:val="21"/>
                <w:lang w:val="en-US" w:eastAsia="zh-CN" w:bidi="ar-SA"/>
              </w:rPr>
              <w:t>；</w:t>
            </w:r>
          </w:p>
          <w:p w14:paraId="5BD3D73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11.</w:t>
            </w:r>
            <w:r>
              <w:rPr>
                <w:rFonts w:hint="eastAsia" w:ascii="宋体" w:hAnsi="宋体" w:eastAsia="宋体" w:cs="宋体"/>
                <w:sz w:val="21"/>
                <w:szCs w:val="21"/>
                <w:lang w:val="en-US" w:eastAsia="en-US" w:bidi="ar-SA"/>
              </w:rPr>
              <w:t>高可靠性：支持IPSec VPN的IKE状态同步</w:t>
            </w:r>
            <w:r>
              <w:rPr>
                <w:rFonts w:hint="eastAsia" w:cs="宋体"/>
                <w:sz w:val="21"/>
                <w:szCs w:val="21"/>
                <w:lang w:val="en-US" w:eastAsia="zh-CN" w:bidi="ar-SA"/>
              </w:rPr>
              <w:t>；</w:t>
            </w:r>
          </w:p>
          <w:p w14:paraId="204EC1B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12.</w:t>
            </w:r>
            <w:r>
              <w:rPr>
                <w:rFonts w:hint="eastAsia" w:ascii="宋体" w:hAnsi="宋体" w:eastAsia="宋体" w:cs="宋体"/>
                <w:sz w:val="21"/>
                <w:szCs w:val="21"/>
                <w:lang w:val="en-US" w:eastAsia="en-US" w:bidi="ar-SA"/>
              </w:rPr>
              <w:t>易维护性：支持基于命令行的配置管理；支持Web方式进行远程配置管理；支持标准网管 SNMPv3，并且兼容SNMP v1和v2</w:t>
            </w:r>
          </w:p>
          <w:p w14:paraId="12F62B3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13.</w:t>
            </w:r>
            <w:r>
              <w:rPr>
                <w:rFonts w:hint="eastAsia" w:ascii="宋体" w:hAnsi="宋体" w:eastAsia="宋体" w:cs="宋体"/>
                <w:sz w:val="21"/>
                <w:szCs w:val="21"/>
                <w:lang w:val="en-US" w:eastAsia="en-US" w:bidi="ar-SA"/>
              </w:rPr>
              <w:t>其它要求：国产品牌，提供≥3年原厂7*24小时售后服务及现场安装调试</w:t>
            </w:r>
            <w:r>
              <w:rPr>
                <w:rFonts w:hint="eastAsia" w:cs="宋体"/>
                <w:sz w:val="21"/>
                <w:szCs w:val="21"/>
                <w:lang w:val="en-US" w:eastAsia="zh-CN" w:bidi="ar-SA"/>
              </w:rPr>
              <w:t>。</w:t>
            </w:r>
          </w:p>
        </w:tc>
      </w:tr>
    </w:tbl>
    <w:p w14:paraId="64F3E64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56933B05">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9" w:name="_Toc18080"/>
      <w:r>
        <w:rPr>
          <w:rFonts w:hint="eastAsia" w:cs="宋体"/>
          <w:b/>
          <w:bCs/>
          <w:sz w:val="28"/>
          <w:szCs w:val="28"/>
          <w:lang w:val="en-US" w:eastAsia="zh-CN" w:bidi="ar-SA"/>
        </w:rPr>
        <w:t>13.</w:t>
      </w:r>
      <w:r>
        <w:rPr>
          <w:rFonts w:hint="eastAsia" w:cs="宋体"/>
          <w:b/>
          <w:bCs/>
          <w:sz w:val="28"/>
          <w:szCs w:val="28"/>
          <w:lang w:val="en-US" w:eastAsia="en-US" w:bidi="ar-SA"/>
        </w:rPr>
        <w:t>接入交换机</w:t>
      </w:r>
      <w:bookmarkEnd w:id="19"/>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0E4313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9C7D8E">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A9952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D6E3C5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E3870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接入交换机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2FB31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▲传输速率：10/100/1000Mbps，背板带宽≥336Gbps/3.36Tbps，包转发率≥87Mpps/144Mpps；</w:t>
            </w:r>
          </w:p>
          <w:p w14:paraId="419D49C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▲端口数量：52个，端口描述：48个10/100/1000Base-T以太网端口，4个SFP+万兆以太网端口，控制端口：1个Console口；</w:t>
            </w:r>
          </w:p>
          <w:p w14:paraId="624F893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VLAN：支持基于端口的VLAN，支持QinQ，支持Voice VLAN，支持协议VLAN，支持MAC VLAN；</w:t>
            </w:r>
          </w:p>
          <w:p w14:paraId="78518A0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镜像：支持端口镜像，支持流镜像；</w:t>
            </w:r>
          </w:p>
          <w:p w14:paraId="0980564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国产品牌，提供≥3年原厂7*24小时售后服务及现场安装调试</w:t>
            </w:r>
          </w:p>
        </w:tc>
      </w:tr>
    </w:tbl>
    <w:p w14:paraId="62F1DC2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4CCDF545">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0" w:name="_Toc14176"/>
      <w:r>
        <w:rPr>
          <w:rFonts w:hint="eastAsia" w:cs="宋体"/>
          <w:b/>
          <w:bCs/>
          <w:sz w:val="28"/>
          <w:szCs w:val="28"/>
          <w:lang w:val="en-US" w:eastAsia="zh-CN" w:bidi="ar-SA"/>
        </w:rPr>
        <w:t>14.</w:t>
      </w:r>
      <w:r>
        <w:rPr>
          <w:rFonts w:hint="eastAsia" w:cs="宋体"/>
          <w:b/>
          <w:bCs/>
          <w:sz w:val="28"/>
          <w:szCs w:val="28"/>
          <w:lang w:val="en-US" w:eastAsia="en-US" w:bidi="ar-SA"/>
        </w:rPr>
        <w:t>灾备服务器</w:t>
      </w:r>
      <w:bookmarkEnd w:id="20"/>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D140DB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A258FC">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5B60BC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12B1CB7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5AA67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▲灾备服务器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04D63F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是承载本项目第八项网络数据灾备软件的硬件支持环境。</w:t>
            </w:r>
          </w:p>
          <w:p w14:paraId="149147D3">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en-US" w:bidi="ar-SA"/>
              </w:rPr>
              <w:t>国产品牌，2U机架式12盘位机箱，单颗16核32线程CPU ≥2.2GHz处理器，内存≥256G，系统盘≥2*960GB SSD-Raid1，数据盘≥10*8TB，网络：万兆光接口:≥2个(含10GE光接模块及光纤跳线)；千兆电口: ≥2个，冗余电源；有效备份容量≥64T；提供≥3年原厂7*24小时售后服务及现场安装调试。</w:t>
            </w:r>
          </w:p>
        </w:tc>
      </w:tr>
    </w:tbl>
    <w:p w14:paraId="64CD7DA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C39CEC3">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1" w:name="_Toc16856"/>
      <w:r>
        <w:rPr>
          <w:rFonts w:hint="eastAsia" w:cs="宋体"/>
          <w:b/>
          <w:bCs/>
          <w:sz w:val="28"/>
          <w:szCs w:val="28"/>
          <w:lang w:val="en-US" w:eastAsia="zh-CN" w:bidi="ar-SA"/>
        </w:rPr>
        <w:t>15.</w:t>
      </w:r>
      <w:r>
        <w:rPr>
          <w:rFonts w:hint="eastAsia" w:ascii="宋体" w:hAnsi="宋体" w:eastAsia="宋体" w:cs="宋体"/>
          <w:b/>
          <w:bCs/>
          <w:sz w:val="28"/>
          <w:szCs w:val="28"/>
          <w:lang w:val="en-US" w:eastAsia="en-US" w:bidi="ar-SA"/>
        </w:rPr>
        <w:t>文件中转摆渡服务器</w:t>
      </w:r>
      <w:bookmarkEnd w:id="21"/>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E7C0E9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D4E07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4F871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6985744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BDD02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▲文件中转摆渡服务器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EF82C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是承载本项目第九项内外网文件摆渡软件的硬件支持环境。</w:t>
            </w:r>
          </w:p>
          <w:p w14:paraId="2F17350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en-US" w:bidi="ar-SA"/>
              </w:rPr>
              <w:t>国产品牌，2U机架式12盘位机箱，单颗16核32线程CPU ≥2.2GHz处理器，内存≥</w:t>
            </w:r>
            <w:r>
              <w:rPr>
                <w:rFonts w:hint="eastAsia" w:ascii="宋体" w:hAnsi="宋体" w:eastAsia="宋体" w:cs="宋体"/>
                <w:sz w:val="21"/>
                <w:szCs w:val="21"/>
                <w:lang w:val="en-US" w:eastAsia="zh-CN" w:bidi="ar-SA"/>
              </w:rPr>
              <w:t>64</w:t>
            </w:r>
            <w:r>
              <w:rPr>
                <w:rFonts w:hint="eastAsia" w:ascii="宋体" w:hAnsi="宋体" w:eastAsia="宋体" w:cs="宋体"/>
                <w:sz w:val="21"/>
                <w:szCs w:val="21"/>
                <w:lang w:val="en-US" w:eastAsia="en-US" w:bidi="ar-SA"/>
              </w:rPr>
              <w:t>G，系统盘≥2*960GB SSD，</w:t>
            </w:r>
            <w:r>
              <w:rPr>
                <w:rFonts w:hint="eastAsia" w:ascii="宋体" w:hAnsi="宋体" w:eastAsia="宋体" w:cs="宋体"/>
                <w:sz w:val="21"/>
                <w:szCs w:val="21"/>
                <w:lang w:val="en-US" w:eastAsia="zh-CN" w:bidi="ar-SA"/>
              </w:rPr>
              <w:t>数据盘</w:t>
            </w:r>
            <w:r>
              <w:rPr>
                <w:rFonts w:hint="eastAsia" w:ascii="宋体" w:hAnsi="宋体" w:eastAsia="宋体" w:cs="宋体"/>
                <w:sz w:val="21"/>
                <w:szCs w:val="21"/>
                <w:lang w:val="en-US" w:eastAsia="en-US" w:bidi="ar-SA"/>
              </w:rPr>
              <w:t>有效存储空间≥48Tb-Raid5。网络：万兆光接口: ≥2个(含10GE光接模块及光纤跳线)；千兆电口:≥2个，冗余电源；提供≥3年原厂7*24小时售后服务及现场安装调试。</w:t>
            </w:r>
          </w:p>
        </w:tc>
      </w:tr>
    </w:tbl>
    <w:p w14:paraId="1236C17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0DFF9C9">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2" w:name="_Toc2996"/>
      <w:r>
        <w:rPr>
          <w:rFonts w:hint="eastAsia" w:cs="宋体"/>
          <w:b/>
          <w:bCs/>
          <w:sz w:val="28"/>
          <w:szCs w:val="28"/>
          <w:lang w:val="en-US" w:eastAsia="zh-CN" w:bidi="ar-SA"/>
        </w:rPr>
        <w:t>16.</w:t>
      </w:r>
      <w:r>
        <w:rPr>
          <w:rFonts w:hint="eastAsia" w:cs="宋体"/>
          <w:b/>
          <w:bCs/>
          <w:sz w:val="28"/>
          <w:szCs w:val="28"/>
          <w:lang w:val="en-US" w:eastAsia="en-US" w:bidi="ar-SA"/>
        </w:rPr>
        <w:t>身高体重仪</w:t>
      </w:r>
      <w:bookmarkEnd w:id="22"/>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47BD52E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E1F01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F1EE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16B119E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F4D5A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身高体重仪</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0BD10D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5686AFCA">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测高范围：100-195cm,分度值:0.5cm；称重范围：7kg-180kg,分度值:0.5kg或0.01kg；显示屏≥3.5寸LCD数字显示；支持语音播报；支持蓝牙</w:t>
            </w:r>
            <w:r>
              <w:rPr>
                <w:rFonts w:hint="eastAsia" w:ascii="宋体" w:hAnsi="宋体" w:eastAsia="宋体" w:cs="宋体"/>
                <w:sz w:val="21"/>
                <w:szCs w:val="21"/>
                <w:lang w:val="en-US" w:eastAsia="zh-CN" w:bidi="ar-SA"/>
              </w:rPr>
              <w:t>、</w:t>
            </w:r>
            <w:r>
              <w:rPr>
                <w:rFonts w:hint="default" w:ascii="宋体" w:hAnsi="宋体" w:eastAsia="宋体" w:cs="宋体"/>
                <w:sz w:val="21"/>
                <w:szCs w:val="21"/>
                <w:lang w:val="en-US" w:eastAsia="zh-CN" w:bidi="ar-SA"/>
              </w:rPr>
              <w:t>WIFI通信；DC5V供电，内置可充电锂电池。</w:t>
            </w:r>
          </w:p>
        </w:tc>
      </w:tr>
    </w:tbl>
    <w:p w14:paraId="201D092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DA57C99">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3" w:name="_Toc13315"/>
      <w:r>
        <w:rPr>
          <w:rFonts w:hint="eastAsia" w:cs="宋体"/>
          <w:b/>
          <w:bCs/>
          <w:sz w:val="28"/>
          <w:szCs w:val="28"/>
          <w:lang w:val="en-US" w:eastAsia="zh-CN" w:bidi="ar-SA"/>
        </w:rPr>
        <w:t>17.</w:t>
      </w:r>
      <w:r>
        <w:rPr>
          <w:rFonts w:hint="eastAsia" w:ascii="宋体" w:hAnsi="宋体" w:eastAsia="宋体" w:cs="宋体"/>
          <w:b/>
          <w:bCs/>
          <w:sz w:val="28"/>
          <w:szCs w:val="28"/>
          <w:lang w:val="en-US" w:eastAsia="en-US" w:bidi="ar-SA"/>
        </w:rPr>
        <w:t>电子血压仪</w:t>
      </w:r>
      <w:bookmarkEnd w:id="23"/>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A7F547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5646AB">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ECD388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BE7EE8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A4A74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电子血压仪</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E55CD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7FC0A9EA">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测量方式/方法：臂式/示波测定法；脉搏数：40~180次/分钟；LCD数字显示；内置≥99组记忆值；压力测量范围：0~290mmHg；支持语音播报；支持蓝牙</w:t>
            </w:r>
            <w:r>
              <w:rPr>
                <w:rFonts w:hint="eastAsia" w:ascii="宋体" w:hAnsi="宋体" w:eastAsia="宋体" w:cs="宋体"/>
                <w:sz w:val="21"/>
                <w:szCs w:val="21"/>
                <w:lang w:val="en-US" w:eastAsia="zh-CN" w:bidi="ar-SA"/>
              </w:rPr>
              <w:t>、</w:t>
            </w:r>
            <w:r>
              <w:rPr>
                <w:rFonts w:hint="default" w:ascii="宋体" w:hAnsi="宋体" w:eastAsia="宋体" w:cs="宋体"/>
                <w:sz w:val="21"/>
                <w:szCs w:val="21"/>
                <w:lang w:val="en-US" w:eastAsia="zh-CN" w:bidi="ar-SA"/>
              </w:rPr>
              <w:t>WIFI通信；DC5V供电，内置可充电锂电池。</w:t>
            </w:r>
          </w:p>
        </w:tc>
      </w:tr>
    </w:tbl>
    <w:p w14:paraId="1778627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2098393">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4" w:name="_Toc9313"/>
      <w:r>
        <w:rPr>
          <w:rFonts w:hint="eastAsia" w:cs="宋体"/>
          <w:b/>
          <w:bCs/>
          <w:sz w:val="28"/>
          <w:szCs w:val="28"/>
          <w:lang w:val="en-US" w:eastAsia="zh-CN" w:bidi="ar-SA"/>
        </w:rPr>
        <w:t>18.</w:t>
      </w:r>
      <w:r>
        <w:rPr>
          <w:rFonts w:hint="eastAsia" w:cs="宋体"/>
          <w:b/>
          <w:bCs/>
          <w:sz w:val="28"/>
          <w:szCs w:val="28"/>
          <w:lang w:val="en-US" w:eastAsia="en-US" w:bidi="ar-SA"/>
        </w:rPr>
        <w:t>心电图机</w:t>
      </w:r>
      <w:bookmarkEnd w:id="24"/>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6D1B2D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5FD1ED">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596D75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1F53317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DB756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心电图机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B9765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w:t>
            </w:r>
            <w:r>
              <w:rPr>
                <w:rFonts w:hint="default" w:ascii="宋体" w:hAnsi="宋体" w:eastAsia="宋体" w:cs="宋体"/>
                <w:sz w:val="21"/>
                <w:szCs w:val="21"/>
                <w:lang w:val="en-US" w:eastAsia="zh-CN" w:bidi="ar-SA"/>
              </w:rPr>
              <w:t>标准12导联心电信号同步采集；</w:t>
            </w:r>
          </w:p>
          <w:p w14:paraId="4141924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1.</w:t>
            </w:r>
            <w:r>
              <w:rPr>
                <w:rFonts w:hint="default" w:ascii="宋体" w:hAnsi="宋体" w:eastAsia="宋体" w:cs="宋体"/>
                <w:sz w:val="21"/>
                <w:szCs w:val="21"/>
                <w:lang w:val="en-US" w:eastAsia="zh-CN" w:bidi="ar-SA"/>
              </w:rPr>
              <w:t>▲手持式便携移动心电采集终端，全触摸屏操作，无物理硬按键。主机支持2.4GHz/5GHz双频段无线Wi-Fi；输入阻抗：≥100MΩ；内部噪声：≤10μVP-P；共模抑制比：＞125dB(交流滤波关闭)；耐极化电压：≥±980mV；频响范围：0.01-350Hz全频滤波；时间常数：＞5s；支持通过无线座充充电。支持NFC识别、GPS定位功能；</w:t>
            </w:r>
          </w:p>
          <w:p w14:paraId="7DB7B94C">
            <w:pPr>
              <w:keepNext/>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cs="宋体"/>
                <w:sz w:val="21"/>
                <w:szCs w:val="21"/>
                <w:lang w:val="en-US" w:eastAsia="zh-CN" w:bidi="ar-SA"/>
              </w:rPr>
              <w:t>2.</w:t>
            </w:r>
            <w:r>
              <w:rPr>
                <w:rFonts w:hint="default" w:ascii="宋体" w:hAnsi="宋体" w:eastAsia="宋体" w:cs="宋体"/>
                <w:sz w:val="21"/>
                <w:szCs w:val="21"/>
                <w:lang w:val="en-US" w:eastAsia="zh-CN" w:bidi="ar-SA"/>
              </w:rPr>
              <w:t>支持批量下载预约记录功能，并支持待检查列表显示，列表应包含检查姓名、性别、年龄等信息</w:t>
            </w:r>
            <w:r>
              <w:rPr>
                <w:rFonts w:hint="eastAsia" w:cs="宋体"/>
                <w:sz w:val="21"/>
                <w:szCs w:val="21"/>
                <w:lang w:val="en-US" w:eastAsia="zh-CN" w:bidi="ar-SA"/>
              </w:rPr>
              <w:t>；</w:t>
            </w:r>
          </w:p>
          <w:p w14:paraId="63D5E6F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3.</w:t>
            </w:r>
            <w:r>
              <w:rPr>
                <w:rFonts w:hint="default" w:ascii="宋体" w:hAnsi="宋体" w:eastAsia="宋体" w:cs="宋体"/>
                <w:sz w:val="21"/>
                <w:szCs w:val="21"/>
                <w:lang w:val="en-US" w:eastAsia="zh-CN" w:bidi="ar-SA"/>
              </w:rPr>
              <w:t>具备全导联起搏检测，准确识别起搏信号。对于危急值检查数据，支持优先诊断功能，以提醒诊断中心优先诊断。心电图机支持导联脱落、伪差、左右手接反、无法识别、心律失常波形的自动检测和提示功能</w:t>
            </w:r>
            <w:r>
              <w:rPr>
                <w:rFonts w:hint="eastAsia" w:cs="宋体"/>
                <w:sz w:val="21"/>
                <w:szCs w:val="21"/>
                <w:lang w:val="en-US" w:eastAsia="zh-CN" w:bidi="ar-SA"/>
              </w:rPr>
              <w:t>；</w:t>
            </w:r>
          </w:p>
          <w:p w14:paraId="4414F30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4.</w:t>
            </w:r>
            <w:r>
              <w:rPr>
                <w:rFonts w:hint="default" w:ascii="宋体" w:hAnsi="宋体" w:eastAsia="宋体" w:cs="宋体"/>
                <w:sz w:val="21"/>
                <w:szCs w:val="21"/>
                <w:lang w:val="en-US" w:eastAsia="zh-CN" w:bidi="ar-SA"/>
              </w:rPr>
              <w:t>▲支持消息实时提醒功能，如危急报告提醒、诊断退回提醒、导联纠错提醒、诊断完成提醒。</w:t>
            </w:r>
            <w:r>
              <w:rPr>
                <w:rFonts w:hint="eastAsia" w:ascii="宋体" w:hAnsi="宋体" w:eastAsia="宋体" w:cs="宋体"/>
                <w:sz w:val="21"/>
                <w:szCs w:val="21"/>
                <w:lang w:val="en-US" w:eastAsia="en-US" w:bidi="ar-SA"/>
              </w:rPr>
              <w:t>（提供功能截图）</w:t>
            </w:r>
          </w:p>
          <w:p w14:paraId="00BA701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5.</w:t>
            </w:r>
            <w:r>
              <w:rPr>
                <w:rFonts w:hint="default" w:ascii="宋体" w:hAnsi="宋体" w:eastAsia="宋体" w:cs="宋体"/>
                <w:sz w:val="21"/>
                <w:szCs w:val="21"/>
                <w:lang w:val="en-US" w:eastAsia="zh-CN" w:bidi="ar-SA"/>
              </w:rPr>
              <w:t>内置可充电锂离子电池，充足电后可持续工作时间≥6小时；</w:t>
            </w:r>
          </w:p>
          <w:p w14:paraId="2EC9608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6.</w:t>
            </w:r>
            <w:r>
              <w:rPr>
                <w:rFonts w:hint="default" w:ascii="宋体" w:hAnsi="宋体" w:eastAsia="宋体" w:cs="宋体"/>
                <w:sz w:val="21"/>
                <w:szCs w:val="21"/>
                <w:lang w:val="en-US" w:eastAsia="zh-CN" w:bidi="ar-SA"/>
              </w:rPr>
              <w:t>支持存储病历不小于10000份心电数据存储；</w:t>
            </w:r>
          </w:p>
          <w:p w14:paraId="63179A7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7.</w:t>
            </w:r>
            <w:r>
              <w:rPr>
                <w:rFonts w:hint="default" w:ascii="宋体" w:hAnsi="宋体" w:eastAsia="宋体" w:cs="宋体"/>
                <w:sz w:val="21"/>
                <w:szCs w:val="21"/>
                <w:lang w:val="en-US" w:eastAsia="zh-CN" w:bidi="ar-SA"/>
              </w:rPr>
              <w:t>支持记录测值包括：心率、电轴、P波时限、P-R间期、QRS时限、Q-T间期、QTc、T波时限、RV5、SV1等</w:t>
            </w:r>
            <w:r>
              <w:rPr>
                <w:rFonts w:hint="eastAsia" w:cs="宋体"/>
                <w:sz w:val="21"/>
                <w:szCs w:val="21"/>
                <w:lang w:val="en-US" w:eastAsia="zh-CN" w:bidi="ar-SA"/>
              </w:rPr>
              <w:t>；</w:t>
            </w:r>
          </w:p>
          <w:p w14:paraId="1A4A8664">
            <w:pPr>
              <w:keepNext/>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cs="宋体"/>
                <w:sz w:val="21"/>
                <w:szCs w:val="21"/>
                <w:lang w:val="en-US" w:eastAsia="zh-CN" w:bidi="ar-SA"/>
              </w:rPr>
              <w:t>8.</w:t>
            </w:r>
            <w:r>
              <w:rPr>
                <w:rFonts w:hint="default" w:ascii="宋体" w:hAnsi="宋体" w:eastAsia="宋体" w:cs="宋体"/>
                <w:sz w:val="21"/>
                <w:szCs w:val="21"/>
                <w:lang w:val="en-US" w:eastAsia="zh-CN" w:bidi="ar-SA"/>
              </w:rPr>
              <w:t>支持在采集端将心电图原始数据生成二维码，并通过手机端微信分享形式将心电图原始波形从内网传输至外网</w:t>
            </w:r>
            <w:r>
              <w:rPr>
                <w:rFonts w:hint="eastAsia" w:cs="宋体"/>
                <w:sz w:val="21"/>
                <w:szCs w:val="21"/>
                <w:lang w:val="en-US" w:eastAsia="zh-CN" w:bidi="ar-SA"/>
              </w:rPr>
              <w:t>；</w:t>
            </w:r>
          </w:p>
          <w:p w14:paraId="22D8A11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9.</w:t>
            </w:r>
            <w:r>
              <w:rPr>
                <w:rFonts w:hint="default" w:ascii="宋体" w:hAnsi="宋体" w:eastAsia="宋体" w:cs="宋体"/>
                <w:sz w:val="21"/>
                <w:szCs w:val="21"/>
                <w:lang w:val="en-US" w:eastAsia="zh-CN" w:bidi="ar-SA"/>
              </w:rPr>
              <w:t>包含与</w:t>
            </w:r>
            <w:r>
              <w:rPr>
                <w:rFonts w:hint="eastAsia" w:ascii="宋体" w:hAnsi="宋体" w:eastAsia="宋体" w:cs="宋体"/>
                <w:sz w:val="21"/>
                <w:szCs w:val="21"/>
                <w:lang w:val="en-US" w:eastAsia="zh-CN" w:bidi="ar-SA"/>
              </w:rPr>
              <w:t>医共体</w:t>
            </w:r>
            <w:r>
              <w:rPr>
                <w:rFonts w:hint="default" w:ascii="宋体" w:hAnsi="宋体" w:eastAsia="宋体" w:cs="宋体"/>
                <w:sz w:val="21"/>
                <w:szCs w:val="21"/>
                <w:lang w:val="en-US" w:eastAsia="zh-CN" w:bidi="ar-SA"/>
              </w:rPr>
              <w:t>现有心电信息管理系统接口</w:t>
            </w:r>
            <w:r>
              <w:rPr>
                <w:rFonts w:hint="eastAsia" w:ascii="宋体" w:hAnsi="宋体" w:eastAsia="宋体" w:cs="宋体"/>
                <w:sz w:val="21"/>
                <w:szCs w:val="21"/>
                <w:lang w:val="en-US" w:eastAsia="zh-CN" w:bidi="ar-SA"/>
              </w:rPr>
              <w:t>服务、报告查询打印及导联线</w:t>
            </w:r>
            <w:r>
              <w:rPr>
                <w:rFonts w:hint="eastAsia" w:cs="宋体"/>
                <w:sz w:val="21"/>
                <w:szCs w:val="21"/>
                <w:lang w:val="en-US" w:eastAsia="zh-CN" w:bidi="ar-SA"/>
              </w:rPr>
              <w:t>；</w:t>
            </w:r>
          </w:p>
          <w:p w14:paraId="1F33C6C1">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cs="宋体"/>
                <w:sz w:val="21"/>
                <w:szCs w:val="21"/>
                <w:lang w:val="en-US" w:eastAsia="zh-CN" w:bidi="ar-SA"/>
              </w:rPr>
              <w:t>10.</w:t>
            </w:r>
            <w:r>
              <w:rPr>
                <w:rFonts w:hint="eastAsia" w:ascii="宋体" w:hAnsi="宋体" w:eastAsia="宋体" w:cs="宋体"/>
                <w:sz w:val="21"/>
                <w:szCs w:val="21"/>
                <w:lang w:val="en-US" w:eastAsia="en-US" w:bidi="ar-SA"/>
              </w:rPr>
              <w:t>提供≥3年原厂7*24小时售后服务及现场安装调试。</w:t>
            </w:r>
          </w:p>
        </w:tc>
      </w:tr>
    </w:tbl>
    <w:p w14:paraId="69A01F1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1F1E87D">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5" w:name="_Toc26266"/>
      <w:r>
        <w:rPr>
          <w:rFonts w:hint="eastAsia" w:cs="宋体"/>
          <w:b/>
          <w:bCs/>
          <w:sz w:val="28"/>
          <w:szCs w:val="28"/>
          <w:lang w:val="en-US" w:eastAsia="zh-CN" w:bidi="ar-SA"/>
        </w:rPr>
        <w:t>19.</w:t>
      </w:r>
      <w:r>
        <w:rPr>
          <w:rFonts w:hint="eastAsia" w:ascii="宋体" w:hAnsi="宋体" w:eastAsia="宋体" w:cs="宋体"/>
          <w:b/>
          <w:bCs/>
          <w:sz w:val="28"/>
          <w:szCs w:val="28"/>
          <w:lang w:val="en-US" w:eastAsia="en-US" w:bidi="ar-SA"/>
        </w:rPr>
        <w:t>激光打印机</w:t>
      </w:r>
      <w:bookmarkEnd w:id="25"/>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3F32A82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6B70F2">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4B1825">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功能说明</w:t>
            </w:r>
          </w:p>
        </w:tc>
      </w:tr>
      <w:tr w14:paraId="4DDF62B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65285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激光打印机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1891A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打印机类型：黑白激光打印机</w:t>
            </w:r>
          </w:p>
          <w:p w14:paraId="0AD5380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显影方式：非磁性接触显影</w:t>
            </w:r>
          </w:p>
          <w:p w14:paraId="2E61F8E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打印速度（A4）：大于等于24页/分钟</w:t>
            </w:r>
          </w:p>
          <w:p w14:paraId="1D10AE8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双面打印：自动双面</w:t>
            </w:r>
          </w:p>
          <w:p w14:paraId="4D4438F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首页输出时间：小于等于5秒</w:t>
            </w:r>
          </w:p>
          <w:p w14:paraId="361DFD6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分辨率：600 x 600 dpi</w:t>
            </w:r>
          </w:p>
          <w:p w14:paraId="7204A34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打印语言：GDI</w:t>
            </w:r>
          </w:p>
          <w:p w14:paraId="07117EF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耗材印量：2,000页</w:t>
            </w:r>
          </w:p>
          <w:p w14:paraId="3F1D8D8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纸盒容量：150页</w:t>
            </w:r>
          </w:p>
          <w:p w14:paraId="45748E2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出纸盘容：100页</w:t>
            </w:r>
          </w:p>
          <w:p w14:paraId="3BADC8A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介质尺寸：76.2×127mm 至 215.9×355.6 mm</w:t>
            </w:r>
          </w:p>
          <w:p w14:paraId="3A8DFA2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介质重量：60-163克/平方米</w:t>
            </w:r>
          </w:p>
          <w:p w14:paraId="28E50E6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介质幅面：A4、letter、B5JIS、A5（长边）、A5（短边）、Exective、16K（195*270mm）、B5</w:t>
            </w:r>
          </w:p>
          <w:p w14:paraId="594964E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介质类型 普通纸、薄纸、厚纸、再生纸</w:t>
            </w:r>
          </w:p>
          <w:p w14:paraId="40D10F6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内存：大于等于128MB</w:t>
            </w:r>
          </w:p>
          <w:p w14:paraId="3BCF25C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处理器 (CPU)：大于等于1.2GHz</w:t>
            </w:r>
          </w:p>
          <w:p w14:paraId="5C82DB9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最大月打印负荷：15,000 页</w:t>
            </w:r>
          </w:p>
          <w:p w14:paraId="5AD7D7D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标准接口：USB2.0接口、百兆以太网10/100 Base-TX端口</w:t>
            </w:r>
          </w:p>
          <w:p w14:paraId="5BB068E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含安装调试服务、打印连接线及A5打印纸1000张/台</w:t>
            </w:r>
          </w:p>
        </w:tc>
      </w:tr>
    </w:tbl>
    <w:p w14:paraId="21A3F8D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3C3BDA2">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6" w:name="_Toc14441"/>
      <w:r>
        <w:rPr>
          <w:rFonts w:hint="eastAsia" w:cs="宋体"/>
          <w:b/>
          <w:bCs/>
          <w:sz w:val="28"/>
          <w:szCs w:val="28"/>
          <w:lang w:val="en-US" w:eastAsia="zh-CN" w:bidi="ar-SA"/>
        </w:rPr>
        <w:t>20.热敏</w:t>
      </w:r>
      <w:r>
        <w:rPr>
          <w:rFonts w:hint="eastAsia" w:cs="宋体"/>
          <w:b/>
          <w:bCs/>
          <w:sz w:val="28"/>
          <w:szCs w:val="28"/>
          <w:lang w:val="en-US" w:eastAsia="en-US" w:bidi="ar-SA"/>
        </w:rPr>
        <w:t>打印机</w:t>
      </w:r>
      <w:bookmarkEnd w:id="26"/>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9FD579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A8E90B">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442B3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479D5F2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73566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zh-CN" w:bidi="ar-SA"/>
              </w:rPr>
              <w:t>热敏</w:t>
            </w:r>
            <w:r>
              <w:rPr>
                <w:rFonts w:hint="eastAsia" w:ascii="宋体" w:hAnsi="宋体" w:eastAsia="宋体" w:cs="宋体"/>
                <w:b/>
                <w:bCs/>
                <w:sz w:val="24"/>
                <w:szCs w:val="24"/>
                <w:lang w:val="en-US" w:eastAsia="en-US" w:bidi="ar-SA"/>
              </w:rPr>
              <w:t>打印机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37571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打印方式：热敏及热转印</w:t>
            </w:r>
          </w:p>
          <w:p w14:paraId="172A45C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字符集：中文GB18030</w:t>
            </w:r>
          </w:p>
          <w:p w14:paraId="67863D7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打印速度：大于等于150mm/s</w:t>
            </w:r>
          </w:p>
          <w:p w14:paraId="23FBE21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打印宽度:大于等于108mm</w:t>
            </w:r>
          </w:p>
          <w:p w14:paraId="7EE9B0C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进纸宽度：大于等于118mm</w:t>
            </w:r>
          </w:p>
          <w:p w14:paraId="31C4F5F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条形码：一维码、二维码</w:t>
            </w:r>
          </w:p>
          <w:p w14:paraId="2DB571E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纸卷外径：大于等于127mm</w:t>
            </w:r>
          </w:p>
          <w:p w14:paraId="5780089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碳带长度:大于等于300m</w:t>
            </w:r>
          </w:p>
          <w:p w14:paraId="354E066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纸张类型：标签纸、连续纸</w:t>
            </w:r>
          </w:p>
          <w:p w14:paraId="3C32B8D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标配接口:USB接口</w:t>
            </w:r>
          </w:p>
          <w:p w14:paraId="79A2AAE9">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zh-CN" w:bidi="ar-SA"/>
              </w:rPr>
              <w:t>含安装调试服务、打印连接线及80mm宽90m长热敏打印纸2卷/台</w:t>
            </w:r>
          </w:p>
        </w:tc>
      </w:tr>
    </w:tbl>
    <w:p w14:paraId="688BFA3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5B778FF7">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7" w:name="_Toc16956"/>
      <w:r>
        <w:rPr>
          <w:rFonts w:hint="eastAsia" w:cs="宋体"/>
          <w:b/>
          <w:bCs/>
          <w:sz w:val="28"/>
          <w:szCs w:val="28"/>
          <w:lang w:val="en-US" w:eastAsia="zh-CN" w:bidi="ar-SA"/>
        </w:rPr>
        <w:t>21.</w:t>
      </w:r>
      <w:r>
        <w:rPr>
          <w:rFonts w:hint="eastAsia" w:cs="宋体"/>
          <w:b/>
          <w:bCs/>
          <w:sz w:val="28"/>
          <w:szCs w:val="28"/>
          <w:lang w:val="en-US" w:eastAsia="en-US" w:bidi="ar-SA"/>
        </w:rPr>
        <w:t>云电脑</w:t>
      </w:r>
      <w:bookmarkEnd w:id="27"/>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2034AD8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D5BF6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B3492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539A7B5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DA5875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▲云电脑</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02FE39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是承载本项目第三项基层LIS系统的硬件支持设备。</w:t>
            </w:r>
          </w:p>
          <w:p w14:paraId="55E757A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国产品牌，软硬件一体化设备，内置虚拟化系统和软件。可接入元宝山区紧密型县域医共体云管平台。处理器性能不低于I5第12代六核十二线程处理器（处理器主频≥2.5GHz），内存≥16GB；显卡性能不低于≥GPU英特尔超核心显卡730；本地存储空间≥512GB；配置USB 2.0接口≥4个，USB 3.0接口≥4个，VGA显示接口≥1个, HDMI显示接口≥1个，千兆网口≥1个，音频输入输出口≥1对；显示器≥23.8寸，键盘鼠标1套；提供不少于三年原厂7*24小时的售后服务。</w:t>
            </w:r>
          </w:p>
          <w:p w14:paraId="64B7F2CC">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zh-CN" w:bidi="ar-SA"/>
              </w:rPr>
              <w:t>提供现场安装调试及对接检验设备连接时所需的辅助线材。</w:t>
            </w:r>
          </w:p>
        </w:tc>
      </w:tr>
    </w:tbl>
    <w:p w14:paraId="09D9505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C48FB3B">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8" w:name="_Toc3311"/>
      <w:r>
        <w:rPr>
          <w:rFonts w:hint="eastAsia" w:cs="宋体"/>
          <w:b/>
          <w:bCs/>
          <w:sz w:val="28"/>
          <w:szCs w:val="28"/>
          <w:lang w:val="en-US" w:eastAsia="zh-CN" w:bidi="ar-SA"/>
        </w:rPr>
        <w:t>22.</w:t>
      </w:r>
      <w:r>
        <w:rPr>
          <w:rFonts w:hint="eastAsia" w:cs="宋体"/>
          <w:b/>
          <w:bCs/>
          <w:sz w:val="28"/>
          <w:szCs w:val="28"/>
          <w:lang w:val="en-US" w:eastAsia="en-US" w:bidi="ar-SA"/>
        </w:rPr>
        <w:t>体检工作站</w:t>
      </w:r>
      <w:bookmarkEnd w:id="28"/>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3E8BA3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DD9556">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7C704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D103C1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F5F05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▲体检工作站</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0BC0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w:t>
            </w:r>
          </w:p>
          <w:p w14:paraId="1B95D9EF">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国产品牌，公卫体检工作站；处理器性能不低于I5第13代十二核十六线程处理器；内存≥16 GB DDR4-3200 MHz；硬盘≥512 GB PCIe 4.0 NVMe M.2 固态硬盘；显示屏≥15.6 英寸、分辨率≥1920 x 1080、IPS超窄边框防眩光、亮度≥300尼特、色域≥62.5%SRGB；多点触控、带数字小键盘的全尺寸柔灰色键盘；1个 USB Type-C、2个USB-A、1 个 HDMI端口、1 个耳机/麦克风组合插孔、720p 高清摄像头，无线连接支持Wi-Fi 6 和蓝牙、1个内置或便携式USB千兆网卡、移动运输包；提供不少于三年原厂7*24小时的售后服务。</w:t>
            </w:r>
          </w:p>
        </w:tc>
      </w:tr>
    </w:tbl>
    <w:p w14:paraId="49CA4838">
      <w:pPr>
        <w:keepNext/>
        <w:adjustRightInd w:val="0"/>
        <w:snapToGrid w:val="0"/>
        <w:spacing w:line="240" w:lineRule="auto"/>
        <w:ind w:left="0" w:leftChars="0" w:right="0" w:rightChars="0" w:firstLine="0" w:firstLineChars="0"/>
        <w:jc w:val="left"/>
        <w:rPr>
          <w:rFonts w:hint="eastAsia" w:ascii="宋体" w:hAnsi="宋体" w:eastAsia="宋体" w:cs="宋体"/>
          <w:b/>
          <w:bCs/>
          <w:sz w:val="24"/>
          <w:szCs w:val="24"/>
          <w:lang w:val="en-US" w:eastAsia="en-US" w:bidi="ar-SA"/>
        </w:rPr>
      </w:pPr>
    </w:p>
    <w:p w14:paraId="3E66102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9" w:name="_Toc638"/>
      <w:r>
        <w:rPr>
          <w:rFonts w:hint="eastAsia" w:cs="宋体"/>
          <w:b/>
          <w:bCs/>
          <w:sz w:val="28"/>
          <w:szCs w:val="28"/>
          <w:lang w:val="en-US" w:eastAsia="zh-CN" w:bidi="ar-SA"/>
        </w:rPr>
        <w:t>23.</w:t>
      </w:r>
      <w:r>
        <w:rPr>
          <w:rFonts w:hint="eastAsia" w:ascii="宋体" w:hAnsi="宋体" w:eastAsia="宋体" w:cs="宋体"/>
          <w:b/>
          <w:bCs/>
          <w:sz w:val="28"/>
          <w:szCs w:val="28"/>
          <w:lang w:val="en-US" w:eastAsia="en-US" w:bidi="ar-SA"/>
        </w:rPr>
        <w:t>显示器</w:t>
      </w:r>
      <w:bookmarkEnd w:id="29"/>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A7766E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8BA3C7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97BBA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7916C1B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238551">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显示器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C1B31E">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商用显示器≥23.8寸，键盘鼠标1套，1.5米HDMI高清视频连接线；提供不少于三年原厂7*24小时的售后服务。</w:t>
            </w:r>
          </w:p>
        </w:tc>
      </w:tr>
    </w:tbl>
    <w:p w14:paraId="4727834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6953A40">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0" w:name="_Toc13902"/>
      <w:r>
        <w:rPr>
          <w:rFonts w:hint="eastAsia" w:cs="宋体"/>
          <w:b/>
          <w:bCs/>
          <w:sz w:val="28"/>
          <w:szCs w:val="28"/>
          <w:lang w:val="en-US" w:eastAsia="zh-CN" w:bidi="ar-SA"/>
        </w:rPr>
        <w:t>24.</w:t>
      </w:r>
      <w:r>
        <w:rPr>
          <w:rFonts w:hint="eastAsia" w:cs="宋体"/>
          <w:b/>
          <w:bCs/>
          <w:sz w:val="28"/>
          <w:szCs w:val="28"/>
          <w:lang w:val="en-US" w:eastAsia="en-US" w:bidi="ar-SA"/>
        </w:rPr>
        <w:t>采集卡</w:t>
      </w:r>
      <w:bookmarkEnd w:id="30"/>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6D370D0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AB1F8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B0BFA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E0C362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9FB51D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采集卡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6E1C1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77A606F0">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最大采集:≥30/25fps @ D1；主机接口：USB；视频输入：≥1 × Composite, ≥1 × S-Video；色彩空间：YV12,NV12,YUY2,RGB24,RGB32；录制方式：H.264；录制格式：NTSC；音频输入：≥1x 3.5mm；音频格式：Stereo / 16-Bit / 48000Hz；支持一机多卡；支持 CPU：Intel、AMD CPU</w:t>
            </w:r>
          </w:p>
        </w:tc>
      </w:tr>
    </w:tbl>
    <w:p w14:paraId="51890FC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49CD0952">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1" w:name="_Toc23833"/>
      <w:r>
        <w:rPr>
          <w:rFonts w:hint="eastAsia" w:cs="宋体"/>
          <w:b/>
          <w:bCs/>
          <w:sz w:val="28"/>
          <w:szCs w:val="28"/>
          <w:lang w:val="en-US" w:eastAsia="zh-CN" w:bidi="ar-SA"/>
        </w:rPr>
        <w:t>25.</w:t>
      </w:r>
      <w:r>
        <w:rPr>
          <w:rFonts w:hint="eastAsia" w:cs="宋体"/>
          <w:b/>
          <w:bCs/>
          <w:sz w:val="28"/>
          <w:szCs w:val="28"/>
          <w:lang w:val="en-US" w:eastAsia="en-US" w:bidi="ar-SA"/>
        </w:rPr>
        <w:t>身份证读卡器</w:t>
      </w:r>
      <w:bookmarkEnd w:id="31"/>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097DC6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FF23A7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809E4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6412766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799D7A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身份证读卡器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18D2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r>
              <w:rPr>
                <w:rFonts w:hint="eastAsia" w:cs="宋体"/>
                <w:sz w:val="21"/>
                <w:szCs w:val="21"/>
                <w:lang w:val="en-US" w:eastAsia="zh-CN" w:bidi="ar-SA"/>
              </w:rPr>
              <w:t>；</w:t>
            </w:r>
          </w:p>
          <w:p w14:paraId="355D14F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2.</w:t>
            </w:r>
            <w:r>
              <w:rPr>
                <w:rFonts w:hint="default" w:ascii="宋体" w:hAnsi="宋体" w:eastAsia="宋体" w:cs="宋体"/>
                <w:sz w:val="21"/>
                <w:szCs w:val="21"/>
                <w:lang w:val="en-US" w:eastAsia="zh-CN" w:bidi="ar-SA"/>
              </w:rPr>
              <w:t>符合公安部GA450《台式居民身份证阅读器通用技术条件》以及ISO14443（Type B）国际标准；具备二代身份证文本、图像、指纹信息阅读功能；提供符合公安部标准完善的SDK软件包供系统集成商进行二次开发，支持 VC/DELPHI；全面支持Windows2000和WindowsXP、Windows7/WIN10等操作系统，通用性强；通过USB接口连接PC终端</w:t>
            </w:r>
            <w:r>
              <w:rPr>
                <w:rFonts w:hint="eastAsia" w:cs="宋体"/>
                <w:sz w:val="21"/>
                <w:szCs w:val="21"/>
                <w:lang w:val="en-US" w:eastAsia="zh-CN" w:bidi="ar-SA"/>
              </w:rPr>
              <w:t>；</w:t>
            </w:r>
          </w:p>
          <w:p w14:paraId="7AE47892">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cs="宋体"/>
                <w:sz w:val="21"/>
                <w:szCs w:val="21"/>
                <w:lang w:val="en-US" w:eastAsia="zh-CN" w:bidi="ar-SA"/>
              </w:rPr>
              <w:t>3.</w:t>
            </w:r>
            <w:r>
              <w:rPr>
                <w:rFonts w:hint="default" w:ascii="宋体" w:hAnsi="宋体" w:eastAsia="宋体" w:cs="宋体"/>
                <w:sz w:val="21"/>
                <w:szCs w:val="21"/>
                <w:lang w:val="en-US" w:eastAsia="zh-CN" w:bidi="ar-SA"/>
              </w:rPr>
              <w:t>工作频率：13.56MHz；调制方式：ASK和BPSK；与卡片的通讯速率：106 Kbps；校验：循环冗余校验（CRC）；读卡时间：≤1秒;；读卡距离：≤30mm；供电电源：使用电脑USB口5V供电；工作温度：0℃～50℃；工作相对湿度（40℃）：小于90%</w:t>
            </w:r>
            <w:r>
              <w:rPr>
                <w:rFonts w:hint="eastAsia" w:cs="宋体"/>
                <w:sz w:val="21"/>
                <w:szCs w:val="21"/>
                <w:lang w:val="en-US" w:eastAsia="zh-CN" w:bidi="ar-SA"/>
              </w:rPr>
              <w:t>。</w:t>
            </w:r>
          </w:p>
        </w:tc>
      </w:tr>
    </w:tbl>
    <w:p w14:paraId="067EEC5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437625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51E3B41">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2" w:name="_Toc25332"/>
      <w:r>
        <w:rPr>
          <w:rFonts w:hint="eastAsia" w:cs="宋体"/>
          <w:b/>
          <w:bCs/>
          <w:sz w:val="28"/>
          <w:szCs w:val="28"/>
          <w:lang w:val="en-US" w:eastAsia="zh-CN" w:bidi="ar-SA"/>
        </w:rPr>
        <w:t>26.</w:t>
      </w:r>
      <w:r>
        <w:rPr>
          <w:rFonts w:hint="eastAsia" w:cs="宋体"/>
          <w:b/>
          <w:bCs/>
          <w:sz w:val="28"/>
          <w:szCs w:val="28"/>
          <w:lang w:val="en-US" w:eastAsia="en-US" w:bidi="ar-SA"/>
        </w:rPr>
        <w:t>扫码敦</w:t>
      </w:r>
      <w:bookmarkEnd w:id="32"/>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6B1CEBC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D0C564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5AC6B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457B802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4F1E4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b/>
                <w:bCs/>
                <w:sz w:val="24"/>
                <w:szCs w:val="24"/>
                <w:lang w:val="en-US" w:eastAsia="zh-CN" w:bidi="ar-SA"/>
              </w:rPr>
              <w:t>扫码敦</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BB966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6B0C85DD">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高精度CMOS影像传感镜头，反馈距离：30mm-280mm，识读精度≥5mil；存储温度：-40℃-+80℃；工作电压：5V；通讯接口：USB（HID-KBW+1.8米线）；工作湿度：5%到95%（无凝结）。支持</w:t>
            </w:r>
            <w:r>
              <w:rPr>
                <w:rFonts w:hint="eastAsia" w:ascii="宋体" w:hAnsi="宋体" w:eastAsia="宋体" w:cs="宋体"/>
                <w:sz w:val="21"/>
                <w:szCs w:val="21"/>
                <w:lang w:val="en-US" w:eastAsia="zh-CN" w:bidi="ar-SA"/>
              </w:rPr>
              <w:t>条形码、二维码，</w:t>
            </w:r>
            <w:r>
              <w:rPr>
                <w:rFonts w:hint="default" w:ascii="宋体" w:hAnsi="宋体" w:eastAsia="宋体" w:cs="宋体"/>
                <w:sz w:val="21"/>
                <w:szCs w:val="21"/>
                <w:lang w:val="en-US" w:eastAsia="zh-CN" w:bidi="ar-SA"/>
              </w:rPr>
              <w:t>扫码成功语音提示，音量大小可调。</w:t>
            </w:r>
            <w:r>
              <w:rPr>
                <w:rFonts w:hint="eastAsia" w:ascii="宋体" w:hAnsi="宋体" w:eastAsia="宋体" w:cs="宋体"/>
                <w:sz w:val="21"/>
                <w:szCs w:val="21"/>
                <w:lang w:val="en-US" w:eastAsia="zh-CN" w:bidi="ar-SA"/>
              </w:rPr>
              <w:t>可以是扫码敦或者扫码枪</w:t>
            </w:r>
          </w:p>
        </w:tc>
      </w:tr>
    </w:tbl>
    <w:p w14:paraId="4A6D0A5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78CE4CD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3" w:name="_Toc24538"/>
      <w:r>
        <w:rPr>
          <w:rFonts w:hint="eastAsia" w:cs="宋体"/>
          <w:b/>
          <w:bCs/>
          <w:sz w:val="28"/>
          <w:szCs w:val="28"/>
          <w:lang w:val="en-US" w:eastAsia="zh-CN" w:bidi="ar-SA"/>
        </w:rPr>
        <w:t>27.</w:t>
      </w:r>
      <w:r>
        <w:rPr>
          <w:rFonts w:hint="eastAsia" w:cs="宋体"/>
          <w:b/>
          <w:bCs/>
          <w:sz w:val="28"/>
          <w:szCs w:val="28"/>
          <w:lang w:val="en-US" w:eastAsia="en-US" w:bidi="ar-SA"/>
        </w:rPr>
        <w:t>5G路由器</w:t>
      </w:r>
      <w:bookmarkEnd w:id="33"/>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AE3F9B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91A02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D5C91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0DD5F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CE6FB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5G路由器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9F0F7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是承载本项目第六项公卫体检信息系统的硬件支持设备。为公卫体检工作站及设备提供网络接入服务。</w:t>
            </w:r>
          </w:p>
          <w:p w14:paraId="435825E9">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企业级性能，端口≥4个1000M RJ45 WAN/LAN，1个1000M RJ45 LAN端口；无线速率2.4G≥574Mbps，5G≥4804Mbps；天线≥4根Wi-Fi天线，4根5G天线；≥1个5GSIM卡槽</w:t>
            </w:r>
            <w:r>
              <w:rPr>
                <w:rFonts w:hint="eastAsia" w:ascii="宋体" w:hAnsi="宋体" w:eastAsia="宋体" w:cs="宋体"/>
                <w:sz w:val="21"/>
                <w:szCs w:val="21"/>
                <w:lang w:val="en-US" w:eastAsia="zh-CN" w:bidi="ar-SA"/>
              </w:rPr>
              <w:t>。</w:t>
            </w:r>
          </w:p>
        </w:tc>
      </w:tr>
    </w:tbl>
    <w:p w14:paraId="64556D8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822CE17">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4" w:name="_Toc1586"/>
      <w:r>
        <w:rPr>
          <w:rFonts w:hint="eastAsia" w:cs="宋体"/>
          <w:b/>
          <w:bCs/>
          <w:sz w:val="28"/>
          <w:szCs w:val="28"/>
          <w:lang w:val="en-US" w:eastAsia="zh-CN" w:bidi="ar-SA"/>
        </w:rPr>
        <w:t>28.</w:t>
      </w:r>
      <w:r>
        <w:rPr>
          <w:rFonts w:hint="eastAsia" w:cs="宋体"/>
          <w:b/>
          <w:bCs/>
          <w:sz w:val="28"/>
          <w:szCs w:val="28"/>
          <w:lang w:val="en-US" w:eastAsia="en-US" w:bidi="ar-SA"/>
        </w:rPr>
        <w:t>电视机</w:t>
      </w:r>
      <w:bookmarkEnd w:id="34"/>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E04941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0183A0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C1765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6EFB6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8EEA30A">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▲电视机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0A0B40">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与本项目第二十九项组合使用。</w:t>
            </w:r>
          </w:p>
          <w:p w14:paraId="5A77FF86">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屏幕尺寸 85英寸 屏幕分辨率 3840×2160 高清格式 2160P 观看距离 3.5米以上 背光性能 直下式/DLED 屏幕刷新频率 60Hz 色域 BT.709 130% 图像性能 HDR 多音效模式 支持多种音效模式 立体声 支持立体声 扬声器 内置 输入端口 HDMI接口,USB接口,RF射频端子 HDMI接口 3个 USB接口 2个 CPU 四核A73 GPU 四核 内存容量 3GB 存储空间32G。含挂架安装及HDMI延长线（按实际安装场地配置长度），现场安装调试服务。</w:t>
            </w:r>
          </w:p>
        </w:tc>
      </w:tr>
    </w:tbl>
    <w:p w14:paraId="3D1841E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32A3EE2">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5" w:name="_Toc8893"/>
      <w:r>
        <w:rPr>
          <w:rFonts w:hint="eastAsia" w:cs="宋体"/>
          <w:b/>
          <w:bCs/>
          <w:sz w:val="28"/>
          <w:szCs w:val="28"/>
          <w:lang w:val="en-US" w:eastAsia="zh-CN" w:bidi="ar-SA"/>
        </w:rPr>
        <w:t>29.</w:t>
      </w:r>
      <w:r>
        <w:rPr>
          <w:rFonts w:hint="eastAsia" w:cs="宋体"/>
          <w:b/>
          <w:bCs/>
          <w:sz w:val="28"/>
          <w:szCs w:val="28"/>
          <w:lang w:val="en-US" w:eastAsia="en-US" w:bidi="ar-SA"/>
        </w:rPr>
        <w:t>视频设备</w:t>
      </w:r>
      <w:bookmarkEnd w:id="35"/>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F4288E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FDF03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8C674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C44BE9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9074A5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视频设备</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30686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与本项目第二十八项组合使用，需提供现场安装调试及网络布线联通服务。</w:t>
            </w:r>
          </w:p>
          <w:p w14:paraId="4AF74B7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一、▲硬件配置</w:t>
            </w:r>
          </w:p>
          <w:p w14:paraId="40EFF3B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1、摄像机参数：≥800万像素，1/2.5英寸高清传感器，视角：120°，畸变&lt;5%</w:t>
            </w:r>
          </w:p>
          <w:p w14:paraId="445D7EF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2、麦克风：数量：≥4 MIC  线性阵列，6米有效拾音距离</w:t>
            </w:r>
          </w:p>
          <w:p w14:paraId="65C8C22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3、扬声器：功率：≥4W×2</w:t>
            </w:r>
          </w:p>
          <w:p w14:paraId="4D1D4E2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4、音频输入输出接口：≥1×3.5mm音频输入，≥1×3.5mm音频输出，≥1×HDMI（支持音频输出），≥2×USB3.0</w:t>
            </w:r>
          </w:p>
          <w:p w14:paraId="7FDB8C4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5、视频输出接口：≥1×HDMI</w:t>
            </w:r>
          </w:p>
          <w:p w14:paraId="4730593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6、USB接口：≥2×USB3.0</w:t>
            </w:r>
          </w:p>
          <w:p w14:paraId="34C06E70">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7、网络接口：有线：10/100/1000Base-T、1×RJ45，无线：支持802.11 b/g/n/ac，2.4G&amp;5G双频</w:t>
            </w:r>
          </w:p>
          <w:p w14:paraId="4FCFBF3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二、视频支持</w:t>
            </w:r>
          </w:p>
          <w:p w14:paraId="4B811C8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1、视频编码：支持但不限于MPEG4、H.264HP、H.264、H.263、H.263+、H.265、VP8、VP9 等多种国际通用视频编解码协议</w:t>
            </w:r>
          </w:p>
          <w:p w14:paraId="611E967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2、视频分辨率：支持但不限于1920x1080、1280x720、720x576、704x576、640x480等多种图像分辨率和混合的多点高清视频会议</w:t>
            </w:r>
          </w:p>
          <w:p w14:paraId="4951226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3、视频码流：支持10Kbps～3Mbps，单路图像最大3000Kbps码流，同时可针对不同应用需求，设置不同带宽；</w:t>
            </w:r>
          </w:p>
          <w:p w14:paraId="7B3EB29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4、视频帧率：支持视频帧率可调节1～30fps，可以达到25帧D1（PAL）或30帧D1（NTSC），保证视频通讯清晰流畅；</w:t>
            </w:r>
          </w:p>
          <w:p w14:paraId="7B44FB8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5、视频画面：支持1、2、4、6画中画等多种组合分屏；</w:t>
            </w:r>
          </w:p>
          <w:p w14:paraId="319BFA7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6、数据内容分辨率：支持但不限于VGA （640×480）、SVGA（800×600）、XGA （1024×768）、SXGA （1280×1024）、1080P（1920*1080）数据输出分辨率。</w:t>
            </w:r>
          </w:p>
          <w:p w14:paraId="46702A6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三、音频支持</w:t>
            </w:r>
          </w:p>
          <w:p w14:paraId="73EA96C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1、音频编码：支持但不限于G.711、G.722.1、G.722.1C、G.728、G.729、AAC、AMR、Opus G.722.1、AMR-WB音频协议；</w:t>
            </w:r>
          </w:p>
          <w:p w14:paraId="6757EC5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2、音频码流：码流范围6Kbps～32Kbps；</w:t>
            </w:r>
          </w:p>
          <w:p w14:paraId="6C3E1D2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3、音频处理：回音消除、音频降噪、自动增益、静音检测；</w:t>
            </w:r>
          </w:p>
          <w:p w14:paraId="062EF66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4、混音：支持256路与会人员同时进进发言，并且能保持音质清晰。</w:t>
            </w:r>
          </w:p>
          <w:p w14:paraId="4980222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四、技术支持</w:t>
            </w:r>
          </w:p>
          <w:p w14:paraId="08C3E01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1、通讯协议：TCP、UPD、HTTP等国际标准协议 ；</w:t>
            </w:r>
          </w:p>
          <w:p w14:paraId="7971EE6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2、安全性：支持但不限于MD5、DES、RSA、RC4加密算法、基于账号的会议室权限管控机制；</w:t>
            </w:r>
          </w:p>
          <w:p w14:paraId="7FA93EA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3、传输端口：支持音视频数据单端口传输机制；</w:t>
            </w:r>
          </w:p>
          <w:p w14:paraId="37B848B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4、自动调节：丢包恢复机制、根据网络带宽自动调节视频码流、帧数率，具备断线自动重连功能、防火墙及NAT穿越、 动态辅流带宽调整；</w:t>
            </w:r>
          </w:p>
          <w:p w14:paraId="62C0A9C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5、QOS：采用专业的抗丢包算法保证视频会议质量，在网络丢包率30%的情况下能保证视频流畅传输，在网络丢包率 50%的情况下能保证视频不花屏不卡顿。在网络丢包率 85%的情况下，声音清楚连贯。</w:t>
            </w:r>
          </w:p>
          <w:p w14:paraId="39C72FA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五、软件支持</w:t>
            </w:r>
          </w:p>
          <w:p w14:paraId="05CD44E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1、电子黑板：会议终端支持同时打开多个电子黑板；支持多种可打印文档的共享，文件预先上传</w:t>
            </w:r>
          </w:p>
          <w:p w14:paraId="24674CB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2、会议签到：系统支持快速点名或手动签点名功能</w:t>
            </w:r>
          </w:p>
          <w:p w14:paraId="5C024EE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3、显示布局：系统支持显示视频对应账号名称、码流；视频布局调整模式</w:t>
            </w:r>
          </w:p>
          <w:p w14:paraId="0F2ED58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4、媒体文件共享：支持但不限于播放wmv、mp4、rm、rmvb、mp3、wma、mpg、avi等格式高清影音文件；全屏播放；实时拖动及播放音量调节</w:t>
            </w:r>
          </w:p>
          <w:p w14:paraId="65B733F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5、双流支持：支持高清双流数据显示，可同时传输主路会场动态视频画面和辅路PC画面双路1080p30fps同步传输，即在传输主流1080p30fps视频图像时，可同时支持第二路数据流1080p30fps传输</w:t>
            </w:r>
          </w:p>
          <w:p w14:paraId="6D6C823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6、会议控制权限：会议发起、主持、管理、终止等权限必须由主席或主讲控制管理；对会议成员发言权限的控制，包括同意发言、中止发言、指定发言等。对会议成员远程桌面权限的控制，包括同意控制、中止控制、指定控制权等；对会议成员的管理，包括把不适合参加会议的人员请出会议室和锁定会议室；设置布局同步功能后，其余的客户端只能按照主讲的视频布局来切换，而无法自行切换视频布局；主席和主讲可对会议成员的私聊、传送文件、会议录制、视频轮巡等功能进行管控，可以关闭和打开会议成员的这些功能。主持人身份具有唯一性，同一时间仅能有一位主持人存在；会议可以支持多人轮流主持功能，前一个主讲可以自动放弃主讲身份，主讲身份空缺时，其他出席用户均有权限获得主讲权限，进行文档、屏幕共享等操作。</w:t>
            </w:r>
          </w:p>
          <w:p w14:paraId="4F71525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7、▲支持与现有视频会诊系统无缝对接、可与现有视频会议系统组网、支持通过视频会议设备呼叫软件终端，满足多终端同时入会。</w:t>
            </w:r>
            <w:r>
              <w:rPr>
                <w:rFonts w:hint="eastAsia" w:ascii="宋体" w:hAnsi="宋体" w:eastAsia="宋体" w:cs="宋体"/>
                <w:sz w:val="21"/>
                <w:szCs w:val="21"/>
                <w:lang w:val="en-US" w:eastAsia="en-US" w:bidi="ar-SA"/>
              </w:rPr>
              <w:t>（提供功能截图）</w:t>
            </w:r>
          </w:p>
          <w:p w14:paraId="7F806967">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8、无限制会议室创建服务及无限制会议用户授权服务。支持与现有视频会诊用户同步登陆。</w:t>
            </w:r>
          </w:p>
        </w:tc>
      </w:tr>
    </w:tbl>
    <w:p w14:paraId="51A4E11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98090D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6" w:name="_Toc10838"/>
      <w:r>
        <w:rPr>
          <w:rFonts w:hint="eastAsia" w:cs="宋体"/>
          <w:b/>
          <w:bCs/>
          <w:sz w:val="28"/>
          <w:szCs w:val="28"/>
          <w:lang w:val="en-US" w:eastAsia="zh-CN" w:bidi="ar-SA"/>
        </w:rPr>
        <w:t>30.</w:t>
      </w:r>
      <w:r>
        <w:rPr>
          <w:rFonts w:hint="eastAsia" w:cs="宋体"/>
          <w:b/>
          <w:bCs/>
          <w:sz w:val="28"/>
          <w:szCs w:val="28"/>
          <w:lang w:val="en-US" w:eastAsia="en-US" w:bidi="ar-SA"/>
        </w:rPr>
        <w:t>数据专线</w:t>
      </w:r>
      <w:bookmarkEnd w:id="36"/>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0213A1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BDB742">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AAECFE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765107C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4F251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数据专线</w:t>
            </w:r>
            <w:r>
              <w:rPr>
                <w:rFonts w:hint="eastAsia" w:ascii="宋体" w:hAnsi="宋体" w:eastAsia="宋体" w:cs="宋体"/>
                <w:b/>
                <w:bCs/>
                <w:sz w:val="24"/>
                <w:szCs w:val="24"/>
                <w:lang w:val="en-US" w:eastAsia="zh-CN" w:bidi="ar-SA"/>
              </w:rPr>
              <w:t>1</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36838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≥1Gb数据链路专线分别由赤峰宝山妇产医院、西露天社区、马林社区接入元宝山区医共体卫生专网。</w:t>
            </w:r>
          </w:p>
        </w:tc>
      </w:tr>
      <w:tr w14:paraId="557D067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F8A0E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数据专线</w:t>
            </w:r>
            <w:r>
              <w:rPr>
                <w:rFonts w:hint="eastAsia" w:ascii="宋体" w:hAnsi="宋体" w:eastAsia="宋体" w:cs="宋体"/>
                <w:b/>
                <w:bCs/>
                <w:sz w:val="24"/>
                <w:szCs w:val="24"/>
                <w:lang w:val="en-US" w:eastAsia="zh-CN" w:bidi="ar-SA"/>
              </w:rPr>
              <w:t>2</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D4769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≥1Gb数据链路专线由赤峰宝山医院机房到赤峰市卫生健康委员会指定机房与赤峰市全民健康信息平台对接。</w:t>
            </w:r>
          </w:p>
        </w:tc>
      </w:tr>
      <w:tr w14:paraId="3D202D7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E8058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要求</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A5BE0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网络稳定性：丢包率不高于0.1%；</w:t>
            </w:r>
          </w:p>
          <w:p w14:paraId="27004A8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网络延时：数据链路延时≤2ms或不高于0.8ms/百公里（单项延时）</w:t>
            </w:r>
            <w:r>
              <w:rPr>
                <w:rFonts w:hint="eastAsia" w:cs="宋体"/>
                <w:sz w:val="21"/>
                <w:szCs w:val="21"/>
                <w:lang w:val="en-US" w:eastAsia="zh-CN" w:bidi="ar-SA"/>
              </w:rPr>
              <w:t>；</w:t>
            </w:r>
          </w:p>
          <w:p w14:paraId="0AC02AA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网络吞吐量：两个节点之间，提供给网络应用的带宽，在没有丢包的情况下，能够接受的最大速率100%，业务可用率全年不低于99%；</w:t>
            </w:r>
          </w:p>
          <w:p w14:paraId="328BADB7">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数据专线安装调试服务。</w:t>
            </w:r>
          </w:p>
        </w:tc>
      </w:tr>
    </w:tbl>
    <w:p w14:paraId="12CBD1B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03693D1D">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default" w:ascii="宋体" w:hAnsi="宋体" w:eastAsia="宋体" w:cs="宋体"/>
          <w:b/>
          <w:bCs/>
          <w:sz w:val="28"/>
          <w:szCs w:val="28"/>
          <w:lang w:val="en-US" w:eastAsia="zh-CN" w:bidi="ar-SA"/>
        </w:rPr>
      </w:pPr>
      <w:bookmarkStart w:id="37" w:name="_Toc6157"/>
      <w:r>
        <w:rPr>
          <w:rFonts w:hint="eastAsia" w:cs="宋体"/>
          <w:b/>
          <w:bCs/>
          <w:sz w:val="28"/>
          <w:szCs w:val="28"/>
          <w:lang w:val="en-US" w:eastAsia="zh-CN" w:bidi="ar-SA"/>
        </w:rPr>
        <w:t>31.</w:t>
      </w:r>
      <w:r>
        <w:rPr>
          <w:rFonts w:hint="eastAsia" w:ascii="宋体" w:hAnsi="宋体" w:eastAsia="宋体" w:cs="宋体"/>
          <w:b/>
          <w:bCs/>
          <w:sz w:val="28"/>
          <w:szCs w:val="28"/>
          <w:lang w:val="en-US" w:eastAsia="zh-CN" w:bidi="ar-SA"/>
        </w:rPr>
        <w:t>互联网专线</w:t>
      </w:r>
      <w:bookmarkEnd w:id="37"/>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260A5C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89FD81">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10AC3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5A288D3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B8547F">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互联网专线</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2123B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≥1Gb互联网独享数据专线，接入赤峰宝山医院机房，提供互联网IPv4地址1个。</w:t>
            </w:r>
          </w:p>
        </w:tc>
      </w:tr>
      <w:tr w14:paraId="1AC0BC3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82C5A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要求</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23EFD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网络稳定性：丢包率不高于0.1%；</w:t>
            </w:r>
          </w:p>
          <w:p w14:paraId="28AF182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网络延时：数据链路延时≤2ms或不高于0.8ms/百公里（单项延时）</w:t>
            </w:r>
            <w:r>
              <w:rPr>
                <w:rFonts w:hint="eastAsia" w:cs="宋体"/>
                <w:sz w:val="21"/>
                <w:szCs w:val="21"/>
                <w:lang w:val="en-US" w:eastAsia="zh-CN" w:bidi="ar-SA"/>
              </w:rPr>
              <w:t>；</w:t>
            </w:r>
          </w:p>
          <w:p w14:paraId="16530CF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网络吞吐量：两个节点之间，提供给网络应用的带宽，在没有丢包的情况下，能够接受的最大速率100%，业务可用率全年不低于99%；</w:t>
            </w:r>
          </w:p>
          <w:p w14:paraId="62B70B4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数据专线安装调试服务。</w:t>
            </w:r>
          </w:p>
        </w:tc>
      </w:tr>
    </w:tbl>
    <w:p w14:paraId="011BCB26"/>
    <w:p w14:paraId="2315F493">
      <w:pPr>
        <w:numPr>
          <w:ilvl w:val="0"/>
          <w:numId w:val="0"/>
        </w:numPr>
        <w:rPr>
          <w:rFonts w:hint="eastAsia"/>
          <w:lang w:val="en-US" w:eastAsia="zh-CN"/>
        </w:rPr>
      </w:pPr>
    </w:p>
    <w:p w14:paraId="33BDDA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eastAsia="宋体"/>
          <w:sz w:val="24"/>
          <w:szCs w:val="24"/>
          <w:lang w:val="en-US" w:eastAsia="zh-CN"/>
        </w:rPr>
      </w:pPr>
    </w:p>
    <w:sectPr>
      <w:footerReference r:id="rId5" w:type="default"/>
      <w:pgSz w:w="11906" w:h="16838"/>
      <w:pgMar w:top="1440" w:right="1800" w:bottom="1440" w:left="1800" w:header="1134"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53BC3">
    <w:pPr>
      <w:pStyle w:val="9"/>
      <w:rPr>
        <w:rFonts w:hint="default"/>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8E76">
    <w:pPr>
      <w:pStyle w:val="9"/>
      <w:rPr>
        <w:rFonts w:hint="default" w:eastAsia="宋体"/>
        <w:lang w:val="en-US" w:eastAsia="zh-CN"/>
      </w:rPr>
    </w:pPr>
    <w:r>
      <w:rPr>
        <w:rFonts w:hint="default"/>
        <w:sz w:val="18"/>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4F979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04F979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132F">
    <w:pPr>
      <w:pStyle w:val="10"/>
      <w:pBdr>
        <w:bottom w:val="single" w:color="auto" w:sz="4" w:space="1"/>
      </w:pBdr>
      <w:rPr>
        <w:rFonts w:hint="default"/>
        <w:lang w:val="en-US"/>
      </w:rPr>
    </w:pPr>
    <w:r>
      <w:rPr>
        <w:rFonts w:hint="eastAsia"/>
        <w:lang w:val="en-US" w:eastAsia="zh-CN"/>
      </w:rPr>
      <w:t xml:space="preserve">                                            元宝山区紧密型县域医共体二期建设项目采购技术方案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51B60"/>
    <w:multiLevelType w:val="singleLevel"/>
    <w:tmpl w:val="8E951B60"/>
    <w:lvl w:ilvl="0" w:tentative="0">
      <w:start w:val="1"/>
      <w:numFmt w:val="decimal"/>
      <w:lvlText w:val="%1."/>
      <w:lvlJc w:val="left"/>
      <w:pPr>
        <w:tabs>
          <w:tab w:val="left" w:pos="312"/>
        </w:tabs>
      </w:pPr>
    </w:lvl>
  </w:abstractNum>
  <w:abstractNum w:abstractNumId="1">
    <w:nsid w:val="93DBDB84"/>
    <w:multiLevelType w:val="singleLevel"/>
    <w:tmpl w:val="93DBDB84"/>
    <w:lvl w:ilvl="0" w:tentative="0">
      <w:start w:val="1"/>
      <w:numFmt w:val="decimal"/>
      <w:lvlText w:val="%1."/>
      <w:lvlJc w:val="left"/>
      <w:pPr>
        <w:tabs>
          <w:tab w:val="left" w:pos="312"/>
        </w:tabs>
      </w:pPr>
    </w:lvl>
  </w:abstractNum>
  <w:abstractNum w:abstractNumId="2">
    <w:nsid w:val="9CEAF00E"/>
    <w:multiLevelType w:val="singleLevel"/>
    <w:tmpl w:val="9CEAF00E"/>
    <w:lvl w:ilvl="0" w:tentative="0">
      <w:start w:val="1"/>
      <w:numFmt w:val="decimal"/>
      <w:lvlText w:val="%1."/>
      <w:lvlJc w:val="left"/>
      <w:pPr>
        <w:tabs>
          <w:tab w:val="left" w:pos="312"/>
        </w:tabs>
      </w:pPr>
    </w:lvl>
  </w:abstractNum>
  <w:abstractNum w:abstractNumId="3">
    <w:nsid w:val="AB27D6DD"/>
    <w:multiLevelType w:val="singleLevel"/>
    <w:tmpl w:val="AB27D6DD"/>
    <w:lvl w:ilvl="0" w:tentative="0">
      <w:start w:val="1"/>
      <w:numFmt w:val="decimal"/>
      <w:lvlText w:val="%1."/>
      <w:lvlJc w:val="left"/>
      <w:pPr>
        <w:tabs>
          <w:tab w:val="left" w:pos="312"/>
        </w:tabs>
      </w:pPr>
    </w:lvl>
  </w:abstractNum>
  <w:abstractNum w:abstractNumId="4">
    <w:nsid w:val="B4C543A5"/>
    <w:multiLevelType w:val="singleLevel"/>
    <w:tmpl w:val="B4C543A5"/>
    <w:lvl w:ilvl="0" w:tentative="0">
      <w:start w:val="1"/>
      <w:numFmt w:val="decimal"/>
      <w:lvlText w:val="%1."/>
      <w:lvlJc w:val="left"/>
      <w:pPr>
        <w:tabs>
          <w:tab w:val="left" w:pos="312"/>
        </w:tabs>
      </w:pPr>
    </w:lvl>
  </w:abstractNum>
  <w:abstractNum w:abstractNumId="5">
    <w:nsid w:val="BA1C9630"/>
    <w:multiLevelType w:val="singleLevel"/>
    <w:tmpl w:val="BA1C9630"/>
    <w:lvl w:ilvl="0" w:tentative="0">
      <w:start w:val="1"/>
      <w:numFmt w:val="decimal"/>
      <w:lvlText w:val="%1."/>
      <w:lvlJc w:val="left"/>
      <w:pPr>
        <w:tabs>
          <w:tab w:val="left" w:pos="312"/>
        </w:tabs>
      </w:pPr>
    </w:lvl>
  </w:abstractNum>
  <w:abstractNum w:abstractNumId="6">
    <w:nsid w:val="BC0F4681"/>
    <w:multiLevelType w:val="singleLevel"/>
    <w:tmpl w:val="BC0F4681"/>
    <w:lvl w:ilvl="0" w:tentative="0">
      <w:start w:val="1"/>
      <w:numFmt w:val="decimal"/>
      <w:lvlText w:val="%1."/>
      <w:lvlJc w:val="left"/>
      <w:pPr>
        <w:tabs>
          <w:tab w:val="left" w:pos="312"/>
        </w:tabs>
      </w:pPr>
    </w:lvl>
  </w:abstractNum>
  <w:abstractNum w:abstractNumId="7">
    <w:nsid w:val="BC9B0247"/>
    <w:multiLevelType w:val="singleLevel"/>
    <w:tmpl w:val="BC9B0247"/>
    <w:lvl w:ilvl="0" w:tentative="0">
      <w:start w:val="1"/>
      <w:numFmt w:val="decimal"/>
      <w:lvlText w:val="%1."/>
      <w:lvlJc w:val="left"/>
      <w:pPr>
        <w:tabs>
          <w:tab w:val="left" w:pos="312"/>
        </w:tabs>
      </w:pPr>
    </w:lvl>
  </w:abstractNum>
  <w:abstractNum w:abstractNumId="8">
    <w:nsid w:val="C06ABB88"/>
    <w:multiLevelType w:val="singleLevel"/>
    <w:tmpl w:val="C06ABB88"/>
    <w:lvl w:ilvl="0" w:tentative="0">
      <w:start w:val="1"/>
      <w:numFmt w:val="decimal"/>
      <w:lvlText w:val="%1."/>
      <w:lvlJc w:val="left"/>
      <w:pPr>
        <w:tabs>
          <w:tab w:val="left" w:pos="312"/>
        </w:tabs>
      </w:pPr>
    </w:lvl>
  </w:abstractNum>
  <w:abstractNum w:abstractNumId="9">
    <w:nsid w:val="C28D097D"/>
    <w:multiLevelType w:val="singleLevel"/>
    <w:tmpl w:val="C28D097D"/>
    <w:lvl w:ilvl="0" w:tentative="0">
      <w:start w:val="1"/>
      <w:numFmt w:val="decimal"/>
      <w:lvlText w:val="%1."/>
      <w:lvlJc w:val="left"/>
      <w:pPr>
        <w:tabs>
          <w:tab w:val="left" w:pos="312"/>
        </w:tabs>
      </w:pPr>
    </w:lvl>
  </w:abstractNum>
  <w:abstractNum w:abstractNumId="10">
    <w:nsid w:val="C9D46F1F"/>
    <w:multiLevelType w:val="singleLevel"/>
    <w:tmpl w:val="C9D46F1F"/>
    <w:lvl w:ilvl="0" w:tentative="0">
      <w:start w:val="1"/>
      <w:numFmt w:val="decimal"/>
      <w:lvlText w:val="%1."/>
      <w:lvlJc w:val="left"/>
      <w:pPr>
        <w:tabs>
          <w:tab w:val="left" w:pos="312"/>
        </w:tabs>
      </w:pPr>
    </w:lvl>
  </w:abstractNum>
  <w:abstractNum w:abstractNumId="11">
    <w:nsid w:val="D423C2FE"/>
    <w:multiLevelType w:val="singleLevel"/>
    <w:tmpl w:val="D423C2FE"/>
    <w:lvl w:ilvl="0" w:tentative="0">
      <w:start w:val="1"/>
      <w:numFmt w:val="decimal"/>
      <w:lvlText w:val="%1."/>
      <w:lvlJc w:val="left"/>
      <w:pPr>
        <w:tabs>
          <w:tab w:val="left" w:pos="312"/>
        </w:tabs>
      </w:pPr>
    </w:lvl>
  </w:abstractNum>
  <w:abstractNum w:abstractNumId="12">
    <w:nsid w:val="DF1CEEBA"/>
    <w:multiLevelType w:val="singleLevel"/>
    <w:tmpl w:val="DF1CEEBA"/>
    <w:lvl w:ilvl="0" w:tentative="0">
      <w:start w:val="1"/>
      <w:numFmt w:val="decimal"/>
      <w:lvlText w:val="%1."/>
      <w:lvlJc w:val="left"/>
      <w:pPr>
        <w:tabs>
          <w:tab w:val="left" w:pos="312"/>
        </w:tabs>
      </w:pPr>
    </w:lvl>
  </w:abstractNum>
  <w:abstractNum w:abstractNumId="13">
    <w:nsid w:val="E404E447"/>
    <w:multiLevelType w:val="singleLevel"/>
    <w:tmpl w:val="E404E447"/>
    <w:lvl w:ilvl="0" w:tentative="0">
      <w:start w:val="1"/>
      <w:numFmt w:val="decimal"/>
      <w:suff w:val="nothing"/>
      <w:lvlText w:val="%1、"/>
      <w:lvlJc w:val="left"/>
    </w:lvl>
  </w:abstractNum>
  <w:abstractNum w:abstractNumId="14">
    <w:nsid w:val="EDCA7438"/>
    <w:multiLevelType w:val="singleLevel"/>
    <w:tmpl w:val="EDCA7438"/>
    <w:lvl w:ilvl="0" w:tentative="0">
      <w:start w:val="1"/>
      <w:numFmt w:val="decimal"/>
      <w:lvlText w:val="%1."/>
      <w:lvlJc w:val="left"/>
      <w:pPr>
        <w:tabs>
          <w:tab w:val="left" w:pos="312"/>
        </w:tabs>
      </w:pPr>
    </w:lvl>
  </w:abstractNum>
  <w:abstractNum w:abstractNumId="15">
    <w:nsid w:val="F18386C2"/>
    <w:multiLevelType w:val="singleLevel"/>
    <w:tmpl w:val="F18386C2"/>
    <w:lvl w:ilvl="0" w:tentative="0">
      <w:start w:val="1"/>
      <w:numFmt w:val="decimal"/>
      <w:lvlText w:val="%1."/>
      <w:lvlJc w:val="left"/>
      <w:pPr>
        <w:tabs>
          <w:tab w:val="left" w:pos="312"/>
        </w:tabs>
      </w:pPr>
    </w:lvl>
  </w:abstractNum>
  <w:abstractNum w:abstractNumId="16">
    <w:nsid w:val="01DE42EF"/>
    <w:multiLevelType w:val="singleLevel"/>
    <w:tmpl w:val="01DE42EF"/>
    <w:lvl w:ilvl="0" w:tentative="0">
      <w:start w:val="1"/>
      <w:numFmt w:val="decimal"/>
      <w:lvlText w:val="%1."/>
      <w:lvlJc w:val="left"/>
      <w:pPr>
        <w:tabs>
          <w:tab w:val="left" w:pos="312"/>
        </w:tabs>
      </w:pPr>
    </w:lvl>
  </w:abstractNum>
  <w:abstractNum w:abstractNumId="17">
    <w:nsid w:val="04F6F2BB"/>
    <w:multiLevelType w:val="singleLevel"/>
    <w:tmpl w:val="04F6F2BB"/>
    <w:lvl w:ilvl="0" w:tentative="0">
      <w:start w:val="1"/>
      <w:numFmt w:val="decimal"/>
      <w:lvlText w:val="%1."/>
      <w:lvlJc w:val="left"/>
      <w:pPr>
        <w:tabs>
          <w:tab w:val="left" w:pos="312"/>
        </w:tabs>
      </w:pPr>
    </w:lvl>
  </w:abstractNum>
  <w:abstractNum w:abstractNumId="18">
    <w:nsid w:val="11A98898"/>
    <w:multiLevelType w:val="singleLevel"/>
    <w:tmpl w:val="11A98898"/>
    <w:lvl w:ilvl="0" w:tentative="0">
      <w:start w:val="1"/>
      <w:numFmt w:val="decimal"/>
      <w:lvlText w:val="%1."/>
      <w:lvlJc w:val="left"/>
      <w:pPr>
        <w:tabs>
          <w:tab w:val="left" w:pos="312"/>
        </w:tabs>
      </w:pPr>
    </w:lvl>
  </w:abstractNum>
  <w:abstractNum w:abstractNumId="19">
    <w:nsid w:val="1393F8B9"/>
    <w:multiLevelType w:val="singleLevel"/>
    <w:tmpl w:val="1393F8B9"/>
    <w:lvl w:ilvl="0" w:tentative="0">
      <w:start w:val="1"/>
      <w:numFmt w:val="decimal"/>
      <w:suff w:val="nothing"/>
      <w:lvlText w:val="%1、"/>
      <w:lvlJc w:val="left"/>
    </w:lvl>
  </w:abstractNum>
  <w:abstractNum w:abstractNumId="20">
    <w:nsid w:val="14656BD0"/>
    <w:multiLevelType w:val="singleLevel"/>
    <w:tmpl w:val="14656BD0"/>
    <w:lvl w:ilvl="0" w:tentative="0">
      <w:start w:val="1"/>
      <w:numFmt w:val="decimal"/>
      <w:lvlText w:val="%1."/>
      <w:lvlJc w:val="left"/>
      <w:pPr>
        <w:tabs>
          <w:tab w:val="left" w:pos="312"/>
        </w:tabs>
      </w:pPr>
    </w:lvl>
  </w:abstractNum>
  <w:abstractNum w:abstractNumId="21">
    <w:nsid w:val="1510FE80"/>
    <w:multiLevelType w:val="singleLevel"/>
    <w:tmpl w:val="1510FE80"/>
    <w:lvl w:ilvl="0" w:tentative="0">
      <w:start w:val="1"/>
      <w:numFmt w:val="decimal"/>
      <w:lvlText w:val="%1."/>
      <w:lvlJc w:val="left"/>
      <w:pPr>
        <w:tabs>
          <w:tab w:val="left" w:pos="312"/>
        </w:tabs>
      </w:pPr>
    </w:lvl>
  </w:abstractNum>
  <w:abstractNum w:abstractNumId="22">
    <w:nsid w:val="232A97AA"/>
    <w:multiLevelType w:val="singleLevel"/>
    <w:tmpl w:val="232A97AA"/>
    <w:lvl w:ilvl="0" w:tentative="0">
      <w:start w:val="1"/>
      <w:numFmt w:val="decimal"/>
      <w:lvlText w:val="%1."/>
      <w:lvlJc w:val="left"/>
      <w:pPr>
        <w:tabs>
          <w:tab w:val="left" w:pos="312"/>
        </w:tabs>
      </w:pPr>
    </w:lvl>
  </w:abstractNum>
  <w:abstractNum w:abstractNumId="23">
    <w:nsid w:val="2BE48E11"/>
    <w:multiLevelType w:val="singleLevel"/>
    <w:tmpl w:val="2BE48E11"/>
    <w:lvl w:ilvl="0" w:tentative="0">
      <w:start w:val="1"/>
      <w:numFmt w:val="decimal"/>
      <w:lvlText w:val="%1."/>
      <w:lvlJc w:val="left"/>
      <w:pPr>
        <w:tabs>
          <w:tab w:val="left" w:pos="312"/>
        </w:tabs>
      </w:pPr>
    </w:lvl>
  </w:abstractNum>
  <w:abstractNum w:abstractNumId="24">
    <w:nsid w:val="323BE609"/>
    <w:multiLevelType w:val="singleLevel"/>
    <w:tmpl w:val="323BE609"/>
    <w:lvl w:ilvl="0" w:tentative="0">
      <w:start w:val="1"/>
      <w:numFmt w:val="decimal"/>
      <w:lvlText w:val="%1."/>
      <w:lvlJc w:val="left"/>
      <w:pPr>
        <w:tabs>
          <w:tab w:val="left" w:pos="312"/>
        </w:tabs>
      </w:pPr>
    </w:lvl>
  </w:abstractNum>
  <w:abstractNum w:abstractNumId="25">
    <w:nsid w:val="395EFD93"/>
    <w:multiLevelType w:val="singleLevel"/>
    <w:tmpl w:val="395EFD93"/>
    <w:lvl w:ilvl="0" w:tentative="0">
      <w:start w:val="1"/>
      <w:numFmt w:val="decimal"/>
      <w:lvlText w:val="%1."/>
      <w:lvlJc w:val="left"/>
      <w:pPr>
        <w:tabs>
          <w:tab w:val="left" w:pos="312"/>
        </w:tabs>
      </w:pPr>
    </w:lvl>
  </w:abstractNum>
  <w:abstractNum w:abstractNumId="26">
    <w:nsid w:val="472F2FDA"/>
    <w:multiLevelType w:val="singleLevel"/>
    <w:tmpl w:val="472F2FDA"/>
    <w:lvl w:ilvl="0" w:tentative="0">
      <w:start w:val="1"/>
      <w:numFmt w:val="decimal"/>
      <w:lvlText w:val="%1."/>
      <w:lvlJc w:val="left"/>
      <w:pPr>
        <w:tabs>
          <w:tab w:val="left" w:pos="312"/>
        </w:tabs>
      </w:pPr>
    </w:lvl>
  </w:abstractNum>
  <w:abstractNum w:abstractNumId="27">
    <w:nsid w:val="47FE8292"/>
    <w:multiLevelType w:val="singleLevel"/>
    <w:tmpl w:val="47FE8292"/>
    <w:lvl w:ilvl="0" w:tentative="0">
      <w:start w:val="1"/>
      <w:numFmt w:val="decimal"/>
      <w:lvlText w:val="%1."/>
      <w:lvlJc w:val="left"/>
      <w:pPr>
        <w:tabs>
          <w:tab w:val="left" w:pos="312"/>
        </w:tabs>
      </w:pPr>
    </w:lvl>
  </w:abstractNum>
  <w:abstractNum w:abstractNumId="28">
    <w:nsid w:val="4DEFD36B"/>
    <w:multiLevelType w:val="singleLevel"/>
    <w:tmpl w:val="4DEFD36B"/>
    <w:lvl w:ilvl="0" w:tentative="0">
      <w:start w:val="1"/>
      <w:numFmt w:val="decimal"/>
      <w:lvlText w:val="%1."/>
      <w:lvlJc w:val="left"/>
      <w:pPr>
        <w:tabs>
          <w:tab w:val="left" w:pos="312"/>
        </w:tabs>
      </w:pPr>
    </w:lvl>
  </w:abstractNum>
  <w:abstractNum w:abstractNumId="29">
    <w:nsid w:val="4F30BA96"/>
    <w:multiLevelType w:val="singleLevel"/>
    <w:tmpl w:val="4F30BA96"/>
    <w:lvl w:ilvl="0" w:tentative="0">
      <w:start w:val="1"/>
      <w:numFmt w:val="decimal"/>
      <w:lvlText w:val="%1."/>
      <w:lvlJc w:val="left"/>
      <w:pPr>
        <w:tabs>
          <w:tab w:val="left" w:pos="312"/>
        </w:tabs>
      </w:pPr>
    </w:lvl>
  </w:abstractNum>
  <w:abstractNum w:abstractNumId="30">
    <w:nsid w:val="6161D88E"/>
    <w:multiLevelType w:val="singleLevel"/>
    <w:tmpl w:val="6161D88E"/>
    <w:lvl w:ilvl="0" w:tentative="0">
      <w:start w:val="1"/>
      <w:numFmt w:val="decimal"/>
      <w:lvlText w:val="%1."/>
      <w:lvlJc w:val="left"/>
      <w:pPr>
        <w:tabs>
          <w:tab w:val="left" w:pos="312"/>
        </w:tabs>
      </w:pPr>
    </w:lvl>
  </w:abstractNum>
  <w:abstractNum w:abstractNumId="31">
    <w:nsid w:val="6919A91D"/>
    <w:multiLevelType w:val="singleLevel"/>
    <w:tmpl w:val="6919A91D"/>
    <w:lvl w:ilvl="0" w:tentative="0">
      <w:start w:val="1"/>
      <w:numFmt w:val="decimal"/>
      <w:lvlText w:val="%1."/>
      <w:lvlJc w:val="left"/>
      <w:pPr>
        <w:tabs>
          <w:tab w:val="left" w:pos="312"/>
        </w:tabs>
      </w:pPr>
    </w:lvl>
  </w:abstractNum>
  <w:abstractNum w:abstractNumId="32">
    <w:nsid w:val="69F1DE20"/>
    <w:multiLevelType w:val="singleLevel"/>
    <w:tmpl w:val="69F1DE20"/>
    <w:lvl w:ilvl="0" w:tentative="0">
      <w:start w:val="1"/>
      <w:numFmt w:val="decimal"/>
      <w:suff w:val="nothing"/>
      <w:lvlText w:val="%1、"/>
      <w:lvlJc w:val="left"/>
    </w:lvl>
  </w:abstractNum>
  <w:abstractNum w:abstractNumId="33">
    <w:nsid w:val="753169FA"/>
    <w:multiLevelType w:val="singleLevel"/>
    <w:tmpl w:val="753169FA"/>
    <w:lvl w:ilvl="0" w:tentative="0">
      <w:start w:val="1"/>
      <w:numFmt w:val="decimal"/>
      <w:lvlText w:val="%1."/>
      <w:lvlJc w:val="left"/>
      <w:pPr>
        <w:tabs>
          <w:tab w:val="left" w:pos="312"/>
        </w:tabs>
      </w:pPr>
    </w:lvl>
  </w:abstractNum>
  <w:num w:numId="1">
    <w:abstractNumId w:val="13"/>
  </w:num>
  <w:num w:numId="2">
    <w:abstractNumId w:val="16"/>
  </w:num>
  <w:num w:numId="3">
    <w:abstractNumId w:val="6"/>
  </w:num>
  <w:num w:numId="4">
    <w:abstractNumId w:val="28"/>
  </w:num>
  <w:num w:numId="5">
    <w:abstractNumId w:val="12"/>
  </w:num>
  <w:num w:numId="6">
    <w:abstractNumId w:val="14"/>
  </w:num>
  <w:num w:numId="7">
    <w:abstractNumId w:val="5"/>
  </w:num>
  <w:num w:numId="8">
    <w:abstractNumId w:val="33"/>
  </w:num>
  <w:num w:numId="9">
    <w:abstractNumId w:val="27"/>
  </w:num>
  <w:num w:numId="10">
    <w:abstractNumId w:val="7"/>
  </w:num>
  <w:num w:numId="11">
    <w:abstractNumId w:val="26"/>
  </w:num>
  <w:num w:numId="12">
    <w:abstractNumId w:val="18"/>
  </w:num>
  <w:num w:numId="13">
    <w:abstractNumId w:val="25"/>
  </w:num>
  <w:num w:numId="14">
    <w:abstractNumId w:val="30"/>
  </w:num>
  <w:num w:numId="15">
    <w:abstractNumId w:val="29"/>
  </w:num>
  <w:num w:numId="16">
    <w:abstractNumId w:val="19"/>
  </w:num>
  <w:num w:numId="17">
    <w:abstractNumId w:val="32"/>
  </w:num>
  <w:num w:numId="18">
    <w:abstractNumId w:val="1"/>
  </w:num>
  <w:num w:numId="19">
    <w:abstractNumId w:val="31"/>
  </w:num>
  <w:num w:numId="20">
    <w:abstractNumId w:val="0"/>
  </w:num>
  <w:num w:numId="21">
    <w:abstractNumId w:val="24"/>
  </w:num>
  <w:num w:numId="22">
    <w:abstractNumId w:val="20"/>
  </w:num>
  <w:num w:numId="23">
    <w:abstractNumId w:val="17"/>
  </w:num>
  <w:num w:numId="24">
    <w:abstractNumId w:val="23"/>
  </w:num>
  <w:num w:numId="25">
    <w:abstractNumId w:val="3"/>
  </w:num>
  <w:num w:numId="26">
    <w:abstractNumId w:val="2"/>
  </w:num>
  <w:num w:numId="27">
    <w:abstractNumId w:val="21"/>
  </w:num>
  <w:num w:numId="28">
    <w:abstractNumId w:val="4"/>
  </w:num>
  <w:num w:numId="29">
    <w:abstractNumId w:val="11"/>
  </w:num>
  <w:num w:numId="30">
    <w:abstractNumId w:val="9"/>
  </w:num>
  <w:num w:numId="31">
    <w:abstractNumId w:val="22"/>
  </w:num>
  <w:num w:numId="32">
    <w:abstractNumId w:val="15"/>
  </w:num>
  <w:num w:numId="33">
    <w:abstractNumId w:val="10"/>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xNTQwNTJjZThhOGE1MDg5NDYwODgzNzJjM2RlYTMifQ=="/>
  </w:docVars>
  <w:rsids>
    <w:rsidRoot w:val="33774E04"/>
    <w:rsid w:val="00F73E22"/>
    <w:rsid w:val="012F5F9F"/>
    <w:rsid w:val="035478B3"/>
    <w:rsid w:val="0E91589F"/>
    <w:rsid w:val="10883A96"/>
    <w:rsid w:val="11B36778"/>
    <w:rsid w:val="1239615A"/>
    <w:rsid w:val="12572021"/>
    <w:rsid w:val="14321BD6"/>
    <w:rsid w:val="172D48D7"/>
    <w:rsid w:val="199C7DDF"/>
    <w:rsid w:val="1A165AF6"/>
    <w:rsid w:val="20825C93"/>
    <w:rsid w:val="22932089"/>
    <w:rsid w:val="23385100"/>
    <w:rsid w:val="23C44815"/>
    <w:rsid w:val="24516432"/>
    <w:rsid w:val="272620EF"/>
    <w:rsid w:val="29235BD1"/>
    <w:rsid w:val="293F0F80"/>
    <w:rsid w:val="299802D6"/>
    <w:rsid w:val="2B1D5EAC"/>
    <w:rsid w:val="2CC57E5C"/>
    <w:rsid w:val="2D404F0C"/>
    <w:rsid w:val="2D597ED0"/>
    <w:rsid w:val="2DFE3398"/>
    <w:rsid w:val="2EB3170E"/>
    <w:rsid w:val="2F614B39"/>
    <w:rsid w:val="319F3372"/>
    <w:rsid w:val="33774E04"/>
    <w:rsid w:val="33BB5B1B"/>
    <w:rsid w:val="343C3F54"/>
    <w:rsid w:val="3522139B"/>
    <w:rsid w:val="352814D0"/>
    <w:rsid w:val="354E2190"/>
    <w:rsid w:val="35793F0F"/>
    <w:rsid w:val="35F66618"/>
    <w:rsid w:val="388D1222"/>
    <w:rsid w:val="39AA26FC"/>
    <w:rsid w:val="3A636FB9"/>
    <w:rsid w:val="3AAD1707"/>
    <w:rsid w:val="3C0D23A9"/>
    <w:rsid w:val="3E680B8B"/>
    <w:rsid w:val="405B3AF9"/>
    <w:rsid w:val="4105734E"/>
    <w:rsid w:val="41391F47"/>
    <w:rsid w:val="41B25855"/>
    <w:rsid w:val="42CA393B"/>
    <w:rsid w:val="43193DDE"/>
    <w:rsid w:val="43557B07"/>
    <w:rsid w:val="47F83571"/>
    <w:rsid w:val="487A5227"/>
    <w:rsid w:val="49181549"/>
    <w:rsid w:val="49791558"/>
    <w:rsid w:val="4A2F5D47"/>
    <w:rsid w:val="4AA02F8B"/>
    <w:rsid w:val="4CDE7001"/>
    <w:rsid w:val="4E922C96"/>
    <w:rsid w:val="4FB758F2"/>
    <w:rsid w:val="50633B2E"/>
    <w:rsid w:val="52AB6D30"/>
    <w:rsid w:val="52CD6993"/>
    <w:rsid w:val="53FA5565"/>
    <w:rsid w:val="54921C42"/>
    <w:rsid w:val="55983288"/>
    <w:rsid w:val="565E4EB6"/>
    <w:rsid w:val="56922194"/>
    <w:rsid w:val="56C1236A"/>
    <w:rsid w:val="57CA1E63"/>
    <w:rsid w:val="57F22921"/>
    <w:rsid w:val="5B9B2247"/>
    <w:rsid w:val="6186668A"/>
    <w:rsid w:val="621135BF"/>
    <w:rsid w:val="686314D3"/>
    <w:rsid w:val="686D0FAA"/>
    <w:rsid w:val="68B270E3"/>
    <w:rsid w:val="69181939"/>
    <w:rsid w:val="694C74CE"/>
    <w:rsid w:val="69F74D02"/>
    <w:rsid w:val="6A350C4E"/>
    <w:rsid w:val="6D3F2C89"/>
    <w:rsid w:val="6EF410D7"/>
    <w:rsid w:val="711A1C9E"/>
    <w:rsid w:val="719621B0"/>
    <w:rsid w:val="763D7016"/>
    <w:rsid w:val="79E32474"/>
    <w:rsid w:val="7D4005CE"/>
    <w:rsid w:val="7E176B90"/>
    <w:rsid w:val="7ED02828"/>
    <w:rsid w:val="7FA7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spacing w:before="0" w:beforeAutospacing="0" w:afterAutospacing="0"/>
      <w:jc w:val="left"/>
      <w:outlineLvl w:val="0"/>
    </w:pPr>
    <w:rPr>
      <w:rFonts w:hint="eastAsia" w:ascii="宋体" w:hAnsi="宋体" w:eastAsia="黑体" w:cs="宋体"/>
      <w:bCs/>
      <w:kern w:val="44"/>
      <w:szCs w:val="48"/>
      <w:lang w:bidi="ar"/>
    </w:rPr>
  </w:style>
  <w:style w:type="paragraph" w:styleId="3">
    <w:name w:val="heading 2"/>
    <w:basedOn w:val="1"/>
    <w:next w:val="1"/>
    <w:link w:val="21"/>
    <w:autoRedefine/>
    <w:qFormat/>
    <w:uiPriority w:val="0"/>
    <w:pPr>
      <w:ind w:left="346"/>
      <w:outlineLvl w:val="1"/>
    </w:pPr>
    <w:rPr>
      <w:sz w:val="28"/>
      <w:szCs w:val="28"/>
    </w:rPr>
  </w:style>
  <w:style w:type="paragraph" w:styleId="4">
    <w:name w:val="heading 3"/>
    <w:basedOn w:val="1"/>
    <w:next w:val="1"/>
    <w:link w:val="26"/>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27"/>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autoSpaceDE/>
      <w:autoSpaceDN/>
      <w:ind w:firstLine="420"/>
      <w:jc w:val="both"/>
    </w:pPr>
    <w:rPr>
      <w:rFonts w:ascii="Times New Roman" w:hAnsi="Times New Roman" w:cs="Times New Roman"/>
      <w:kern w:val="2"/>
      <w:sz w:val="21"/>
      <w:szCs w:val="20"/>
      <w:lang w:eastAsia="zh-CN"/>
    </w:rPr>
  </w:style>
  <w:style w:type="paragraph" w:styleId="7">
    <w:name w:val="Body Text"/>
    <w:basedOn w:val="1"/>
    <w:next w:val="8"/>
    <w:autoRedefine/>
    <w:qFormat/>
    <w:uiPriority w:val="0"/>
    <w:pPr>
      <w:ind w:left="106"/>
    </w:pPr>
    <w:rPr>
      <w:sz w:val="19"/>
      <w:szCs w:val="19"/>
    </w:rPr>
  </w:style>
  <w:style w:type="paragraph" w:styleId="8">
    <w:name w:val="Body Text First Indent"/>
    <w:basedOn w:val="7"/>
    <w:autoRedefine/>
    <w:unhideWhenUsed/>
    <w:qFormat/>
    <w:uiPriority w:val="0"/>
    <w:pPr>
      <w:spacing w:after="120"/>
      <w:ind w:left="0" w:firstLine="420" w:firstLineChars="100"/>
    </w:pPr>
    <w:rPr>
      <w:sz w:val="22"/>
      <w:szCs w:val="2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autoRedefine/>
    <w:unhideWhenUsed/>
    <w:qFormat/>
    <w:uiPriority w:val="0"/>
    <w:pPr>
      <w:widowControl/>
      <w:autoSpaceDE/>
      <w:autoSpaceDN/>
    </w:pPr>
    <w:rPr>
      <w:rFonts w:ascii="Times New Roman" w:hAnsi="Times New Roman"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paragraph" w:customStyle="1" w:styleId="18">
    <w:name w:val="Table Text"/>
    <w:basedOn w:val="1"/>
    <w:autoRedefine/>
    <w:semiHidden/>
    <w:qFormat/>
    <w:uiPriority w:val="0"/>
    <w:rPr>
      <w:rFonts w:ascii="宋体" w:hAnsi="宋体" w:eastAsia="宋体" w:cs="宋体"/>
      <w:sz w:val="19"/>
      <w:szCs w:val="19"/>
      <w:lang w:val="en-US" w:eastAsia="en-US" w:bidi="ar-SA"/>
    </w:rPr>
  </w:style>
  <w:style w:type="paragraph" w:customStyle="1" w:styleId="19">
    <w:name w:val="Table Paragraph"/>
    <w:basedOn w:val="1"/>
    <w:autoRedefine/>
    <w:qFormat/>
    <w:uiPriority w:val="1"/>
  </w:style>
  <w:style w:type="paragraph" w:styleId="20">
    <w:name w:val="List Paragraph"/>
    <w:basedOn w:val="1"/>
    <w:autoRedefine/>
    <w:qFormat/>
    <w:uiPriority w:val="34"/>
    <w:pPr>
      <w:ind w:firstLine="420" w:firstLineChars="200"/>
    </w:pPr>
    <w:rPr>
      <w:rFonts w:asciiTheme="minorHAnsi" w:hAnsiTheme="minorHAnsi" w:eastAsiaTheme="minorEastAsia" w:cstheme="minorBidi"/>
      <w:kern w:val="2"/>
      <w:sz w:val="21"/>
      <w:szCs w:val="22"/>
    </w:rPr>
  </w:style>
  <w:style w:type="character" w:customStyle="1" w:styleId="21">
    <w:name w:val="标题 2 Char"/>
    <w:link w:val="3"/>
    <w:qFormat/>
    <w:uiPriority w:val="0"/>
    <w:rPr>
      <w:sz w:val="28"/>
      <w:szCs w:val="28"/>
    </w:rPr>
  </w:style>
  <w:style w:type="character" w:customStyle="1" w:styleId="22">
    <w:name w:val="font21"/>
    <w:basedOn w:val="16"/>
    <w:qFormat/>
    <w:uiPriority w:val="0"/>
    <w:rPr>
      <w:rFonts w:hint="eastAsia" w:ascii="微软雅黑" w:hAnsi="微软雅黑" w:eastAsia="微软雅黑" w:cs="微软雅黑"/>
      <w:b/>
      <w:bCs/>
      <w:color w:val="000000"/>
      <w:sz w:val="22"/>
      <w:szCs w:val="22"/>
      <w:u w:val="none"/>
    </w:rPr>
  </w:style>
  <w:style w:type="character" w:customStyle="1" w:styleId="23">
    <w:name w:val="font81"/>
    <w:basedOn w:val="16"/>
    <w:qFormat/>
    <w:uiPriority w:val="0"/>
    <w:rPr>
      <w:rFonts w:hint="eastAsia" w:ascii="微软雅黑" w:hAnsi="微软雅黑" w:eastAsia="微软雅黑" w:cs="微软雅黑"/>
      <w:b/>
      <w:bCs/>
      <w:color w:val="000000"/>
      <w:sz w:val="22"/>
      <w:szCs w:val="22"/>
      <w:u w:val="none"/>
    </w:rPr>
  </w:style>
  <w:style w:type="character" w:customStyle="1" w:styleId="24">
    <w:name w:val="font91"/>
    <w:basedOn w:val="16"/>
    <w:qFormat/>
    <w:uiPriority w:val="0"/>
    <w:rPr>
      <w:rFonts w:hint="eastAsia" w:ascii="微软雅黑" w:hAnsi="微软雅黑" w:eastAsia="微软雅黑" w:cs="微软雅黑"/>
      <w:b/>
      <w:bCs/>
      <w:color w:val="000000"/>
      <w:sz w:val="22"/>
      <w:szCs w:val="22"/>
      <w:u w:val="none"/>
    </w:rPr>
  </w:style>
  <w:style w:type="paragraph" w:styleId="2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6">
    <w:name w:val="标题 3 Char"/>
    <w:link w:val="4"/>
    <w:qFormat/>
    <w:uiPriority w:val="0"/>
    <w:rPr>
      <w:b/>
      <w:sz w:val="32"/>
    </w:rPr>
  </w:style>
  <w:style w:type="character" w:customStyle="1" w:styleId="27">
    <w:name w:val="标题 4 Char"/>
    <w:link w:val="5"/>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4038</Words>
  <Characters>4223</Characters>
  <Lines>0</Lines>
  <Paragraphs>0</Paragraphs>
  <TotalTime>9</TotalTime>
  <ScaleCrop>false</ScaleCrop>
  <LinksUpToDate>false</LinksUpToDate>
  <CharactersWithSpaces>4328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2025-06-06T01:12:00Z</dcterms:created>
  <dc:creator>曹海芬</dc:creator>
  <cp:lastModifiedBy>我 抢红包</cp:lastModifiedBy>
  <dcterms:modified xsi:type="dcterms:W3CDTF">2026-05-28T07:47:43Z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2399AEBC9D18468781F154F3B434E474_13</vt:lpwstr>
  </property>
  <property fmtid="{D5CDD505-2E9C-101B-9397-08002B2CF9AE}" pid="4" name="KSOTemplateDocerSaveRecord">
    <vt:lpwstr>eyJoZGlkIjoiM2Y0MzA4MjVmNmVkMzg5YjY4OGRiZmZmZjc1NzFmZjgiLCJ1c2VySWQiOiIzNTkyNTc0NzUifQ==</vt:lpwstr>
  </property>
</Properties>
</file>