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F46EF">
      <w:pPr>
        <w:pStyle w:val="3"/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600" w:right="0" w:hanging="544" w:hangingChars="200"/>
        <w:jc w:val="right"/>
        <w:textAlignment w:val="baseline"/>
        <w:rPr>
          <w:rFonts w:hint="default" w:eastAsia="黑体"/>
          <w:u w:val="single"/>
          <w:lang w:val="en-US" w:eastAsia="zh-CN"/>
        </w:rPr>
      </w:pPr>
      <w:r>
        <w:rPr>
          <w:rFonts w:ascii="黑体" w:hAnsi="黑体" w:eastAsia="黑体" w:cs="黑体"/>
          <w:spacing w:val="-14"/>
        </w:rPr>
        <w:t>编号</w:t>
      </w:r>
      <w:r>
        <w:rPr>
          <w:rFonts w:hint="eastAsia" w:ascii="黑体" w:hAnsi="黑体" w:eastAsia="黑体" w:cs="黑体"/>
          <w:spacing w:val="-14"/>
          <w:lang w:val="en-US" w:eastAsia="zh-CN"/>
        </w:rPr>
        <w:t xml:space="preserve"> </w:t>
      </w:r>
      <w:r>
        <w:rPr>
          <w:rFonts w:ascii="黑体" w:hAnsi="黑体" w:eastAsia="黑体" w:cs="黑体"/>
          <w:spacing w:val="-14"/>
        </w:rPr>
        <w:t>：</w:t>
      </w:r>
      <w:r>
        <w:rPr>
          <w:rFonts w:hint="eastAsia" w:ascii="黑体" w:hAnsi="黑体" w:eastAsia="黑体" w:cs="黑体"/>
          <w:spacing w:val="-14"/>
          <w:u w:val="single"/>
          <w:lang w:val="en-US" w:eastAsia="zh-CN"/>
        </w:rPr>
        <w:t xml:space="preserve">                  </w:t>
      </w:r>
    </w:p>
    <w:p w14:paraId="32088FAD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0B730D56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7604D83A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4A33741C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7E2E3072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60942571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14F36704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06A784A5">
      <w:pPr>
        <w:pStyle w:val="3"/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880" w:right="0" w:hanging="1047" w:hangingChars="200"/>
        <w:jc w:val="left"/>
        <w:textAlignment w:val="baseline"/>
        <w:outlineLvl w:val="0"/>
        <w:rPr>
          <w:sz w:val="44"/>
          <w:szCs w:val="44"/>
        </w:rPr>
      </w:pPr>
      <w:r>
        <w:rPr>
          <w:b/>
          <w:bCs/>
          <w:spacing w:val="41"/>
          <w:sz w:val="44"/>
          <w:szCs w:val="44"/>
        </w:rPr>
        <w:t>合同名称：</w:t>
      </w:r>
      <w:r>
        <w:rPr>
          <w:rFonts w:hint="eastAsia"/>
          <w:b/>
          <w:bCs/>
          <w:spacing w:val="41"/>
          <w:sz w:val="44"/>
          <w:szCs w:val="44"/>
          <w:u w:val="single"/>
        </w:rPr>
        <w:t>康巴什区第七中学地块（团结路遗址）考古发掘项目</w:t>
      </w:r>
      <w:r>
        <w:rPr>
          <w:b/>
          <w:bCs/>
          <w:spacing w:val="-6"/>
          <w:sz w:val="44"/>
          <w:szCs w:val="44"/>
          <w:u w:val="single" w:color="auto"/>
        </w:rPr>
        <w:t>劳务服务协议书</w:t>
      </w:r>
    </w:p>
    <w:p w14:paraId="09E68678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330DA06D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428ED903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71F3E493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69B96F47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696F6029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4BCF3D0D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5B48AE0D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0E89A895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52B92992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71CAD084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110D7495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41008A04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61B14A63">
      <w:pPr>
        <w:pStyle w:val="3"/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720" w:right="0" w:hanging="703" w:hangingChars="200"/>
        <w:jc w:val="left"/>
        <w:textAlignment w:val="baseline"/>
        <w:rPr>
          <w:rFonts w:hint="eastAsia" w:eastAsia="宋体"/>
          <w:sz w:val="36"/>
          <w:szCs w:val="36"/>
          <w:lang w:eastAsia="zh-CN"/>
        </w:rPr>
      </w:pPr>
      <w:r>
        <w:rPr>
          <w:b/>
          <w:bCs/>
          <w:spacing w:val="-5"/>
          <w:sz w:val="36"/>
          <w:szCs w:val="36"/>
        </w:rPr>
        <w:t>甲方：</w:t>
      </w:r>
      <w:r>
        <w:rPr>
          <w:rFonts w:hint="eastAsia"/>
          <w:b/>
          <w:bCs/>
          <w:spacing w:val="-5"/>
          <w:sz w:val="36"/>
          <w:szCs w:val="36"/>
          <w:u w:val="single" w:color="auto"/>
          <w:lang w:eastAsia="zh-CN"/>
        </w:rPr>
        <w:t>鄂尔多斯市康巴什区住房和城乡建设局</w:t>
      </w:r>
    </w:p>
    <w:p w14:paraId="0C850D5E">
      <w:pPr>
        <w:pStyle w:val="3"/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720" w:right="0" w:hanging="891" w:hangingChars="200"/>
        <w:jc w:val="left"/>
        <w:textAlignment w:val="baseline"/>
        <w:rPr>
          <w:rFonts w:hint="default" w:eastAsia="宋体"/>
          <w:sz w:val="36"/>
          <w:szCs w:val="36"/>
          <w:u w:val="single"/>
          <w:lang w:val="en-US" w:eastAsia="zh-CN"/>
        </w:rPr>
      </w:pPr>
      <w:bookmarkStart w:id="0" w:name="tip_risk_bookmark_1"/>
      <w:r>
        <w:rPr>
          <w:b/>
          <w:bCs/>
          <w:spacing w:val="42"/>
          <w:sz w:val="36"/>
          <w:szCs w:val="36"/>
        </w:rPr>
        <w:t>乙方：</w:t>
      </w:r>
    </w:p>
    <w:p w14:paraId="5878222C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7BC9DFDB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0BAE4DBA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62A7AAFA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47FF0D89">
      <w:pPr>
        <w:pStyle w:val="3"/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600" w:right="0" w:hanging="510" w:hangingChars="200"/>
        <w:jc w:val="left"/>
        <w:textAlignment w:val="baseline"/>
        <w:rPr>
          <w:sz w:val="36"/>
          <w:szCs w:val="36"/>
        </w:rPr>
      </w:pPr>
      <w:bookmarkStart w:id="1" w:name="tip_risk_bookmark_2"/>
      <w:r>
        <w:rPr>
          <w:b/>
          <w:bCs/>
          <w:spacing w:val="-23"/>
        </w:rPr>
        <w:t>签订时间：</w:t>
      </w:r>
      <w:r>
        <w:rPr>
          <w:rFonts w:hint="eastAsia"/>
          <w:b/>
          <w:bCs/>
          <w:spacing w:val="-23"/>
          <w:lang w:val="en-US" w:eastAsia="zh-CN"/>
        </w:rPr>
        <w:t xml:space="preserve">    </w:t>
      </w:r>
      <w:r>
        <w:rPr>
          <w:rFonts w:ascii="宋体" w:hAnsi="宋体" w:eastAsia="宋体" w:cs="宋体"/>
          <w:b/>
          <w:bCs/>
          <w:spacing w:val="-23"/>
        </w:rPr>
        <w:t>年</w:t>
      </w:r>
      <w:r>
        <w:rPr>
          <w:rFonts w:hint="eastAsia" w:ascii="宋体" w:hAnsi="宋体" w:eastAsia="宋体" w:cs="宋体"/>
          <w:b/>
          <w:bCs/>
          <w:spacing w:val="-23"/>
          <w:lang w:val="en-US" w:eastAsia="zh-CN"/>
        </w:rPr>
        <w:t xml:space="preserve">     </w:t>
      </w:r>
      <w:r>
        <w:rPr>
          <w:rFonts w:ascii="宋体" w:hAnsi="宋体" w:eastAsia="宋体" w:cs="宋体"/>
          <w:b/>
          <w:bCs/>
          <w:spacing w:val="-23"/>
        </w:rPr>
        <w:t>月</w:t>
      </w:r>
      <w:r>
        <w:rPr>
          <w:rFonts w:hint="eastAsia" w:ascii="宋体" w:hAnsi="宋体" w:eastAsia="宋体" w:cs="宋体"/>
          <w:b/>
          <w:bCs/>
          <w:spacing w:val="-23"/>
          <w:lang w:val="en-US" w:eastAsia="zh-CN"/>
        </w:rPr>
        <w:t xml:space="preserve">    </w:t>
      </w:r>
      <w:r>
        <w:rPr>
          <w:rFonts w:ascii="宋体" w:hAnsi="宋体" w:eastAsia="宋体" w:cs="宋体"/>
          <w:b/>
          <w:bCs/>
          <w:spacing w:val="-23"/>
        </w:rPr>
        <w:t>日</w:t>
      </w:r>
      <w:bookmarkEnd w:id="0"/>
    </w:p>
    <w:p w14:paraId="4BD4BD66">
      <w:pPr>
        <w:pStyle w:val="3"/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600" w:right="0" w:hanging="634" w:hangingChars="200"/>
        <w:jc w:val="left"/>
        <w:textAlignment w:val="baseline"/>
        <w:rPr>
          <w:rFonts w:hint="default" w:eastAsia="宋体"/>
          <w:lang w:val="en-US" w:eastAsia="zh-CN"/>
        </w:rPr>
      </w:pPr>
      <w:r>
        <w:rPr>
          <w:b/>
          <w:bCs/>
          <w:spacing w:val="8"/>
        </w:rPr>
        <w:t>签订地点：</w:t>
      </w:r>
      <w:bookmarkEnd w:id="1"/>
    </w:p>
    <w:p w14:paraId="29AEE4E2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sectPr>
          <w:pgSz w:w="11910" w:h="16840"/>
          <w:pgMar w:top="1134" w:right="1134" w:bottom="1134" w:left="1134" w:header="0" w:footer="0" w:gutter="0"/>
          <w:cols w:space="720" w:num="1"/>
        </w:sectPr>
      </w:pPr>
    </w:p>
    <w:p w14:paraId="10C9DA5E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25A857FC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309EFDAD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45C9E1E3">
      <w:pPr>
        <w:pStyle w:val="3"/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720" w:right="0" w:hanging="703" w:hangingChars="200"/>
        <w:jc w:val="center"/>
        <w:textAlignment w:val="baseline"/>
        <w:rPr>
          <w:rFonts w:hint="eastAsia"/>
          <w:b/>
          <w:bCs/>
          <w:spacing w:val="-5"/>
          <w:sz w:val="36"/>
          <w:szCs w:val="36"/>
        </w:rPr>
      </w:pPr>
      <w:r>
        <w:rPr>
          <w:rFonts w:hint="eastAsia"/>
          <w:b/>
          <w:bCs/>
          <w:spacing w:val="-5"/>
          <w:sz w:val="36"/>
          <w:szCs w:val="36"/>
        </w:rPr>
        <w:t>康巴什区第七中学地块（团结路遗址）考古发掘项目</w:t>
      </w:r>
    </w:p>
    <w:p w14:paraId="06E86BA2">
      <w:pPr>
        <w:pStyle w:val="3"/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720" w:right="0" w:hanging="703" w:hangingChars="200"/>
        <w:jc w:val="center"/>
        <w:textAlignment w:val="baseline"/>
        <w:rPr>
          <w:sz w:val="36"/>
          <w:szCs w:val="36"/>
        </w:rPr>
      </w:pPr>
      <w:r>
        <w:rPr>
          <w:rFonts w:hint="eastAsia"/>
          <w:b/>
          <w:bCs/>
          <w:spacing w:val="-5"/>
          <w:sz w:val="36"/>
          <w:szCs w:val="36"/>
        </w:rPr>
        <w:t>劳务服务协议书</w:t>
      </w:r>
    </w:p>
    <w:p w14:paraId="556073DE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20" w:right="0" w:hanging="420" w:hangingChars="200"/>
        <w:jc w:val="left"/>
        <w:textAlignment w:val="baseline"/>
        <w:rPr>
          <w:rFonts w:ascii="Arial"/>
          <w:sz w:val="21"/>
        </w:rPr>
      </w:pPr>
    </w:p>
    <w:p w14:paraId="6A6606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9"/>
          <w:sz w:val="24"/>
          <w:szCs w:val="24"/>
        </w:rPr>
        <w:t>甲方：</w:t>
      </w:r>
      <w:r>
        <w:rPr>
          <w:rFonts w:hint="eastAsia" w:asciiTheme="minorEastAsia" w:hAnsiTheme="minorEastAsia" w:eastAsiaTheme="minorEastAsia" w:cstheme="minorEastAsia"/>
          <w:b/>
          <w:bCs/>
          <w:spacing w:val="9"/>
          <w:sz w:val="24"/>
          <w:szCs w:val="24"/>
          <w:u w:val="single" w:color="auto"/>
          <w:lang w:eastAsia="zh-CN"/>
        </w:rPr>
        <w:t>鄂尔多斯市康巴什区住房和城乡建设局</w:t>
      </w:r>
    </w:p>
    <w:p w14:paraId="1C58EA4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b/>
          <w:bCs/>
          <w:spacing w:val="-22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-22"/>
          <w:sz w:val="24"/>
          <w:szCs w:val="24"/>
        </w:rPr>
        <w:t>乙方：</w:t>
      </w:r>
    </w:p>
    <w:p w14:paraId="1932F18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b/>
          <w:bCs/>
          <w:spacing w:val="-22"/>
          <w:sz w:val="24"/>
          <w:szCs w:val="24"/>
          <w:lang w:eastAsia="zh-CN"/>
        </w:rPr>
      </w:pPr>
    </w:p>
    <w:p w14:paraId="413ADDD2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14"/>
          <w:sz w:val="24"/>
          <w:szCs w:val="24"/>
        </w:rPr>
        <w:t>项目名称</w:t>
      </w:r>
      <w:r>
        <w:rPr>
          <w:rFonts w:hint="eastAsia" w:asciiTheme="minorEastAsia" w:hAnsiTheme="minorEastAsia" w:eastAsiaTheme="minorEastAsia" w:cstheme="minorEastAsia"/>
          <w:b/>
          <w:bCs/>
          <w:spacing w:val="14"/>
          <w:sz w:val="24"/>
          <w:szCs w:val="24"/>
          <w:u w:val="single" w:color="auto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spacing w:val="14"/>
          <w:sz w:val="24"/>
          <w:szCs w:val="24"/>
          <w:u w:val="single" w:color="auto"/>
          <w:lang w:val="en-US" w:eastAsia="zh-CN"/>
        </w:rPr>
        <w:t>康巴什区第七中学地块（团结路遗址）考古发掘项目</w:t>
      </w:r>
    </w:p>
    <w:p w14:paraId="29799EAC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11"/>
          <w:sz w:val="24"/>
          <w:szCs w:val="24"/>
        </w:rPr>
        <w:t>项目概况：</w:t>
      </w:r>
      <w:r>
        <w:rPr>
          <w:rFonts w:hint="eastAsia" w:asciiTheme="minorEastAsia" w:hAnsiTheme="minorEastAsia" w:eastAsiaTheme="minorEastAsia" w:cstheme="minorEastAsia"/>
          <w:b w:val="0"/>
          <w:bCs w:val="0"/>
          <w:spacing w:val="11"/>
          <w:sz w:val="24"/>
          <w:szCs w:val="24"/>
        </w:rPr>
        <w:t>康巴什区第七中学项目位于康巴什北区，总用地面积为102998平方米，项目在考古勘探时发现23处古代灰坑</w:t>
      </w:r>
      <w:r>
        <w:rPr>
          <w:rFonts w:hint="eastAsia" w:asciiTheme="minorEastAsia" w:hAnsiTheme="minorEastAsia" w:eastAsiaTheme="minorEastAsia" w:cstheme="minorEastAsia"/>
          <w:b w:val="0"/>
          <w:bCs w:val="0"/>
          <w:spacing w:val="11"/>
          <w:sz w:val="24"/>
          <w:szCs w:val="24"/>
          <w:highlight w:val="none"/>
        </w:rPr>
        <w:t>，需对23处古代灰坑进行考古发掘，发掘面积约2000-3000平方米</w:t>
      </w:r>
      <w:r>
        <w:rPr>
          <w:rFonts w:hint="eastAsia" w:asciiTheme="minorEastAsia" w:hAnsiTheme="minorEastAsia" w:eastAsiaTheme="minorEastAsia" w:cstheme="minorEastAsia"/>
          <w:b w:val="0"/>
          <w:bCs w:val="0"/>
          <w:spacing w:val="21"/>
          <w:sz w:val="24"/>
          <w:szCs w:val="24"/>
          <w:highlight w:val="none"/>
        </w:rPr>
        <w:t>。</w:t>
      </w:r>
    </w:p>
    <w:p w14:paraId="08C3447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为确保地下文化遗产安全，推动工程建设顺利进行，依据甲方提供的拟建项目勘探报告，由乙方对本项目区域勘探发现的古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代灰坑进行考</w:t>
      </w:r>
      <w:r>
        <w:rPr>
          <w:rFonts w:hint="eastAsia" w:asciiTheme="minorEastAsia" w:hAnsiTheme="minorEastAsia" w:eastAsiaTheme="minorEastAsia" w:cstheme="minorEastAsia"/>
          <w:spacing w:val="2"/>
          <w:sz w:val="24"/>
          <w:szCs w:val="24"/>
        </w:rPr>
        <w:t>古发掘。甲、乙双方本着“既有利于工程建</w:t>
      </w:r>
      <w:r>
        <w:rPr>
          <w:rFonts w:hint="eastAsia" w:asciiTheme="minorEastAsia" w:hAnsiTheme="minorEastAsia" w:eastAsiaTheme="minorEastAsia" w:cstheme="minorEastAsia"/>
          <w:spacing w:val="1"/>
          <w:sz w:val="24"/>
          <w:szCs w:val="24"/>
        </w:rPr>
        <w:t>设，又有利于文物保护”的原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则，经过协商，就该建设项目考古发掘工作签订本协议。</w:t>
      </w:r>
    </w:p>
    <w:p w14:paraId="04006E2C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78" w:hangingChars="200"/>
        <w:jc w:val="left"/>
        <w:textAlignment w:val="baseline"/>
        <w:outlineLvl w:val="3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-1"/>
          <w:sz w:val="24"/>
          <w:szCs w:val="24"/>
        </w:rPr>
        <w:t>第一条协议依据</w:t>
      </w:r>
    </w:p>
    <w:p w14:paraId="1C7348A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  <w:t>1.1《中华人民共和国民法典》(中华人民共和国主席令第四十五号)</w:t>
      </w:r>
    </w:p>
    <w:p w14:paraId="39AC914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  <w:t>1.2《中华人民共和国文物保护法》(中华人民共和国主席令第八十四号)</w:t>
      </w:r>
    </w:p>
    <w:p w14:paraId="6E88844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  <w:t>1.</w:t>
      </w: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  <w:t>《关于加强基本建设工程中考古工作的指导意见》(国家文物局文物保发[2006]42号)</w:t>
      </w:r>
    </w:p>
    <w:p w14:paraId="1B96AE5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  <w:t>1.</w:t>
      </w: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zh-CN" w:bidi="ar-SA"/>
        </w:rPr>
        <w:t>4</w:t>
      </w:r>
      <w:r>
        <w:rPr>
          <w:rFonts w:hint="eastAsia" w:asciiTheme="minorEastAsia" w:hAnsiTheme="minorEastAsia" w:eastAsiaTheme="minorEastAsia" w:cstheme="minorEastAsia"/>
          <w:snapToGrid w:val="0"/>
          <w:color w:val="000000"/>
          <w:spacing w:val="-5"/>
          <w:kern w:val="0"/>
          <w:sz w:val="24"/>
          <w:szCs w:val="24"/>
          <w:lang w:val="en-US" w:eastAsia="en-US" w:bidi="ar-SA"/>
        </w:rPr>
        <w:t>《考古调查、勘探、发掘经费预算定额管理办法》(国家文物局[90]文物字第248号)</w:t>
      </w:r>
    </w:p>
    <w:p w14:paraId="4DF79F1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</w:rPr>
        <w:t>《田野考古工作规程》(20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  <w:lang w:val="en-US" w:eastAsia="zh-CN"/>
        </w:rPr>
        <w:t>试行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</w:rPr>
        <w:t>)</w:t>
      </w:r>
    </w:p>
    <w:p w14:paraId="52E796F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</w:rPr>
        <w:t>1.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  <w:lang w:val="en-US" w:eastAsia="zh-CN"/>
        </w:rPr>
        <w:t>6《内蒙古自治区配合基本建设考古工作管理办法》</w:t>
      </w:r>
    </w:p>
    <w:p w14:paraId="338C87C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  <w:lang w:val="en-US" w:eastAsia="zh-CN"/>
        </w:rPr>
        <w:t>1.7《考古发掘管理办法》</w:t>
      </w:r>
    </w:p>
    <w:p w14:paraId="7D0F284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  <w:lang w:val="en-US" w:eastAsia="zh-CN"/>
        </w:rPr>
        <w:t>1.8《考古工地安全施工规范》</w:t>
      </w:r>
    </w:p>
    <w:p w14:paraId="5E691AB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default" w:asciiTheme="minorEastAsia" w:hAnsiTheme="minorEastAsia" w:eastAsiaTheme="minorEastAsia" w:cstheme="minorEastAsia"/>
          <w:spacing w:val="5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  <w:lang w:val="en-US" w:eastAsia="zh-CN"/>
        </w:rPr>
        <w:t>1.9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highlight w:val="none"/>
        </w:rPr>
        <w:t>项目考古勘探报告</w:t>
      </w:r>
    </w:p>
    <w:p w14:paraId="36441AF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outlineLvl w:val="2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-4"/>
          <w:sz w:val="24"/>
          <w:szCs w:val="24"/>
        </w:rPr>
        <w:t>第二条工作时间</w:t>
      </w:r>
    </w:p>
    <w:p w14:paraId="6A476AB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349885</wp:posOffset>
            </wp:positionV>
            <wp:extent cx="147955" cy="1045210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7645" cy="104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tip_risk_bookmark_4"/>
      <w:bookmarkStart w:id="3" w:name="tip_risk_bookmark_5"/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服务期限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u w:val="none" w:color="auto"/>
        </w:rPr>
        <w:t>：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u w:val="single" w:color="auto"/>
          <w:lang w:val="en-US" w:eastAsia="zh-CN"/>
        </w:rPr>
        <w:t xml:space="preserve">                        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。</w:t>
      </w:r>
      <w:bookmarkEnd w:id="2"/>
    </w:p>
    <w:p w14:paraId="69989E6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服务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期限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要求：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</w:rPr>
        <w:t>需配合考古发掘技术服务单位，如遇雨雪天气及其他不</w:t>
      </w:r>
      <w:r>
        <w:rPr>
          <w:rFonts w:hint="eastAsia" w:asciiTheme="minorEastAsia" w:hAnsiTheme="minorEastAsia" w:eastAsiaTheme="minorEastAsia" w:cstheme="minorEastAsia"/>
          <w:spacing w:val="-5"/>
          <w:sz w:val="24"/>
          <w:szCs w:val="24"/>
          <w:u w:val="single"/>
        </w:rPr>
        <w:t>可抗拒因素或重大考古发现，工期顺延。</w:t>
      </w:r>
      <w:bookmarkEnd w:id="3"/>
    </w:p>
    <w:p w14:paraId="2FCA22A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outlineLvl w:val="2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-7"/>
          <w:sz w:val="24"/>
          <w:szCs w:val="24"/>
        </w:rPr>
        <w:t>第三条工作费用及支付方式</w:t>
      </w:r>
    </w:p>
    <w:p w14:paraId="33E4F371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3.1</w:t>
      </w:r>
      <w:bookmarkStart w:id="4" w:name="tip_risk_bookmark_6"/>
      <w:bookmarkStart w:id="5" w:name="tip_risk_bookmark_7"/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lang w:val="en-US" w:eastAsia="zh-CN"/>
        </w:rPr>
        <w:t>签约酬金</w:t>
      </w:r>
      <w:r>
        <w:rPr>
          <w:rFonts w:hint="eastAsia" w:asciiTheme="minorEastAsia" w:hAnsiTheme="minorEastAsia" w:eastAsiaTheme="minorEastAsia" w:cstheme="minorEastAsia"/>
          <w:spacing w:val="-1"/>
          <w:sz w:val="24"/>
          <w:szCs w:val="24"/>
        </w:rPr>
        <w:t>合计人民币：</w:t>
      </w:r>
      <w:r>
        <w:rPr>
          <w:rFonts w:hint="eastAsia" w:asciiTheme="minorEastAsia" w:hAnsiTheme="minorEastAsia" w:eastAsiaTheme="minorEastAsia" w:cstheme="minorEastAsia"/>
          <w:spacing w:val="-1"/>
          <w:sz w:val="24"/>
          <w:szCs w:val="24"/>
          <w:u w:val="single" w:color="auto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  <w:u w:val="single" w:color="auto"/>
        </w:rPr>
        <w:t>元整(¥: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  <w:u w:val="single" w:color="auto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  <w:u w:val="single" w:color="auto"/>
        </w:rPr>
        <w:t>元)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  <w:u w:val="none" w:color="auto"/>
        </w:rPr>
        <w:t>上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述费用包括但不限于：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  <w:u w:val="single"/>
        </w:rPr>
        <w:t>发掘过程中产生的水费、电费、安全等措施费、人工费、机械台班费、差旅费、保险费、企业管理费、税金、利润等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  <w:u w:val="single"/>
          <w:lang w:eastAsia="zh-CN"/>
        </w:rPr>
        <w:t>，项目中标价即为合同价，无论发掘面积的增加或减少，合同价不予调整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</w:rPr>
        <w:t>。</w:t>
      </w:r>
      <w:bookmarkEnd w:id="4"/>
    </w:p>
    <w:p w14:paraId="66F1D5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3.2</w:t>
      </w:r>
      <w:bookmarkStart w:id="6" w:name="auto_fouce_8"/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付款方式：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val="en-US" w:eastAsia="zh-CN"/>
        </w:rPr>
        <w:t>①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合同签订生效后，采购人向供应商拨付第一期工作经费，为合同总价的30%。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乙方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须提前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向甲方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提供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对应金额的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有效发票，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甲方在收到有效发票且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达到付款条件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后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10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个工作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日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内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，支付合同总金额的30.00%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val="en-US" w:eastAsia="zh-CN"/>
        </w:rPr>
        <w:t>②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现场发掘工作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经甲方及考古发掘技术服务单位验收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合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格后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，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乙方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须提前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向甲方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提供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对应金额的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有效发票，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甲方在收到有效发票且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达到付款条件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后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10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个工作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日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内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，支付合同总金额的30.00%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val="en-US" w:eastAsia="zh-CN"/>
        </w:rPr>
        <w:t>③完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成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本协议约定的考古发掘工作且相关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文物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移交、备案等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手续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经甲方确认完成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后，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乙方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须提前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向甲方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提供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对应金额的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有效发票，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甲方在收到有效发票且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达到付款条件</w:t>
      </w:r>
      <w:bookmarkStart w:id="23" w:name="_GoBack"/>
      <w:bookmarkEnd w:id="23"/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后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10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个工作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日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内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</w:rPr>
        <w:t>，支付合同总金额的40.00%</w:t>
      </w:r>
      <w:bookmarkEnd w:id="5"/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  <w:u w:val="single"/>
          <w:lang w:eastAsia="zh-CN"/>
        </w:rPr>
        <w:t>。</w:t>
      </w:r>
      <w:bookmarkEnd w:id="6"/>
    </w:p>
    <w:p w14:paraId="656538F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outlineLvl w:val="3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6"/>
          <w:sz w:val="24"/>
          <w:szCs w:val="24"/>
        </w:rPr>
        <w:t>第四条双方责任与义务</w:t>
      </w:r>
    </w:p>
    <w:p w14:paraId="78E577A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4.1甲方责任与义务</w:t>
      </w:r>
    </w:p>
    <w:p w14:paraId="693FD3E2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1、按照有关规定，检查乙方工作进度和工作质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量。</w:t>
      </w:r>
    </w:p>
    <w:p w14:paraId="10F64CD5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2、完成土地征用、青苗树木补偿、拆除地上地下障碍物，负责协调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与项目所在地各级政府及群众的关系，确保发掘工作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不受外界干扰。</w:t>
      </w:r>
    </w:p>
    <w:p w14:paraId="4CA2B2B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3、</w:t>
      </w:r>
      <w:bookmarkStart w:id="7" w:name="auto_fouce_9"/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在乙方未完成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lang w:eastAsia="zh-CN"/>
        </w:rPr>
        <w:t>约定考古发掘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工作的区域内，甲方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lang w:eastAsia="zh-CN"/>
        </w:rPr>
        <w:t>原则上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不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进行施工建设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如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eastAsia="zh-CN"/>
        </w:rPr>
        <w:t>因项目整体推进需要分区施工的，甲方应提前【】日书面通知乙方，乙方配合甲方做好已发掘区域文物保护工作后，甲方可开展对应区域施工，双方就具体施工范围协商确定。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特殊情况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eastAsia="zh-CN"/>
        </w:rPr>
        <w:t>包括但不限于应急抢险、政府指令等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，双方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eastAsia="zh-CN"/>
        </w:rPr>
        <w:t>应及时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协商解决。</w:t>
      </w:r>
      <w:bookmarkEnd w:id="7"/>
    </w:p>
    <w:p w14:paraId="7D9FFC4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4、组织项目区域内文物保护工作事项的论证等有关会议。</w:t>
      </w:r>
    </w:p>
    <w:p w14:paraId="0844C26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5、为乙方提供临时水、电等协调帮助。</w:t>
      </w:r>
    </w:p>
    <w:p w14:paraId="191433E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15"/>
          <w:sz w:val="24"/>
          <w:szCs w:val="24"/>
        </w:rPr>
        <w:t>6、</w:t>
      </w:r>
      <w:bookmarkStart w:id="8" w:name="auto_fouce_10"/>
      <w:r>
        <w:rPr>
          <w:rFonts w:hint="eastAsia" w:asciiTheme="minorEastAsia" w:hAnsiTheme="minorEastAsia" w:eastAsiaTheme="minorEastAsia" w:cstheme="minorEastAsia"/>
          <w:spacing w:val="15"/>
          <w:sz w:val="24"/>
          <w:szCs w:val="24"/>
        </w:rPr>
        <w:t>在项目后续施工过程中，如有新的文物遗存(古遗址、古墓</w:t>
      </w:r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</w:rPr>
        <w:t>葬)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或重要考古发现，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lang w:eastAsia="zh-CN"/>
        </w:rPr>
        <w:t>甲方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必须立即停工，并在24小时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内通知乙方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lang w:eastAsia="zh-CN"/>
        </w:rPr>
        <w:t>，乙方须在接到通知后【】个工作日内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进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lang w:eastAsia="zh-CN"/>
        </w:rPr>
        <w:t>场完成发掘清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理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lang w:eastAsia="zh-CN"/>
        </w:rPr>
        <w:t>工作，乙方完成发掘清理并向甲方出具书面完工通知后，甲方方可恢复施工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。</w:t>
      </w:r>
      <w:bookmarkEnd w:id="8"/>
    </w:p>
    <w:p w14:paraId="6D20E6B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4.2乙方责任与义务</w:t>
      </w:r>
    </w:p>
    <w:p w14:paraId="673E32B2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1、开工前乙方应做好工作人员的安全思想教育和安全注意事项并做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好交底记录，听从甲方及考古发掘技术服务单位现场工作人</w:t>
      </w:r>
      <w:r>
        <w:rPr>
          <w:rFonts w:hint="eastAsia" w:asciiTheme="minorEastAsia" w:hAnsiTheme="minorEastAsia" w:eastAsiaTheme="minorEastAsia" w:cstheme="minorEastAsia"/>
          <w:spacing w:val="8"/>
          <w:sz w:val="24"/>
          <w:szCs w:val="24"/>
        </w:rPr>
        <w:t>员的指挥，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协同配合考古发掘技术服务单位开展项目考古发掘工作。</w:t>
      </w:r>
    </w:p>
    <w:p w14:paraId="696E121B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2、</w:t>
      </w:r>
      <w:bookmarkStart w:id="9" w:name="auto_fouce_11"/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按照《田野考古工作规程》科学组织考古发掘，乙方应依据甲方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要求按时配备足够技术工人和劳务工人，乙方委派现场工作人员应熟悉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并遵守文物保护法规，具备良好的文物保护意识和职业操守，按考古工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作规范清理和保护文物，确保出土文物安全。未经甲方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及考古发掘技术服务单位共同书面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许可，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乙方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不得将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任何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出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土文物携离项目属地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lang w:eastAsia="zh-CN"/>
        </w:rPr>
        <w:t>，不得私自接触、藏匿出土文物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。</w:t>
      </w:r>
      <w:bookmarkEnd w:id="9"/>
    </w:p>
    <w:p w14:paraId="52A6A95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3、乙方须自备项目考古发掘过程中所需的一切器材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设备。</w:t>
      </w:r>
    </w:p>
    <w:p w14:paraId="6078932B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4、按照协议工作期限，配合考古发掘技术服务单位完成考古发掘工作，并向甲方移交场地。</w:t>
      </w:r>
    </w:p>
    <w:p w14:paraId="02A27F1D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581025</wp:posOffset>
            </wp:positionV>
            <wp:extent cx="209550" cy="1416685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9566" cy="1416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5、</w:t>
      </w:r>
      <w:bookmarkStart w:id="10" w:name="auto_fouce_12"/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在现场工作的乙方人员在不违反安全操作规范的前提下，应服从</w:t>
      </w:r>
      <w:r>
        <w:rPr>
          <w:rFonts w:hint="eastAsia" w:asciiTheme="minorEastAsia" w:hAnsiTheme="minorEastAsia" w:eastAsiaTheme="minorEastAsia" w:cstheme="minorEastAsia"/>
          <w:spacing w:val="8"/>
          <w:sz w:val="24"/>
          <w:szCs w:val="24"/>
        </w:rPr>
        <w:t>甲方项目负责人管理，按甲方要求供应考古发掘劳务服务，确保考古发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掘劳务服务质量，同时应遵守甲方的安全制度及相关规章制度，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对项目相关的所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有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  <w:lang w:eastAsia="zh-CN"/>
        </w:rPr>
        <w:t>考古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</w:rPr>
        <w:t>资料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  <w:lang w:eastAsia="zh-CN"/>
        </w:rPr>
        <w:t>、工程信息承担永久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</w:rPr>
        <w:t>保密义务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  <w:lang w:eastAsia="zh-CN"/>
        </w:rPr>
        <w:t>，未经甲方书面许可不得向任何第三方披露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</w:rPr>
        <w:t>。</w:t>
      </w:r>
      <w:bookmarkEnd w:id="10"/>
    </w:p>
    <w:p w14:paraId="5702D5A2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</w:rPr>
        <w:t>6、</w:t>
      </w:r>
      <w:bookmarkStart w:id="11" w:name="auto_fouce_13"/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</w:rPr>
        <w:t>如有重大发现(重要遗迹现象等)，</w:t>
      </w:r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  <w:lang w:eastAsia="zh-CN"/>
        </w:rPr>
        <w:t>乙方</w:t>
      </w:r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</w:rPr>
        <w:t>须</w:t>
      </w:r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  <w:lang w:eastAsia="zh-CN"/>
        </w:rPr>
        <w:t>在发现后1小</w:t>
      </w:r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</w:rPr>
        <w:t>时</w:t>
      </w:r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  <w:lang w:eastAsia="zh-CN"/>
        </w:rPr>
        <w:t>内口头</w:t>
      </w:r>
      <w:r>
        <w:rPr>
          <w:rFonts w:hint="eastAsia" w:asciiTheme="minorEastAsia" w:hAnsiTheme="minorEastAsia" w:eastAsiaTheme="minorEastAsia" w:cstheme="minorEastAsia"/>
          <w:spacing w:val="14"/>
          <w:sz w:val="24"/>
          <w:szCs w:val="24"/>
        </w:rPr>
        <w:t>报告</w:t>
      </w:r>
      <w:r>
        <w:rPr>
          <w:rFonts w:hint="eastAsia" w:asciiTheme="minorEastAsia" w:hAnsiTheme="minorEastAsia" w:eastAsiaTheme="minorEastAsia" w:cstheme="minorEastAsia"/>
          <w:spacing w:val="-15"/>
          <w:sz w:val="24"/>
          <w:szCs w:val="24"/>
        </w:rPr>
        <w:t>甲方</w:t>
      </w:r>
      <w:r>
        <w:rPr>
          <w:rFonts w:hint="eastAsia" w:asciiTheme="minorEastAsia" w:hAnsiTheme="minorEastAsia" w:eastAsiaTheme="minorEastAsia" w:cstheme="minorEastAsia"/>
          <w:spacing w:val="-15"/>
          <w:sz w:val="24"/>
          <w:szCs w:val="24"/>
          <w:lang w:eastAsia="zh-CN"/>
        </w:rPr>
        <w:t>，并于24小时内提交书面情况报告，乙方不得擅自处置该发现</w:t>
      </w:r>
      <w:r>
        <w:rPr>
          <w:rFonts w:hint="eastAsia" w:asciiTheme="minorEastAsia" w:hAnsiTheme="minorEastAsia" w:eastAsiaTheme="minorEastAsia" w:cstheme="minorEastAsia"/>
          <w:spacing w:val="-15"/>
          <w:sz w:val="24"/>
          <w:szCs w:val="24"/>
        </w:rPr>
        <w:t>。</w:t>
      </w:r>
      <w:bookmarkEnd w:id="11"/>
    </w:p>
    <w:p w14:paraId="7CBDC57F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7、乙方使用的机械、车辆和其他工具设施以及乙方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的管理人员和雇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用的民工等由乙方全权负责。包括施工现场和生活场所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等凡是乙方人员活动的地方，其人身安全和财物安全等由乙方全权负责；乙方的人员在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</w:rPr>
        <w:t>现场或其他地方对他人造成伤害，或对别的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单位的设施造成损坏的，责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任由乙方自负。</w:t>
      </w:r>
    </w:p>
    <w:p w14:paraId="3EDAA939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8、乙方须按甲方的时间要求完成考古发掘项目劳务服务工作，不得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</w:rPr>
        <w:t>无故延长工作时限。</w:t>
      </w:r>
    </w:p>
    <w:p w14:paraId="43B699C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9、乙方必须严格按照考古发掘及有关建设规程进行施工，确保施工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安全。开挖土方时，必须按照基坑开挖的规范和放坡系数的要求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</w:rPr>
        <w:t>来进行，</w:t>
      </w:r>
      <w:r>
        <w:rPr>
          <w:rFonts w:hint="eastAsia" w:asciiTheme="minorEastAsia" w:hAnsiTheme="minorEastAsia" w:eastAsiaTheme="minorEastAsia" w:cstheme="minorEastAsia"/>
          <w:spacing w:val="2"/>
          <w:sz w:val="24"/>
          <w:szCs w:val="24"/>
        </w:rPr>
        <w:t>土方应按指定的地点堆放，保证施工道路畅通。如不按</w:t>
      </w:r>
      <w:r>
        <w:rPr>
          <w:rFonts w:hint="eastAsia" w:asciiTheme="minorEastAsia" w:hAnsiTheme="minorEastAsia" w:eastAsiaTheme="minorEastAsia" w:cstheme="minorEastAsia"/>
          <w:spacing w:val="1"/>
          <w:sz w:val="24"/>
          <w:szCs w:val="24"/>
        </w:rPr>
        <w:t>规程施工，造成的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人员及设备的损伤，责任由乙方负责。</w:t>
      </w:r>
    </w:p>
    <w:p w14:paraId="0C6F3D28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10、乙方须按照甲方具体要求，在项目现场搭建临时建筑设施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，费</w:t>
      </w:r>
      <w:r>
        <w:rPr>
          <w:rFonts w:hint="eastAsia" w:asciiTheme="minorEastAsia" w:hAnsiTheme="minorEastAsia" w:eastAsiaTheme="minorEastAsia" w:cstheme="minorEastAsia"/>
          <w:spacing w:val="1"/>
          <w:sz w:val="24"/>
          <w:szCs w:val="24"/>
        </w:rPr>
        <w:t>用乙方须自行解决。</w:t>
      </w:r>
    </w:p>
    <w:p w14:paraId="3E0DEBE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11、因乙方原因造成甲方其他设备损坏，由乙方负责修复并承担相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</w:rPr>
        <w:t>关费用。</w:t>
      </w:r>
    </w:p>
    <w:p w14:paraId="1D2D48C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4.3安全管理要求</w:t>
      </w:r>
    </w:p>
    <w:p w14:paraId="254933FC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1、乙方在项目实施过程中应做到制度上墙、文明施工。</w:t>
      </w:r>
    </w:p>
    <w:p w14:paraId="5B507468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2、乙方须协助甲方做好考古现场的安全管理工作，组织及协调现场</w:t>
      </w:r>
      <w:r>
        <w:rPr>
          <w:rFonts w:hint="eastAsia" w:asciiTheme="minorEastAsia" w:hAnsiTheme="minorEastAsia" w:eastAsiaTheme="minorEastAsia" w:cstheme="minorEastAsia"/>
          <w:spacing w:val="8"/>
          <w:sz w:val="24"/>
          <w:szCs w:val="24"/>
        </w:rPr>
        <w:t>人员维持现场秩序，保证考古发掘工作顺利进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行。</w:t>
      </w:r>
    </w:p>
    <w:p w14:paraId="6655F16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3、乙方必须采取必要的人防、物防、技防措施，加强安全管理及夜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间值守，确保工作人员、出土文物和考古资料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的安全。</w:t>
      </w:r>
    </w:p>
    <w:p w14:paraId="64465DB1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4、乙方在考古发掘过程中全权负责所提供工作人员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、机械的安全问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题，并承担由此产生的相关费用。</w:t>
      </w:r>
    </w:p>
    <w:p w14:paraId="5D39C788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-11"/>
          <w:sz w:val="24"/>
          <w:szCs w:val="24"/>
        </w:rPr>
        <w:t>5、乙方施工应注意边坡稳定，加强检查工作，做好墓葬加固支</w:t>
      </w:r>
      <w:r>
        <w:rPr>
          <w:rFonts w:hint="eastAsia" w:asciiTheme="minorEastAsia" w:hAnsiTheme="minorEastAsia" w:eastAsiaTheme="minorEastAsia" w:cstheme="minorEastAsia"/>
          <w:spacing w:val="-12"/>
          <w:sz w:val="24"/>
          <w:szCs w:val="24"/>
        </w:rPr>
        <w:t>撑，设置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支撑挡土板。</w:t>
      </w:r>
    </w:p>
    <w:p w14:paraId="339DE18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outlineLvl w:val="3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5"/>
          <w:sz w:val="24"/>
          <w:szCs w:val="24"/>
        </w:rPr>
        <w:t>第五条违约责任及争议解决</w:t>
      </w:r>
    </w:p>
    <w:p w14:paraId="450243D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8"/>
          <w:sz w:val="24"/>
          <w:szCs w:val="24"/>
        </w:rPr>
        <w:t>5.1甲方违约责任</w:t>
      </w:r>
    </w:p>
    <w:p w14:paraId="386A0D59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1、未按协议约定提供有关资料、数据和工作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条件，导致乙方无法按协议约定完成工作任务，甲方承担逾期责任。</w:t>
      </w:r>
    </w:p>
    <w:p w14:paraId="68AAAD7C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2、擅自终止协议，已支付工作经费不得要求返还。</w:t>
      </w:r>
    </w:p>
    <w:p w14:paraId="0CF4293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8"/>
          <w:sz w:val="24"/>
          <w:szCs w:val="24"/>
        </w:rPr>
        <w:t>5.2乙方违约责任</w:t>
      </w:r>
    </w:p>
    <w:p w14:paraId="1B206C31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1、</w:t>
      </w:r>
      <w:bookmarkStart w:id="12" w:name="auto_fouce_15"/>
      <w:bookmarkStart w:id="13" w:name="tip_risk_bookmark_16"/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因乙方技术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  <w:lang w:eastAsia="zh-CN"/>
        </w:rPr>
        <w:t>工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人和劳务工人配备不足，致使工作进度缓慢无法达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到甲方进度要求，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经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甲方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书面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催告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后【X】日内仍未改正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的，甲方有权直接雇佣技术工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</w:rPr>
        <w:t>人和劳务工人，相关费用由乙方承担，乙方拒不配合的，甲方有权选择</w:t>
      </w:r>
      <w:r>
        <w:rPr>
          <w:rFonts w:hint="eastAsia" w:asciiTheme="minorEastAsia" w:hAnsiTheme="minorEastAsia" w:eastAsiaTheme="minorEastAsia" w:cstheme="minorEastAsia"/>
          <w:spacing w:val="3"/>
          <w:sz w:val="24"/>
          <w:szCs w:val="24"/>
        </w:rPr>
        <w:t>解除合同、更换服务方。</w:t>
      </w:r>
      <w:bookmarkEnd w:id="12"/>
      <w:bookmarkEnd w:id="13"/>
    </w:p>
    <w:p w14:paraId="682B879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2、</w:t>
      </w:r>
      <w:bookmarkStart w:id="14" w:name="auto_fouce_17"/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逾期未完工，每逾期一日，按已付工作经费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的百分之一向甲方支</w:t>
      </w:r>
      <w:r>
        <w:rPr>
          <w:rFonts w:hint="eastAsia" w:asciiTheme="minorEastAsia" w:hAnsiTheme="minorEastAsia" w:eastAsiaTheme="minorEastAsia" w:cstheme="minorEastAsia"/>
          <w:spacing w:val="11"/>
          <w:sz w:val="24"/>
          <w:szCs w:val="24"/>
        </w:rPr>
        <w:t>付违约金，同时乙方应继续履行义务。逾期超过30日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未交付工作成果，</w:t>
      </w:r>
      <w:r>
        <w:rPr>
          <w:rFonts w:hint="eastAsia" w:asciiTheme="minorEastAsia" w:hAnsiTheme="minorEastAsia" w:eastAsiaTheme="minorEastAsia" w:cstheme="minorEastAsia"/>
          <w:spacing w:val="9"/>
          <w:sz w:val="24"/>
          <w:szCs w:val="24"/>
        </w:rPr>
        <w:t>甲方有权解除协议，乙方除返还甲方已支付的费用外还应向甲方支付相</w:t>
      </w:r>
      <w:r>
        <w:rPr>
          <w:rFonts w:hint="eastAsia" w:asciiTheme="minorEastAsia" w:hAnsiTheme="minorEastAsia" w:eastAsiaTheme="minorEastAsia" w:cstheme="minorEastAsia"/>
          <w:spacing w:val="15"/>
          <w:sz w:val="24"/>
          <w:szCs w:val="24"/>
        </w:rPr>
        <w:t>当于已支付费用5%的违约金。</w:t>
      </w:r>
      <w:bookmarkEnd w:id="14"/>
    </w:p>
    <w:p w14:paraId="07FD8801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3、擅自终止协议，应退还甲方已支付的工作费用，并向甲方支付相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当于工作费用总额百分之五的违约金。</w:t>
      </w:r>
    </w:p>
    <w:p w14:paraId="50256E2F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4、因乙方原因导致泄密，甲方有权终止协议并追究乙方人员法律责</w:t>
      </w:r>
      <w:r>
        <w:rPr>
          <w:rFonts w:hint="eastAsia" w:asciiTheme="minorEastAsia" w:hAnsiTheme="minorEastAsia" w:eastAsiaTheme="minorEastAsia" w:cstheme="minorEastAsia"/>
          <w:spacing w:val="-1"/>
          <w:sz w:val="24"/>
          <w:szCs w:val="24"/>
        </w:rPr>
        <w:t>任。</w:t>
      </w:r>
    </w:p>
    <w:p w14:paraId="6EC0438C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5、</w:t>
      </w:r>
      <w:bookmarkStart w:id="15" w:name="tip_risk_bookmark_18"/>
      <w:bookmarkStart w:id="16" w:name="auto_fouce_19"/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乙方在施工过程中不按规范要求进行，被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eastAsia="zh-CN"/>
        </w:rPr>
        <w:t>相关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文物保护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单位或监管部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门提出通报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eastAsia="zh-CN"/>
        </w:rPr>
        <w:t>批评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，甲方有权解除合同，造成损失由乙方全部承担。</w:t>
      </w:r>
      <w:bookmarkEnd w:id="15"/>
      <w:bookmarkEnd w:id="16"/>
    </w:p>
    <w:p w14:paraId="7BE809F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5.3</w:t>
      </w:r>
      <w:bookmarkStart w:id="17" w:name="auto_fouce_20"/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因本协议履行发生争议，双方应协商解决。协商未果，双方有权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向项目所在地人民法院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lang w:eastAsia="zh-CN"/>
        </w:rPr>
        <w:t>提起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诉讼解决。</w:t>
      </w:r>
      <w:bookmarkEnd w:id="17"/>
    </w:p>
    <w:p w14:paraId="7341BCE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5.4</w:t>
      </w:r>
      <w:bookmarkStart w:id="18" w:name="auto_fouce_21"/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若乙方与该项目技术服务单位发生争议，由乙方与考古发掘技术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服务单位自行协商解决，与甲方无关。若因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乙方原因导致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项目推进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  <w:lang w:eastAsia="zh-CN"/>
        </w:rPr>
        <w:t>受到影响</w:t>
      </w:r>
      <w:r>
        <w:rPr>
          <w:rFonts w:hint="eastAsia" w:asciiTheme="minorEastAsia" w:hAnsiTheme="minorEastAsia" w:eastAsiaTheme="minorEastAsia" w:cstheme="minorEastAsia"/>
          <w:spacing w:val="10"/>
          <w:sz w:val="24"/>
          <w:szCs w:val="24"/>
        </w:rPr>
        <w:t>，甲方有权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追究乙方责任，据此解除协议，由此产生的相关费用由乙方承担。</w:t>
      </w:r>
      <w:bookmarkEnd w:id="18"/>
    </w:p>
    <w:p w14:paraId="53A69D2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outlineLvl w:val="3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-5"/>
          <w:sz w:val="24"/>
          <w:szCs w:val="24"/>
        </w:rPr>
        <w:t>第六条其他</w:t>
      </w:r>
    </w:p>
    <w:p w14:paraId="38A03D99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-1"/>
          <w:sz w:val="24"/>
          <w:szCs w:val="24"/>
        </w:rPr>
        <w:t>6.1</w:t>
      </w:r>
      <w:bookmarkStart w:id="19" w:name="tip_risk_bookmark_22"/>
      <w:r>
        <w:rPr>
          <w:rFonts w:hint="eastAsia" w:asciiTheme="minorEastAsia" w:hAnsiTheme="minorEastAsia" w:eastAsiaTheme="minorEastAsia" w:cstheme="minorEastAsia"/>
          <w:spacing w:val="-1"/>
          <w:sz w:val="24"/>
          <w:szCs w:val="24"/>
        </w:rPr>
        <w:t>甲、乙双方应指派工地代表各一人，其中，甲方委派人</w:t>
      </w:r>
      <w:r>
        <w:rPr>
          <w:rFonts w:hint="eastAsia" w:asciiTheme="minorEastAsia" w:hAnsiTheme="minorEastAsia" w:eastAsiaTheme="minorEastAsia" w:cstheme="minorEastAsia"/>
          <w:spacing w:val="-1"/>
          <w:sz w:val="24"/>
          <w:szCs w:val="24"/>
          <w:u w:val="none" w:color="auto"/>
        </w:rPr>
        <w:t>员</w:t>
      </w:r>
      <w:r>
        <w:rPr>
          <w:rFonts w:hint="eastAsia" w:asciiTheme="minorEastAsia" w:hAnsiTheme="minorEastAsia" w:eastAsiaTheme="minorEastAsia" w:cstheme="minorEastAsia"/>
          <w:spacing w:val="-1"/>
          <w:sz w:val="24"/>
          <w:szCs w:val="24"/>
          <w:u w:val="single" w:color="auto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pacing w:val="8"/>
          <w:sz w:val="24"/>
          <w:szCs w:val="24"/>
        </w:rPr>
        <w:t>，乙方委派人员</w:t>
      </w:r>
      <w:r>
        <w:rPr>
          <w:rFonts w:hint="eastAsia" w:asciiTheme="minorEastAsia" w:hAnsiTheme="minorEastAsia" w:eastAsiaTheme="minorEastAsia" w:cstheme="minorEastAsia"/>
          <w:spacing w:val="-1"/>
          <w:sz w:val="24"/>
          <w:szCs w:val="24"/>
          <w:u w:val="single" w:color="auto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pacing w:val="8"/>
          <w:sz w:val="24"/>
          <w:szCs w:val="24"/>
        </w:rPr>
        <w:t>，负责及时协商解决施工中一切问题。</w:t>
      </w:r>
      <w:bookmarkEnd w:id="19"/>
    </w:p>
    <w:p w14:paraId="1E57C14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6.2甲、乙双方应本着积极配合、相互协作、精心组织、保证质量、</w:t>
      </w:r>
      <w:r>
        <w:rPr>
          <w:rFonts w:hint="eastAsia" w:asciiTheme="minorEastAsia" w:hAnsiTheme="minorEastAsia" w:eastAsiaTheme="minorEastAsia" w:cstheme="minorEastAsia"/>
          <w:spacing w:val="7"/>
          <w:sz w:val="24"/>
          <w:szCs w:val="24"/>
        </w:rPr>
        <w:t>按期完成的原则开展工作，重大事项双方应共同协商解决。</w:t>
      </w:r>
    </w:p>
    <w:p w14:paraId="2938501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6.3</w:t>
      </w:r>
      <w:bookmarkStart w:id="20" w:name="auto_fouce_23"/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本协议自甲、乙双方签字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eastAsia="zh-CN"/>
        </w:rPr>
        <w:t>并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盖章后生效，</w:t>
      </w:r>
      <w:r>
        <w:rPr>
          <w:rFonts w:hint="eastAsia" w:asciiTheme="minorEastAsia" w:hAnsiTheme="minorEastAsia" w:eastAsiaTheme="minorEastAsia" w:cstheme="minorEastAsia"/>
          <w:spacing w:val="5"/>
          <w:sz w:val="24"/>
          <w:szCs w:val="24"/>
        </w:rPr>
        <w:t>双方履行完协议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规定的义务后，协议终止。</w:t>
      </w:r>
      <w:bookmarkEnd w:id="20"/>
    </w:p>
    <w:p w14:paraId="31C3B51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0" w:firstLineChars="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6.4</w:t>
      </w:r>
      <w:bookmarkStart w:id="21" w:name="auto_fouce_24"/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本合同一式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u w:val="single"/>
        </w:rPr>
        <w:t>捌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份，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lang w:eastAsia="zh-CN"/>
        </w:rPr>
        <w:t>甲方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执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u w:val="single"/>
        </w:rPr>
        <w:t>伍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份，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lang w:eastAsia="zh-CN"/>
        </w:rPr>
        <w:t>乙方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执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u w:val="single"/>
        </w:rPr>
        <w:t>叁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份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pacing w:val="4"/>
          <w:sz w:val="24"/>
          <w:szCs w:val="24"/>
        </w:rPr>
        <w:t>具有同等法律效力。</w:t>
      </w:r>
      <w:bookmarkEnd w:id="21"/>
    </w:p>
    <w:p w14:paraId="13A627CF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64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/>
          <w:iCs/>
          <w:spacing w:val="-4"/>
          <w:sz w:val="24"/>
          <w:szCs w:val="24"/>
        </w:rPr>
        <w:t>-----------------------------正文完----------------------------------</w:t>
      </w:r>
    </w:p>
    <w:p w14:paraId="46B83830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  <w:sectPr>
          <w:headerReference r:id="rId5" w:type="default"/>
          <w:footerReference r:id="rId6" w:type="default"/>
          <w:pgSz w:w="11910" w:h="16840"/>
          <w:pgMar w:top="1134" w:right="1134" w:bottom="1134" w:left="1134" w:header="0" w:footer="669" w:gutter="0"/>
          <w:cols w:space="720" w:num="1"/>
        </w:sectPr>
      </w:pPr>
    </w:p>
    <w:p w14:paraId="3AC07E2A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6039F0D3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749DDE74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6C363315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24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/>
          <w:iCs/>
          <w:spacing w:val="-10"/>
          <w:w w:val="97"/>
          <w:sz w:val="24"/>
          <w:szCs w:val="24"/>
        </w:rPr>
        <w:t>-----------------------签署页无正文------------------------</w:t>
      </w:r>
    </w:p>
    <w:p w14:paraId="3820D9F3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75D89F00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50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bookmarkStart w:id="22" w:name="tip_risk_bookmark_25"/>
      <w:r>
        <w:rPr>
          <w:rFonts w:hint="eastAsia" w:asciiTheme="minorEastAsia" w:hAnsiTheme="minorEastAsia" w:eastAsiaTheme="minorEastAsia" w:cstheme="minorEastAsia"/>
          <w:spacing w:val="5"/>
          <w:position w:val="2"/>
          <w:sz w:val="24"/>
          <w:szCs w:val="24"/>
        </w:rPr>
        <w:t>甲方：</w:t>
      </w:r>
      <w:r>
        <w:rPr>
          <w:rFonts w:hint="eastAsia" w:asciiTheme="minorEastAsia" w:hAnsiTheme="minorEastAsia" w:eastAsiaTheme="minorEastAsia" w:cstheme="minorEastAsia"/>
          <w:spacing w:val="5"/>
          <w:position w:val="2"/>
          <w:sz w:val="24"/>
          <w:szCs w:val="24"/>
          <w:lang w:val="en-US" w:eastAsia="zh-CN"/>
        </w:rPr>
        <w:t xml:space="preserve">                               </w:t>
      </w:r>
      <w:r>
        <w:rPr>
          <w:rFonts w:hint="eastAsia" w:asciiTheme="minorEastAsia" w:hAnsiTheme="minorEastAsia" w:eastAsiaTheme="minorEastAsia" w:cstheme="minorEastAsia"/>
          <w:spacing w:val="5"/>
          <w:position w:val="-2"/>
          <w:sz w:val="24"/>
          <w:szCs w:val="24"/>
        </w:rPr>
        <w:t>乙方：</w:t>
      </w:r>
      <w:r>
        <w:rPr>
          <w:rFonts w:hint="eastAsia" w:asciiTheme="minorEastAsia" w:hAnsiTheme="minorEastAsia" w:eastAsiaTheme="minorEastAsia" w:cstheme="minorEastAsia"/>
          <w:spacing w:val="5"/>
          <w:position w:val="-2"/>
          <w:sz w:val="24"/>
          <w:szCs w:val="24"/>
          <w:lang w:val="en-US" w:eastAsia="zh-CN"/>
        </w:rPr>
        <w:t xml:space="preserve"> </w:t>
      </w:r>
    </w:p>
    <w:p w14:paraId="11CDAC13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3CCBA07E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75E563E9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5814DCE6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4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1"/>
          <w:sz w:val="24"/>
          <w:szCs w:val="24"/>
        </w:rPr>
        <w:t>法定代表人：</w:t>
      </w:r>
      <w:r>
        <w:rPr>
          <w:rFonts w:hint="eastAsia" w:asciiTheme="minorEastAsia" w:hAnsiTheme="minorEastAsia" w:eastAsiaTheme="minorEastAsia" w:cstheme="minorEastAsia"/>
          <w:spacing w:val="1"/>
          <w:sz w:val="24"/>
          <w:szCs w:val="24"/>
          <w:lang w:val="en-US" w:eastAsia="zh-CN"/>
        </w:rPr>
        <w:t xml:space="preserve">                          </w:t>
      </w:r>
      <w:r>
        <w:rPr>
          <w:rFonts w:hint="eastAsia" w:asciiTheme="minorEastAsia" w:hAnsiTheme="minorEastAsia" w:eastAsiaTheme="minorEastAsia" w:cstheme="minorEastAsia"/>
          <w:spacing w:val="1"/>
          <w:sz w:val="24"/>
          <w:szCs w:val="24"/>
        </w:rPr>
        <w:t>法定代表人：</w:t>
      </w:r>
    </w:p>
    <w:p w14:paraId="65822666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2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-15"/>
          <w:sz w:val="24"/>
          <w:szCs w:val="24"/>
        </w:rPr>
        <w:t>或委托代理人：</w:t>
      </w:r>
      <w:r>
        <w:rPr>
          <w:rFonts w:hint="eastAsia" w:asciiTheme="minorEastAsia" w:hAnsiTheme="minorEastAsia" w:eastAsiaTheme="minorEastAsia" w:cstheme="minorEastAsia"/>
          <w:spacing w:val="-15"/>
          <w:sz w:val="24"/>
          <w:szCs w:val="24"/>
          <w:lang w:val="en-US" w:eastAsia="zh-CN"/>
        </w:rPr>
        <w:t xml:space="preserve">                             </w:t>
      </w:r>
      <w:r>
        <w:rPr>
          <w:rFonts w:hint="eastAsia" w:asciiTheme="minorEastAsia" w:hAnsiTheme="minorEastAsia" w:eastAsiaTheme="minorEastAsia" w:cstheme="minorEastAsia"/>
          <w:spacing w:val="-15"/>
          <w:sz w:val="24"/>
          <w:szCs w:val="24"/>
        </w:rPr>
        <w:t>或委托代理人：</w:t>
      </w:r>
    </w:p>
    <w:p w14:paraId="00A1224D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1CEA3EBC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3C137256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电话：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电话：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</w:p>
    <w:p w14:paraId="0C0A85D8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</w:p>
    <w:p w14:paraId="2575377E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552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18"/>
          <w:sz w:val="24"/>
          <w:szCs w:val="24"/>
        </w:rPr>
        <w:t>传真：</w:t>
      </w:r>
      <w:r>
        <w:rPr>
          <w:rFonts w:hint="eastAsia" w:asciiTheme="minorEastAsia" w:hAnsiTheme="minorEastAsia" w:eastAsiaTheme="minorEastAsia" w:cstheme="minorEastAsia"/>
          <w:spacing w:val="18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Theme="minorEastAsia" w:hAnsiTheme="minorEastAsia" w:eastAsiaTheme="minorEastAsia" w:cstheme="minorEastAsia"/>
          <w:spacing w:val="18"/>
          <w:sz w:val="24"/>
          <w:szCs w:val="24"/>
        </w:rPr>
        <w:t>传真：</w:t>
      </w:r>
    </w:p>
    <w:p w14:paraId="00DFBB0D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78E98E2C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504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联系人：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val="en-US" w:eastAsia="zh-CN"/>
        </w:rPr>
        <w:t xml:space="preserve">                          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</w:rPr>
        <w:t>联系人：</w:t>
      </w:r>
      <w:r>
        <w:rPr>
          <w:rFonts w:hint="eastAsia" w:asciiTheme="minorEastAsia" w:hAnsiTheme="minorEastAsia" w:eastAsiaTheme="minorEastAsia" w:cstheme="minorEastAsia"/>
          <w:spacing w:val="6"/>
          <w:sz w:val="24"/>
          <w:szCs w:val="24"/>
          <w:lang w:val="en-US" w:eastAsia="zh-CN"/>
        </w:rPr>
        <w:t xml:space="preserve"> </w:t>
      </w:r>
      <w:bookmarkEnd w:id="22"/>
    </w:p>
    <w:p w14:paraId="4DF0D11A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                      </w:t>
      </w:r>
    </w:p>
    <w:p w14:paraId="2BFB94A2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604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31"/>
          <w:sz w:val="24"/>
          <w:szCs w:val="24"/>
        </w:rPr>
        <w:t>开户银行：</w:t>
      </w:r>
      <w:r>
        <w:rPr>
          <w:rFonts w:hint="eastAsia" w:asciiTheme="minorEastAsia" w:hAnsiTheme="minorEastAsia" w:eastAsiaTheme="minorEastAsia" w:cstheme="minorEastAsia"/>
          <w:spacing w:val="31"/>
          <w:sz w:val="24"/>
          <w:szCs w:val="24"/>
          <w:lang w:val="en-US" w:eastAsia="zh-CN"/>
        </w:rPr>
        <w:t xml:space="preserve">                   </w:t>
      </w:r>
      <w:r>
        <w:rPr>
          <w:rFonts w:hint="eastAsia" w:asciiTheme="minorEastAsia" w:hAnsiTheme="minorEastAsia" w:eastAsiaTheme="minorEastAsia" w:cstheme="minorEastAsia"/>
          <w:spacing w:val="31"/>
          <w:sz w:val="24"/>
          <w:szCs w:val="24"/>
        </w:rPr>
        <w:t>开户银行：</w:t>
      </w:r>
    </w:p>
    <w:p w14:paraId="6ECE319C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0DE34250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0E4A49AE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15124D58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年    月     日                         年    月     日</w:t>
      </w:r>
    </w:p>
    <w:p w14:paraId="596AAA06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480" w:right="0" w:hanging="480" w:hangingChars="200"/>
        <w:jc w:val="left"/>
        <w:textAlignment w:val="baseline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sectPr>
      <w:footerReference r:id="rId7" w:type="default"/>
      <w:pgSz w:w="11910" w:h="16840"/>
      <w:pgMar w:top="400" w:right="1786" w:bottom="400" w:left="178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1F06E8">
    <w:pPr>
      <w:spacing w:line="177" w:lineRule="auto"/>
      <w:ind w:left="4260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>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11E95A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C1203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revisionView w:markup="0"/>
  <w:trackRevisions w:val="1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1071547"/>
    <w:rsid w:val="1E831280"/>
    <w:rsid w:val="22DD10EC"/>
    <w:rsid w:val="2B797C93"/>
    <w:rsid w:val="2FFA1F1E"/>
    <w:rsid w:val="3C3D5C1B"/>
    <w:rsid w:val="4CF60CEC"/>
    <w:rsid w:val="54FAF1CE"/>
    <w:rsid w:val="5D0D7E83"/>
    <w:rsid w:val="5FEF1F56"/>
    <w:rsid w:val="6BEF26BF"/>
    <w:rsid w:val="6DB1683D"/>
    <w:rsid w:val="73D3A9A6"/>
    <w:rsid w:val="77FA6BA9"/>
    <w:rsid w:val="7BFF840F"/>
    <w:rsid w:val="9FFE21F1"/>
    <w:rsid w:val="C7FF01FC"/>
    <w:rsid w:val="CAFF5198"/>
    <w:rsid w:val="DCFE50FF"/>
    <w:rsid w:val="DEFF8B6A"/>
    <w:rsid w:val="DFFE7AAC"/>
    <w:rsid w:val="EF867B08"/>
    <w:rsid w:val="EFBF0A1A"/>
    <w:rsid w:val="EFEEDE75"/>
    <w:rsid w:val="F2D32CBE"/>
    <w:rsid w:val="F5FA06D5"/>
    <w:rsid w:val="F77CDEA5"/>
    <w:rsid w:val="F9EF50C4"/>
    <w:rsid w:val="FE6DA3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30"/>
      <w:szCs w:val="30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annotation reference"/>
    <w:basedOn w:val="7"/>
    <w:uiPriority w:val="0"/>
    <w:rPr>
      <w:sz w:val="16"/>
      <w:szCs w:val="16"/>
    </w:rPr>
  </w:style>
  <w:style w:type="table" w:customStyle="1" w:styleId="9">
    <w:name w:val="Table Normal_0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3481</Words>
  <Characters>3696</Characters>
  <Lines>0</Lines>
  <Paragraphs>0</Paragraphs>
  <TotalTime>22</TotalTime>
  <ScaleCrop>false</ScaleCrop>
  <LinksUpToDate>false</LinksUpToDate>
  <CharactersWithSpaces>4047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2026-03-11T06:10:00Z</dcterms:created>
  <dc:creator>26811</dc:creator>
  <cp:lastModifiedBy>　　　　　　　　</cp:lastModifiedBy>
  <dcterms:modified xsi:type="dcterms:W3CDTF">2026-04-03T05:22:56Z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2026-03-10T14:10:42Z</vt:filetime>
  </property>
  <property fmtid="{D5CDD505-2E9C-101B-9397-08002B2CF9AE}" pid="3" name="CRO">
    <vt:lpwstr>wqlLaW5nc29mdCBQREYgdG8gV1BTIDExMEI</vt:lpwstr>
  </property>
  <property fmtid="{D5CDD505-2E9C-101B-9397-08002B2CF9AE}" pid="4" name="ICV">
    <vt:lpwstr>0DB549EBCB03616C9EFBB9698FD3C354_43</vt:lpwstr>
  </property>
  <property fmtid="{D5CDD505-2E9C-101B-9397-08002B2CF9AE}" pid="5" name="KSOProductBuildVer">
    <vt:lpwstr>2052-12.1.0.22175</vt:lpwstr>
  </property>
  <property fmtid="{D5CDD505-2E9C-101B-9397-08002B2CF9AE}" pid="6" name="KSOTemplateDocerSaveRecord">
    <vt:lpwstr>eyJoZGlkIjoiNTI0MDRhOWQ5ZjZlN2Y1NmUxY2I3MjU5ZDM5M2NiY2MiLCJ1c2VySWQiOiIyNjg1NzA4OTMifQ==</vt:lpwstr>
  </property>
  <property fmtid="{D5CDD505-2E9C-101B-9397-08002B2CF9AE}" pid="7" name="UsrData">
    <vt:lpwstr>69afb5da63149100201ae4f7wl</vt:lpwstr>
  </property>
</Properties>
</file>