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1A9EF">
      <w:pPr>
        <w:spacing w:line="400" w:lineRule="atLeast"/>
        <w:jc w:val="center"/>
        <w:rPr>
          <w:rFonts w:hint="eastAsia"/>
          <w:b/>
          <w:bCs/>
          <w:sz w:val="32"/>
          <w:szCs w:val="32"/>
        </w:rPr>
      </w:pPr>
      <w:r>
        <w:rPr>
          <w:rFonts w:hint="eastAsia"/>
          <w:b/>
          <w:bCs/>
          <w:sz w:val="32"/>
          <w:szCs w:val="32"/>
          <w:lang w:val="en-US" w:eastAsia="zh-CN"/>
        </w:rPr>
        <w:t>工程量清单</w:t>
      </w:r>
      <w:r>
        <w:rPr>
          <w:rFonts w:hint="eastAsia"/>
          <w:b/>
          <w:bCs/>
          <w:sz w:val="32"/>
          <w:szCs w:val="32"/>
        </w:rPr>
        <w:t>编制说明</w:t>
      </w:r>
    </w:p>
    <w:p w14:paraId="3420B5F6">
      <w:pPr>
        <w:spacing w:line="400" w:lineRule="atLeast"/>
        <w:jc w:val="left"/>
        <w:rPr>
          <w:rFonts w:hint="eastAsia" w:ascii="微软雅黑" w:hAnsi="微软雅黑" w:eastAsia="微软雅黑" w:cs="微软雅黑"/>
          <w:kern w:val="2"/>
          <w:sz w:val="22"/>
          <w:szCs w:val="22"/>
          <w:lang w:val="en-US" w:eastAsia="zh-CN" w:bidi="ar-SA"/>
        </w:rPr>
      </w:pPr>
      <w:r>
        <w:rPr>
          <w:rFonts w:hint="eastAsia" w:ascii="微软雅黑" w:hAnsi="微软雅黑" w:eastAsia="微软雅黑" w:cs="微软雅黑"/>
          <w:sz w:val="22"/>
          <w:szCs w:val="22"/>
        </w:rPr>
        <w:t>工程名称</w:t>
      </w:r>
      <w:r>
        <w:rPr>
          <w:rFonts w:hint="eastAsia" w:ascii="微软雅黑" w:hAnsi="微软雅黑" w:eastAsia="微软雅黑" w:cs="微软雅黑"/>
          <w:kern w:val="2"/>
          <w:sz w:val="22"/>
          <w:szCs w:val="22"/>
          <w:lang w:val="en-US" w:eastAsia="zh-CN" w:bidi="ar-SA"/>
        </w:rPr>
        <w:t>：零碳产业园西片区新能源正极材料项目建设用地强夯工程</w:t>
      </w:r>
    </w:p>
    <w:tbl>
      <w:tblPr>
        <w:tblStyle w:val="4"/>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14:paraId="1A9A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43" w:hRule="atLeast"/>
        </w:trPr>
        <w:tc>
          <w:tcPr>
            <w:tcW w:w="9540" w:type="dxa"/>
          </w:tcPr>
          <w:p w14:paraId="416352CF">
            <w:pPr>
              <w:numPr>
                <w:ilvl w:val="0"/>
                <w:numId w:val="0"/>
              </w:numPr>
              <w:ind w:leftChars="0"/>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一、工程概况：</w:t>
            </w:r>
          </w:p>
          <w:p w14:paraId="503C6CD7">
            <w:pPr>
              <w:ind w:firstLine="440" w:firstLineChars="200"/>
              <w:jc w:val="both"/>
              <w:rPr>
                <w:rFonts w:hint="eastAsia" w:ascii="微软雅黑" w:hAnsi="微软雅黑" w:eastAsia="微软雅黑" w:cs="微软雅黑"/>
                <w:kern w:val="2"/>
                <w:sz w:val="22"/>
                <w:szCs w:val="22"/>
                <w:lang w:val="en-US" w:eastAsia="zh-CN" w:bidi="ar-SA"/>
              </w:rPr>
            </w:pPr>
            <w:r>
              <w:rPr>
                <w:rFonts w:hint="eastAsia" w:ascii="微软雅黑" w:hAnsi="微软雅黑" w:eastAsia="微软雅黑" w:cs="微软雅黑"/>
                <w:kern w:val="2"/>
                <w:sz w:val="22"/>
                <w:szCs w:val="22"/>
                <w:lang w:val="en-US" w:eastAsia="zh-CN" w:bidi="ar-SA"/>
              </w:rPr>
              <w:t>1、</w:t>
            </w:r>
            <w:r>
              <w:rPr>
                <w:rFonts w:hint="eastAsia" w:ascii="微软雅黑" w:hAnsi="微软雅黑" w:eastAsia="微软雅黑" w:cs="微软雅黑"/>
                <w:kern w:val="2"/>
                <w:sz w:val="22"/>
                <w:szCs w:val="22"/>
                <w:highlight w:val="none"/>
                <w:lang w:val="en-US" w:eastAsia="zh-CN" w:bidi="ar-SA"/>
              </w:rPr>
              <w:t>本项目为</w:t>
            </w:r>
            <w:r>
              <w:rPr>
                <w:rFonts w:hint="eastAsia" w:ascii="微软雅黑" w:hAnsi="微软雅黑" w:eastAsia="微软雅黑" w:cs="微软雅黑"/>
                <w:kern w:val="2"/>
                <w:sz w:val="22"/>
                <w:szCs w:val="22"/>
                <w:lang w:val="en-US" w:eastAsia="zh-CN" w:bidi="ar-SA"/>
              </w:rPr>
              <w:t>零碳产业园西片区新能源正极材料项目建设用地强夯工程，包含地坪强夯等工程。</w:t>
            </w:r>
          </w:p>
          <w:p w14:paraId="303A5F3F">
            <w:pPr>
              <w:numPr>
                <w:ilvl w:val="0"/>
                <w:numId w:val="0"/>
              </w:numPr>
              <w:ind w:leftChars="0"/>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二、编制依据：</w:t>
            </w:r>
          </w:p>
          <w:p w14:paraId="49172293">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1、依据</w:t>
            </w:r>
            <w:r>
              <w:rPr>
                <w:rFonts w:hint="eastAsia" w:ascii="微软雅黑" w:hAnsi="微软雅黑" w:eastAsia="微软雅黑" w:cs="微软雅黑"/>
                <w:kern w:val="2"/>
                <w:sz w:val="22"/>
                <w:szCs w:val="22"/>
                <w:lang w:val="en-US" w:eastAsia="zh-CN" w:bidi="ar-SA"/>
              </w:rPr>
              <w:t>零碳产业园西片区新能源正极材料项目建设用地强夯工程</w:t>
            </w:r>
            <w:r>
              <w:rPr>
                <w:rFonts w:hint="eastAsia" w:ascii="微软雅黑" w:hAnsi="微软雅黑" w:eastAsia="微软雅黑" w:cs="微软雅黑"/>
                <w:kern w:val="2"/>
                <w:sz w:val="22"/>
                <w:szCs w:val="22"/>
                <w:highlight w:val="none"/>
                <w:lang w:val="en-US" w:eastAsia="zh-CN" w:bidi="ar-SA"/>
              </w:rPr>
              <w:t>的图纸；</w:t>
            </w:r>
          </w:p>
          <w:p w14:paraId="4FF4491F">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2、依据《建设工程工程量清单计价规范（GB 50500-2024）》、《市政工程工程量计价规范（GB50857-2024）》等以及相关法律法规及规范规定编制；</w:t>
            </w:r>
          </w:p>
          <w:p w14:paraId="7647ECC6">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3、规费依据内建标函[2019]468号文《关于调整内蒙古自治区建设工程计价依据规费中养老保险费率的通知》为19%；</w:t>
            </w:r>
          </w:p>
          <w:p w14:paraId="7E2AD2C8">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4、税金依据内建标[2019]113号文《关于调整内蒙古自治区建设工程计价依据增值税税率的通知》为9%；</w:t>
            </w:r>
          </w:p>
          <w:p w14:paraId="0CB62DFA">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5、材料价格执行鄂尔多斯市伊金霍洛旗2025年10月信息价，伊金霍洛旗没有的材料价执行东胜区信息价及周边市场询价。</w:t>
            </w:r>
          </w:p>
          <w:p w14:paraId="18160228">
            <w:pPr>
              <w:numPr>
                <w:ilvl w:val="0"/>
                <w:numId w:val="0"/>
              </w:numPr>
              <w:ind w:leftChars="0"/>
              <w:rPr>
                <w:rFonts w:hint="eastAsia" w:ascii="宋体" w:hAnsi="宋体" w:eastAsia="宋体" w:cs="宋体"/>
                <w:b/>
                <w:bCs/>
                <w:kern w:val="2"/>
                <w:sz w:val="28"/>
                <w:szCs w:val="28"/>
                <w:lang w:val="en-US" w:eastAsia="zh-CN" w:bidi="ar-SA"/>
              </w:rPr>
            </w:pPr>
            <w:r>
              <w:rPr>
                <w:rFonts w:hint="eastAsia" w:ascii="宋体" w:hAnsi="宋体" w:eastAsia="宋体" w:cs="宋体"/>
                <w:b/>
                <w:bCs/>
                <w:kern w:val="2"/>
                <w:sz w:val="28"/>
                <w:szCs w:val="28"/>
                <w:lang w:val="en-US" w:eastAsia="zh-CN" w:bidi="ar-SA"/>
              </w:rPr>
              <w:t>三、其他说明</w:t>
            </w:r>
          </w:p>
          <w:p w14:paraId="62407A75">
            <w:pPr>
              <w:pStyle w:val="3"/>
              <w:keepNext w:val="0"/>
              <w:keepLines w:val="0"/>
              <w:widowControl/>
              <w:suppressLineNumbers w:val="0"/>
              <w:spacing w:before="0" w:beforeAutospacing="0" w:after="0" w:afterAutospacing="0"/>
              <w:ind w:right="0" w:firstLine="440" w:firstLineChars="200"/>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1、建筑工人实名制暂不计取；</w:t>
            </w:r>
          </w:p>
          <w:p w14:paraId="4AFF303A">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 xml:space="preserve">2、材料检验试验费暂不计取； </w:t>
            </w:r>
          </w:p>
          <w:p w14:paraId="5144854D">
            <w:pPr>
              <w:ind w:firstLine="440" w:firstLineChars="200"/>
              <w:jc w:val="both"/>
              <w:rPr>
                <w:rFonts w:hint="default"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3、安全生产费计提费用暂不计取，结算时应根据经建设单位、监理单位、监督单位及安全生产管理部门批复的安全生产施工方案结合实际投入情况据实结算；</w:t>
            </w:r>
          </w:p>
          <w:p w14:paraId="7500BF30">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4、材料暂估价，详各单位工程材料（工程设备）暂估单价及调整表；</w:t>
            </w:r>
          </w:p>
          <w:p w14:paraId="11C7F14D">
            <w:pPr>
              <w:ind w:firstLine="440" w:firstLineChars="200"/>
              <w:jc w:val="both"/>
              <w:rPr>
                <w:rFonts w:hint="eastAsia" w:ascii="微软雅黑" w:hAnsi="微软雅黑" w:eastAsia="微软雅黑" w:cs="微软雅黑"/>
                <w:kern w:val="2"/>
                <w:sz w:val="22"/>
                <w:szCs w:val="22"/>
                <w:highlight w:val="none"/>
                <w:lang w:val="en-US" w:eastAsia="zh-CN" w:bidi="ar-SA"/>
              </w:rPr>
            </w:pPr>
            <w:r>
              <w:rPr>
                <w:rFonts w:hint="eastAsia" w:ascii="微软雅黑" w:hAnsi="微软雅黑" w:eastAsia="微软雅黑" w:cs="微软雅黑"/>
                <w:kern w:val="2"/>
                <w:sz w:val="22"/>
                <w:szCs w:val="22"/>
                <w:highlight w:val="none"/>
                <w:lang w:val="en-US" w:eastAsia="zh-CN" w:bidi="ar-SA"/>
              </w:rPr>
              <w:t>5、综合单价暂估详见工程量清单特征描述；</w:t>
            </w:r>
          </w:p>
          <w:p w14:paraId="5FDFFC26">
            <w:pPr>
              <w:ind w:firstLine="440" w:firstLineChars="200"/>
              <w:jc w:val="both"/>
              <w:rPr>
                <w:rFonts w:hint="default" w:ascii="仿宋_GB2312" w:hAnsi="仿宋_GB2312" w:eastAsia="仿宋_GB2312" w:cs="仿宋_GB2312"/>
                <w:sz w:val="28"/>
                <w:szCs w:val="28"/>
                <w:lang w:val="en-US" w:eastAsia="zh-CN"/>
              </w:rPr>
            </w:pPr>
            <w:r>
              <w:rPr>
                <w:rFonts w:hint="eastAsia" w:ascii="微软雅黑" w:hAnsi="微软雅黑" w:eastAsia="微软雅黑" w:cs="微软雅黑"/>
                <w:kern w:val="2"/>
                <w:sz w:val="22"/>
                <w:szCs w:val="22"/>
                <w:highlight w:val="none"/>
                <w:lang w:val="en-US" w:eastAsia="zh-CN" w:bidi="ar-SA"/>
              </w:rPr>
              <w:t>6、其他未尽事宜详见各工程量清单项目特征描述。</w:t>
            </w:r>
            <w:bookmarkStart w:id="0" w:name="_GoBack"/>
            <w:bookmarkEnd w:id="0"/>
          </w:p>
        </w:tc>
      </w:tr>
    </w:tbl>
    <w:p w14:paraId="312DE305">
      <w:pPr>
        <w:tabs>
          <w:tab w:val="left" w:pos="1643"/>
        </w:tabs>
        <w:bidi w:val="0"/>
        <w:jc w:val="left"/>
        <w:rPr>
          <w:lang w:val="en-US" w:eastAsia="zh-CN"/>
        </w:rPr>
      </w:pPr>
    </w:p>
    <w:sectPr>
      <w:headerReference r:id="rId3" w:type="default"/>
      <w:pgSz w:w="11906" w:h="16838"/>
      <w:pgMar w:top="0" w:right="1860" w:bottom="1389" w:left="186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3B49EC">
    <w:pPr>
      <w:pStyle w:val="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8401BD"/>
    <w:rsid w:val="5F3A3723"/>
    <w:rsid w:val="7EB64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507</Words>
  <Characters>551</Characters>
  <Paragraphs>42</Paragraphs>
  <TotalTime>3</TotalTime>
  <ScaleCrop>false</ScaleCrop>
  <LinksUpToDate>false</LinksUpToDate>
  <CharactersWithSpaces>553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2025-12-11T01:31:00Z</dcterms:created>
  <dc:creator>多么哇塞的姑娘</dc:creator>
  <cp:lastModifiedBy>铭记</cp:lastModifiedBy>
  <dcterms:modified xsi:type="dcterms:W3CDTF">2026-01-22T07:02:07Z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41d5bc95c1d940e5b22fdc18e70383fb_23</vt:lpwstr>
  </property>
  <property fmtid="{D5CDD505-2E9C-101B-9397-08002B2CF9AE}" pid="4" name="KSOTemplateDocerSaveRecord">
    <vt:lpwstr>eyJoZGlkIjoiZWQ3MGVhNTU5Njk4Y2FhNGJhYzQ1NWE0ZWI2ZWMyMjAiLCJ1c2VySWQiOiI0MDU0NzAyMDYifQ==</vt:lpwstr>
  </property>
</Properties>
</file>