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539" w:tblpY="2786"/>
        <w:tblOverlap w:val="never"/>
        <w:tblW w:w="52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59"/>
        <w:gridCol w:w="2303"/>
        <w:gridCol w:w="2160"/>
        <w:gridCol w:w="1715"/>
      </w:tblGrid>
      <w:tr w14:paraId="5CB2E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380" w:type="pct"/>
            <w:shd w:val="clear" w:color="auto" w:fill="FFFFFF" w:themeFill="background1"/>
            <w:vAlign w:val="center"/>
          </w:tcPr>
          <w:p w14:paraId="356E72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068" w:type="pct"/>
            <w:shd w:val="clear" w:color="auto" w:fill="FFFFFF" w:themeFill="background1"/>
            <w:vAlign w:val="center"/>
          </w:tcPr>
          <w:p w14:paraId="78168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材料设备名称</w:t>
            </w:r>
          </w:p>
        </w:tc>
        <w:tc>
          <w:tcPr>
            <w:tcW w:w="1323" w:type="pct"/>
            <w:shd w:val="clear" w:color="auto" w:fill="FFFFFF" w:themeFill="background1"/>
            <w:vAlign w:val="center"/>
          </w:tcPr>
          <w:p w14:paraId="49DDF6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参考品牌</w:t>
            </w:r>
          </w:p>
        </w:tc>
        <w:tc>
          <w:tcPr>
            <w:tcW w:w="1241" w:type="pct"/>
            <w:shd w:val="clear" w:color="auto" w:fill="FFFFFF" w:themeFill="background1"/>
            <w:vAlign w:val="center"/>
          </w:tcPr>
          <w:p w14:paraId="634D80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投标品牌</w:t>
            </w:r>
          </w:p>
        </w:tc>
        <w:tc>
          <w:tcPr>
            <w:tcW w:w="985" w:type="pct"/>
            <w:shd w:val="clear" w:color="auto" w:fill="FFFFFF" w:themeFill="background1"/>
            <w:vAlign w:val="center"/>
          </w:tcPr>
          <w:p w14:paraId="4EDB08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4BC9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80" w:type="pct"/>
            <w:shd w:val="clear" w:color="auto" w:fill="FFFFFF" w:themeFill="background1"/>
            <w:vAlign w:val="center"/>
          </w:tcPr>
          <w:p w14:paraId="4F5FBF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68" w:type="pct"/>
            <w:shd w:val="clear" w:color="auto" w:fill="FFFFFF" w:themeFill="background1"/>
            <w:vAlign w:val="center"/>
          </w:tcPr>
          <w:p w14:paraId="05ECD8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橡胶面层</w:t>
            </w:r>
          </w:p>
        </w:tc>
        <w:tc>
          <w:tcPr>
            <w:tcW w:w="1323" w:type="pct"/>
            <w:shd w:val="clear" w:color="auto" w:fill="FFFFFF" w:themeFill="background1"/>
            <w:vAlign w:val="center"/>
          </w:tcPr>
          <w:p w14:paraId="680727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w w:val="103"/>
                <w:sz w:val="24"/>
                <w:szCs w:val="24"/>
                <w:u w:val="none"/>
                <w:lang w:val="en-US" w:eastAsia="zh-CN"/>
              </w:rPr>
              <w:t>相当于纽威特、同欣、杰锐同档次及以上产品</w:t>
            </w:r>
          </w:p>
        </w:tc>
        <w:tc>
          <w:tcPr>
            <w:tcW w:w="1241" w:type="pct"/>
            <w:shd w:val="clear" w:color="auto" w:fill="FFFFFF" w:themeFill="background1"/>
            <w:vAlign w:val="center"/>
          </w:tcPr>
          <w:p w14:paraId="6357A4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5" w:type="pct"/>
            <w:shd w:val="clear" w:color="auto" w:fill="FFFFFF" w:themeFill="background1"/>
            <w:vAlign w:val="center"/>
          </w:tcPr>
          <w:p w14:paraId="44DDFC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A6C4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380" w:type="pct"/>
            <w:shd w:val="clear" w:color="auto" w:fill="FFFFFF" w:themeFill="background1"/>
            <w:vAlign w:val="center"/>
          </w:tcPr>
          <w:p w14:paraId="77B211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068" w:type="pct"/>
            <w:shd w:val="clear" w:color="auto" w:fill="FFFFFF" w:themeFill="background1"/>
            <w:vAlign w:val="center"/>
          </w:tcPr>
          <w:p w14:paraId="25980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3" w:type="pct"/>
            <w:shd w:val="clear" w:color="auto" w:fill="FFFFFF" w:themeFill="background1"/>
            <w:vAlign w:val="center"/>
          </w:tcPr>
          <w:p w14:paraId="23FE78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41" w:type="pct"/>
            <w:shd w:val="clear" w:color="auto" w:fill="FFFFFF" w:themeFill="background1"/>
            <w:vAlign w:val="center"/>
          </w:tcPr>
          <w:p w14:paraId="5B91B4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5" w:type="pct"/>
            <w:shd w:val="clear" w:color="auto" w:fill="FFFFFF" w:themeFill="background1"/>
            <w:vAlign w:val="center"/>
          </w:tcPr>
          <w:p w14:paraId="475833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6390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380" w:type="pct"/>
            <w:shd w:val="clear" w:color="auto" w:fill="FFFFFF" w:themeFill="background1"/>
            <w:vAlign w:val="center"/>
          </w:tcPr>
          <w:p w14:paraId="1E075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068" w:type="pct"/>
            <w:shd w:val="clear" w:color="auto" w:fill="FFFFFF" w:themeFill="background1"/>
            <w:vAlign w:val="center"/>
          </w:tcPr>
          <w:p w14:paraId="6268C8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3" w:type="pct"/>
            <w:shd w:val="clear" w:color="auto" w:fill="FFFFFF" w:themeFill="background1"/>
            <w:vAlign w:val="center"/>
          </w:tcPr>
          <w:p w14:paraId="20F894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41" w:type="pct"/>
            <w:shd w:val="clear" w:color="auto" w:fill="FFFFFF" w:themeFill="background1"/>
            <w:vAlign w:val="center"/>
          </w:tcPr>
          <w:p w14:paraId="34C613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5" w:type="pct"/>
            <w:shd w:val="clear" w:color="auto" w:fill="FFFFFF" w:themeFill="background1"/>
            <w:vAlign w:val="center"/>
          </w:tcPr>
          <w:p w14:paraId="0E3701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6987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380" w:type="pct"/>
            <w:shd w:val="clear" w:color="auto" w:fill="FFFFFF" w:themeFill="background1"/>
            <w:vAlign w:val="center"/>
          </w:tcPr>
          <w:p w14:paraId="631757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068" w:type="pct"/>
            <w:shd w:val="clear" w:color="auto" w:fill="FFFFFF" w:themeFill="background1"/>
            <w:vAlign w:val="center"/>
          </w:tcPr>
          <w:p w14:paraId="20E324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3" w:type="pct"/>
            <w:shd w:val="clear" w:color="auto" w:fill="FFFFFF" w:themeFill="background1"/>
            <w:vAlign w:val="center"/>
          </w:tcPr>
          <w:p w14:paraId="3467DE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41" w:type="pct"/>
            <w:shd w:val="clear" w:color="auto" w:fill="FFFFFF" w:themeFill="background1"/>
            <w:vAlign w:val="center"/>
          </w:tcPr>
          <w:p w14:paraId="2E149E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5" w:type="pct"/>
            <w:shd w:val="clear" w:color="auto" w:fill="FFFFFF" w:themeFill="background1"/>
            <w:vAlign w:val="center"/>
          </w:tcPr>
          <w:p w14:paraId="40FB8B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6A188908">
      <w:pPr>
        <w:jc w:val="center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 w:eastAsia="宋体"/>
          <w:b/>
          <w:bCs/>
          <w:sz w:val="24"/>
          <w:szCs w:val="24"/>
          <w:lang w:val="en-US" w:eastAsia="zh-CN"/>
        </w:rPr>
        <w:t>附表、主要材料、设备性能技术指标参考表</w:t>
      </w:r>
    </w:p>
    <w:p w14:paraId="01230A1B"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4C216916"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工程名称：鄂尔多斯市体育事业发展中心体育场田径场地升级改造项目</w:t>
      </w:r>
    </w:p>
    <w:p w14:paraId="0600C5EB"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55BA3308"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0A6FC4BE">
      <w:pPr>
        <w:ind w:firstLine="482" w:firstLineChars="200"/>
        <w:jc w:val="both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备注：此表要求必须填报，否则按废标处理。材料设备要求投标方必须填报一个品牌，且投标品牌、档次须相当于或者高于参考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品牌。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B6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2026-03-24T10:28:36Z</dcterms:created>
  <dc:creator>Administrator</dc:creator>
  <cp:lastModifiedBy>郭东</cp:lastModifiedBy>
  <dcterms:modified xsi:type="dcterms:W3CDTF">2026-03-24T10:42:08Z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eyJoZGlkIjoiMmNmZTM1Y2U2ODEyMzc3Mzk1ZjVmNGY1ZDk0YWVhOTAiLCJ1c2VySWQiOiI1ODQ1MDI0MzIifQ==</vt:lpwstr>
  </property>
  <property fmtid="{D5CDD505-2E9C-101B-9397-08002B2CF9AE}" pid="4" name="ICV">
    <vt:lpwstr>C458E85602BB4859A9BC6AC7E157C8C3_12</vt:lpwstr>
  </property>
</Properties>
</file>