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58365">
      <w:pPr>
        <w:keepNext w:val="0"/>
        <w:keepLines w:val="0"/>
        <w:widowControl/>
        <w:suppressLineNumbers w:val="0"/>
        <w:jc w:val="both"/>
        <w:textAlignment w:val="center"/>
        <w:rPr>
          <w:rFonts w:hint="default" w:ascii="黑体" w:hAnsi="黑体" w:eastAsia="黑体" w:cs="黑体"/>
          <w:b/>
          <w:bCs/>
          <w:i w:val="0"/>
          <w:iCs w:val="0"/>
          <w:color w:val="000000"/>
          <w:sz w:val="36"/>
          <w:szCs w:val="36"/>
          <w:u w:val="none"/>
          <w:lang w:val="en-US" w:eastAsia="zh-CN"/>
        </w:rPr>
      </w:pPr>
      <w:r>
        <w:rPr>
          <w:rFonts w:hint="eastAsia" w:ascii="黑体" w:hAnsi="黑体" w:eastAsia="黑体" w:cs="黑体"/>
          <w:b/>
          <w:bCs/>
          <w:i w:val="0"/>
          <w:iCs w:val="0"/>
          <w:color w:val="000000"/>
          <w:sz w:val="36"/>
          <w:szCs w:val="36"/>
          <w:u w:val="none"/>
          <w:lang w:val="en-US" w:eastAsia="zh-CN"/>
        </w:rPr>
        <w:t>附件：</w:t>
      </w:r>
    </w:p>
    <w:tbl>
      <w:tblPr>
        <w:tblW w:w="82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76"/>
        <w:gridCol w:w="1112"/>
        <w:gridCol w:w="5256"/>
        <w:gridCol w:w="543"/>
        <w:gridCol w:w="873"/>
      </w:tblGrid>
      <w:tr w14:paraId="7FF50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12" w:hRule="atLeast"/>
        </w:trPr>
        <w:tc>
          <w:tcPr>
            <w:tcW w:w="8260" w:type="dxa"/>
            <w:gridSpan w:val="5"/>
            <w:vMerge w:val="restart"/>
            <w:tcBorders>
              <w:top w:val="nil"/>
              <w:left w:val="nil"/>
              <w:bottom w:val="nil"/>
              <w:right w:val="nil"/>
            </w:tcBorders>
            <w:shd w:val="clear"/>
            <w:vAlign w:val="center"/>
          </w:tcPr>
          <w:p w14:paraId="720CF81D">
            <w:pPr>
              <w:keepNext w:val="0"/>
              <w:keepLines w:val="0"/>
              <w:widowControl/>
              <w:suppressLineNumbers w:val="0"/>
              <w:jc w:val="center"/>
              <w:textAlignment w:val="center"/>
              <w:rPr>
                <w:rFonts w:hint="eastAsia" w:ascii="黑体" w:hAnsi="黑体" w:eastAsia="黑体" w:cs="黑体"/>
                <w:b/>
                <w:bCs/>
                <w:i w:val="0"/>
                <w:iCs w:val="0"/>
                <w:color w:val="000000"/>
                <w:sz w:val="21"/>
                <w:szCs w:val="21"/>
                <w:u w:val="none"/>
                <w:lang w:val="en-US" w:eastAsia="zh-CN"/>
              </w:rPr>
            </w:pPr>
            <w:bookmarkStart w:id="0" w:name="_GoBack"/>
            <w:r>
              <w:rPr>
                <w:rFonts w:hint="eastAsia" w:ascii="黑体" w:hAnsi="黑体" w:eastAsia="黑体" w:cs="黑体"/>
                <w:b/>
                <w:bCs/>
                <w:i w:val="0"/>
                <w:iCs w:val="0"/>
                <w:color w:val="000000"/>
                <w:sz w:val="36"/>
                <w:szCs w:val="36"/>
                <w:u w:val="none"/>
                <w:lang w:val="en-US" w:eastAsia="zh-CN"/>
              </w:rPr>
              <w:t>技术参数要求</w:t>
            </w:r>
            <w:bookmarkEnd w:id="0"/>
          </w:p>
        </w:tc>
      </w:tr>
      <w:tr w14:paraId="77FEA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8260" w:type="dxa"/>
            <w:gridSpan w:val="5"/>
            <w:vMerge w:val="continue"/>
            <w:tcBorders>
              <w:top w:val="nil"/>
              <w:left w:val="nil"/>
              <w:bottom w:val="nil"/>
              <w:right w:val="nil"/>
            </w:tcBorders>
            <w:shd w:val="clear"/>
            <w:vAlign w:val="center"/>
          </w:tcPr>
          <w:p w14:paraId="03A7F1BD">
            <w:pPr>
              <w:jc w:val="center"/>
              <w:rPr>
                <w:rFonts w:hint="eastAsia" w:ascii="黑体" w:hAnsi="黑体" w:eastAsia="黑体" w:cs="黑体"/>
                <w:b/>
                <w:bCs/>
                <w:i w:val="0"/>
                <w:iCs w:val="0"/>
                <w:color w:val="000000"/>
                <w:sz w:val="21"/>
                <w:szCs w:val="21"/>
                <w:u w:val="none"/>
              </w:rPr>
            </w:pPr>
          </w:p>
        </w:tc>
      </w:tr>
      <w:tr w14:paraId="13EEB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8" w:space="0"/>
              <w:left w:val="single" w:color="000000" w:sz="8" w:space="0"/>
              <w:bottom w:val="single" w:color="000000" w:sz="4" w:space="0"/>
              <w:right w:val="single" w:color="000000" w:sz="4" w:space="0"/>
            </w:tcBorders>
            <w:shd w:val="clear"/>
            <w:vAlign w:val="center"/>
          </w:tcPr>
          <w:p w14:paraId="7BB4A724">
            <w:pPr>
              <w:keepNext w:val="0"/>
              <w:keepLines w:val="0"/>
              <w:widowControl/>
              <w:suppressLineNumbers w:val="0"/>
              <w:jc w:val="center"/>
              <w:textAlignment w:val="center"/>
              <w:rPr>
                <w:rFonts w:hint="eastAsia" w:ascii="黑体" w:hAnsi="黑体" w:eastAsia="黑体" w:cs="黑体"/>
                <w:b/>
                <w:bCs/>
                <w:i w:val="0"/>
                <w:iCs w:val="0"/>
                <w:color w:val="000000"/>
                <w:sz w:val="21"/>
                <w:szCs w:val="21"/>
                <w:u w:val="none"/>
              </w:rPr>
            </w:pPr>
            <w:r>
              <w:rPr>
                <w:rFonts w:hint="eastAsia" w:ascii="黑体" w:hAnsi="黑体" w:eastAsia="黑体" w:cs="黑体"/>
                <w:b/>
                <w:bCs/>
                <w:i w:val="0"/>
                <w:iCs w:val="0"/>
                <w:color w:val="000000"/>
                <w:kern w:val="0"/>
                <w:sz w:val="21"/>
                <w:szCs w:val="21"/>
                <w:u w:val="none"/>
                <w:bdr w:val="none" w:color="auto" w:sz="0" w:space="0"/>
                <w:lang w:val="en-US" w:eastAsia="zh-CN" w:bidi="ar"/>
              </w:rPr>
              <w:t>序号</w:t>
            </w:r>
          </w:p>
        </w:tc>
        <w:tc>
          <w:tcPr>
            <w:tcW w:w="1112" w:type="dxa"/>
            <w:tcBorders>
              <w:top w:val="single" w:color="000000" w:sz="8" w:space="0"/>
              <w:left w:val="single" w:color="000000" w:sz="4" w:space="0"/>
              <w:bottom w:val="single" w:color="000000" w:sz="4" w:space="0"/>
              <w:right w:val="single" w:color="000000" w:sz="4" w:space="0"/>
            </w:tcBorders>
            <w:shd w:val="clear"/>
            <w:vAlign w:val="center"/>
          </w:tcPr>
          <w:p w14:paraId="0A4222EA">
            <w:pPr>
              <w:keepNext w:val="0"/>
              <w:keepLines w:val="0"/>
              <w:widowControl/>
              <w:suppressLineNumbers w:val="0"/>
              <w:jc w:val="center"/>
              <w:textAlignment w:val="center"/>
              <w:rPr>
                <w:rFonts w:hint="eastAsia" w:ascii="黑体" w:hAnsi="黑体" w:eastAsia="黑体" w:cs="黑体"/>
                <w:b/>
                <w:bCs/>
                <w:i w:val="0"/>
                <w:iCs w:val="0"/>
                <w:color w:val="000000"/>
                <w:sz w:val="21"/>
                <w:szCs w:val="21"/>
                <w:u w:val="none"/>
              </w:rPr>
            </w:pPr>
            <w:r>
              <w:rPr>
                <w:rFonts w:hint="eastAsia" w:ascii="黑体" w:hAnsi="黑体" w:eastAsia="黑体" w:cs="黑体"/>
                <w:b/>
                <w:bCs/>
                <w:i w:val="0"/>
                <w:iCs w:val="0"/>
                <w:color w:val="000000"/>
                <w:kern w:val="0"/>
                <w:sz w:val="21"/>
                <w:szCs w:val="21"/>
                <w:u w:val="none"/>
                <w:bdr w:val="none" w:color="auto" w:sz="0" w:space="0"/>
                <w:lang w:val="en-US" w:eastAsia="zh-CN" w:bidi="ar"/>
              </w:rPr>
              <w:t>产品名称</w:t>
            </w:r>
          </w:p>
        </w:tc>
        <w:tc>
          <w:tcPr>
            <w:tcW w:w="5256" w:type="dxa"/>
            <w:tcBorders>
              <w:top w:val="single" w:color="000000" w:sz="8" w:space="0"/>
              <w:left w:val="single" w:color="000000" w:sz="4" w:space="0"/>
              <w:bottom w:val="single" w:color="000000" w:sz="4" w:space="0"/>
              <w:right w:val="single" w:color="000000" w:sz="4" w:space="0"/>
            </w:tcBorders>
            <w:shd w:val="clear"/>
            <w:vAlign w:val="center"/>
          </w:tcPr>
          <w:p w14:paraId="2577759C">
            <w:pPr>
              <w:keepNext w:val="0"/>
              <w:keepLines w:val="0"/>
              <w:widowControl/>
              <w:suppressLineNumbers w:val="0"/>
              <w:jc w:val="center"/>
              <w:textAlignment w:val="center"/>
              <w:rPr>
                <w:rFonts w:hint="eastAsia" w:ascii="黑体" w:hAnsi="黑体" w:eastAsia="黑体" w:cs="黑体"/>
                <w:b/>
                <w:bCs/>
                <w:i w:val="0"/>
                <w:iCs w:val="0"/>
                <w:color w:val="000000"/>
                <w:sz w:val="21"/>
                <w:szCs w:val="21"/>
                <w:u w:val="none"/>
              </w:rPr>
            </w:pPr>
            <w:r>
              <w:rPr>
                <w:rFonts w:hint="eastAsia" w:ascii="黑体" w:hAnsi="黑体" w:eastAsia="黑体" w:cs="黑体"/>
                <w:b/>
                <w:bCs/>
                <w:i w:val="0"/>
                <w:iCs w:val="0"/>
                <w:color w:val="000000"/>
                <w:kern w:val="0"/>
                <w:sz w:val="21"/>
                <w:szCs w:val="21"/>
                <w:u w:val="none"/>
                <w:bdr w:val="none" w:color="auto" w:sz="0" w:space="0"/>
                <w:lang w:val="en-US" w:eastAsia="zh-CN" w:bidi="ar"/>
              </w:rPr>
              <w:t>技术规格</w:t>
            </w:r>
          </w:p>
        </w:tc>
        <w:tc>
          <w:tcPr>
            <w:tcW w:w="543" w:type="dxa"/>
            <w:tcBorders>
              <w:top w:val="single" w:color="000000" w:sz="8" w:space="0"/>
              <w:left w:val="single" w:color="000000" w:sz="4" w:space="0"/>
              <w:bottom w:val="single" w:color="000000" w:sz="4" w:space="0"/>
              <w:right w:val="single" w:color="000000" w:sz="4" w:space="0"/>
            </w:tcBorders>
            <w:shd w:val="clear"/>
            <w:vAlign w:val="center"/>
          </w:tcPr>
          <w:p w14:paraId="507315AB">
            <w:pPr>
              <w:keepNext w:val="0"/>
              <w:keepLines w:val="0"/>
              <w:widowControl/>
              <w:suppressLineNumbers w:val="0"/>
              <w:jc w:val="center"/>
              <w:textAlignment w:val="center"/>
              <w:rPr>
                <w:rFonts w:hint="eastAsia" w:ascii="黑体" w:hAnsi="黑体" w:eastAsia="黑体" w:cs="黑体"/>
                <w:b/>
                <w:bCs/>
                <w:i w:val="0"/>
                <w:iCs w:val="0"/>
                <w:color w:val="000000"/>
                <w:sz w:val="21"/>
                <w:szCs w:val="21"/>
                <w:u w:val="none"/>
              </w:rPr>
            </w:pPr>
            <w:r>
              <w:rPr>
                <w:rFonts w:hint="eastAsia" w:ascii="黑体" w:hAnsi="黑体" w:eastAsia="黑体" w:cs="黑体"/>
                <w:b/>
                <w:bCs/>
                <w:i w:val="0"/>
                <w:iCs w:val="0"/>
                <w:color w:val="000000"/>
                <w:kern w:val="0"/>
                <w:sz w:val="21"/>
                <w:szCs w:val="21"/>
                <w:u w:val="none"/>
                <w:bdr w:val="none" w:color="auto" w:sz="0" w:space="0"/>
                <w:lang w:val="en-US" w:eastAsia="zh-CN" w:bidi="ar"/>
              </w:rPr>
              <w:t>单位</w:t>
            </w:r>
          </w:p>
        </w:tc>
        <w:tc>
          <w:tcPr>
            <w:tcW w:w="873" w:type="dxa"/>
            <w:tcBorders>
              <w:top w:val="single" w:color="000000" w:sz="8" w:space="0"/>
              <w:left w:val="single" w:color="000000" w:sz="4" w:space="0"/>
              <w:bottom w:val="single" w:color="000000" w:sz="4" w:space="0"/>
              <w:right w:val="single" w:color="000000" w:sz="4" w:space="0"/>
            </w:tcBorders>
            <w:shd w:val="clear"/>
            <w:vAlign w:val="center"/>
          </w:tcPr>
          <w:p w14:paraId="543832B1">
            <w:pPr>
              <w:keepNext w:val="0"/>
              <w:keepLines w:val="0"/>
              <w:widowControl/>
              <w:suppressLineNumbers w:val="0"/>
              <w:jc w:val="center"/>
              <w:textAlignment w:val="center"/>
              <w:rPr>
                <w:rFonts w:hint="eastAsia" w:ascii="黑体" w:hAnsi="黑体" w:eastAsia="黑体" w:cs="黑体"/>
                <w:b/>
                <w:bCs/>
                <w:i w:val="0"/>
                <w:iCs w:val="0"/>
                <w:color w:val="000000"/>
                <w:sz w:val="21"/>
                <w:szCs w:val="21"/>
                <w:u w:val="none"/>
              </w:rPr>
            </w:pPr>
            <w:r>
              <w:rPr>
                <w:rFonts w:hint="eastAsia" w:ascii="黑体" w:hAnsi="黑体" w:eastAsia="黑体" w:cs="黑体"/>
                <w:b/>
                <w:bCs/>
                <w:i w:val="0"/>
                <w:iCs w:val="0"/>
                <w:color w:val="000000"/>
                <w:kern w:val="0"/>
                <w:sz w:val="21"/>
                <w:szCs w:val="21"/>
                <w:u w:val="none"/>
                <w:bdr w:val="none" w:color="auto" w:sz="0" w:space="0"/>
                <w:lang w:val="en-US" w:eastAsia="zh-CN" w:bidi="ar"/>
              </w:rPr>
              <w:t>数量</w:t>
            </w:r>
          </w:p>
        </w:tc>
      </w:tr>
      <w:tr w14:paraId="03147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2F7696A3">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06EF3AC1">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交通信号控制机</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587C9FA2">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1.支持北斗授时的方式保证系统的精确时钟</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2.支持单点自适应控制</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3.相位：支持≥64个相位</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4.RS-232接口：≥2</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5.RS-485接口：≥4</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6.灯控板数量：≥3</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7.这次无线遥控器</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8.网口：≥2个RJ45 10M/100M自适应以太网口；其中≥1个可光电复用</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9.配置≥1个USB接口</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10.灯控输出路数≥54，可扩展至≥108路</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11.支持串口</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12.支持≥8路行人按钮输入，≥16路IO输入</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13.支持≥20路无源输出≥4路继电器输出≥16路光耦输出</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14.配置≥1个RS422接口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15.额定功率：&lt;60W</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16.防护等级：≥IP65</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17.单通道驱动功率：≥800 W</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18.工作温湿度：-40℃～+70℃，＜95%@40℃，无凝结</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19.绝缘强度：大于700MΩ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20.▲支持车辆检测器的流量、平均车速、平均车头时距、时间占有率、排队长度数据的存储与统计，支持按固定间隔或信控周期分别统计和展示，提供带有CNAS标识的检测报告作为佐证材料；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21.▲相域控制:信号机支持同一时段表中环模式方案和相位阶段模式方案的切换，该功能下控制模式支持定周期控制、协调控制和感应控制，提供带有CNAS标识的检测报告作为佐证材料。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22.▲信号机软件应符合国家标准GB/T 20999-2017《交通信号控制机与上位机间的数据通信协议》的体系结构，支持标准所定义的通信方式及相关对象，提供带有CNAS标识的检测报告作为佐证材料；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23.▲信号机内置WEB服务,并可通过Web对当前路口的三维路口模型进行实时展示。信号机支持在WEB三维路口模型图形化界面中实时展示灯态信息,读可通过图形化配置路口方案,包括渠化信息 (环岛、二次过街、可变车道、潮汐车道等特殊路口的配置)、检测器、信号灯连接关系、配时方案与时段信息等，提供带有CNAS标识的检测报告作为佐证材料。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24.▲信号机通信协议应符合GB 25280-2016《道路交通信号控制机》中附录A的要求，提供带有CNAS标识的检测报告作为佐证材料；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25.▲信号机应符合《道路交通信号控制机》GB25280-2016要求，产品类别为C类，耐温等级为A级，提供带有CNAS标识的检测报告作为佐证材料；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26.▲支持潮汐车道控制功能，可按参数配置（执行时段、潮汐车道通行方向、清空时间）完成潮汐车道定时切换，支持人工实时切换方案，支持进行潮汐车道状态监控，提供带有CNAS标识的检测报告作为佐证材料。</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7B5E0457">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51716105">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16</w:t>
            </w:r>
          </w:p>
        </w:tc>
      </w:tr>
      <w:tr w14:paraId="6500B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5C1D6895">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2</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7899991E">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机动车信号灯</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31A78650">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 xml:space="preserve">1.面罩规格：φ400mm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2.面罩材质：玻璃</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3.外壳材质：铝压铸</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4.LED数量：红≥156，黄≥156，绿≥156</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5.LED波长：红：625nm；黄：590nm；绿：505nm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6.LED直径：φ5mm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7.单管电流：＜18mA</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8.LED寿命：≥70000小时</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9.绝缘电阻：≥500MΩ</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10.介电强度：≥1440V</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11.中心光强：400 ~1000 cd</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12.可视距离：＞450m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13.可视角度：＞30°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14.工作电压：AC 220V±44V，50HZ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15.功率：功率≤20W</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16.工作温度：-40 ~ +80℃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17.相对湿度：≤93%</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18.防护等级：≥IP53</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44E88477">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08B2A856">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74</w:t>
            </w:r>
          </w:p>
        </w:tc>
      </w:tr>
      <w:tr w14:paraId="3AFA3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62D6398C">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3</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377A462B">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方向指示信号灯</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74C9486E">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 xml:space="preserve">1.面罩规格：φ400mm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2.面罩材质：玻璃</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3.外壳材质：铝压铸</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4.表面处理：黑色喷塑哑光</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5.LED数量：红≥90，黄≥90，绿≥90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6.LED波长：红：625nm；黄：590nm；绿：505nm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7.LED直径：φ5mm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8.单管电流：＜18mA</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9.LED寿命：≥70000小时</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10.绝缘电阻：≥500MΩ</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11.介电强度：≥1440V</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12.中心亮度：5000 ~15000 cd/m2</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13.可视距离：＞450m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14.可视角度：＞30°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15.工作电压：AC 220V±44V，50HZ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16.功率：功率≤20W</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17.工作温度：-40 ~ +80℃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18.相对湿度：≤93%</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19.防护等级：≥IP53</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6F03C425">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300ADA64">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6</w:t>
            </w:r>
          </w:p>
        </w:tc>
      </w:tr>
      <w:tr w14:paraId="251F7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53C6B8B9">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4</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043651DC">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人行横道信号灯</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4A59B96B">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 xml:space="preserve">1.面罩规格：φ300mm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2.面罩材质：玻璃</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3.外壳材质：铝压铸</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4.表面处理：黑色喷塑哑光</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5.LED数量：红≥60，绿≥56；倒计时：红≥140，绿≥140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6.LED波长：红：625nm；绿：505nm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7.LED直径：φ5mm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8.单管电流：＜18mA</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9.LED寿命：≥70000小时</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10.绝缘电阻：≥500MΩ</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11.介电强度：≥1440V</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12.中心光强：150~400 cd</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13.可视距离：＞300m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14.可视角度：＞30°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15.工作电压：AC 220V±44V，50HZ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16.功率：功率≤15W</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17.工作温度：-40 ~ +80℃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18.相对湿度：≤93%</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19.防护等级：≥IP53</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084FF425">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6B10FEE6">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98</w:t>
            </w:r>
          </w:p>
        </w:tc>
      </w:tr>
      <w:tr w14:paraId="6849A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2F692344">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5</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1A7FB166">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倒计时器</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55BAFE1B">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1.面罩规格：800×600×420mm（带帽檐）</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2.产品尺寸：770×581×120mm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3.数字尺寸：≥500×260mm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4.计时方式：跟随/触发/RS485通信</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5.显示数值：红99~1；绿99~1；黄9~1</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6.外壳材质：铝、黑色喷塑</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7.LED数量：红≥420，黄≥210，绿≥420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8.LED波长：红：625nm；黄：590nm；绿：505nm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9.LED直径：φ5mm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10.单管电流：＜18mA</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11.LED寿命：≥70000小时</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12.中心亮度：红＞5000 cd/m2；黄＞5000 cd/m2；绿＞5000 cd/m2</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13.可视距离：＞500m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14.可视角度：＞30°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15.工作电压：AC 220V±44V，50HZ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16.功率：≤25W</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17.工作温度：-40 ~ +80℃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18.相对湿度：≤93%</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19.防护等级：≥IP53</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4241F30D">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65BE18BD">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59</w:t>
            </w:r>
          </w:p>
        </w:tc>
      </w:tr>
      <w:tr w14:paraId="3D9AD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1537ABE0">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6</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593A6228">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监控杆</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4AB3D3F3">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1.规格：6800mm*9000mm，立杆280-320x7.75，横臂100-200x5.75，对接法兰400x18，底法兰ø550x20，热镀锌工艺，埋件8-m24x1.2mx450，定位盘5.75/2.75</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2.基础防雷（低于20Ω）接地体，接地极4根长≥2米， ≥50mm*50mm*5mm镀锌角钢，降阻剂，连接≥40mm*4mm镀锌扁铁；含杆件吊装、二次运输、杆件组装（包含机械、特种车辆使用费用）等安装费用；</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6055530E">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根</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3072FF07">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59</w:t>
            </w:r>
          </w:p>
        </w:tc>
      </w:tr>
      <w:tr w14:paraId="2F42A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749371AC">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7</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1C1C4B28">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监控杆</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71ACBD88">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1.规格：杆体高度3000mm，立杆ø114x3.0mm，法兰250x10mm，热镀锌工艺，埋件4-m16x0.5mx170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2.含防雷接地、杆件吊装、二次运输、杆件组装（包含机械、特种车辆使用费用）等安装费用。</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3531DFF8">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根</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59419861">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52</w:t>
            </w:r>
          </w:p>
        </w:tc>
      </w:tr>
      <w:tr w14:paraId="23806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0D4FAFEA">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8</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57B9896D">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监控杆</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55BDCFD7">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1.规格：杆体高度4500mm，立杆180x180x3.0mm，法兰300x10mm，热镀锌工艺，埋件4-m16x0.5mx230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2.含防雷接地、杆件吊装、二次运输、杆件组装（包含机械、特种车辆使用费用）等安装费用。</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56DAD31C">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根</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71E50F23">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3</w:t>
            </w:r>
          </w:p>
        </w:tc>
      </w:tr>
      <w:tr w14:paraId="3179D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06E65FF8">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9</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37786552">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监控杆</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1B6D5533">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1.规格：6500mm*8000mm，立杆280-320x7.75，横臂100-200x5.75，对接法兰400x18，底法兰ø550x20，热镀锌工艺，埋件8-m24x1.2mx450，定位盘5.75/2.75</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2.基础防雷（低于20Ω）接地体，接地极4根长≥2米， ≥50mm*50mm*5mm镀锌角钢，降阻剂，连接≥40mm*4mm镀锌扁铁；含杆件吊装、二次运输、杆件组装（包含机械、特种车辆使用费用）等安装费用；</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55D4968E">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根</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5B86F8FB">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56</w:t>
            </w:r>
          </w:p>
        </w:tc>
      </w:tr>
      <w:tr w14:paraId="03A59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07B74144">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10</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7194DFD3">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设备供电传输线缆</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37FB9BA9">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1.产品名称：电源线</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2.规格：RVV2*2.5</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3.芯数：2芯 火线 + 零线</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4.导体标称截面：2.5 mm²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5.导体材质:无氧铜 多股软铜丝</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6.绝缘厚度:0.8 mm 国标最小值</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7.护套材质:PVC（聚氯乙烯）</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6EB8417F">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米</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1218BEA9">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16000</w:t>
            </w:r>
          </w:p>
        </w:tc>
      </w:tr>
      <w:tr w14:paraId="3A85B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441010B7">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11</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26DB2D35">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高清抓拍单元</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7597DBAD">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1.900万电警抓拍</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2.支持LED频闪灯同步补光。</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3.支持机动车辆、非机动车、行人抓拍。</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4.支持车牌、车型、车身颜色（环境光有要求）、车标、子品牌等信息识别功能，支持压线、逆行、闯红灯、不按导向行驶等违法检测功能。</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5.支持：IO信号，红绿灯检测器，视频检测。</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6.支持远程数据上传，GB/T 28181视频联网标准、GA/T 1400视图库标准、FTP协议，可将抓拍的图片上传给终端服务器、FTP服务器或者后端平台。</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7.可支持TF插卡本地存储，可支持≥256G，抓拍图片可断网续传。</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8.传感器类型：1” Global shutter CMOS</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9.视频压缩标准：H.264, H.265, MJPEG</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10.视频分辨率：≥4096(H) × 2160(V)</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11.压缩输出码率：32 Kbps~16 Mbps</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12.帧率：≥25fps</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13.支持3码流：</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14.抓拍图片格式：JPEG</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15.抓拍图片分辨率：≥4096(H) × 2160(V)</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16.通讯接口：≥3个RS-485接口，≥1个RS-232接口；≥2个RJ45 10M/100M/1000M自适应以太网口</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17.触发输入：≥1个触发/报警输入</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18.支持违章检测：压线、逆行、闯红灯、不按导向行驶、违法变道、路口停车、绿灯停车、违章掉头、左转不让直行、右转不让左转、掉头不让直行、大弯小转、机占非、闯禁令（禁左、禁右、禁止大车、禁摩托车）、不礼让行人、闯绿灯、加塞、未戴头盔、占用机动车道等违法行为</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19.支持机动车车牌识别：民用车牌，新能源车牌；</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20.支持车身颜色识别：白、灰、黄、红、紫、绿、蓝、棕、黑；</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21.支持车型识别：大客车、中型客车、大货车、小货车、面包车、皮卡、轿车、SUV/MPV、二轮车、三轮车；</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22.车辆品牌，子品牌识别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23.工作温度：-30℃~70℃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24.工作湿度：5%~95%@40℃，无凝结</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25.电源：100 VAC～240 VAC；频率：48 Hz～52 Hz</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26.功耗：≤20 W</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27.▲车身颜色识别功能检查 ：支持识别不少于 39 种车身颜色，包括白、黑、红、黄、灰、蓝、绿、粉、紫、暗紫、棕、栗色、银灰、暗灰、白烟、深橙、浅玫瑰、番茄红、橄榄、金、暗橄榄、黄绿、绿黄、森林绿、海洋绿、深天蓝、青、深蓝、深红、深绿、深黄、深粉、深紫、深棕、深青、橙、深金、粉红、其他； 支持识别车身副颜色，提供带有CNAS标识的检测报告作为佐证材料。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28.▲车牌识别功能检查 ：支持对25×10 像素～1100×3000 像素的机动车车牌进行抓拍并识别号码； 支持抓拍并识别垂直倾斜角度≤45°、水平倾斜角度≤35°、俯仰角度≤40°的机动车车牌号码，提供带有CNAS标识的检测报告作为佐证材料。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29.▲车辆子品牌识别功能检查：支持车辆子品牌识别，对车头图片进行分析抓拍，可分析输出OSD叠加7200种车辆子品牌并显示相应的年款，对车尾图片进行分析抓拍，可分析输出 OSD 叠加3900 种车辆子品牌并显示相应的年款，提供带有CNAS标识的检测报告作为佐证材料。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30.▲闯禁行功能检查：支持闯禁行记录功能，可对5种普通车型(包括大货车、中货车、小货车、皮卡车、大客车)及9种特种车型(包括危化品车辆、普通罐车、渣土车、混凝土搅拌车、工程车、粉粒物料运输车、吸污车、环卫车、冷链车)进行检测、抓拍记录、识别及图片存储，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31.▲信号灯状态检测功能检查：支持通过视频检测信号灯状态，支持接收信号机广播的信号灯状态，通过对比判断信号灯的整体运行状况，可在视频预览画面上叠加信号机异常的结果指标，提供带有CNAS标识的检测报告作为佐证材料。</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1D5F3D0C">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12C4DBFA">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59</w:t>
            </w:r>
          </w:p>
        </w:tc>
      </w:tr>
      <w:tr w14:paraId="0B462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0864DD7B">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12</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4E0FB263">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视觉辅助补光装置</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66DC371A">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1.光源类型：≥16颗优质大功率LED</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2.发光角度≥12°</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3.最佳补光范围16米～25米</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4.触发方式： 4V~6V电平量触发</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5.触发信号：频率15~250HZ，占空比1%~39%，响应时间小于20US</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6.外壳材质金属铝</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7.工作温度：温度-30℃~70℃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8.电源：220VAC±10%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9.工作湿度：湿度5%~95%@40℃，无凝结</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10.功耗：≤35W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11.防护等级：≥IP66</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12.符合GA/T 1202-2022《交通技术监控成像补光装置通用技术条件》中的二级补光装置要求;</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153B35AC">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514A0376">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82</w:t>
            </w:r>
          </w:p>
        </w:tc>
      </w:tr>
      <w:tr w14:paraId="62CE5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25C7643F">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13</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55EC4A71">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边缘计算服务终端</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06F70659">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1.可接入不低于12路网络摄像机进行视音频存储、图片存储与上传。</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2.可配置多种字符叠加、图片合成模式。</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3.支持机柜门打开后声音报警及报警上传功能。</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4.支持不少于2个远程主机、2个FTP主机上传数据。</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5.通讯接口：≥2个RS-485接口≥,2个RS-232接口；</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6.触发输入：≥2个报警输入</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7.触发输出：≥2个报警输出</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8.音频接口：≥1路音频输入，≥1路音频输出</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9.网口数量：≥18</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10.光纤接口数量：≥2</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11.硬盘盘位数量：≥4</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12.USB数量：≥1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13.支持：心跳,密码保护,NTP校时</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14.支持≥12个通道的过车记录存储、图片存储、视频存储、数据上传、视频流转发；</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15.产品主要用于大货车管控，结合大货车专用相机，实现多个大货车管控方案抓拍。</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16.接入路数：≥12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17.工作温度：-40℃~70℃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18.工作湿度：10%~90%@40℃，无凝结</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19.电源：DC12V±10%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20.功耗：≤50W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21.▲具有2个RS-232接口、2个RS-485接口、1个USB 3.0接口、2路报警输入接口、2路报警输出接口、1个音频输入接口、1个音频输出接口、4个SATA接口、4个状态指示灯、1个接地端子，提供带有CNAS标识的检测报告作为佐证材料。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22.▲支持双网卡，可配置双IP进行双网隔离，支持IPv4、IPv6组网设置，提供带有CNAS标识的检测报告作为佐证材料。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23.▲支持内置GPS/北斗模块，实现GPS和北斗校时、定位功能，同时支持将经纬度信息叠加在图片或者视频上，定位校时模块可插拔更换，提供带有CNAS标识的检测报告作为佐证材料。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24.▲可接入G.711a、G.711Mu、G.722.1、G.726、G.729、PCM、AAC、MPEG2-layer2音频编码格式的IPC；可将音频采样率设置为8kHz、16kHz、32kHz、48kHz、64kHz，提供带有CNAS标识的检测报告作为佐证材料。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25.▲支持将原始图片、特写图片、合成图片、车牌抠图、关联录像、主驾驶人脸图片、副驾驶人脸图片、行人人脸图片、非机动车人脸图片上传至FTP服务器，提供带有CNAS标识的检测报告作为佐证材料。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26.▲支持37种车辆类型图片接收、展示、合成、上传。包括未知、客车、大货车、中货车、轿车、面包车、小货车、三轮车、行人、SUV-MPV、中客车、危化品车辆、SUV、MPV、公交车、皮卡车、微型车、油罐车、槽罐车、渣土车、混凝土搅拌车、出租车、警车、救护车、普通车、环卫车、消防车、拖拉机、工程车、粉粒物料运输车、吸污车、普通罐车、二轮车、自行车、厢式三轮车、载人敞篷三轮车、不载人敞篷三轮车，提供带有CNAS标识的检测报告作为佐证材料。</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61189E12">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33486EC1">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16</w:t>
            </w:r>
          </w:p>
        </w:tc>
      </w:tr>
      <w:tr w14:paraId="668F4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1D4E8373">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14</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4F1DBDA8">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户外设备防护机箱</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44509FE0">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1.防护等级≥IP55，保护内部设备不受外界恶劣环境的干扰</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2.内含≥1个风扇，双路电源防雷≥1个，2p25A空开，≥10A单P空开</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3.尺寸：≥800（H）mm×600（W）mm×435（D）mm（不含帽檐），≥900（H）mm×700（W）mm×459（D）mm（含帽檐）</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4.工作温度：温度-40℃~70℃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5.工作湿度：湿度5%~95%@40℃，无凝结</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4EBDD9AD">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1F3783B3">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16</w:t>
            </w:r>
          </w:p>
        </w:tc>
      </w:tr>
      <w:tr w14:paraId="553AD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1D48D927">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15</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3D2DD3AC">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道路通行辅助设施组件</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5146DD88">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1.≥16路信号灯交流信号输入接口</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2.≥4个RS485输出接口</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3.≥1路100M网口输出</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4.≥1个5VDC输出接口</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5.≥5路拨码开关，用来设置波特率、地址和上传模式</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6.≥16路交通灯状态指示</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7.工作温度：温度-30℃~70℃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8.工作湿度：湿度5%~95%@40℃，无凝结</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9.电源：AC220V±10%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10.功耗：＜5W</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3960E05B">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6C19AD6D">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16</w:t>
            </w:r>
          </w:p>
        </w:tc>
      </w:tr>
      <w:tr w14:paraId="6343F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2492AB12">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16</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23AC34F1">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数据交换系统</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45A42A19">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1.支持802.3at/POE+供电标准</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2.支持ARP入侵检测功能，可有效防止黑客或攻击者通过ARP报文实施日趋盛行的“ARP欺骗攻击”。</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3.交换容量：≥336Gbps/3.36Tbps</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4.包转发率：≥16.2Mpps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5.端口：≥16个10/100/1000Base-T以太网端口（支持POE+），4个1000Base-X SFP光口</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6.供电方式：AC：</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7.STP：支持STP/RSTP/MSTP</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8.安全特性：支持用户分级管理和口令保护</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9.支持SSH，为用户登录提供安全加密通道</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10.支持可控IP地址的FTP登录和口令机制</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11.支持防止ARP、未知组播报文、广播报文、未知单播报文、TTL=1报文、协议报文等攻击功能</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12.支持MAC地址限制</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13.支持IP＋MAC+PORT绑定功能</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14.支持IEEE 802.1x</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15.支持Radius、支持AAA</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16.支持安全网管SNMPv3</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17.支持广播报文抑制</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18.管理维护：支持Console/AUX Modem/Telnet/SSH 命令行配置</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19.支持FTP、TFTP、Xmodem、SFTP文件上下载管理</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20.支持SNMP V1/V2c/V3</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21.支持NQA</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22.支持NTP时钟</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23.支持系统工作日志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24.PoE标准：支持802.3at/POE+供电标准</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25.端口最大供电功率：30W</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26.整机最大供电功率：185W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27. ▲支持IPv4路由≥450条；IPv6路由≥100条；要求提供带有CNAS标识的检测报告作为佐证材料</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5CA21955">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0F2F8BE2">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20</w:t>
            </w:r>
          </w:p>
        </w:tc>
      </w:tr>
      <w:tr w14:paraId="16543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60137491">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17</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02866C7E">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光信号转换组件</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121B38E8">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1.千兆20公里单模双纤模块</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2.不分收发</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3.TX1310nm/1.25G</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4.RX1310nm/1.25G</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5.发射光功率:-6～-1dBm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6.接收灵敏度（低值）:-21dBm</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36E7EF54">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个</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077B33CB">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43</w:t>
            </w:r>
          </w:p>
        </w:tc>
      </w:tr>
      <w:tr w14:paraId="48C33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7654A9F4">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18</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22335727">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网络数据存储节点</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7C071DC1">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1.处理器：≥2颗64位多核</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2.系统盘：≥1×240GB SSD</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3.系统内存：≥64GB（可扩展至256GB）</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4.存储接口：≥48个SATA接口，支持硬盘热插拔，可满配4TB/6TB/8TB/10TB/16TB/20TB/25TB硬盘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5.网络接口：≥2个千兆数据网口，2个万兆光口，1个千兆管理口</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6.其他接口：≥1×COM，≥4×USB3.0，≥1×VGA，≥1×IPMI</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7.整机电源：≥1200W，1+1冗余电源</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8.支持视频流、图片流直存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9.支持ONVIF、GB/T 28181、RTSP等标准协议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10.支持纠删码数据保护技术，具备设备级和磁盘级容错模式，保障数据不丢失、系统业务不中断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11.支持云存储节点在线无缝扩容，容量和性能线性增长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12.支持云存储节点间的容量及业务负载均衡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13.支持存储空间按需分配，分配的存储空间在线扩大或缩小，不影响读写业务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14.支持多种存储覆盖策略：周期覆盖、容量覆盖、不覆盖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15.支持按资源池批量配置不同的数据存储周期</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16.支持按单通道配置不同的数据存储周期</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17.支持视频检索功能，按照监控点编号、录像类型、时间组合等条件查询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18.支持视频回放功能：正序/倒序回放、定位回放、高倍速回放、关键帧回放等功能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19.支持视频锁定、视频封面、视频备份等视频功能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 xml:space="preserve">20.支持图片上传，下载，锁定功能  </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21.▲存储系统支持全对称架构，无独立的元数据管理节点。集群支持在线无缝扩容，系统性能线性增长。集群（3台及以上）任意节点宕机仅剩1台时，系统通过唯一入口IP可访问管理平台，以及数据存储服务，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22.▲系统支持按照24/36/48等盘位、不同性能、不同CPU架构的存储节点混合组网，当出现磁盘或节点故障时，系统可根据CPU利用率、节点连接数、节点吞吐量、节点综合负载等策略提供最优重构速度，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23.▲云存储系统同时支持按照资源池为单位进行点位的生命周期批量管理策略和单独对每个点位通道设置生命周期管理策略，支持两种策略之间互相切换，支持周期策略调整后历史数据也即时生效，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24.▲支持全对称部署模式，集群所有节点服务角色对等，无需独立元数据服务器，且单集群可同时管理3EB存储空间、1024台存储节点；系统支持单机（1台）、HA（2台）、集群（3台及以上）部署模式。支持在线扩容、升级，且扩容、升级过程中实时读写业务不中断、数据不丢失，扩容后历史数据无需迁移，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25.▲支持存储实时视频、视频片段、图片及伴生的智能结构化数据，支持根据结构化数据的类型检索视频，检索条件包括前端点位ID、时间段、视频目标类型（包含人、机动车、非机动车等），提供带有CNAS标识的检测报告作为佐证材料。</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26.▲支持硬盘热插拔设备在读写数据时，热插拔设备内的任意块硬盘，设备正常运行不宕机，硬盘不损坏，数据不丢失，业务不中断，提供带有CNAS标识的检测报告作为佐证材料。</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675E8FF4">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679A90E9">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w:t>
            </w:r>
          </w:p>
        </w:tc>
      </w:tr>
      <w:tr w14:paraId="72540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4183A785">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19</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69B30CFE">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机械数据载体</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79A9C7AB">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1.30TB容量，3.5英寸，SATA3.0接口，7200RPM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2.氦气盘， SMR传统磁记录</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3.传输速率270 MB/s，512MB高速缓存，流畅存储视频有效防止丢帧</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4.MTBF可达2,500,000小时</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5.支持5年有限质保服务</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6.适用海拔高度范围–300 to 3,048 m</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22A13766">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块</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3CD39EDC">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32</w:t>
            </w:r>
          </w:p>
        </w:tc>
      </w:tr>
      <w:tr w14:paraId="7D54F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vMerge w:val="restart"/>
            <w:tcBorders>
              <w:top w:val="single" w:color="000000" w:sz="4" w:space="0"/>
              <w:left w:val="single" w:color="000000" w:sz="8" w:space="0"/>
              <w:bottom w:val="single" w:color="000000" w:sz="4" w:space="0"/>
              <w:right w:val="single" w:color="000000" w:sz="4" w:space="0"/>
            </w:tcBorders>
            <w:shd w:val="clear"/>
            <w:vAlign w:val="center"/>
          </w:tcPr>
          <w:p w14:paraId="30CC1DB1">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20</w:t>
            </w:r>
          </w:p>
        </w:tc>
        <w:tc>
          <w:tcPr>
            <w:tcW w:w="1112" w:type="dxa"/>
            <w:vMerge w:val="restart"/>
            <w:tcBorders>
              <w:top w:val="single" w:color="000000" w:sz="4" w:space="0"/>
              <w:left w:val="single" w:color="000000" w:sz="4" w:space="0"/>
              <w:bottom w:val="single" w:color="000000" w:sz="4" w:space="0"/>
              <w:right w:val="single" w:color="000000" w:sz="4" w:space="0"/>
            </w:tcBorders>
            <w:shd w:val="clear"/>
            <w:vAlign w:val="center"/>
          </w:tcPr>
          <w:p w14:paraId="4BCF4197">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视频云数据托管系统</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2A2867F1">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1.云存储基础管理软件，含基础运行模块，集群管理、计划管理、索引管理、负载均衡等功能。</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2.支持视频、图片、对象数据存储，支持跨节点数据安全。</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23565E2A">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套</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6DB91C77">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w:t>
            </w:r>
          </w:p>
        </w:tc>
      </w:tr>
      <w:tr w14:paraId="40598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vMerge w:val="continue"/>
            <w:tcBorders>
              <w:top w:val="single" w:color="000000" w:sz="4" w:space="0"/>
              <w:left w:val="single" w:color="000000" w:sz="8" w:space="0"/>
              <w:bottom w:val="single" w:color="000000" w:sz="4" w:space="0"/>
              <w:right w:val="single" w:color="000000" w:sz="4" w:space="0"/>
            </w:tcBorders>
            <w:shd w:val="clear"/>
            <w:vAlign w:val="center"/>
          </w:tcPr>
          <w:p w14:paraId="72A62289">
            <w:pPr>
              <w:jc w:val="center"/>
              <w:rPr>
                <w:rFonts w:hint="eastAsia" w:ascii="黑体" w:hAnsi="黑体" w:eastAsia="黑体" w:cs="黑体"/>
                <w:i w:val="0"/>
                <w:iCs w:val="0"/>
                <w:color w:val="000000"/>
                <w:sz w:val="21"/>
                <w:szCs w:val="21"/>
                <w:u w:val="none"/>
              </w:rPr>
            </w:pPr>
          </w:p>
        </w:tc>
        <w:tc>
          <w:tcPr>
            <w:tcW w:w="11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86EDFE5">
            <w:pPr>
              <w:jc w:val="center"/>
              <w:rPr>
                <w:rFonts w:hint="eastAsia" w:ascii="黑体" w:hAnsi="黑体" w:eastAsia="黑体" w:cs="黑体"/>
                <w:i w:val="0"/>
                <w:iCs w:val="0"/>
                <w:color w:val="000000"/>
                <w:sz w:val="21"/>
                <w:szCs w:val="21"/>
                <w:u w:val="none"/>
              </w:rPr>
            </w:pP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6FF7B654">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1.每套视频云存储可管理的节点设备数最多为300台。</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2.节点设备，包含存储节点、异构节点</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7EFF56D1">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77C90461">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w:t>
            </w:r>
          </w:p>
        </w:tc>
      </w:tr>
      <w:tr w14:paraId="26437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vMerge w:val="continue"/>
            <w:tcBorders>
              <w:top w:val="single" w:color="000000" w:sz="4" w:space="0"/>
              <w:left w:val="single" w:color="000000" w:sz="8" w:space="0"/>
              <w:bottom w:val="single" w:color="000000" w:sz="4" w:space="0"/>
              <w:right w:val="single" w:color="000000" w:sz="4" w:space="0"/>
            </w:tcBorders>
            <w:shd w:val="clear"/>
            <w:vAlign w:val="center"/>
          </w:tcPr>
          <w:p w14:paraId="53E9F5CB">
            <w:pPr>
              <w:jc w:val="center"/>
              <w:rPr>
                <w:rFonts w:hint="eastAsia" w:ascii="黑体" w:hAnsi="黑体" w:eastAsia="黑体" w:cs="黑体"/>
                <w:i w:val="0"/>
                <w:iCs w:val="0"/>
                <w:color w:val="000000"/>
                <w:sz w:val="21"/>
                <w:szCs w:val="21"/>
                <w:u w:val="none"/>
              </w:rPr>
            </w:pPr>
          </w:p>
        </w:tc>
        <w:tc>
          <w:tcPr>
            <w:tcW w:w="11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1DADB22">
            <w:pPr>
              <w:jc w:val="center"/>
              <w:rPr>
                <w:rFonts w:hint="eastAsia" w:ascii="黑体" w:hAnsi="黑体" w:eastAsia="黑体" w:cs="黑体"/>
                <w:i w:val="0"/>
                <w:iCs w:val="0"/>
                <w:color w:val="000000"/>
                <w:sz w:val="21"/>
                <w:szCs w:val="21"/>
                <w:u w:val="none"/>
              </w:rPr>
            </w:pP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0E92F8CC">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1.每套视频云存储可管理的前端点位数为30000路视频点位</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5CFA9B38">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路</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233E4CC9">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100</w:t>
            </w:r>
          </w:p>
        </w:tc>
      </w:tr>
      <w:tr w14:paraId="60636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vMerge w:val="continue"/>
            <w:tcBorders>
              <w:top w:val="single" w:color="000000" w:sz="4" w:space="0"/>
              <w:left w:val="single" w:color="000000" w:sz="8" w:space="0"/>
              <w:bottom w:val="single" w:color="000000" w:sz="4" w:space="0"/>
              <w:right w:val="single" w:color="000000" w:sz="4" w:space="0"/>
            </w:tcBorders>
            <w:shd w:val="clear"/>
            <w:vAlign w:val="center"/>
          </w:tcPr>
          <w:p w14:paraId="4AA4A9CA">
            <w:pPr>
              <w:jc w:val="center"/>
              <w:rPr>
                <w:rFonts w:hint="eastAsia" w:ascii="黑体" w:hAnsi="黑体" w:eastAsia="黑体" w:cs="黑体"/>
                <w:i w:val="0"/>
                <w:iCs w:val="0"/>
                <w:color w:val="000000"/>
                <w:sz w:val="21"/>
                <w:szCs w:val="21"/>
                <w:u w:val="none"/>
              </w:rPr>
            </w:pPr>
          </w:p>
        </w:tc>
        <w:tc>
          <w:tcPr>
            <w:tcW w:w="111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07D3FB2">
            <w:pPr>
              <w:jc w:val="center"/>
              <w:rPr>
                <w:rFonts w:hint="eastAsia" w:ascii="黑体" w:hAnsi="黑体" w:eastAsia="黑体" w:cs="黑体"/>
                <w:i w:val="0"/>
                <w:iCs w:val="0"/>
                <w:color w:val="000000"/>
                <w:sz w:val="21"/>
                <w:szCs w:val="21"/>
                <w:u w:val="none"/>
              </w:rPr>
            </w:pP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0798E8AB">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1.视频云存储必选软件模块，一朵云一套软件。</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2.支持标准云和微视云两种部署模式。</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3.含存储资源虚拟化功能，为应用提供池化资源服务。</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4.内置容量授权模块。</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6EE0E737">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TB</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5BA570DA">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960</w:t>
            </w:r>
          </w:p>
        </w:tc>
      </w:tr>
      <w:tr w14:paraId="193CA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42D7CEFA">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21</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26F96A7D">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交通综合管控平台软件</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5CBA348E">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1.交通综合管控基础模块为业务应用提供依赖的基础资源环境，包括用户管理、权限管理、部门管理、目录管理、物联设备管理、门户管理，统一管理组织、权限、用户、物联设备信息，及应用参数配置.</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2.管理本级视频设备的视频监控通道总路数共计300路。</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3.管理卡口、电警、违停球机、雷视一体机、流量车检器设备的所覆盖车道数，按相机实际覆盖车道数计算，违停球按场景计算，共计300路。</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4.平台作为上级，管理下级级联推送的视频监控通道总路数共计300路。作为下级平台对外推送视频通道路数不消耗该授权项。</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5.提供视频管理服务，接入视频编码设备，实现视频预览、云台控制、录像回放、视频上墙、电视墙管理的功能。</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6.为视频监控业务提供级联服务，在平台间进行视频联网，基于视频通用标准协议（GB/T28181-2011,GB/T28181-2016,GB/T28181-2022）与外域平台互联互通，实现上级平台对下级平台视频资源点位的操作控制。</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7.提供基础运维功能，包括设备运行状态采集、视频质量检测、录像质量检测、运维告警查询与处理、运维报表。</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1）设备运行状态采集：检测前端设备在线情况。</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2）视频质量检测：检测视频的图像质量。</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3）录像质量检测：检测视频录像的完整性。</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4）运维告警查询与处理：提供运维告警的查询和处理功能。</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5）运维结果报表展示：按月、时间区间统计各区域监控点在线率、图像正常率、录像完整率。"</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8.在地图上展示业务资源，可在地图上检索业务资源，展示移动设备的实时定位和轨迹回放。在地图上的可显示设备类型有：监控点、信号机、卡口、电子警察、单兵、车载、无人机。</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9.用于查询平台接入的机动车违法数据：支持根据过车类型、车辆颜色、车辆类型等属性查询匹配的违法过车数据。</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10.用于机动车非现场执法，提供了非现场执法配置、违法数据检索、违法数据初审、违法数据复审、违法数据录入、违法数据分析、工作量统计功能。</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11.提供常规过车数据的查询和统计功能，包含车辆属性查询、车辆数据统计功能。</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12.提供红名单车辆的过车数据查询功能。</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13.用于查询机动车的车辆轨迹信息，同时可在地图上回放车辆轨迹。</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14.用于区间测速检测机动车超速违法行为的业务场景。</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15.用于交警对逾期未年检、多次违章未处理、被盗车等重点关注车辆进行布控的场景，提供了车辆布控撤控管理、报警查询及推送、和报警查询的功能。布控方式支持按模型布控（图片布控）、名单库布控、车牌布控。布控报警可推送至PC端报警助手和移动端APP。</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1FA180C4">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套</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562D6569">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w:t>
            </w:r>
          </w:p>
        </w:tc>
      </w:tr>
      <w:tr w14:paraId="4545D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5E78AEB4">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22</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64865EAD">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核心计算服务节点</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77BF1D90">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1.CPU：配置2颗 C86架构HYGON 3350处理器，单处理器物理核心数≥8核，主频≥3.0 GHz，末级缓存容量≥16 MB，线程数≥16线程，热设计功耗≥90 W，支持内存的最高速率≥3200 MHz，通道数≥2，位宽≥64；</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2.内存：配置≥128G DDR4，8根内存插槽，最大可支持扩展至1TB；</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3.硬盘：≥2块600G 10K SAS HDD硬盘，前置最大可选支持12块3.5寸(兼容2.5寸)热插拔SATA/SAS硬盘，后置最大可选支持2块2.5寸热插拔SATA/SAS硬盘，内置最大可选支持2块2.5寸非热插拔SATA SSD硬盘，板载最大可选支持1个SATA M.2硬盘；</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4.阵列卡：配置SAS_HBA卡（支持RAID 0/1/10）；</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5.PCIE扩展：最大支持≥4个标准PCIE插槽；</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6.其他接口：标配≥1个IPMI RJ-45管理接口，位于机箱后部；≥7个USB 3.0接口 4个位于机箱后部，2个位于机箱前部，1个位于机箱内部；≥2个VGA接口 1个位于机箱前部，1个位于机箱后部；</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7.电源：配置≥800W（1+1）高效铂金CRPS冗余电源；</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746048EA">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台</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57E84D1F">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w:t>
            </w:r>
          </w:p>
        </w:tc>
      </w:tr>
      <w:tr w14:paraId="726D5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53289D8D">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23</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00E06F84">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道路信息公示载体</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12CA711E">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定制宣传牌，根据甲方使用要求定制</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608855C6">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个</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73260C10">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 xml:space="preserve">10 </w:t>
            </w:r>
          </w:p>
        </w:tc>
      </w:tr>
      <w:tr w14:paraId="5DAD6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2852B3FD">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24</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76C874B1">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公示载体基座施工及材料包</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7135C776">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宣传牌底座材料及工费</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71FF0D09">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个</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30C9E69D">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 xml:space="preserve">10 </w:t>
            </w:r>
          </w:p>
        </w:tc>
      </w:tr>
      <w:tr w14:paraId="7E0D5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559C726C">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25</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3EC1889A">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线缆防护敷设管路</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7FECA332">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1.规格：63/54（外径 63 mm，内径 54 mm）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2.壁厚：3.5 mm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3.材质：高密度聚乙烯（HDPE）</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4.特点：内壁带硅芯层，摩擦系数低，便于穿缆；耐腐蚀、抗老化</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074D1521">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m</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0B197503">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1950</w:t>
            </w:r>
          </w:p>
        </w:tc>
      </w:tr>
      <w:tr w14:paraId="07728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5EC22269">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26</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13814664">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电力传输线缆</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7353700D">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1.规格：KVV 14×1.5²（无屏蔽、无铠装）</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2.全称：铜芯聚氯乙烯绝缘聚氯乙烯护套控制电缆</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3.交流 450/750V 及以下控制、监控、信号、保护回路</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4.材质：聚氯乙烯（PVC）</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5AE4A5F0">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m</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6BB8BFC3">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2236</w:t>
            </w:r>
          </w:p>
        </w:tc>
      </w:tr>
      <w:tr w14:paraId="7438C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02554456">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27</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1E787963">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设备供电传输线缆</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7202AAE2">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1.规格：RVV 3×2.5</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2.额定电压：300/500V</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3.标称截面：2.5 mm²</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4.单芯结构：49 根 ×0.26mm（49/0.26）</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5.20℃直流电阻：≤7.41 Ω/km</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1E57E365">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m</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16F37D0C">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722</w:t>
            </w:r>
          </w:p>
        </w:tc>
      </w:tr>
      <w:tr w14:paraId="3B412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665E4736">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28</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7366314C">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白龙管</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2BB2CACB">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1.公称外径（dn）：90 mm（实际外径：90±0.3 mm）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2.材质：聚氯乙烯管材</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3.颜色：白色</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4.厚度：5mm</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772C3D67">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m</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39F895AD">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953</w:t>
            </w:r>
          </w:p>
        </w:tc>
      </w:tr>
      <w:tr w14:paraId="7DC01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43863DF0">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29</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38C39067">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道路信息指示标识</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75AA9AEE">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定制规格：800mm×800mm×1000mm</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16BAFDFD">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块</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6FCBAA14">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8</w:t>
            </w:r>
          </w:p>
        </w:tc>
      </w:tr>
      <w:tr w14:paraId="6B48A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0509A4C6">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30</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2121ADC8">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控制信号传输线缆</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01224406">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1.规格：KVV 8×2.5</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2.材质：聚氯乙烯（PVC）绝缘</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3.额定电压：U</w:t>
            </w:r>
            <w:r>
              <w:rPr>
                <w:rStyle w:val="4"/>
                <w:rFonts w:hint="eastAsia" w:ascii="黑体" w:hAnsi="黑体" w:eastAsia="黑体" w:cs="黑体"/>
                <w:sz w:val="21"/>
                <w:szCs w:val="21"/>
                <w:bdr w:val="none" w:color="auto" w:sz="0" w:space="0"/>
                <w:lang w:val="en-US" w:eastAsia="zh-CN" w:bidi="ar"/>
              </w:rPr>
              <w:t>₀</w:t>
            </w:r>
            <w:r>
              <w:rPr>
                <w:rStyle w:val="5"/>
                <w:rFonts w:hint="eastAsia" w:ascii="黑体" w:hAnsi="黑体" w:eastAsia="黑体" w:cs="黑体"/>
                <w:sz w:val="21"/>
                <w:szCs w:val="21"/>
                <w:bdr w:val="none" w:color="auto" w:sz="0" w:space="0"/>
                <w:lang w:val="en-US" w:eastAsia="zh-CN" w:bidi="ar"/>
              </w:rPr>
              <w:t>/U = 450/750V</w:t>
            </w:r>
            <w:r>
              <w:rPr>
                <w:rStyle w:val="5"/>
                <w:rFonts w:hint="eastAsia" w:ascii="黑体" w:hAnsi="黑体" w:eastAsia="黑体" w:cs="黑体"/>
                <w:sz w:val="21"/>
                <w:szCs w:val="21"/>
                <w:bdr w:val="none" w:color="auto" w:sz="0" w:space="0"/>
                <w:lang w:val="en-US" w:eastAsia="zh-CN" w:bidi="ar"/>
              </w:rPr>
              <w:br w:type="textWrapping"/>
            </w:r>
            <w:r>
              <w:rPr>
                <w:rStyle w:val="5"/>
                <w:rFonts w:hint="eastAsia" w:ascii="黑体" w:hAnsi="黑体" w:eastAsia="黑体" w:cs="黑体"/>
                <w:sz w:val="21"/>
                <w:szCs w:val="21"/>
                <w:bdr w:val="none" w:color="auto" w:sz="0" w:space="0"/>
                <w:lang w:val="en-US" w:eastAsia="zh-CN" w:bidi="ar"/>
              </w:rPr>
              <w:t>4.导体材质：铜芯（多股绞合，第 2 类导体）</w:t>
            </w:r>
            <w:r>
              <w:rPr>
                <w:rStyle w:val="5"/>
                <w:rFonts w:hint="eastAsia" w:ascii="黑体" w:hAnsi="黑体" w:eastAsia="黑体" w:cs="黑体"/>
                <w:sz w:val="21"/>
                <w:szCs w:val="21"/>
                <w:bdr w:val="none" w:color="auto" w:sz="0" w:space="0"/>
                <w:lang w:val="en-US" w:eastAsia="zh-CN" w:bidi="ar"/>
              </w:rPr>
              <w:br w:type="textWrapping"/>
            </w:r>
            <w:r>
              <w:rPr>
                <w:rStyle w:val="5"/>
                <w:rFonts w:hint="eastAsia" w:ascii="黑体" w:hAnsi="黑体" w:eastAsia="黑体" w:cs="黑体"/>
                <w:sz w:val="21"/>
                <w:szCs w:val="21"/>
                <w:bdr w:val="none" w:color="auto" w:sz="0" w:space="0"/>
                <w:lang w:val="en-US" w:eastAsia="zh-CN" w:bidi="ar"/>
              </w:rPr>
              <w:t>5.结构：无屏蔽、无铠装，固定敷设用</w:t>
            </w:r>
            <w:r>
              <w:rPr>
                <w:rStyle w:val="5"/>
                <w:rFonts w:hint="eastAsia" w:ascii="黑体" w:hAnsi="黑体" w:eastAsia="黑体" w:cs="黑体"/>
                <w:sz w:val="21"/>
                <w:szCs w:val="21"/>
                <w:bdr w:val="none" w:color="auto" w:sz="0" w:space="0"/>
                <w:lang w:val="en-US" w:eastAsia="zh-CN" w:bidi="ar"/>
              </w:rPr>
              <w:br w:type="textWrapping"/>
            </w:r>
            <w:r>
              <w:rPr>
                <w:rStyle w:val="5"/>
                <w:rFonts w:hint="eastAsia" w:ascii="黑体" w:hAnsi="黑体" w:eastAsia="黑体" w:cs="黑体"/>
                <w:sz w:val="21"/>
                <w:szCs w:val="21"/>
                <w:bdr w:val="none" w:color="auto" w:sz="0" w:space="0"/>
                <w:lang w:val="en-US" w:eastAsia="zh-CN" w:bidi="ar"/>
              </w:rPr>
              <w:t>6.标称截面：2.5 mm²</w:t>
            </w:r>
            <w:r>
              <w:rPr>
                <w:rStyle w:val="5"/>
                <w:rFonts w:hint="eastAsia" w:ascii="黑体" w:hAnsi="黑体" w:eastAsia="黑体" w:cs="黑体"/>
                <w:sz w:val="21"/>
                <w:szCs w:val="21"/>
                <w:bdr w:val="none" w:color="auto" w:sz="0" w:space="0"/>
                <w:lang w:val="en-US" w:eastAsia="zh-CN" w:bidi="ar"/>
              </w:rPr>
              <w:br w:type="textWrapping"/>
            </w:r>
            <w:r>
              <w:rPr>
                <w:rStyle w:val="5"/>
                <w:rFonts w:hint="eastAsia" w:ascii="黑体" w:hAnsi="黑体" w:eastAsia="黑体" w:cs="黑体"/>
                <w:sz w:val="21"/>
                <w:szCs w:val="21"/>
                <w:bdr w:val="none" w:color="auto" w:sz="0" w:space="0"/>
                <w:lang w:val="en-US" w:eastAsia="zh-CN" w:bidi="ar"/>
              </w:rPr>
              <w:t>7.导体结构：49 根 / 0.25 mm（多股绞合）</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60E39950">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m</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736AA26B">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520</w:t>
            </w:r>
          </w:p>
        </w:tc>
      </w:tr>
      <w:tr w14:paraId="1B37C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078CCBCE">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31</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781CD7CC">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室外箱</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09E4C5BD">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1.产品名称：抱杆箱</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2.规格尺寸：300mm*400mm*200mm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3.厚度：0.8mm</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4.抱杆扎带：根据杆体直径定制。</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61B799E3">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个</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59E833D8">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59</w:t>
            </w:r>
          </w:p>
        </w:tc>
      </w:tr>
      <w:tr w14:paraId="3B459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080A41D6">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32</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5108DDB2">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系统集成辅助耗材包</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79C205CF">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1.包含施工所需网线、水晶头、胶布、尼龙扎带，铁扎带、空气开关、导轨、接线端子、插排、插头、熔纤盒、热熔管、光纤收发器等辅材</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68E9C46C">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批</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32F2B786">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 xml:space="preserve">1 </w:t>
            </w:r>
          </w:p>
        </w:tc>
      </w:tr>
      <w:tr w14:paraId="73F97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197C3DCF">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33</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1F8C561F">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安全网络专线</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69ED0751">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1.基于互联网专线叠加网络安全监测与防护能力，不改变原有专线物理架构、带宽及路由配置，实现「专线 + 安全」一体化交付。</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2.兼容互联网专线接入模式（光纤、PON 等），支持与现有网络设备（路由器、交换机、防火墙等）无缝对接。</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3.互联网端口开放风险监测：7×24小时周期性扫描专线出口公网 IP 及端口，识别开放端口、弱口令、可疑服务等风险，生成风险报告，更新频率≤24 小时。</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4.实时识别 SYN Flood、UDP Flood、ICMP Flood、HTTP Flood 等主流 DDoS 攻击，记录攻击源、流量峰值、持续时长等，攻击识别延迟≤10 秒。</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5.检测专线内终端、服务器病毒感染、木马植入、僵尸网络通信等失陷行为，识别恶意流量。</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6.基于全国安全大数据，提供行业的安全态势分析（威胁趋势、攻击热点等）。</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598EE404">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项</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5557032F">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 xml:space="preserve">1 </w:t>
            </w:r>
          </w:p>
        </w:tc>
      </w:tr>
      <w:tr w14:paraId="68143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76" w:type="dxa"/>
            <w:tcBorders>
              <w:top w:val="single" w:color="000000" w:sz="4" w:space="0"/>
              <w:left w:val="single" w:color="000000" w:sz="8" w:space="0"/>
              <w:bottom w:val="single" w:color="000000" w:sz="4" w:space="0"/>
              <w:right w:val="single" w:color="000000" w:sz="4" w:space="0"/>
            </w:tcBorders>
            <w:shd w:val="clear"/>
            <w:vAlign w:val="center"/>
          </w:tcPr>
          <w:p w14:paraId="556DC5C6">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34</w:t>
            </w:r>
          </w:p>
        </w:tc>
        <w:tc>
          <w:tcPr>
            <w:tcW w:w="1112" w:type="dxa"/>
            <w:tcBorders>
              <w:top w:val="single" w:color="000000" w:sz="4" w:space="0"/>
              <w:left w:val="single" w:color="000000" w:sz="4" w:space="0"/>
              <w:bottom w:val="single" w:color="000000" w:sz="4" w:space="0"/>
              <w:right w:val="single" w:color="000000" w:sz="4" w:space="0"/>
            </w:tcBorders>
            <w:shd w:val="clear"/>
            <w:vAlign w:val="center"/>
          </w:tcPr>
          <w:p w14:paraId="0FBD5AC8">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系统集成服务</w:t>
            </w:r>
          </w:p>
        </w:tc>
        <w:tc>
          <w:tcPr>
            <w:tcW w:w="5256" w:type="dxa"/>
            <w:tcBorders>
              <w:top w:val="single" w:color="000000" w:sz="4" w:space="0"/>
              <w:left w:val="single" w:color="000000" w:sz="4" w:space="0"/>
              <w:bottom w:val="single" w:color="000000" w:sz="4" w:space="0"/>
              <w:right w:val="single" w:color="000000" w:sz="4" w:space="0"/>
            </w:tcBorders>
            <w:shd w:val="clear"/>
            <w:vAlign w:val="center"/>
          </w:tcPr>
          <w:p w14:paraId="64CAFB84">
            <w:pPr>
              <w:keepNext w:val="0"/>
              <w:keepLines w:val="0"/>
              <w:widowControl/>
              <w:suppressLineNumbers w:val="0"/>
              <w:jc w:val="left"/>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1.本项目系统集成服务覆盖鄂温克族自治旗全域内15个指定路口，包含设备全生命周期服务，投标人需对服务质量、进度、安全及最终验收合格负总责。</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2.按清单提供全新合格设备，负责至各路口点位的运输、卸货及二次搬运，适配当地复杂路况与低温气候，保障设备完好。</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3.按规范完成设备安装、接线、防雷施工，开展单机及系统联调，确保设备功能正常，施工符合安全及行业标准。</w:t>
            </w:r>
            <w:r>
              <w:rPr>
                <w:rFonts w:hint="eastAsia" w:ascii="黑体" w:hAnsi="黑体" w:eastAsia="黑体" w:cs="黑体"/>
                <w:i w:val="0"/>
                <w:iCs w:val="0"/>
                <w:color w:val="000000"/>
                <w:kern w:val="0"/>
                <w:sz w:val="21"/>
                <w:szCs w:val="21"/>
                <w:u w:val="none"/>
                <w:bdr w:val="none" w:color="auto" w:sz="0" w:space="0"/>
                <w:lang w:val="en-US" w:eastAsia="zh-CN" w:bidi="ar"/>
              </w:rPr>
              <w:br w:type="textWrapping"/>
            </w:r>
            <w:r>
              <w:rPr>
                <w:rFonts w:hint="eastAsia" w:ascii="黑体" w:hAnsi="黑体" w:eastAsia="黑体" w:cs="黑体"/>
                <w:i w:val="0"/>
                <w:iCs w:val="0"/>
                <w:color w:val="000000"/>
                <w:kern w:val="0"/>
                <w:sz w:val="21"/>
                <w:szCs w:val="21"/>
                <w:u w:val="none"/>
                <w:bdr w:val="none" w:color="auto" w:sz="0" w:space="0"/>
                <w:lang w:val="en-US" w:eastAsia="zh-CN" w:bidi="ar"/>
              </w:rPr>
              <w:t>4.搭建专用传输网络，完成设备与指定平台对接，适配国标协议，保障数据稳定传输与系统互联互通，保障数据一致性、完整性，无数据丢失或延迟，系统功能与原有流程兼容，不影响现有业务运行。</w:t>
            </w:r>
          </w:p>
        </w:tc>
        <w:tc>
          <w:tcPr>
            <w:tcW w:w="543" w:type="dxa"/>
            <w:tcBorders>
              <w:top w:val="single" w:color="000000" w:sz="4" w:space="0"/>
              <w:left w:val="single" w:color="000000" w:sz="4" w:space="0"/>
              <w:bottom w:val="single" w:color="000000" w:sz="4" w:space="0"/>
              <w:right w:val="single" w:color="000000" w:sz="4" w:space="0"/>
            </w:tcBorders>
            <w:shd w:val="clear"/>
            <w:vAlign w:val="center"/>
          </w:tcPr>
          <w:p w14:paraId="617279F4">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批</w:t>
            </w:r>
          </w:p>
        </w:tc>
        <w:tc>
          <w:tcPr>
            <w:tcW w:w="873" w:type="dxa"/>
            <w:tcBorders>
              <w:top w:val="single" w:color="000000" w:sz="4" w:space="0"/>
              <w:left w:val="single" w:color="000000" w:sz="4" w:space="0"/>
              <w:bottom w:val="single" w:color="000000" w:sz="4" w:space="0"/>
              <w:right w:val="single" w:color="000000" w:sz="4" w:space="0"/>
            </w:tcBorders>
            <w:shd w:val="clear"/>
            <w:vAlign w:val="center"/>
          </w:tcPr>
          <w:p w14:paraId="1FADD52E">
            <w:pPr>
              <w:keepNext w:val="0"/>
              <w:keepLines w:val="0"/>
              <w:widowControl/>
              <w:suppressLineNumbers w:val="0"/>
              <w:jc w:val="center"/>
              <w:textAlignment w:val="center"/>
              <w:rPr>
                <w:rFonts w:hint="eastAsia" w:ascii="黑体" w:hAnsi="黑体" w:eastAsia="黑体" w:cs="黑体"/>
                <w:i w:val="0"/>
                <w:iCs w:val="0"/>
                <w:color w:val="000000"/>
                <w:sz w:val="21"/>
                <w:szCs w:val="21"/>
                <w:u w:val="none"/>
              </w:rPr>
            </w:pPr>
            <w:r>
              <w:rPr>
                <w:rFonts w:hint="eastAsia" w:ascii="黑体" w:hAnsi="黑体" w:eastAsia="黑体" w:cs="黑体"/>
                <w:i w:val="0"/>
                <w:iCs w:val="0"/>
                <w:color w:val="000000"/>
                <w:kern w:val="0"/>
                <w:sz w:val="21"/>
                <w:szCs w:val="21"/>
                <w:u w:val="none"/>
                <w:bdr w:val="none" w:color="auto" w:sz="0" w:space="0"/>
                <w:lang w:val="en-US" w:eastAsia="zh-CN" w:bidi="ar"/>
              </w:rPr>
              <w:t xml:space="preserve">1 </w:t>
            </w:r>
          </w:p>
        </w:tc>
      </w:tr>
      <w:tr w14:paraId="369EF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 w:hRule="atLeast"/>
        </w:trPr>
        <w:tc>
          <w:tcPr>
            <w:tcW w:w="8260" w:type="dxa"/>
            <w:gridSpan w:val="5"/>
            <w:tcBorders>
              <w:top w:val="single" w:color="000000" w:sz="4" w:space="0"/>
              <w:left w:val="single" w:color="000000" w:sz="8" w:space="0"/>
              <w:bottom w:val="single" w:color="000000" w:sz="4" w:space="0"/>
              <w:right w:val="single" w:color="000000" w:sz="4" w:space="0"/>
            </w:tcBorders>
            <w:shd w:val="clear"/>
            <w:vAlign w:val="center"/>
          </w:tcPr>
          <w:p w14:paraId="6FF39606">
            <w:pPr>
              <w:keepNext w:val="0"/>
              <w:keepLines w:val="0"/>
              <w:widowControl/>
              <w:suppressLineNumbers w:val="0"/>
              <w:jc w:val="center"/>
              <w:textAlignment w:val="center"/>
              <w:rPr>
                <w:rFonts w:hint="default" w:ascii="黑体" w:hAnsi="黑体" w:eastAsia="黑体" w:cs="黑体"/>
                <w:i w:val="0"/>
                <w:iCs w:val="0"/>
                <w:color w:val="000000"/>
                <w:kern w:val="0"/>
                <w:sz w:val="21"/>
                <w:szCs w:val="21"/>
                <w:u w:val="none"/>
                <w:bdr w:val="none" w:color="auto" w:sz="0" w:space="0"/>
                <w:lang w:val="en-US" w:eastAsia="zh-CN" w:bidi="ar"/>
              </w:rPr>
            </w:pPr>
            <w:r>
              <w:rPr>
                <w:rFonts w:hint="eastAsia" w:ascii="黑体" w:hAnsi="黑体" w:eastAsia="黑体" w:cs="黑体"/>
                <w:i w:val="0"/>
                <w:iCs w:val="0"/>
                <w:color w:val="000000"/>
                <w:kern w:val="0"/>
                <w:sz w:val="21"/>
                <w:szCs w:val="21"/>
                <w:u w:val="none"/>
                <w:bdr w:val="none" w:color="auto" w:sz="0" w:space="0"/>
                <w:lang w:val="en-US" w:eastAsia="zh-CN" w:bidi="ar"/>
              </w:rPr>
              <w:t>备注：标有“▲”标识的须按要求提供相关证明材料。</w:t>
            </w:r>
          </w:p>
        </w:tc>
      </w:tr>
    </w:tbl>
    <w:p w14:paraId="13E933F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1F3067"/>
    <w:rsid w:val="641F3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51"/>
    <w:basedOn w:val="3"/>
    <w:uiPriority w:val="0"/>
    <w:rPr>
      <w:rFonts w:hint="default" w:ascii="Times New Roman" w:hAnsi="Times New Roman" w:cs="Times New Roman"/>
      <w:color w:val="000000"/>
      <w:sz w:val="20"/>
      <w:szCs w:val="20"/>
      <w:u w:val="none"/>
    </w:rPr>
  </w:style>
  <w:style w:type="character" w:customStyle="1" w:styleId="5">
    <w:name w:val="font11"/>
    <w:basedOn w:val="3"/>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6</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2026-04-03T03:02:00Z</dcterms:created>
  <dc:creator>入云栖`</dc:creator>
  <cp:lastModifiedBy>入云栖`</cp:lastModifiedBy>
  <dcterms:modified xsi:type="dcterms:W3CDTF">2026-04-03T03:25:06Z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0A4ED55A13C541DD8F234E6F52019AE6_11</vt:lpwstr>
  </property>
  <property fmtid="{D5CDD505-2E9C-101B-9397-08002B2CF9AE}" pid="4" name="KSOTemplateDocerSaveRecord">
    <vt:lpwstr>eyJoZGlkIjoiNDk4OThjMzY4NDRmYjQ5NzYxMDNjN2Y2ZmRmMjdjNWEiLCJ1c2VySWQiOiI1NDYyOTI0NTUifQ==</vt:lpwstr>
  </property>
</Properties>
</file>