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C1854">
      <w:pPr>
        <w:keepNext w:val="0"/>
        <w:keepLines w:val="0"/>
        <w:pageBreakBefore w:val="0"/>
        <w:widowControl w:val="0"/>
        <w:kinsoku/>
        <w:wordWrap/>
        <w:overflowPunct/>
        <w:topLinePunct w:val="0"/>
        <w:autoSpaceDE/>
        <w:autoSpaceDN/>
        <w:bidi w:val="0"/>
        <w:adjustRightInd/>
        <w:snapToGrid w:val="0"/>
        <w:spacing w:before="0" w:after="0" w:line="800" w:lineRule="exact"/>
        <w:jc w:val="center"/>
        <w:textAlignment w:val="auto"/>
        <w:rPr>
          <w:rFonts w:hint="eastAsia" w:ascii="宋体" w:hAnsi="宋体" w:eastAsia="宋体" w:cs="宋体"/>
          <w:b/>
          <w:i w:val="0"/>
          <w:color w:val="000000"/>
          <w:kern w:val="0"/>
          <w:sz w:val="30"/>
          <w:szCs w:val="30"/>
          <w:u w:val="none"/>
          <w:lang w:val="en-US" w:eastAsia="zh-CN" w:bidi="ar"/>
        </w:rPr>
      </w:pPr>
      <w:r>
        <w:rPr>
          <w:rFonts w:hint="eastAsia" w:ascii="宋体" w:hAnsi="宋体" w:eastAsia="宋体" w:cs="宋体"/>
          <w:b/>
          <w:i w:val="0"/>
          <w:color w:val="000000"/>
          <w:kern w:val="0"/>
          <w:sz w:val="30"/>
          <w:szCs w:val="30"/>
          <w:u w:val="none"/>
          <w:lang w:val="en-US" w:eastAsia="zh-CN" w:bidi="ar"/>
        </w:rPr>
        <w:t>新能源产业园雨水池至锡尼湖雨水管线改建工程</w:t>
      </w:r>
    </w:p>
    <w:p w14:paraId="0F18CD8E">
      <w:pPr>
        <w:keepNext w:val="0"/>
        <w:keepLines w:val="0"/>
        <w:pageBreakBefore w:val="0"/>
        <w:widowControl w:val="0"/>
        <w:kinsoku/>
        <w:wordWrap/>
        <w:overflowPunct/>
        <w:topLinePunct w:val="0"/>
        <w:autoSpaceDE/>
        <w:autoSpaceDN/>
        <w:bidi w:val="0"/>
        <w:adjustRightInd/>
        <w:snapToGrid w:val="0"/>
        <w:spacing w:before="0" w:after="0" w:line="800" w:lineRule="exact"/>
        <w:jc w:val="center"/>
        <w:textAlignment w:val="auto"/>
        <w:rPr>
          <w:rFonts w:hint="eastAsia" w:ascii="宋体" w:hAnsi="宋体" w:eastAsia="宋体" w:cs="宋体"/>
          <w:b/>
          <w:color w:val="000000"/>
          <w:sz w:val="30"/>
          <w:szCs w:val="30"/>
        </w:rPr>
      </w:pPr>
      <w:r>
        <w:rPr>
          <w:rFonts w:hint="eastAsia" w:ascii="宋体" w:hAnsi="宋体" w:eastAsia="宋体" w:cs="宋体"/>
          <w:b/>
          <w:i w:val="0"/>
          <w:color w:val="000000"/>
          <w:kern w:val="0"/>
          <w:sz w:val="30"/>
          <w:szCs w:val="30"/>
          <w:u w:val="none"/>
          <w:lang w:val="en-US" w:eastAsia="zh-CN" w:bidi="ar"/>
        </w:rPr>
        <w:t>最高投标限价</w:t>
      </w:r>
      <w:r>
        <w:rPr>
          <w:rFonts w:hint="eastAsia" w:ascii="宋体" w:hAnsi="宋体" w:eastAsia="宋体" w:cs="宋体"/>
          <w:b/>
          <w:color w:val="000000"/>
          <w:sz w:val="30"/>
          <w:szCs w:val="30"/>
          <w:lang w:val="en-US" w:eastAsia="zh-CN"/>
        </w:rPr>
        <w:t>编制说明</w:t>
      </w:r>
    </w:p>
    <w:p w14:paraId="6E2C4030">
      <w:pPr>
        <w:pStyle w:val="16"/>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ascii="宋体" w:hAnsi="宋体" w:eastAsia="宋体" w:cs="宋体"/>
          <w:b/>
          <w:sz w:val="24"/>
          <w:szCs w:val="24"/>
        </w:rPr>
      </w:pPr>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rPr>
        <w:t>工程概况</w:t>
      </w:r>
    </w:p>
    <w:p w14:paraId="0EFE101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工程名称：新能源产业园雨水池至锡尼湖雨水管线改建工程</w:t>
      </w:r>
    </w:p>
    <w:p w14:paraId="6706A1E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工程地点：杭锦旗锡尼镇镇区</w:t>
      </w:r>
    </w:p>
    <w:p w14:paraId="1CFEEAC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sz w:val="24"/>
          <w:szCs w:val="24"/>
          <w:highlight w:val="yellow"/>
          <w:lang w:val="en-US" w:eastAsia="zh-CN"/>
        </w:rPr>
      </w:pPr>
      <w:r>
        <w:rPr>
          <w:rFonts w:hint="eastAsia" w:ascii="宋体" w:hAnsi="宋体" w:eastAsia="宋体" w:cs="宋体"/>
          <w:color w:val="auto"/>
          <w:sz w:val="24"/>
          <w:szCs w:val="24"/>
          <w:highlight w:val="none"/>
        </w:rPr>
        <w:t>工程概况：</w:t>
      </w:r>
      <w:r>
        <w:rPr>
          <w:rFonts w:hint="eastAsia" w:ascii="宋体" w:hAnsi="宋体" w:eastAsia="宋体" w:cs="宋体"/>
          <w:sz w:val="24"/>
          <w:szCs w:val="24"/>
          <w:lang w:val="en-US" w:eastAsia="zh-CN"/>
        </w:rPr>
        <w:t>详见图纸或工程量清单。</w:t>
      </w:r>
    </w:p>
    <w:p w14:paraId="48A2BAB3">
      <w:pPr>
        <w:pStyle w:val="16"/>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编制范围</w:t>
      </w:r>
    </w:p>
    <w:p w14:paraId="50D6BC76">
      <w:pPr>
        <w:pStyle w:val="16"/>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宋体" w:hAnsi="宋体" w:eastAsia="宋体" w:cs="宋体"/>
          <w:color w:val="333333"/>
          <w:kern w:val="2"/>
          <w:sz w:val="24"/>
          <w:szCs w:val="24"/>
          <w:highlight w:val="none"/>
          <w:lang w:val="en-US" w:eastAsia="zh-CN" w:bidi="ar-SA"/>
        </w:rPr>
      </w:pPr>
      <w:r>
        <w:rPr>
          <w:rFonts w:hint="eastAsia" w:ascii="宋体" w:hAnsi="宋体" w:eastAsia="宋体" w:cs="宋体"/>
          <w:b/>
          <w:sz w:val="24"/>
          <w:szCs w:val="24"/>
          <w:highlight w:val="none"/>
          <w:lang w:val="en-US" w:eastAsia="zh-CN"/>
        </w:rPr>
        <w:t xml:space="preserve">    </w:t>
      </w:r>
      <w:r>
        <w:rPr>
          <w:rFonts w:hint="eastAsia" w:ascii="宋体" w:hAnsi="宋体" w:eastAsia="宋体" w:cs="宋体"/>
          <w:color w:val="333333"/>
          <w:kern w:val="2"/>
          <w:sz w:val="24"/>
          <w:szCs w:val="24"/>
          <w:highlight w:val="none"/>
          <w:lang w:val="en-US" w:eastAsia="zh-CN" w:bidi="ar-SA"/>
        </w:rPr>
        <w:t>设计图纸及答疑等全部内容。</w:t>
      </w:r>
    </w:p>
    <w:p w14:paraId="1B674A1D">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eastAsia="宋体" w:cs="宋体"/>
          <w:b/>
          <w:sz w:val="24"/>
          <w:szCs w:val="24"/>
          <w:highlight w:val="none"/>
        </w:rPr>
      </w:pPr>
      <w:r>
        <w:rPr>
          <w:rFonts w:hint="eastAsia" w:ascii="宋体" w:hAnsi="宋体" w:eastAsia="宋体" w:cs="宋体"/>
          <w:b/>
          <w:sz w:val="24"/>
          <w:szCs w:val="24"/>
          <w:highlight w:val="none"/>
          <w:lang w:val="en-US" w:eastAsia="zh-CN"/>
        </w:rPr>
        <w:t>三</w:t>
      </w:r>
      <w:r>
        <w:rPr>
          <w:rFonts w:hint="eastAsia" w:ascii="宋体" w:hAnsi="宋体" w:eastAsia="宋体" w:cs="宋体"/>
          <w:b/>
          <w:sz w:val="24"/>
          <w:szCs w:val="24"/>
          <w:highlight w:val="none"/>
        </w:rPr>
        <w:t>、编制依据</w:t>
      </w:r>
    </w:p>
    <w:p w14:paraId="718557D7">
      <w:pPr>
        <w:pStyle w:val="9"/>
        <w:keepNext w:val="0"/>
        <w:keepLines w:val="0"/>
        <w:widowControl/>
        <w:suppressLineNumbers w:val="0"/>
        <w:spacing w:before="60" w:beforeAutospacing="0" w:after="120" w:afterAutospacing="0" w:line="360" w:lineRule="auto"/>
        <w:ind w:right="0" w:firstLine="480" w:firstLineChars="200"/>
        <w:jc w:val="both"/>
        <w:rPr>
          <w:sz w:val="24"/>
          <w:szCs w:val="24"/>
        </w:rPr>
      </w:pPr>
      <w:r>
        <w:rPr>
          <w:rFonts w:hint="eastAsia" w:ascii="宋体" w:hAnsi="宋体" w:eastAsia="宋体" w:cs="宋体"/>
          <w:sz w:val="24"/>
          <w:szCs w:val="24"/>
          <w:highlight w:val="none"/>
          <w:lang w:val="en-US" w:eastAsia="zh-CN"/>
        </w:rPr>
        <w:t>1、清单依据：</w:t>
      </w:r>
      <w:r>
        <w:rPr>
          <w:rFonts w:hint="eastAsia" w:ascii="宋体" w:hAnsi="宋体" w:eastAsia="宋体" w:cs="宋体"/>
          <w:sz w:val="24"/>
          <w:szCs w:val="24"/>
          <w:highlight w:val="none"/>
          <w:lang w:eastAsia="zh-CN"/>
        </w:rPr>
        <w:t>《建设工程工程</w:t>
      </w:r>
      <w:r>
        <w:rPr>
          <w:rFonts w:hint="eastAsia" w:ascii="宋体" w:hAnsi="宋体" w:eastAsia="宋体" w:cs="宋体"/>
          <w:sz w:val="24"/>
          <w:szCs w:val="24"/>
          <w:highlight w:val="none"/>
          <w:lang w:val="en-US" w:eastAsia="zh-CN"/>
        </w:rPr>
        <w:t>量</w:t>
      </w:r>
      <w:r>
        <w:rPr>
          <w:rFonts w:hint="eastAsia" w:ascii="宋体" w:hAnsi="宋体" w:eastAsia="宋体" w:cs="宋体"/>
          <w:sz w:val="24"/>
          <w:szCs w:val="24"/>
          <w:highlight w:val="none"/>
          <w:lang w:eastAsia="zh-CN"/>
        </w:rPr>
        <w:t>清单计价规范》GB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lang w:eastAsia="zh-CN"/>
        </w:rPr>
        <w:t>50500-20</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lang w:eastAsia="zh-CN"/>
        </w:rPr>
        <w:t>、《房屋建筑与装饰工程工程量计算标准》GB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lang w:eastAsia="zh-CN"/>
        </w:rPr>
        <w:t>50854-20</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lang w:eastAsia="zh-CN"/>
        </w:rPr>
        <w:t>、《通用安装工程工程量计算标准》GB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lang w:eastAsia="zh-CN"/>
        </w:rPr>
        <w:t>50856-20</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《市政工程工程量计算标准 》GB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lang w:eastAsia="zh-CN"/>
        </w:rPr>
        <w:t>50857-20</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lang w:eastAsia="zh-CN"/>
        </w:rPr>
        <w:t>、</w:t>
      </w:r>
      <w:r>
        <w:rPr>
          <w:rFonts w:hint="eastAsia" w:ascii="宋体" w:hAnsi="宋体" w:eastAsia="宋体" w:cs="宋体"/>
          <w:color w:val="333333"/>
          <w:kern w:val="2"/>
          <w:sz w:val="24"/>
          <w:szCs w:val="24"/>
          <w:highlight w:val="none"/>
          <w:lang w:val="en-US" w:eastAsia="zh-CN" w:bidi="ar-SA"/>
        </w:rPr>
        <w:t>《园林绿化工程工程量计算标准》GB/T50858-2024</w:t>
      </w:r>
      <w:r>
        <w:rPr>
          <w:rFonts w:hint="eastAsia" w:ascii="宋体" w:hAnsi="宋体" w:eastAsia="宋体" w:cs="宋体"/>
          <w:b w:val="0"/>
          <w:bCs w:val="0"/>
          <w:i w:val="0"/>
          <w:iCs w:val="0"/>
          <w:color w:val="333333"/>
          <w:spacing w:val="0"/>
          <w:w w:val="100"/>
          <w:sz w:val="24"/>
          <w:szCs w:val="24"/>
          <w:vertAlign w:val="baseline"/>
        </w:rPr>
        <w:t>及相关的清单计价编制依据。</w:t>
      </w:r>
    </w:p>
    <w:p w14:paraId="7296B0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2、定额执行</w:t>
      </w:r>
      <w:r>
        <w:rPr>
          <w:rFonts w:hint="eastAsia" w:ascii="宋体" w:hAnsi="宋体" w:eastAsia="宋体" w:cs="宋体"/>
          <w:sz w:val="24"/>
          <w:szCs w:val="24"/>
          <w:highlight w:val="none"/>
          <w:lang w:eastAsia="zh-CN"/>
        </w:rPr>
        <w:t>《内蒙古自治区房屋建筑与装饰工程预算定额（2017）》、《内蒙古自治区通用安装工程预算定额（2017）》</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《内蒙古自治区市政工程预算定额（2017）》</w:t>
      </w:r>
      <w:r>
        <w:rPr>
          <w:rFonts w:hint="eastAsia" w:ascii="宋体" w:hAnsi="宋体" w:eastAsia="宋体" w:cs="宋体"/>
          <w:sz w:val="24"/>
          <w:szCs w:val="24"/>
          <w:highlight w:val="none"/>
          <w:lang w:val="en-US" w:eastAsia="zh-CN"/>
        </w:rPr>
        <w:t>、</w:t>
      </w:r>
      <w:r>
        <w:rPr>
          <w:rFonts w:hint="eastAsia" w:ascii="宋体" w:hAnsi="宋体" w:eastAsia="宋体" w:cs="宋体"/>
          <w:color w:val="333333"/>
          <w:kern w:val="2"/>
          <w:sz w:val="24"/>
          <w:szCs w:val="24"/>
          <w:highlight w:val="none"/>
          <w:lang w:val="en-US" w:eastAsia="zh-CN" w:bidi="ar-SA"/>
        </w:rPr>
        <w:t>《内蒙古自治区园林绿化工程预算定额（2017）》、</w:t>
      </w:r>
      <w:r>
        <w:rPr>
          <w:rFonts w:hint="eastAsia" w:ascii="宋体" w:hAnsi="宋体" w:eastAsia="宋体" w:cs="宋体"/>
          <w:sz w:val="24"/>
          <w:szCs w:val="24"/>
          <w:highlight w:val="none"/>
          <w:lang w:eastAsia="zh-CN"/>
        </w:rPr>
        <w:t>《内蒙古自治区建设工程费用定额（2017）》。</w:t>
      </w:r>
    </w:p>
    <w:p w14:paraId="09FBCFCC">
      <w:pPr>
        <w:keepNext w:val="0"/>
        <w:keepLines w:val="0"/>
        <w:widowControl/>
        <w:suppressLineNumbers w:val="0"/>
        <w:spacing w:line="360" w:lineRule="auto"/>
        <w:ind w:firstLine="480" w:firstLineChars="2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3、税金执行</w:t>
      </w:r>
      <w:r>
        <w:rPr>
          <w:rFonts w:hint="eastAsia" w:ascii="宋体" w:hAnsi="宋体" w:eastAsia="宋体" w:cs="宋体"/>
          <w:sz w:val="24"/>
          <w:szCs w:val="24"/>
          <w:highlight w:val="none"/>
          <w:lang w:eastAsia="zh-CN"/>
        </w:rPr>
        <w:t>内建标【2019】113号关于调整内蒙古自治区建设工程计价依据增值税税率的通知，</w:t>
      </w:r>
      <w:r>
        <w:rPr>
          <w:rFonts w:hint="eastAsia" w:ascii="宋体" w:hAnsi="宋体" w:eastAsia="宋体" w:cs="宋体"/>
          <w:color w:val="333333"/>
          <w:kern w:val="0"/>
          <w:sz w:val="24"/>
          <w:szCs w:val="24"/>
          <w:lang w:val="en-US" w:eastAsia="zh-CN" w:bidi="ar"/>
        </w:rPr>
        <w:t>按费率 9%计取；</w:t>
      </w:r>
    </w:p>
    <w:p w14:paraId="01B56AEA">
      <w:pPr>
        <w:keepNext w:val="0"/>
        <w:keepLines w:val="0"/>
        <w:widowControl/>
        <w:suppressLineNumbers w:val="0"/>
        <w:ind w:firstLine="480" w:firstLineChars="2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color w:val="333333"/>
          <w:kern w:val="0"/>
          <w:sz w:val="24"/>
          <w:szCs w:val="24"/>
          <w:lang w:val="en-US" w:eastAsia="zh-CN" w:bidi="ar"/>
        </w:rPr>
        <w:t>规费执行内建标函【2025】340 号文件，关于执行《建设工程工程量清单计价标准》及配套工程量计算标准的通知，规费不再单独列项计价，按照相应费率以人工增加费计入其他项目费中；</w:t>
      </w:r>
    </w:p>
    <w:p w14:paraId="0059401C">
      <w:pPr>
        <w:keepNext w:val="0"/>
        <w:keepLines w:val="0"/>
        <w:widowControl/>
        <w:suppressLineNumbers w:val="0"/>
        <w:spacing w:line="360" w:lineRule="auto"/>
        <w:ind w:firstLine="480" w:firstLineChars="2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5、人工费执行</w:t>
      </w:r>
      <w:r>
        <w:rPr>
          <w:rFonts w:hint="eastAsia" w:ascii="宋体" w:hAnsi="宋体" w:eastAsia="宋体" w:cs="宋体"/>
          <w:sz w:val="24"/>
          <w:szCs w:val="24"/>
          <w:highlight w:val="none"/>
          <w:lang w:eastAsia="zh-CN"/>
        </w:rPr>
        <w:t>内建标函【20</w:t>
      </w: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14</w:t>
      </w:r>
      <w:r>
        <w:rPr>
          <w:rFonts w:hint="eastAsia" w:ascii="宋体" w:hAnsi="宋体" w:eastAsia="宋体" w:cs="宋体"/>
          <w:sz w:val="24"/>
          <w:szCs w:val="24"/>
          <w:highlight w:val="none"/>
          <w:lang w:eastAsia="zh-CN"/>
        </w:rPr>
        <w:t>8号内蒙古自治区住房和城乡建设厅关于调整内蒙古自治区建设工程现行预算定额人工费的通知，</w:t>
      </w:r>
      <w:r>
        <w:rPr>
          <w:rFonts w:hint="eastAsia" w:ascii="宋体" w:hAnsi="宋体" w:eastAsia="宋体" w:cs="宋体"/>
          <w:sz w:val="24"/>
          <w:szCs w:val="24"/>
          <w:highlight w:val="none"/>
          <w:lang w:val="en-US" w:eastAsia="zh-CN"/>
        </w:rPr>
        <w:t>；</w:t>
      </w:r>
    </w:p>
    <w:p w14:paraId="74EC188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sz w:val="24"/>
          <w:szCs w:val="24"/>
          <w:lang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材</w:t>
      </w:r>
      <w:r>
        <w:rPr>
          <w:rFonts w:hint="eastAsia" w:ascii="宋体" w:hAnsi="宋体" w:eastAsia="宋体" w:cs="宋体"/>
          <w:color w:val="auto"/>
          <w:sz w:val="24"/>
          <w:szCs w:val="24"/>
          <w:highlight w:val="none"/>
          <w:lang w:eastAsia="zh-CN"/>
        </w:rPr>
        <w:t>料</w:t>
      </w:r>
      <w:r>
        <w:rPr>
          <w:rFonts w:hint="eastAsia" w:ascii="宋体" w:hAnsi="宋体" w:eastAsia="宋体" w:cs="宋体"/>
          <w:color w:val="auto"/>
          <w:sz w:val="24"/>
          <w:szCs w:val="24"/>
          <w:highlight w:val="none"/>
          <w:lang w:val="en-US" w:eastAsia="zh-CN"/>
        </w:rPr>
        <w:t>费执行</w:t>
      </w:r>
      <w:r>
        <w:rPr>
          <w:rFonts w:hint="eastAsia" w:ascii="宋体" w:hAnsi="宋体" w:eastAsia="宋体" w:cs="宋体"/>
          <w:color w:val="333333"/>
          <w:kern w:val="2"/>
          <w:sz w:val="24"/>
          <w:szCs w:val="24"/>
          <w:highlight w:val="none"/>
          <w:lang w:val="en-US" w:eastAsia="zh-CN" w:bidi="ar-SA"/>
        </w:rPr>
        <w:t>《鄂尔多斯工程造价信息》2025年第六期杭锦旗信息价，杭锦旗信息价没有的依次执行东胜、包头地区信息价及市场询价；</w:t>
      </w:r>
    </w:p>
    <w:p w14:paraId="5540296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sz w:val="24"/>
          <w:szCs w:val="24"/>
          <w:lang w:eastAsia="zh-CN"/>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有关的技术规范书、</w:t>
      </w:r>
      <w:r>
        <w:rPr>
          <w:rFonts w:hint="eastAsia" w:ascii="宋体" w:hAnsi="宋体" w:eastAsia="宋体" w:cs="宋体"/>
          <w:sz w:val="24"/>
          <w:szCs w:val="24"/>
          <w:highlight w:val="none"/>
          <w:lang w:eastAsia="zh-CN"/>
        </w:rPr>
        <w:t>设计参数、图纸中涉及的相关图集。</w:t>
      </w:r>
    </w:p>
    <w:p w14:paraId="5A27909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四、其他项目费说明</w:t>
      </w:r>
    </w:p>
    <w:p w14:paraId="1BBB6CE1">
      <w:pPr>
        <w:pStyle w:val="11"/>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宋体" w:hAnsi="宋体" w:eastAsia="宋体" w:cs="宋体"/>
          <w:color w:val="333333"/>
          <w:kern w:val="2"/>
          <w:sz w:val="24"/>
          <w:szCs w:val="24"/>
          <w:highlight w:val="none"/>
          <w:lang w:val="en-US" w:eastAsia="zh-CN" w:bidi="ar-SA"/>
        </w:rPr>
      </w:pPr>
      <w:r>
        <w:rPr>
          <w:rFonts w:hint="eastAsia" w:ascii="宋体" w:hAnsi="宋体" w:eastAsia="宋体" w:cs="宋体"/>
          <w:color w:val="333333"/>
          <w:kern w:val="2"/>
          <w:sz w:val="24"/>
          <w:szCs w:val="24"/>
          <w:highlight w:val="none"/>
          <w:lang w:val="en-US" w:eastAsia="zh-CN" w:bidi="ar-SA"/>
        </w:rPr>
        <w:t>1、本次招标项目不设暂列金额；</w:t>
      </w:r>
    </w:p>
    <w:p w14:paraId="6EE2AD0E">
      <w:pPr>
        <w:keepNext w:val="0"/>
        <w:keepLines w:val="0"/>
        <w:widowControl/>
        <w:suppressLineNumbers w:val="0"/>
        <w:spacing w:line="360" w:lineRule="auto"/>
        <w:ind w:firstLine="480" w:firstLineChars="200"/>
        <w:jc w:val="left"/>
        <w:rPr>
          <w:rFonts w:hint="default" w:ascii="宋体" w:hAnsi="宋体" w:eastAsia="宋体" w:cs="宋体"/>
          <w:color w:val="333333"/>
          <w:kern w:val="2"/>
          <w:sz w:val="24"/>
          <w:szCs w:val="24"/>
          <w:highlight w:val="none"/>
          <w:lang w:val="en-US" w:eastAsia="zh-CN" w:bidi="ar-SA"/>
        </w:rPr>
      </w:pPr>
      <w:r>
        <w:rPr>
          <w:rFonts w:hint="eastAsia" w:ascii="宋体" w:hAnsi="宋体" w:eastAsia="宋体" w:cs="宋体"/>
          <w:color w:val="333333"/>
          <w:kern w:val="2"/>
          <w:sz w:val="24"/>
          <w:szCs w:val="24"/>
          <w:highlight w:val="none"/>
          <w:lang w:val="en-US" w:eastAsia="zh-CN" w:bidi="ar-SA"/>
        </w:rPr>
        <w:t>2、本次招标项目不计取材料检验试验费；</w:t>
      </w:r>
    </w:p>
    <w:p w14:paraId="2C5F76A1">
      <w:pPr>
        <w:keepNext w:val="0"/>
        <w:keepLines w:val="0"/>
        <w:widowControl/>
        <w:suppressLineNumbers w:val="0"/>
        <w:spacing w:line="360" w:lineRule="auto"/>
        <w:ind w:firstLine="480" w:firstLineChars="200"/>
        <w:jc w:val="left"/>
        <w:rPr>
          <w:rFonts w:hint="default" w:ascii="宋体" w:hAnsi="宋体" w:eastAsia="宋体" w:cs="宋体"/>
          <w:color w:val="333333"/>
          <w:kern w:val="2"/>
          <w:sz w:val="24"/>
          <w:szCs w:val="24"/>
          <w:highlight w:val="none"/>
          <w:lang w:val="en-US" w:eastAsia="zh-CN" w:bidi="ar-SA"/>
        </w:rPr>
      </w:pPr>
      <w:r>
        <w:rPr>
          <w:rFonts w:hint="eastAsia" w:ascii="宋体" w:hAnsi="宋体" w:eastAsia="宋体" w:cs="宋体"/>
          <w:color w:val="333333"/>
          <w:kern w:val="2"/>
          <w:sz w:val="24"/>
          <w:szCs w:val="24"/>
          <w:highlight w:val="none"/>
          <w:lang w:val="en-US" w:eastAsia="zh-CN" w:bidi="ar-SA"/>
        </w:rPr>
        <w:t>3、本次招标项目不计取建筑工人实名制费，如发生，结算时</w:t>
      </w:r>
      <w:r>
        <w:rPr>
          <w:rFonts w:hint="eastAsia" w:ascii="宋体" w:hAnsi="宋体" w:eastAsia="宋体" w:cs="宋体"/>
          <w:color w:val="333333"/>
          <w:kern w:val="0"/>
          <w:sz w:val="24"/>
          <w:szCs w:val="24"/>
          <w:lang w:val="en-US" w:eastAsia="zh-CN" w:bidi="ar"/>
        </w:rPr>
        <w:t>按甲方监理单位确认的施工方案结算；</w:t>
      </w:r>
    </w:p>
    <w:p w14:paraId="0C6AA421">
      <w:pPr>
        <w:pStyle w:val="11"/>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333333"/>
          <w:kern w:val="2"/>
          <w:sz w:val="24"/>
          <w:szCs w:val="24"/>
          <w:highlight w:val="none"/>
          <w:lang w:val="en-US" w:eastAsia="zh-CN" w:bidi="ar-SA"/>
        </w:rPr>
      </w:pPr>
      <w:r>
        <w:rPr>
          <w:rFonts w:hint="eastAsia" w:ascii="宋体" w:hAnsi="宋体" w:eastAsia="宋体" w:cs="宋体"/>
          <w:color w:val="333333"/>
          <w:kern w:val="2"/>
          <w:sz w:val="24"/>
          <w:szCs w:val="24"/>
          <w:highlight w:val="none"/>
          <w:lang w:val="en-US" w:eastAsia="zh-CN" w:bidi="ar-SA"/>
        </w:rPr>
        <w:t>4、本次招标项目设降水专业工程暂估价（1350000元含税），详见专业工程暂估价明细表。投标人投标报价时按照给定金额报价，结算时据实调整；</w:t>
      </w:r>
    </w:p>
    <w:p w14:paraId="58E38BAD">
      <w:pPr>
        <w:keepNext w:val="0"/>
        <w:keepLines w:val="0"/>
        <w:widowControl/>
        <w:suppressLineNumbers w:val="0"/>
        <w:spacing w:line="360" w:lineRule="auto"/>
        <w:ind w:firstLine="480" w:firstLineChars="200"/>
        <w:jc w:val="left"/>
        <w:rPr>
          <w:rFonts w:hint="eastAsia" w:ascii="宋体" w:hAnsi="宋体" w:eastAsia="宋体" w:cs="宋体"/>
          <w:color w:val="333333"/>
          <w:kern w:val="2"/>
          <w:sz w:val="24"/>
          <w:szCs w:val="24"/>
          <w:highlight w:val="none"/>
          <w:lang w:val="en-US" w:eastAsia="zh-CN" w:bidi="ar-SA"/>
        </w:rPr>
      </w:pPr>
      <w:r>
        <w:rPr>
          <w:rFonts w:hint="eastAsia" w:ascii="宋体" w:hAnsi="宋体" w:eastAsia="宋体" w:cs="宋体"/>
          <w:color w:val="333333"/>
          <w:kern w:val="2"/>
          <w:sz w:val="24"/>
          <w:szCs w:val="24"/>
          <w:highlight w:val="none"/>
          <w:lang w:val="en-US" w:eastAsia="zh-CN" w:bidi="ar-SA"/>
        </w:rPr>
        <w:t>5、本招标项目不设材料暂估单价；</w:t>
      </w:r>
    </w:p>
    <w:p w14:paraId="550AFC94">
      <w:pPr>
        <w:keepNext w:val="0"/>
        <w:keepLines w:val="0"/>
        <w:widowControl/>
        <w:suppressLineNumbers w:val="0"/>
        <w:spacing w:line="360" w:lineRule="auto"/>
        <w:ind w:firstLine="480" w:firstLineChars="200"/>
        <w:jc w:val="left"/>
        <w:rPr>
          <w:rFonts w:hint="eastAsia" w:ascii="宋体" w:hAnsi="宋体" w:eastAsia="宋体" w:cs="宋体"/>
          <w:color w:val="333333"/>
          <w:kern w:val="0"/>
          <w:sz w:val="24"/>
          <w:szCs w:val="24"/>
          <w:lang w:val="en-US" w:eastAsia="zh-CN" w:bidi="ar"/>
        </w:rPr>
      </w:pPr>
      <w:r>
        <w:rPr>
          <w:rFonts w:hint="eastAsia" w:ascii="宋体" w:hAnsi="宋体" w:eastAsia="宋体" w:cs="宋体"/>
          <w:color w:val="333333"/>
          <w:kern w:val="2"/>
          <w:sz w:val="24"/>
          <w:szCs w:val="24"/>
          <w:highlight w:val="none"/>
          <w:lang w:val="en-US" w:eastAsia="zh-CN" w:bidi="ar-SA"/>
        </w:rPr>
        <w:t>6、</w:t>
      </w:r>
      <w:r>
        <w:rPr>
          <w:rFonts w:hint="eastAsia" w:ascii="宋体" w:hAnsi="宋体" w:eastAsia="宋体" w:cs="宋体"/>
          <w:color w:val="333333"/>
          <w:kern w:val="0"/>
          <w:sz w:val="24"/>
          <w:szCs w:val="24"/>
          <w:lang w:val="en-US" w:eastAsia="zh-CN" w:bidi="ar"/>
        </w:rPr>
        <w:t>本项目所用砂浆均按预拌砂浆考虑，所用混凝土均按预拌混凝土考虑；</w:t>
      </w:r>
    </w:p>
    <w:p w14:paraId="1E63404A">
      <w:pPr>
        <w:keepNext w:val="0"/>
        <w:keepLines w:val="0"/>
        <w:widowControl/>
        <w:suppressLineNumbers w:val="0"/>
        <w:spacing w:line="360" w:lineRule="auto"/>
        <w:ind w:firstLine="480" w:firstLineChars="200"/>
        <w:jc w:val="left"/>
        <w:rPr>
          <w:rFonts w:hint="default" w:ascii="宋体" w:hAnsi="宋体" w:eastAsia="宋体" w:cs="宋体"/>
          <w:color w:val="333333"/>
          <w:kern w:val="0"/>
          <w:sz w:val="24"/>
          <w:szCs w:val="24"/>
          <w:lang w:val="en-US" w:eastAsia="zh-CN" w:bidi="ar"/>
        </w:rPr>
      </w:pPr>
      <w:r>
        <w:rPr>
          <w:rFonts w:hint="eastAsia" w:ascii="宋体" w:hAnsi="宋体" w:eastAsia="宋体" w:cs="宋体"/>
          <w:color w:val="333333"/>
          <w:kern w:val="0"/>
          <w:sz w:val="24"/>
          <w:szCs w:val="24"/>
          <w:lang w:val="en-US" w:eastAsia="zh-CN" w:bidi="ar"/>
        </w:rPr>
        <w:t>7、本项目招标控制价安全生产费根据《内蒙古自治区住房和城乡建设厅关于调整建设工程安全文明施工费的通知》（内建标〔2025〕98号）通知要求计提，投标人投标时按照其他项目清单计价表给定金额报价，否则按无效标处理，结算时据实结算。</w:t>
      </w:r>
    </w:p>
    <w:p w14:paraId="14A21A7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五、投标人须知</w:t>
      </w:r>
      <w:bookmarkStart w:id="0" w:name="_GoBack"/>
      <w:bookmarkEnd w:id="0"/>
    </w:p>
    <w:p w14:paraId="61CC81ED">
      <w:pPr>
        <w:keepNext w:val="0"/>
        <w:keepLines w:val="0"/>
        <w:pageBreakBefore w:val="0"/>
        <w:widowControl w:val="0"/>
        <w:kinsoku/>
        <w:wordWrap/>
        <w:overflowPunct/>
        <w:topLinePunct w:val="0"/>
        <w:autoSpaceDE/>
        <w:autoSpaceDN/>
        <w:bidi w:val="0"/>
        <w:adjustRightInd w:val="0"/>
        <w:snapToGrid w:val="0"/>
        <w:spacing w:before="38" w:line="360" w:lineRule="auto"/>
        <w:ind w:left="568"/>
        <w:textAlignment w:val="auto"/>
        <w:rPr>
          <w:rFonts w:hint="eastAsia" w:ascii="宋体" w:hAnsi="宋体" w:eastAsia="宋体" w:cs="宋体"/>
          <w:color w:val="333333"/>
          <w:spacing w:val="-13"/>
          <w:sz w:val="24"/>
          <w:szCs w:val="24"/>
          <w:highlight w:val="none"/>
        </w:rPr>
      </w:pPr>
      <w:r>
        <w:rPr>
          <w:rFonts w:hint="eastAsia" w:ascii="宋体" w:hAnsi="宋体" w:eastAsia="宋体" w:cs="宋体"/>
          <w:color w:val="333333"/>
          <w:spacing w:val="-13"/>
          <w:sz w:val="24"/>
          <w:szCs w:val="24"/>
          <w:highlight w:val="none"/>
        </w:rPr>
        <w:t>1、本工程</w:t>
      </w:r>
      <w:r>
        <w:rPr>
          <w:rFonts w:hint="eastAsia" w:ascii="宋体" w:hAnsi="宋体" w:eastAsia="宋体" w:cs="宋体"/>
          <w:color w:val="333333"/>
          <w:spacing w:val="-13"/>
          <w:sz w:val="24"/>
          <w:szCs w:val="24"/>
          <w:highlight w:val="none"/>
          <w:lang w:val="en-US" w:eastAsia="zh-CN"/>
        </w:rPr>
        <w:t>余土</w:t>
      </w:r>
      <w:r>
        <w:rPr>
          <w:rFonts w:hint="eastAsia" w:ascii="宋体" w:hAnsi="宋体" w:eastAsia="宋体" w:cs="宋体"/>
          <w:color w:val="333333"/>
          <w:spacing w:val="-13"/>
          <w:sz w:val="24"/>
          <w:szCs w:val="24"/>
          <w:highlight w:val="none"/>
        </w:rPr>
        <w:t>外运运距施工单位自行考虑，运输过程满足环保要求</w:t>
      </w:r>
      <w:r>
        <w:rPr>
          <w:rFonts w:hint="eastAsia" w:ascii="宋体" w:hAnsi="宋体" w:eastAsia="宋体" w:cs="宋体"/>
          <w:color w:val="333333"/>
          <w:spacing w:val="-13"/>
          <w:sz w:val="24"/>
          <w:szCs w:val="24"/>
          <w:highlight w:val="none"/>
          <w:lang w:eastAsia="zh-CN"/>
        </w:rPr>
        <w:t>，</w:t>
      </w:r>
      <w:r>
        <w:rPr>
          <w:rFonts w:hint="eastAsia" w:ascii="宋体" w:hAnsi="宋体" w:eastAsia="宋体" w:cs="宋体"/>
          <w:color w:val="333333"/>
          <w:spacing w:val="-13"/>
          <w:sz w:val="24"/>
          <w:szCs w:val="24"/>
          <w:highlight w:val="none"/>
          <w:lang w:val="en-US" w:eastAsia="zh-CN"/>
        </w:rPr>
        <w:t>含垃圾消纳费</w:t>
      </w:r>
      <w:r>
        <w:rPr>
          <w:rFonts w:hint="eastAsia" w:ascii="宋体" w:hAnsi="宋体" w:eastAsia="宋体" w:cs="宋体"/>
          <w:color w:val="333333"/>
          <w:spacing w:val="-13"/>
          <w:sz w:val="24"/>
          <w:szCs w:val="24"/>
          <w:highlight w:val="none"/>
        </w:rPr>
        <w:t>；</w:t>
      </w:r>
    </w:p>
    <w:p w14:paraId="78B2F4FF">
      <w:pPr>
        <w:keepNext w:val="0"/>
        <w:keepLines w:val="0"/>
        <w:pageBreakBefore w:val="0"/>
        <w:widowControl w:val="0"/>
        <w:kinsoku/>
        <w:wordWrap/>
        <w:overflowPunct/>
        <w:topLinePunct w:val="0"/>
        <w:autoSpaceDE/>
        <w:autoSpaceDN/>
        <w:bidi w:val="0"/>
        <w:adjustRightInd w:val="0"/>
        <w:snapToGrid w:val="0"/>
        <w:spacing w:before="38" w:line="360" w:lineRule="auto"/>
        <w:ind w:left="568"/>
        <w:textAlignment w:val="auto"/>
        <w:rPr>
          <w:rFonts w:hint="eastAsia" w:ascii="宋体" w:hAnsi="宋体" w:eastAsia="宋体" w:cs="宋体"/>
          <w:color w:val="333333"/>
          <w:spacing w:val="-13"/>
          <w:sz w:val="24"/>
          <w:szCs w:val="24"/>
          <w:highlight w:val="none"/>
        </w:rPr>
      </w:pPr>
      <w:r>
        <w:rPr>
          <w:rFonts w:hint="eastAsia" w:ascii="宋体" w:hAnsi="宋体" w:eastAsia="宋体" w:cs="宋体"/>
          <w:color w:val="333333"/>
          <w:spacing w:val="-13"/>
          <w:sz w:val="24"/>
          <w:szCs w:val="24"/>
          <w:highlight w:val="none"/>
        </w:rPr>
        <w:t>2、其他未尽事宜详见招标文件和清单。</w:t>
      </w:r>
    </w:p>
    <w:p w14:paraId="203C1782">
      <w:pPr>
        <w:keepNext w:val="0"/>
        <w:keepLines w:val="0"/>
        <w:pageBreakBefore w:val="0"/>
        <w:widowControl w:val="0"/>
        <w:kinsoku/>
        <w:wordWrap/>
        <w:overflowPunct/>
        <w:topLinePunct w:val="0"/>
        <w:autoSpaceDE/>
        <w:autoSpaceDN/>
        <w:bidi w:val="0"/>
        <w:adjustRightInd w:val="0"/>
        <w:snapToGrid w:val="0"/>
        <w:spacing w:before="38" w:line="360" w:lineRule="auto"/>
        <w:ind w:left="568"/>
        <w:textAlignment w:val="auto"/>
        <w:rPr>
          <w:rFonts w:ascii="宋体" w:hAnsi="宋体" w:eastAsia="宋体" w:cs="宋体"/>
          <w:color w:val="333333"/>
          <w:spacing w:val="-13"/>
          <w:sz w:val="24"/>
          <w:szCs w:val="24"/>
          <w:highlight w:val="none"/>
        </w:rPr>
      </w:pPr>
      <w:r>
        <w:rPr>
          <w:rFonts w:hint="eastAsia" w:ascii="宋体" w:hAnsi="宋体" w:eastAsia="宋体" w:cs="宋体"/>
          <w:color w:val="333333"/>
          <w:spacing w:val="-13"/>
          <w:sz w:val="24"/>
          <w:szCs w:val="24"/>
          <w:highlight w:val="none"/>
          <w:lang w:val="en-US" w:eastAsia="zh-CN"/>
        </w:rPr>
        <w:t>3</w:t>
      </w:r>
      <w:r>
        <w:rPr>
          <w:rFonts w:ascii="宋体" w:hAnsi="宋体" w:eastAsia="宋体" w:cs="宋体"/>
          <w:color w:val="333333"/>
          <w:spacing w:val="-13"/>
          <w:sz w:val="24"/>
          <w:szCs w:val="24"/>
          <w:highlight w:val="none"/>
        </w:rPr>
        <w:t>、清单中涉及内容需要场</w:t>
      </w:r>
      <w:r>
        <w:rPr>
          <w:rFonts w:hint="eastAsia" w:ascii="宋体" w:hAnsi="宋体" w:eastAsia="宋体" w:cs="宋体"/>
          <w:color w:val="333333"/>
          <w:spacing w:val="-13"/>
          <w:sz w:val="24"/>
          <w:szCs w:val="24"/>
          <w:highlight w:val="none"/>
          <w:lang w:val="en-US" w:eastAsia="zh-CN"/>
        </w:rPr>
        <w:t>内</w:t>
      </w:r>
      <w:r>
        <w:rPr>
          <w:rFonts w:ascii="宋体" w:hAnsi="宋体" w:eastAsia="宋体" w:cs="宋体"/>
          <w:color w:val="333333"/>
          <w:spacing w:val="-13"/>
          <w:sz w:val="24"/>
          <w:szCs w:val="24"/>
          <w:highlight w:val="none"/>
        </w:rPr>
        <w:t>外</w:t>
      </w:r>
      <w:r>
        <w:rPr>
          <w:rFonts w:hint="eastAsia" w:ascii="宋体" w:hAnsi="宋体" w:eastAsia="宋体" w:cs="宋体"/>
          <w:color w:val="333333"/>
          <w:spacing w:val="-13"/>
          <w:sz w:val="24"/>
          <w:szCs w:val="24"/>
          <w:highlight w:val="none"/>
          <w:lang w:val="en-US" w:eastAsia="zh-CN"/>
        </w:rPr>
        <w:t>二次倒运</w:t>
      </w:r>
      <w:r>
        <w:rPr>
          <w:rFonts w:ascii="宋体" w:hAnsi="宋体" w:eastAsia="宋体" w:cs="宋体"/>
          <w:color w:val="333333"/>
          <w:spacing w:val="-13"/>
          <w:sz w:val="24"/>
          <w:szCs w:val="24"/>
          <w:highlight w:val="none"/>
        </w:rPr>
        <w:t>运输的须考虑在综合单价内；</w:t>
      </w:r>
    </w:p>
    <w:p w14:paraId="2FEFC13B">
      <w:pPr>
        <w:keepNext w:val="0"/>
        <w:keepLines w:val="0"/>
        <w:pageBreakBefore w:val="0"/>
        <w:widowControl w:val="0"/>
        <w:kinsoku/>
        <w:wordWrap/>
        <w:overflowPunct/>
        <w:topLinePunct w:val="0"/>
        <w:autoSpaceDE/>
        <w:autoSpaceDN/>
        <w:bidi w:val="0"/>
        <w:adjustRightInd w:val="0"/>
        <w:snapToGrid w:val="0"/>
        <w:spacing w:before="92" w:line="360" w:lineRule="auto"/>
        <w:ind w:left="1" w:right="72" w:firstLine="563"/>
        <w:textAlignment w:val="auto"/>
        <w:rPr>
          <w:rFonts w:ascii="宋体" w:hAnsi="宋体" w:eastAsia="宋体" w:cs="宋体"/>
          <w:color w:val="333333"/>
          <w:spacing w:val="-2"/>
          <w:sz w:val="24"/>
          <w:szCs w:val="24"/>
          <w:highlight w:val="none"/>
        </w:rPr>
      </w:pPr>
      <w:r>
        <w:rPr>
          <w:rFonts w:hint="eastAsia" w:ascii="宋体" w:hAnsi="宋体" w:eastAsia="宋体" w:cs="宋体"/>
          <w:color w:val="333333"/>
          <w:spacing w:val="-2"/>
          <w:sz w:val="24"/>
          <w:szCs w:val="24"/>
          <w:highlight w:val="none"/>
          <w:lang w:val="en-US" w:eastAsia="zh-CN"/>
        </w:rPr>
        <w:t>4</w:t>
      </w:r>
      <w:r>
        <w:rPr>
          <w:rFonts w:ascii="宋体" w:hAnsi="宋体" w:eastAsia="宋体" w:cs="宋体"/>
          <w:color w:val="333333"/>
          <w:spacing w:val="-2"/>
          <w:sz w:val="24"/>
          <w:szCs w:val="24"/>
          <w:highlight w:val="none"/>
        </w:rPr>
        <w:t>、分部分项工程量清单中项目特征及具体做法只做重点描述，组价时应结合技术规范书及现场勘查情况，包含现场所有工序、工作内容的全部费用。</w:t>
      </w:r>
    </w:p>
    <w:p w14:paraId="5D9657CB">
      <w:pPr>
        <w:keepNext w:val="0"/>
        <w:keepLines w:val="0"/>
        <w:pageBreakBefore w:val="0"/>
        <w:widowControl w:val="0"/>
        <w:kinsoku/>
        <w:wordWrap/>
        <w:overflowPunct/>
        <w:topLinePunct w:val="0"/>
        <w:autoSpaceDE/>
        <w:autoSpaceDN/>
        <w:bidi w:val="0"/>
        <w:adjustRightInd w:val="0"/>
        <w:snapToGrid w:val="0"/>
        <w:spacing w:before="92" w:line="360" w:lineRule="auto"/>
        <w:ind w:left="1" w:right="72" w:firstLine="563"/>
        <w:textAlignment w:val="auto"/>
        <w:rPr>
          <w:rFonts w:ascii="宋体" w:hAnsi="宋体" w:eastAsia="宋体" w:cs="宋体"/>
          <w:color w:val="333333"/>
          <w:spacing w:val="-2"/>
          <w:sz w:val="24"/>
          <w:szCs w:val="24"/>
          <w:highlight w:val="none"/>
        </w:rPr>
      </w:pPr>
      <w:r>
        <w:rPr>
          <w:rFonts w:hint="eastAsia" w:ascii="宋体" w:hAnsi="宋体" w:eastAsia="宋体" w:cs="宋体"/>
          <w:color w:val="333333"/>
          <w:spacing w:val="-2"/>
          <w:sz w:val="24"/>
          <w:szCs w:val="24"/>
          <w:highlight w:val="none"/>
          <w:lang w:val="en-US" w:eastAsia="zh-CN"/>
        </w:rPr>
        <w:t>5、本说明未尽事项，以计价规范、工程量计算规范、计价管理办法、招标文件以及有关的法律、法规、建设行政主管部门颁发的文件为准。</w:t>
      </w:r>
    </w:p>
    <w:p w14:paraId="1D81EE9C">
      <w:pPr>
        <w:pStyle w:val="11"/>
        <w:ind w:left="0" w:leftChars="0" w:firstLine="0" w:firstLineChars="0"/>
      </w:pPr>
    </w:p>
    <w:sectPr>
      <w:pgSz w:w="11905" w:h="16838"/>
      <w:pgMar w:top="1361" w:right="1417" w:bottom="1361" w:left="1417" w:header="720" w:footer="720" w:gutter="0"/>
      <w:pgBorders>
        <w:top w:val="none" w:sz="0" w:space="0"/>
        <w:left w:val="none" w:sz="0" w:space="0"/>
        <w:bottom w:val="none" w:sz="0" w:space="0"/>
        <w:right w:val="none" w:sz="0" w:space="0"/>
      </w:pgBorders>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p>
  </w:footnote>
  <w:footnote w:type="continuationSeparator" w:id="1">
    <w:p>
      <w:pPr>
        <w:spacing w:before="0" w:after="0" w:line="312"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25C46"/>
    <w:multiLevelType w:val="singleLevel"/>
    <w:tmpl w:val="56325C4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E4MGNiNmYwOThmYzY3ZmMxYWFlNGRiN2FjMDAyYjQifQ=="/>
  </w:docVars>
  <w:rsids>
    <w:rsidRoot w:val="009D6944"/>
    <w:rsid w:val="00212611"/>
    <w:rsid w:val="0037752A"/>
    <w:rsid w:val="004C184F"/>
    <w:rsid w:val="004F7C0E"/>
    <w:rsid w:val="006654FA"/>
    <w:rsid w:val="006B6D1F"/>
    <w:rsid w:val="00786AC4"/>
    <w:rsid w:val="00883E21"/>
    <w:rsid w:val="009742D3"/>
    <w:rsid w:val="009D6944"/>
    <w:rsid w:val="00A53D90"/>
    <w:rsid w:val="00B758C5"/>
    <w:rsid w:val="00D27933"/>
    <w:rsid w:val="00D8793D"/>
    <w:rsid w:val="00E16C68"/>
    <w:rsid w:val="020C5A2F"/>
    <w:rsid w:val="0246401D"/>
    <w:rsid w:val="029F53A6"/>
    <w:rsid w:val="02DA4630"/>
    <w:rsid w:val="03B54C19"/>
    <w:rsid w:val="03E15982"/>
    <w:rsid w:val="04E84DE3"/>
    <w:rsid w:val="062F45C1"/>
    <w:rsid w:val="06565D7C"/>
    <w:rsid w:val="06A04558"/>
    <w:rsid w:val="075F336A"/>
    <w:rsid w:val="07897A11"/>
    <w:rsid w:val="087E378B"/>
    <w:rsid w:val="097D47A3"/>
    <w:rsid w:val="09C80D3F"/>
    <w:rsid w:val="09E57FEA"/>
    <w:rsid w:val="0A0D6695"/>
    <w:rsid w:val="0A844221"/>
    <w:rsid w:val="0BAE51B2"/>
    <w:rsid w:val="0BD66E27"/>
    <w:rsid w:val="0CBD0903"/>
    <w:rsid w:val="0E9C279A"/>
    <w:rsid w:val="0F283534"/>
    <w:rsid w:val="0F8F699F"/>
    <w:rsid w:val="10CD79C6"/>
    <w:rsid w:val="10FB40F0"/>
    <w:rsid w:val="11C049F1"/>
    <w:rsid w:val="14AE45AC"/>
    <w:rsid w:val="157143E3"/>
    <w:rsid w:val="177961E0"/>
    <w:rsid w:val="1881137E"/>
    <w:rsid w:val="18CE7054"/>
    <w:rsid w:val="19EE76D0"/>
    <w:rsid w:val="19EF40C6"/>
    <w:rsid w:val="1A0F5460"/>
    <w:rsid w:val="1A7D3DC7"/>
    <w:rsid w:val="1AAB4490"/>
    <w:rsid w:val="1ACB068F"/>
    <w:rsid w:val="1C9E1917"/>
    <w:rsid w:val="1EB7274A"/>
    <w:rsid w:val="1F352885"/>
    <w:rsid w:val="20717F2A"/>
    <w:rsid w:val="222803CA"/>
    <w:rsid w:val="22DF57F7"/>
    <w:rsid w:val="22F159E4"/>
    <w:rsid w:val="23064741"/>
    <w:rsid w:val="23144B9D"/>
    <w:rsid w:val="2355234E"/>
    <w:rsid w:val="244330AF"/>
    <w:rsid w:val="271E0008"/>
    <w:rsid w:val="28FA6A9D"/>
    <w:rsid w:val="29EA5969"/>
    <w:rsid w:val="2A0A1FC2"/>
    <w:rsid w:val="2AD0584D"/>
    <w:rsid w:val="2C570615"/>
    <w:rsid w:val="2D6A1CAA"/>
    <w:rsid w:val="2D811A38"/>
    <w:rsid w:val="2DB444AD"/>
    <w:rsid w:val="2E5868F3"/>
    <w:rsid w:val="3180038B"/>
    <w:rsid w:val="31A135DC"/>
    <w:rsid w:val="31A35A6A"/>
    <w:rsid w:val="31E63BA8"/>
    <w:rsid w:val="332D5F33"/>
    <w:rsid w:val="33851301"/>
    <w:rsid w:val="347E7646"/>
    <w:rsid w:val="35112F2A"/>
    <w:rsid w:val="35571045"/>
    <w:rsid w:val="364B32AD"/>
    <w:rsid w:val="376153D7"/>
    <w:rsid w:val="389C29AE"/>
    <w:rsid w:val="38A65E3F"/>
    <w:rsid w:val="38D54826"/>
    <w:rsid w:val="3A7A7AAB"/>
    <w:rsid w:val="3A811B61"/>
    <w:rsid w:val="3B057795"/>
    <w:rsid w:val="3C530170"/>
    <w:rsid w:val="3C6C27DD"/>
    <w:rsid w:val="3C9536BD"/>
    <w:rsid w:val="3CF02FF5"/>
    <w:rsid w:val="3CFE29A0"/>
    <w:rsid w:val="3DF265CF"/>
    <w:rsid w:val="3F55692A"/>
    <w:rsid w:val="411476C5"/>
    <w:rsid w:val="415F7EC5"/>
    <w:rsid w:val="41B05FC1"/>
    <w:rsid w:val="42E30E0A"/>
    <w:rsid w:val="432D4A04"/>
    <w:rsid w:val="44454EE4"/>
    <w:rsid w:val="44D8188B"/>
    <w:rsid w:val="4531633F"/>
    <w:rsid w:val="45670113"/>
    <w:rsid w:val="464678D3"/>
    <w:rsid w:val="467A410A"/>
    <w:rsid w:val="471B4EC0"/>
    <w:rsid w:val="47B506BF"/>
    <w:rsid w:val="48E4183C"/>
    <w:rsid w:val="48E87D4A"/>
    <w:rsid w:val="4BE60F1D"/>
    <w:rsid w:val="4BEA4E78"/>
    <w:rsid w:val="4D553C64"/>
    <w:rsid w:val="4DCF4E66"/>
    <w:rsid w:val="4DEC6E00"/>
    <w:rsid w:val="4E141CCA"/>
    <w:rsid w:val="4E3D4189"/>
    <w:rsid w:val="4E3E57CD"/>
    <w:rsid w:val="50E62426"/>
    <w:rsid w:val="53634C01"/>
    <w:rsid w:val="53C83F18"/>
    <w:rsid w:val="54F82C0F"/>
    <w:rsid w:val="55055BB4"/>
    <w:rsid w:val="55F3226C"/>
    <w:rsid w:val="56155C36"/>
    <w:rsid w:val="568D4E60"/>
    <w:rsid w:val="571A1EF5"/>
    <w:rsid w:val="58156E12"/>
    <w:rsid w:val="588A4969"/>
    <w:rsid w:val="58981ED8"/>
    <w:rsid w:val="58FA2406"/>
    <w:rsid w:val="59875AED"/>
    <w:rsid w:val="59FB5812"/>
    <w:rsid w:val="59FC32D0"/>
    <w:rsid w:val="5A011A11"/>
    <w:rsid w:val="5A773D8D"/>
    <w:rsid w:val="5A982DB8"/>
    <w:rsid w:val="5B3F184B"/>
    <w:rsid w:val="5B517E11"/>
    <w:rsid w:val="5D164899"/>
    <w:rsid w:val="6042508C"/>
    <w:rsid w:val="606240F6"/>
    <w:rsid w:val="60674154"/>
    <w:rsid w:val="6067671A"/>
    <w:rsid w:val="61160B4B"/>
    <w:rsid w:val="611D363A"/>
    <w:rsid w:val="61656152"/>
    <w:rsid w:val="624C78D4"/>
    <w:rsid w:val="63100D1A"/>
    <w:rsid w:val="634467FD"/>
    <w:rsid w:val="63FF0976"/>
    <w:rsid w:val="640D0E35"/>
    <w:rsid w:val="65157AF4"/>
    <w:rsid w:val="65E120E1"/>
    <w:rsid w:val="66493787"/>
    <w:rsid w:val="66A55805"/>
    <w:rsid w:val="693D60AB"/>
    <w:rsid w:val="6C450EF0"/>
    <w:rsid w:val="6D6A56EB"/>
    <w:rsid w:val="6DC24EEE"/>
    <w:rsid w:val="6E2B13B6"/>
    <w:rsid w:val="6F4638FD"/>
    <w:rsid w:val="6F71097A"/>
    <w:rsid w:val="6F7D6A5B"/>
    <w:rsid w:val="6F834B31"/>
    <w:rsid w:val="6FC37F64"/>
    <w:rsid w:val="6FF751DF"/>
    <w:rsid w:val="705A5E6C"/>
    <w:rsid w:val="71EE207F"/>
    <w:rsid w:val="739906A4"/>
    <w:rsid w:val="73C14381"/>
    <w:rsid w:val="73EC2A60"/>
    <w:rsid w:val="748E5EBF"/>
    <w:rsid w:val="764011B2"/>
    <w:rsid w:val="76BC73A0"/>
    <w:rsid w:val="7736177B"/>
    <w:rsid w:val="79217561"/>
    <w:rsid w:val="79657CDE"/>
    <w:rsid w:val="7A3E49BE"/>
    <w:rsid w:val="7ACF47A6"/>
    <w:rsid w:val="7AF75AAB"/>
    <w:rsid w:val="7B0F1047"/>
    <w:rsid w:val="7B4909FD"/>
    <w:rsid w:val="7B890964"/>
    <w:rsid w:val="7C29117A"/>
    <w:rsid w:val="7C30077B"/>
    <w:rsid w:val="7EDB0CE4"/>
    <w:rsid w:val="7F9744E8"/>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96"/>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before="60" w:after="60" w:line="312" w:lineRule="auto"/>
    </w:pPr>
    <w:rPr>
      <w:rFonts w:asciiTheme="minorHAnsi" w:hAnsiTheme="minorHAnsi" w:eastAsiaTheme="minorEastAsia" w:cstheme="minorBidi"/>
      <w:color w:val="333333"/>
      <w:kern w:val="2"/>
      <w:sz w:val="22"/>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pPr>
      <w:spacing w:after="120"/>
    </w:pPr>
    <w:rPr>
      <w:szCs w:val="24"/>
    </w:rPr>
  </w:style>
  <w:style w:type="paragraph" w:styleId="7">
    <w:name w:val="footer"/>
    <w:basedOn w:val="1"/>
    <w:link w:val="15"/>
    <w:unhideWhenUsed/>
    <w:qFormat/>
    <w:uiPriority w:val="99"/>
    <w:pPr>
      <w:tabs>
        <w:tab w:val="center" w:pos="4153"/>
        <w:tab w:val="right" w:pos="8306"/>
      </w:tabs>
      <w:spacing w:line="240" w:lineRule="auto"/>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9"/>
    <w:pPr>
      <w:keepNext/>
      <w:keepLines/>
      <w:spacing w:before="0" w:after="0" w:line="408" w:lineRule="auto"/>
      <w:jc w:val="center"/>
      <w:outlineLvl w:val="0"/>
    </w:pPr>
    <w:rPr>
      <w:b/>
      <w:bCs/>
      <w:color w:val="1A1A1A"/>
      <w:sz w:val="48"/>
      <w:szCs w:val="48"/>
    </w:rPr>
  </w:style>
  <w:style w:type="paragraph" w:styleId="11">
    <w:name w:val="Body Text First Indent"/>
    <w:basedOn w:val="6"/>
    <w:qFormat/>
    <w:uiPriority w:val="99"/>
    <w:pPr>
      <w:spacing w:line="312" w:lineRule="auto"/>
      <w:ind w:firstLine="420"/>
    </w:pPr>
  </w:style>
  <w:style w:type="character" w:customStyle="1" w:styleId="14">
    <w:name w:val="页眉 字符"/>
    <w:basedOn w:val="13"/>
    <w:link w:val="8"/>
    <w:qFormat/>
    <w:uiPriority w:val="99"/>
    <w:rPr>
      <w:sz w:val="18"/>
      <w:szCs w:val="18"/>
    </w:rPr>
  </w:style>
  <w:style w:type="character" w:customStyle="1" w:styleId="15">
    <w:name w:val="页脚 字符"/>
    <w:basedOn w:val="13"/>
    <w:link w:val="7"/>
    <w:qFormat/>
    <w:uiPriority w:val="99"/>
    <w:rPr>
      <w:sz w:val="18"/>
      <w:szCs w:val="18"/>
    </w:rPr>
  </w:style>
  <w:style w:type="paragraph" w:customStyle="1" w:styleId="16">
    <w:name w:val="列出段落1"/>
    <w:basedOn w:val="1"/>
    <w:qFormat/>
    <w:uiPriority w:val="0"/>
    <w:pPr>
      <w:ind w:firstLine="420" w:firstLineChars="200"/>
    </w:pPr>
    <w:rPr>
      <w:rFonts w:ascii="Calibri" w:hAnsi="Calibri"/>
      <w:szCs w:val="22"/>
    </w:rPr>
  </w:style>
  <w:style w:type="character" w:customStyle="1" w:styleId="17">
    <w:name w:val="font112"/>
    <w:basedOn w:val="13"/>
    <w:qFormat/>
    <w:uiPriority w:val="0"/>
    <w:rPr>
      <w:rFonts w:ascii="仿宋" w:hAnsi="仿宋" w:eastAsia="仿宋" w:cs="仿宋"/>
      <w:color w:val="000000"/>
      <w:sz w:val="28"/>
      <w:szCs w:val="28"/>
      <w:u w:val="none"/>
    </w:rPr>
  </w:style>
  <w:style w:type="character" w:customStyle="1" w:styleId="18">
    <w:name w:val="font41"/>
    <w:basedOn w:val="13"/>
    <w:qFormat/>
    <w:uiPriority w:val="0"/>
    <w:rPr>
      <w:rFonts w:hint="eastAsia" w:ascii="仿宋" w:hAnsi="仿宋" w:eastAsia="仿宋" w:cs="仿宋"/>
      <w:color w:val="333333"/>
      <w:sz w:val="20"/>
      <w:szCs w:val="20"/>
      <w:u w:val="none"/>
    </w:rPr>
  </w:style>
  <w:style w:type="character" w:customStyle="1" w:styleId="19">
    <w:name w:val="font121"/>
    <w:basedOn w:val="13"/>
    <w:qFormat/>
    <w:uiPriority w:val="0"/>
    <w:rPr>
      <w:rFonts w:hint="eastAsia" w:ascii="仿宋" w:hAnsi="仿宋" w:eastAsia="仿宋" w:cs="仿宋"/>
      <w:color w:val="000000"/>
      <w:sz w:val="24"/>
      <w:szCs w:val="24"/>
      <w:u w:val="none"/>
    </w:rPr>
  </w:style>
  <w:style w:type="character" w:customStyle="1" w:styleId="20">
    <w:name w:val="font51"/>
    <w:basedOn w:val="13"/>
    <w:qFormat/>
    <w:uiPriority w:val="0"/>
    <w:rPr>
      <w:rFonts w:ascii="仿宋" w:hAnsi="仿宋" w:eastAsia="仿宋" w:cs="仿宋"/>
      <w:color w:val="000000"/>
      <w:sz w:val="28"/>
      <w:szCs w:val="28"/>
      <w:u w:val="none"/>
    </w:rPr>
  </w:style>
  <w:style w:type="character" w:customStyle="1" w:styleId="21">
    <w:name w:val="font21"/>
    <w:basedOn w:val="13"/>
    <w:qFormat/>
    <w:uiPriority w:val="0"/>
    <w:rPr>
      <w:rFonts w:hint="eastAsia" w:ascii="仿宋" w:hAnsi="仿宋" w:eastAsia="仿宋" w:cs="仿宋"/>
      <w:color w:val="333333"/>
      <w:sz w:val="20"/>
      <w:szCs w:val="20"/>
      <w:u w:val="none"/>
    </w:rPr>
  </w:style>
  <w:style w:type="character" w:customStyle="1" w:styleId="22">
    <w:name w:val="font11"/>
    <w:basedOn w:val="13"/>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8301E-F1B3-4B62-9F1C-1E18ABE2BAB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1133</Words>
  <Characters>1242</Characters>
  <Lines>15</Lines>
  <Paragraphs>4</Paragraphs>
  <TotalTime>214</TotalTime>
  <ScaleCrop>false</ScaleCrop>
  <LinksUpToDate>false</LinksUpToDate>
  <CharactersWithSpaces>1250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2022-03-14T16:00:00Z</dcterms:created>
  <dc:creator>Administrator</dc:creator>
  <cp:lastModifiedBy>孙俊韦</cp:lastModifiedBy>
  <cp:lastPrinted>2022-03-31T09:53:00Z</cp:lastPrinted>
  <dcterms:modified xsi:type="dcterms:W3CDTF">2026-02-10T06:45:24Z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CFC2F31A9AD14C5787C068D6472D8D65</vt:lpwstr>
  </property>
  <property fmtid="{D5CDD505-2E9C-101B-9397-08002B2CF9AE}" pid="4" name="commondata">
    <vt:lpwstr>eyJoZGlkIjoiNDJkZGI3OTdkYTUzNjJmYmMwYjVlOTNkZDcwMTVkZDgifQ==</vt:lpwstr>
  </property>
  <property fmtid="{D5CDD505-2E9C-101B-9397-08002B2CF9AE}" pid="5" name="KSOTemplateDocerSaveRecord">
    <vt:lpwstr>eyJoZGlkIjoiMDhlZGI2MmY0OTJlM2JjZTc5OTE4NTFjZWQ2YzExZGUiLCJ1c2VySWQiOiI0NTk5ODA5MDAifQ==</vt:lpwstr>
  </property>
</Properties>
</file>