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4D704F">
      <w:pPr>
        <w:keepNext w:val="0"/>
        <w:keepLines w:val="0"/>
        <w:pageBreakBefore w:val="0"/>
        <w:widowControl w:val="0"/>
        <w:kinsoku/>
        <w:wordWrap/>
        <w:overflowPunct/>
        <w:topLinePunct w:val="0"/>
        <w:autoSpaceDE/>
        <w:autoSpaceDN/>
        <w:bidi w:val="0"/>
        <w:adjustRightInd/>
        <w:snapToGrid/>
        <w:spacing w:line="572" w:lineRule="exact"/>
        <w:ind w:firstLine="0" w:firstLineChars="0"/>
        <w:jc w:val="center"/>
        <w:textAlignment w:val="auto"/>
        <w:rPr>
          <w:rFonts w:hint="eastAsia" w:ascii="方正小标宋简体" w:hAnsi="方正小标宋简体" w:eastAsia="方正小标宋简体" w:cs="方正小标宋简体"/>
          <w:sz w:val="44"/>
          <w:szCs w:val="44"/>
          <w:lang w:val="en-US" w:eastAsia="zh-CN"/>
        </w:rPr>
      </w:pPr>
      <w:bookmarkStart w:id="0" w:name="_Toc1053"/>
      <w:r>
        <w:rPr>
          <w:rFonts w:hint="eastAsia" w:ascii="方正小标宋简体" w:hAnsi="方正小标宋简体" w:eastAsia="方正小标宋简体" w:cs="方正小标宋简体"/>
          <w:sz w:val="44"/>
          <w:szCs w:val="44"/>
          <w:lang w:val="en-US" w:eastAsia="zh-CN"/>
        </w:rPr>
        <w:t> </w:t>
      </w:r>
      <w:r>
        <w:rPr>
          <w:rFonts w:hint="eastAsia" w:ascii="方正小标宋简体" w:hAnsi="方正小标宋简体" w:eastAsia="方正小标宋简体" w:cs="方正小标宋简体"/>
          <w:sz w:val="44"/>
          <w:szCs w:val="44"/>
          <w:lang w:val="en-US" w:eastAsia="zh-CN"/>
        </w:rPr>
        <w:t>智慧城市专用光纤链路</w:t>
      </w:r>
      <w:r>
        <w:rPr>
          <w:rFonts w:hint="eastAsia" w:ascii="方正小标宋简体" w:hAnsi="方正小标宋简体" w:eastAsia="方正小标宋简体" w:cs="方正小标宋简体"/>
          <w:sz w:val="44"/>
          <w:szCs w:val="44"/>
          <w:lang w:val="en-US" w:eastAsia="zh-CN"/>
        </w:rPr>
        <w:t>租赁服务</w:t>
      </w:r>
    </w:p>
    <w:p w14:paraId="76043B15">
      <w:pPr>
        <w:keepNext w:val="0"/>
        <w:keepLines w:val="0"/>
        <w:pageBreakBefore w:val="0"/>
        <w:widowControl w:val="0"/>
        <w:kinsoku/>
        <w:wordWrap/>
        <w:overflowPunct/>
        <w:topLinePunct w:val="0"/>
        <w:autoSpaceDE/>
        <w:autoSpaceDN/>
        <w:bidi w:val="0"/>
        <w:adjustRightInd/>
        <w:snapToGrid/>
        <w:spacing w:line="572" w:lineRule="exact"/>
        <w:ind w:firstLine="0" w:firstLineChars="0"/>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考核方案</w:t>
      </w:r>
      <w:bookmarkEnd w:id="0"/>
    </w:p>
    <w:p w14:paraId="72D63045">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baseline"/>
        <w:rPr>
          <w:rFonts w:hint="eastAsia" w:ascii="宋体" w:hAnsi="宋体" w:cs="宋体"/>
          <w:sz w:val="28"/>
          <w:szCs w:val="28"/>
          <w:lang w:eastAsia="zh-CN"/>
        </w:rPr>
      </w:pPr>
    </w:p>
    <w:p w14:paraId="584A142B">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baseline"/>
        <w:rPr>
          <w:rFonts w:hint="eastAsia"/>
          <w:lang w:eastAsia="zh-CN"/>
        </w:rPr>
      </w:pPr>
      <w:r>
        <w:rPr>
          <w:rFonts w:hint="eastAsia" w:ascii="宋体" w:hAnsi="宋体" w:cs="宋体"/>
          <w:sz w:val="28"/>
          <w:szCs w:val="28"/>
          <w:lang w:eastAsia="zh-CN"/>
        </w:rPr>
        <w:t>为保证红山区</w:t>
      </w:r>
      <w:r>
        <w:rPr>
          <w:rFonts w:hint="eastAsia" w:ascii="宋体" w:hAnsi="宋体" w:cs="宋体"/>
          <w:sz w:val="28"/>
          <w:szCs w:val="28"/>
          <w:lang w:val="en-US" w:eastAsia="zh-CN"/>
        </w:rPr>
        <w:t>智慧城市专用光纤链路租赁</w:t>
      </w:r>
      <w:r>
        <w:rPr>
          <w:rFonts w:hint="eastAsia" w:ascii="宋体" w:hAnsi="宋体" w:cs="宋体"/>
          <w:sz w:val="28"/>
          <w:szCs w:val="28"/>
          <w:lang w:eastAsia="zh-CN"/>
        </w:rPr>
        <w:t>服务的履行，加强红山区</w:t>
      </w:r>
      <w:r>
        <w:rPr>
          <w:rFonts w:hint="eastAsia" w:ascii="宋体" w:hAnsi="宋体" w:cs="宋体"/>
          <w:sz w:val="28"/>
          <w:szCs w:val="28"/>
          <w:lang w:val="en-US" w:eastAsia="zh-CN"/>
        </w:rPr>
        <w:t>光纤链路</w:t>
      </w:r>
      <w:r>
        <w:rPr>
          <w:rFonts w:hint="eastAsia" w:ascii="宋体" w:hAnsi="宋体" w:cs="宋体"/>
          <w:sz w:val="28"/>
          <w:szCs w:val="28"/>
          <w:lang w:eastAsia="zh-CN"/>
        </w:rPr>
        <w:t>管理工作，规范督导服务行为，逐步提高红山区</w:t>
      </w:r>
      <w:r>
        <w:rPr>
          <w:rFonts w:hint="eastAsia" w:ascii="宋体" w:hAnsi="宋体" w:cs="宋体"/>
          <w:sz w:val="28"/>
          <w:szCs w:val="28"/>
          <w:lang w:val="en-US" w:eastAsia="zh-CN"/>
        </w:rPr>
        <w:t>光纤链路维修维护</w:t>
      </w:r>
      <w:r>
        <w:rPr>
          <w:rFonts w:hint="eastAsia" w:ascii="宋体" w:hAnsi="宋体" w:cs="宋体"/>
          <w:sz w:val="28"/>
          <w:szCs w:val="28"/>
          <w:lang w:eastAsia="zh-CN"/>
        </w:rPr>
        <w:t>工作成效，根据相关政策、规范及标准，特制定本考核方法。</w:t>
      </w:r>
    </w:p>
    <w:p w14:paraId="23620765">
      <w:pPr>
        <w:keepNext w:val="0"/>
        <w:keepLines w:val="0"/>
        <w:pageBreakBefore w:val="0"/>
        <w:widowControl w:val="0"/>
        <w:kinsoku/>
        <w:wordWrap/>
        <w:overflowPunct/>
        <w:topLinePunct w:val="0"/>
        <w:autoSpaceDE/>
        <w:autoSpaceDN/>
        <w:bidi w:val="0"/>
        <w:adjustRightInd/>
        <w:snapToGrid/>
        <w:spacing w:before="156" w:line="360" w:lineRule="auto"/>
        <w:textAlignment w:val="baseline"/>
        <w:outlineLvl w:val="2"/>
        <w:rPr>
          <w:rFonts w:hint="eastAsia" w:ascii="宋体" w:hAnsi="宋体" w:eastAsia="宋体"/>
          <w:sz w:val="28"/>
          <w:szCs w:val="28"/>
          <w:lang w:eastAsia="zh-CN"/>
        </w:rPr>
      </w:pPr>
      <w:bookmarkStart w:id="1" w:name="_Toc25945"/>
      <w:r>
        <w:rPr>
          <w:rFonts w:hint="eastAsia" w:ascii="宋体" w:hAnsi="宋体"/>
          <w:b/>
          <w:color w:val="E36C0A"/>
          <w:sz w:val="28"/>
          <w:szCs w:val="28"/>
        </w:rPr>
        <w:t>一、</w:t>
      </w:r>
      <w:r>
        <w:rPr>
          <w:rFonts w:hint="eastAsia" w:ascii="宋体" w:hAnsi="宋体"/>
          <w:b/>
          <w:color w:val="E36C0A"/>
          <w:sz w:val="28"/>
          <w:szCs w:val="28"/>
          <w:lang w:eastAsia="zh-CN"/>
        </w:rPr>
        <w:t>考核原则</w:t>
      </w:r>
      <w:bookmarkEnd w:id="1"/>
    </w:p>
    <w:p w14:paraId="7265399C">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baseline"/>
        <w:rPr>
          <w:rFonts w:hint="eastAsia" w:ascii="宋体" w:hAnsi="宋体" w:cs="宋体"/>
          <w:sz w:val="28"/>
          <w:szCs w:val="28"/>
          <w:lang w:eastAsia="zh-CN"/>
        </w:rPr>
      </w:pPr>
      <w:r>
        <w:rPr>
          <w:rFonts w:hint="eastAsia" w:ascii="宋体" w:hAnsi="宋体" w:cs="宋体"/>
          <w:sz w:val="28"/>
          <w:szCs w:val="28"/>
          <w:lang w:eastAsia="zh-CN"/>
        </w:rPr>
        <w:t>坚持实事求是、客观公正、严格奖惩的评估体系，针对实际情况，全面衡量光线</w:t>
      </w:r>
      <w:r>
        <w:rPr>
          <w:rFonts w:hint="eastAsia" w:ascii="宋体" w:hAnsi="宋体" w:cs="宋体"/>
          <w:sz w:val="28"/>
          <w:szCs w:val="28"/>
          <w:lang w:val="en-US" w:eastAsia="zh-CN"/>
        </w:rPr>
        <w:t>链路</w:t>
      </w:r>
      <w:r>
        <w:rPr>
          <w:rFonts w:hint="eastAsia" w:ascii="宋体" w:hAnsi="宋体" w:cs="宋体"/>
          <w:sz w:val="28"/>
          <w:szCs w:val="28"/>
          <w:lang w:eastAsia="zh-CN"/>
        </w:rPr>
        <w:t>租赁服务提供商的服务质量，随机抽查和重点考核相结合，注重工作效果，全面细致考核，量化考核分值，严格兑现奖惩，确保考核结果客观、公正、严肃，确保租赁服务能够稳定、高效地满足客户需求，同时激励服务提供商持续改进服务水平，加强双方合作关系的稳定性和可持续性。</w:t>
      </w:r>
    </w:p>
    <w:p w14:paraId="5B72126A">
      <w:pPr>
        <w:keepNext w:val="0"/>
        <w:keepLines w:val="0"/>
        <w:pageBreakBefore w:val="0"/>
        <w:widowControl w:val="0"/>
        <w:kinsoku/>
        <w:wordWrap/>
        <w:overflowPunct/>
        <w:topLinePunct w:val="0"/>
        <w:autoSpaceDE/>
        <w:autoSpaceDN/>
        <w:bidi w:val="0"/>
        <w:adjustRightInd/>
        <w:snapToGrid/>
        <w:spacing w:before="156" w:line="360" w:lineRule="auto"/>
        <w:textAlignment w:val="baseline"/>
        <w:outlineLvl w:val="2"/>
        <w:rPr>
          <w:rFonts w:hint="eastAsia" w:ascii="宋体" w:hAnsi="宋体" w:eastAsia="宋体"/>
          <w:sz w:val="28"/>
          <w:szCs w:val="28"/>
          <w:lang w:eastAsia="zh-CN"/>
        </w:rPr>
      </w:pPr>
      <w:bookmarkStart w:id="2" w:name="_Toc12220"/>
      <w:r>
        <w:rPr>
          <w:rFonts w:hint="eastAsia" w:ascii="宋体" w:hAnsi="宋体"/>
          <w:b/>
          <w:color w:val="E36C0A"/>
          <w:sz w:val="28"/>
          <w:szCs w:val="28"/>
          <w:lang w:eastAsia="zh-CN"/>
        </w:rPr>
        <w:t>二</w:t>
      </w:r>
      <w:r>
        <w:rPr>
          <w:rFonts w:hint="eastAsia" w:ascii="宋体" w:hAnsi="宋体"/>
          <w:b/>
          <w:color w:val="E36C0A"/>
          <w:sz w:val="28"/>
          <w:szCs w:val="28"/>
        </w:rPr>
        <w:t>、</w:t>
      </w:r>
      <w:r>
        <w:rPr>
          <w:rFonts w:hint="eastAsia" w:ascii="宋体" w:hAnsi="宋体"/>
          <w:b/>
          <w:color w:val="E36C0A"/>
          <w:sz w:val="28"/>
          <w:szCs w:val="28"/>
          <w:lang w:eastAsia="zh-CN"/>
        </w:rPr>
        <w:t>检查考核主体及对象</w:t>
      </w:r>
      <w:bookmarkEnd w:id="2"/>
    </w:p>
    <w:p w14:paraId="7FD0F62E">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baseline"/>
        <w:rPr>
          <w:rFonts w:hint="eastAsia" w:ascii="宋体" w:hAnsi="宋体" w:cs="宋体"/>
          <w:sz w:val="28"/>
          <w:szCs w:val="28"/>
          <w:lang w:eastAsia="zh-CN"/>
        </w:rPr>
      </w:pPr>
      <w:r>
        <w:rPr>
          <w:rFonts w:hint="eastAsia" w:ascii="宋体" w:hAnsi="宋体" w:cs="宋体"/>
          <w:sz w:val="28"/>
          <w:szCs w:val="28"/>
          <w:lang w:eastAsia="zh-CN"/>
        </w:rPr>
        <w:t>检查考核主体：</w:t>
      </w:r>
      <w:r>
        <w:rPr>
          <w:rFonts w:hint="eastAsia" w:ascii="宋体" w:hAnsi="宋体" w:cs="宋体"/>
          <w:sz w:val="28"/>
          <w:szCs w:val="28"/>
          <w:lang w:val="en-US" w:eastAsia="zh-CN"/>
        </w:rPr>
        <w:t>赤峰蒙东云计算产业发展中心、赤峰市公安局红山区分局、红山区市场监督管理局，</w:t>
      </w:r>
      <w:r>
        <w:rPr>
          <w:rFonts w:hint="eastAsia" w:ascii="宋体" w:hAnsi="宋体" w:cs="宋体"/>
          <w:sz w:val="28"/>
          <w:szCs w:val="28"/>
          <w:lang w:eastAsia="zh-CN"/>
        </w:rPr>
        <w:t>按照属地管理原则，成立考核</w:t>
      </w:r>
      <w:r>
        <w:rPr>
          <w:rFonts w:hint="eastAsia" w:ascii="宋体" w:hAnsi="宋体" w:cs="宋体"/>
          <w:sz w:val="28"/>
          <w:szCs w:val="28"/>
          <w:lang w:val="en-US" w:eastAsia="zh-CN"/>
        </w:rPr>
        <w:t>小组</w:t>
      </w:r>
      <w:r>
        <w:rPr>
          <w:rFonts w:hint="eastAsia" w:ascii="宋体" w:hAnsi="宋体" w:cs="宋体"/>
          <w:sz w:val="28"/>
          <w:szCs w:val="28"/>
          <w:lang w:eastAsia="zh-CN"/>
        </w:rPr>
        <w:t>对承接主体组织考核工作，负责对</w:t>
      </w:r>
      <w:r>
        <w:rPr>
          <w:rFonts w:hint="eastAsia" w:ascii="宋体" w:hAnsi="宋体" w:cs="宋体"/>
          <w:sz w:val="28"/>
          <w:szCs w:val="28"/>
          <w:lang w:val="en-US" w:eastAsia="zh-CN"/>
        </w:rPr>
        <w:t>红山区光纤电路的运行、维护、点位迁移等</w:t>
      </w:r>
      <w:r>
        <w:rPr>
          <w:rFonts w:hint="eastAsia" w:ascii="宋体" w:hAnsi="宋体" w:cs="宋体"/>
          <w:sz w:val="28"/>
          <w:szCs w:val="28"/>
          <w:lang w:eastAsia="zh-CN"/>
        </w:rPr>
        <w:t>进行检查和考核。</w:t>
      </w:r>
    </w:p>
    <w:p w14:paraId="1D7391C7">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baseline"/>
        <w:rPr>
          <w:rFonts w:hint="eastAsia" w:ascii="宋体" w:hAnsi="宋体" w:cs="宋体"/>
          <w:sz w:val="28"/>
          <w:szCs w:val="28"/>
          <w:lang w:eastAsia="zh-CN"/>
        </w:rPr>
      </w:pPr>
      <w:r>
        <w:rPr>
          <w:rFonts w:hint="eastAsia" w:ascii="宋体" w:hAnsi="宋体" w:cs="宋体"/>
          <w:sz w:val="28"/>
          <w:szCs w:val="28"/>
          <w:lang w:eastAsia="zh-CN"/>
        </w:rPr>
        <w:t>考核对象：为</w:t>
      </w:r>
      <w:r>
        <w:rPr>
          <w:rFonts w:hint="eastAsia" w:ascii="宋体" w:hAnsi="宋体" w:cs="宋体"/>
          <w:sz w:val="28"/>
          <w:szCs w:val="28"/>
          <w:lang w:val="en-US" w:eastAsia="zh-CN"/>
        </w:rPr>
        <w:t>光纤电路租赁</w:t>
      </w:r>
      <w:r>
        <w:rPr>
          <w:rFonts w:hint="eastAsia" w:ascii="宋体" w:hAnsi="宋体" w:cs="宋体"/>
          <w:sz w:val="28"/>
          <w:szCs w:val="28"/>
          <w:lang w:eastAsia="zh-CN"/>
        </w:rPr>
        <w:t>服务的</w:t>
      </w:r>
      <w:bookmarkStart w:id="3" w:name="_Hlk536087716"/>
      <w:r>
        <w:rPr>
          <w:rFonts w:hint="eastAsia" w:ascii="宋体" w:hAnsi="宋体" w:cs="宋体"/>
          <w:sz w:val="28"/>
          <w:szCs w:val="28"/>
          <w:lang w:eastAsia="zh-CN"/>
        </w:rPr>
        <w:t>承接主体</w:t>
      </w:r>
      <w:bookmarkEnd w:id="3"/>
      <w:r>
        <w:rPr>
          <w:rFonts w:hint="eastAsia" w:ascii="宋体" w:hAnsi="宋体" w:cs="宋体"/>
          <w:sz w:val="28"/>
          <w:szCs w:val="28"/>
          <w:lang w:eastAsia="zh-CN"/>
        </w:rPr>
        <w:t>。</w:t>
      </w:r>
    </w:p>
    <w:p w14:paraId="48F61DAD">
      <w:pPr>
        <w:keepNext w:val="0"/>
        <w:keepLines w:val="0"/>
        <w:pageBreakBefore w:val="0"/>
        <w:widowControl w:val="0"/>
        <w:kinsoku/>
        <w:wordWrap/>
        <w:overflowPunct/>
        <w:topLinePunct w:val="0"/>
        <w:autoSpaceDE/>
        <w:autoSpaceDN/>
        <w:bidi w:val="0"/>
        <w:adjustRightInd/>
        <w:snapToGrid/>
        <w:spacing w:before="156" w:line="360" w:lineRule="auto"/>
        <w:textAlignment w:val="baseline"/>
        <w:outlineLvl w:val="2"/>
        <w:rPr>
          <w:rFonts w:hint="eastAsia" w:ascii="宋体" w:hAnsi="宋体" w:eastAsia="宋体"/>
          <w:sz w:val="28"/>
          <w:szCs w:val="28"/>
          <w:lang w:eastAsia="zh-CN"/>
        </w:rPr>
      </w:pPr>
      <w:bookmarkStart w:id="4" w:name="_Toc22843"/>
      <w:r>
        <w:rPr>
          <w:rFonts w:hint="eastAsia" w:ascii="宋体" w:hAnsi="宋体"/>
          <w:b/>
          <w:color w:val="E36C0A"/>
          <w:sz w:val="28"/>
          <w:szCs w:val="28"/>
          <w:lang w:eastAsia="zh-CN"/>
        </w:rPr>
        <w:t>三</w:t>
      </w:r>
      <w:r>
        <w:rPr>
          <w:rFonts w:hint="eastAsia" w:ascii="宋体" w:hAnsi="宋体"/>
          <w:b/>
          <w:color w:val="E36C0A"/>
          <w:sz w:val="28"/>
          <w:szCs w:val="28"/>
        </w:rPr>
        <w:t>、</w:t>
      </w:r>
      <w:r>
        <w:rPr>
          <w:rFonts w:hint="eastAsia" w:ascii="宋体" w:hAnsi="宋体"/>
          <w:b/>
          <w:color w:val="E36C0A"/>
          <w:sz w:val="28"/>
          <w:szCs w:val="28"/>
          <w:lang w:eastAsia="zh-CN"/>
        </w:rPr>
        <w:t>考核范围</w:t>
      </w:r>
      <w:bookmarkEnd w:id="4"/>
    </w:p>
    <w:p w14:paraId="1AA9AF50">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baseline"/>
        <w:rPr>
          <w:rFonts w:hint="eastAsia" w:ascii="宋体" w:hAnsi="宋体" w:cs="宋体"/>
          <w:sz w:val="28"/>
          <w:szCs w:val="28"/>
          <w:lang w:eastAsia="zh-CN"/>
        </w:rPr>
      </w:pPr>
      <w:r>
        <w:rPr>
          <w:rFonts w:hint="eastAsia" w:ascii="宋体" w:hAnsi="宋体" w:cs="宋体"/>
          <w:sz w:val="28"/>
          <w:szCs w:val="28"/>
          <w:lang w:eastAsia="zh-CN"/>
        </w:rPr>
        <w:t>考核主体对考核对象提供的服务内容进行全面考核，即对</w:t>
      </w:r>
      <w:r>
        <w:rPr>
          <w:rFonts w:hint="eastAsia" w:ascii="宋体" w:hAnsi="宋体" w:cs="宋体"/>
          <w:sz w:val="28"/>
          <w:szCs w:val="28"/>
          <w:lang w:val="en-US" w:eastAsia="zh-CN"/>
        </w:rPr>
        <w:t>光纤电路租赁服务</w:t>
      </w:r>
      <w:r>
        <w:rPr>
          <w:rFonts w:hint="eastAsia" w:ascii="宋体" w:hAnsi="宋体" w:cs="宋体"/>
          <w:sz w:val="28"/>
          <w:szCs w:val="28"/>
          <w:lang w:eastAsia="zh-CN"/>
        </w:rPr>
        <w:t>日常督导</w:t>
      </w:r>
      <w:r>
        <w:rPr>
          <w:rFonts w:hint="eastAsia" w:ascii="宋体" w:hAnsi="宋体" w:cs="宋体"/>
          <w:sz w:val="28"/>
          <w:szCs w:val="28"/>
          <w:lang w:val="en-US" w:eastAsia="zh-CN"/>
        </w:rPr>
        <w:t>光纤电路</w:t>
      </w:r>
      <w:bookmarkStart w:id="8" w:name="_GoBack"/>
      <w:bookmarkEnd w:id="8"/>
      <w:r>
        <w:rPr>
          <w:rFonts w:hint="eastAsia" w:ascii="宋体" w:hAnsi="宋体" w:cs="宋体"/>
          <w:sz w:val="28"/>
          <w:szCs w:val="28"/>
          <w:lang w:val="en-US" w:eastAsia="zh-CN"/>
        </w:rPr>
        <w:t>运行、故障修复、线路迁移</w:t>
      </w:r>
      <w:r>
        <w:rPr>
          <w:rFonts w:hint="eastAsia" w:ascii="宋体" w:hAnsi="宋体" w:cs="宋体"/>
          <w:sz w:val="28"/>
          <w:szCs w:val="28"/>
          <w:lang w:eastAsia="zh-CN"/>
        </w:rPr>
        <w:t>等工作进行考核。</w:t>
      </w:r>
    </w:p>
    <w:p w14:paraId="0C886E8A">
      <w:pPr>
        <w:keepNext w:val="0"/>
        <w:keepLines w:val="0"/>
        <w:pageBreakBefore w:val="0"/>
        <w:widowControl w:val="0"/>
        <w:kinsoku/>
        <w:wordWrap/>
        <w:overflowPunct/>
        <w:topLinePunct w:val="0"/>
        <w:autoSpaceDE/>
        <w:autoSpaceDN/>
        <w:bidi w:val="0"/>
        <w:snapToGrid w:val="0"/>
        <w:spacing w:line="360" w:lineRule="auto"/>
        <w:textAlignment w:val="baseline"/>
        <w:rPr>
          <w:rFonts w:hint="eastAsia" w:ascii="宋体" w:hAnsi="宋体"/>
          <w:b/>
          <w:color w:val="E36C0A"/>
          <w:sz w:val="28"/>
          <w:szCs w:val="28"/>
          <w:lang w:eastAsia="zh-CN"/>
        </w:rPr>
      </w:pPr>
      <w:r>
        <w:rPr>
          <w:rFonts w:hint="eastAsia" w:ascii="宋体" w:hAnsi="宋体"/>
          <w:b/>
          <w:color w:val="E36C0A"/>
          <w:sz w:val="28"/>
          <w:szCs w:val="28"/>
          <w:lang w:eastAsia="zh-CN"/>
        </w:rPr>
        <w:t>四、考核周期</w:t>
      </w:r>
    </w:p>
    <w:p w14:paraId="402C229C">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baseline"/>
        <w:rPr>
          <w:rFonts w:hint="eastAsia" w:ascii="宋体" w:hAnsi="宋体" w:cs="宋体"/>
          <w:sz w:val="28"/>
          <w:szCs w:val="28"/>
          <w:lang w:eastAsia="zh-CN"/>
        </w:rPr>
      </w:pPr>
      <w:r>
        <w:rPr>
          <w:rFonts w:hint="eastAsia" w:ascii="宋体" w:hAnsi="宋体" w:cs="宋体"/>
          <w:sz w:val="28"/>
          <w:szCs w:val="28"/>
          <w:lang w:eastAsia="zh-CN"/>
        </w:rPr>
        <w:t>考核周期以季度</w:t>
      </w:r>
      <w:r>
        <w:rPr>
          <w:rFonts w:hint="eastAsia" w:ascii="宋体" w:hAnsi="宋体" w:cs="宋体"/>
          <w:sz w:val="28"/>
          <w:szCs w:val="28"/>
          <w:lang w:val="en-US" w:eastAsia="zh-CN"/>
        </w:rPr>
        <w:t>和</w:t>
      </w:r>
      <w:r>
        <w:rPr>
          <w:rFonts w:hint="eastAsia" w:ascii="宋体" w:hAnsi="宋体" w:cs="宋体"/>
          <w:sz w:val="28"/>
          <w:szCs w:val="28"/>
          <w:lang w:eastAsia="zh-CN"/>
        </w:rPr>
        <w:t>年度为单位进行数据统计和评估，</w:t>
      </w:r>
      <w:r>
        <w:rPr>
          <w:rFonts w:hint="eastAsia" w:ascii="宋体" w:hAnsi="宋体" w:cs="宋体"/>
          <w:sz w:val="28"/>
          <w:szCs w:val="28"/>
          <w:lang w:val="en-US" w:eastAsia="zh-CN"/>
        </w:rPr>
        <w:t>服务期满一年</w:t>
      </w:r>
      <w:r>
        <w:rPr>
          <w:rFonts w:hint="eastAsia" w:ascii="宋体" w:hAnsi="宋体" w:cs="宋体"/>
          <w:sz w:val="28"/>
          <w:szCs w:val="28"/>
          <w:lang w:eastAsia="zh-CN"/>
        </w:rPr>
        <w:t>进行年度综合考核评价，并结合各周期考核结果形成全年服务绩效评估报告。</w:t>
      </w:r>
    </w:p>
    <w:p w14:paraId="501B0EFD">
      <w:pPr>
        <w:keepNext w:val="0"/>
        <w:keepLines w:val="0"/>
        <w:pageBreakBefore w:val="0"/>
        <w:widowControl w:val="0"/>
        <w:numPr>
          <w:ilvl w:val="0"/>
          <w:numId w:val="0"/>
        </w:numPr>
        <w:kinsoku/>
        <w:wordWrap/>
        <w:overflowPunct/>
        <w:topLinePunct w:val="0"/>
        <w:autoSpaceDE/>
        <w:autoSpaceDN/>
        <w:bidi w:val="0"/>
        <w:adjustRightInd/>
        <w:snapToGrid/>
        <w:spacing w:before="156" w:line="360" w:lineRule="auto"/>
        <w:ind w:left="0" w:leftChars="0" w:firstLine="0" w:firstLineChars="0"/>
        <w:textAlignment w:val="baseline"/>
        <w:outlineLvl w:val="2"/>
        <w:rPr>
          <w:rFonts w:hint="eastAsia" w:ascii="宋体" w:hAnsi="宋体"/>
          <w:b/>
          <w:color w:val="E36C0A"/>
          <w:sz w:val="28"/>
          <w:szCs w:val="28"/>
          <w:lang w:eastAsia="zh-CN"/>
        </w:rPr>
      </w:pPr>
      <w:bookmarkStart w:id="5" w:name="_Toc2550"/>
      <w:r>
        <w:rPr>
          <w:rFonts w:hint="eastAsia" w:ascii="宋体" w:hAnsi="宋体" w:cs="Times New Roman"/>
          <w:b/>
          <w:color w:val="E36C0A"/>
          <w:kern w:val="2"/>
          <w:sz w:val="28"/>
          <w:szCs w:val="28"/>
          <w:lang w:val="en-US" w:eastAsia="zh-CN" w:bidi="ar-SA"/>
        </w:rPr>
        <w:t>五</w:t>
      </w:r>
      <w:r>
        <w:rPr>
          <w:rFonts w:hint="eastAsia" w:ascii="宋体" w:hAnsi="宋体" w:eastAsia="宋体" w:cs="Times New Roman"/>
          <w:b/>
          <w:color w:val="E36C0A"/>
          <w:kern w:val="2"/>
          <w:sz w:val="28"/>
          <w:szCs w:val="28"/>
          <w:lang w:val="en-US" w:eastAsia="zh-CN" w:bidi="ar-SA"/>
        </w:rPr>
        <w:t>、</w:t>
      </w:r>
      <w:r>
        <w:rPr>
          <w:rFonts w:hint="eastAsia" w:ascii="宋体" w:hAnsi="宋体"/>
          <w:b/>
          <w:color w:val="E36C0A"/>
          <w:sz w:val="28"/>
          <w:szCs w:val="28"/>
          <w:lang w:eastAsia="zh-CN"/>
        </w:rPr>
        <w:t>考核方式及要求</w:t>
      </w:r>
      <w:bookmarkEnd w:id="5"/>
    </w:p>
    <w:p w14:paraId="54CE0E64">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baseline"/>
        <w:rPr>
          <w:rFonts w:hint="eastAsia" w:ascii="宋体" w:hAnsi="宋体" w:cs="宋体"/>
          <w:sz w:val="28"/>
          <w:szCs w:val="28"/>
          <w:lang w:eastAsia="zh-CN"/>
        </w:rPr>
      </w:pPr>
      <w:r>
        <w:rPr>
          <w:rFonts w:hint="eastAsia" w:ascii="宋体" w:hAnsi="宋体" w:cs="宋体"/>
          <w:sz w:val="28"/>
          <w:szCs w:val="28"/>
          <w:lang w:eastAsia="zh-CN"/>
        </w:rPr>
        <w:t>1、</w:t>
      </w:r>
      <w:r>
        <w:rPr>
          <w:rFonts w:hint="eastAsia" w:ascii="宋体" w:hAnsi="宋体" w:cs="宋体"/>
          <w:sz w:val="28"/>
          <w:szCs w:val="28"/>
          <w:lang w:val="en-US" w:eastAsia="zh-CN"/>
        </w:rPr>
        <w:t>赤峰蒙东云计算产业发展中心</w:t>
      </w:r>
      <w:r>
        <w:rPr>
          <w:rFonts w:hint="eastAsia" w:ascii="宋体" w:hAnsi="宋体" w:cs="宋体"/>
          <w:sz w:val="28"/>
          <w:szCs w:val="28"/>
          <w:lang w:eastAsia="zh-CN"/>
        </w:rPr>
        <w:t>负责考核的组织、协调、抽查、汇总等工作，考核办法遵照（</w:t>
      </w:r>
      <w:r>
        <w:rPr>
          <w:rFonts w:hint="eastAsia" w:ascii="宋体" w:hAnsi="宋体" w:eastAsia="宋体" w:cs="宋体"/>
          <w:sz w:val="28"/>
          <w:szCs w:val="28"/>
          <w:lang w:val="en-US" w:eastAsia="zh-CN"/>
        </w:rPr>
        <w:t>智慧城市专用光纤链路租赁服务考核评分表</w:t>
      </w:r>
      <w:r>
        <w:rPr>
          <w:rFonts w:hint="eastAsia" w:ascii="宋体" w:hAnsi="宋体" w:cs="宋体"/>
          <w:sz w:val="28"/>
          <w:szCs w:val="28"/>
          <w:lang w:eastAsia="zh-CN"/>
        </w:rPr>
        <w:t>）执行。</w:t>
      </w:r>
    </w:p>
    <w:p w14:paraId="058C916C">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baseline"/>
        <w:rPr>
          <w:rFonts w:hint="eastAsia" w:ascii="宋体" w:hAnsi="宋体" w:cs="宋体"/>
          <w:sz w:val="28"/>
          <w:szCs w:val="28"/>
          <w:lang w:eastAsia="zh-CN"/>
        </w:rPr>
      </w:pPr>
      <w:r>
        <w:rPr>
          <w:rFonts w:hint="eastAsia" w:ascii="宋体" w:hAnsi="宋体" w:cs="宋体"/>
          <w:sz w:val="28"/>
          <w:szCs w:val="28"/>
          <w:lang w:eastAsia="zh-CN"/>
        </w:rPr>
        <w:t>2、考核发现问题后，考核方以信息化方式明确通知被考核方，保留扣分项证据，填写《考核确认单》，被考核方负责人签字确认。</w:t>
      </w:r>
    </w:p>
    <w:p w14:paraId="20DBE9B4">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baseline"/>
        <w:rPr>
          <w:rFonts w:hint="default" w:ascii="宋体" w:hAnsi="宋体" w:cs="宋体"/>
          <w:sz w:val="28"/>
          <w:szCs w:val="28"/>
          <w:lang w:val="en-US" w:eastAsia="zh-CN"/>
        </w:rPr>
      </w:pPr>
      <w:bookmarkStart w:id="6" w:name="_Toc23181"/>
      <w:r>
        <w:rPr>
          <w:rFonts w:hint="eastAsia" w:ascii="宋体" w:hAnsi="宋体" w:cs="宋体"/>
          <w:sz w:val="28"/>
          <w:szCs w:val="28"/>
          <w:lang w:val="en-US" w:eastAsia="zh-CN"/>
        </w:rPr>
        <w:t>3、因自然灾害或客观因素不可抗力等造成光缆线路大范围的损坏不计入考核范围。</w:t>
      </w:r>
    </w:p>
    <w:p w14:paraId="40CFC7DD">
      <w:pPr>
        <w:keepNext w:val="0"/>
        <w:keepLines w:val="0"/>
        <w:pageBreakBefore w:val="0"/>
        <w:widowControl w:val="0"/>
        <w:numPr>
          <w:ilvl w:val="0"/>
          <w:numId w:val="0"/>
        </w:numPr>
        <w:kinsoku/>
        <w:wordWrap/>
        <w:overflowPunct/>
        <w:topLinePunct w:val="0"/>
        <w:autoSpaceDE/>
        <w:autoSpaceDN/>
        <w:bidi w:val="0"/>
        <w:adjustRightInd/>
        <w:snapToGrid/>
        <w:spacing w:before="156" w:line="360" w:lineRule="auto"/>
        <w:ind w:left="0" w:leftChars="0" w:firstLine="0" w:firstLineChars="0"/>
        <w:textAlignment w:val="baseline"/>
        <w:outlineLvl w:val="2"/>
        <w:rPr>
          <w:rFonts w:hint="eastAsia" w:ascii="宋体" w:hAnsi="宋体" w:cs="Times New Roman"/>
          <w:b/>
          <w:color w:val="E36C0A"/>
          <w:sz w:val="28"/>
          <w:szCs w:val="28"/>
          <w:lang w:eastAsia="zh-CN"/>
        </w:rPr>
      </w:pPr>
      <w:r>
        <w:rPr>
          <w:rFonts w:hint="eastAsia" w:ascii="宋体" w:hAnsi="宋体" w:cs="Times New Roman"/>
          <w:b/>
          <w:color w:val="E36C0A"/>
          <w:kern w:val="2"/>
          <w:sz w:val="28"/>
          <w:szCs w:val="28"/>
          <w:lang w:val="en-US" w:eastAsia="zh-CN" w:bidi="ar-SA"/>
        </w:rPr>
        <w:t>六</w:t>
      </w:r>
      <w:r>
        <w:rPr>
          <w:rFonts w:hint="eastAsia" w:ascii="宋体" w:hAnsi="宋体" w:eastAsia="宋体" w:cs="Times New Roman"/>
          <w:b/>
          <w:color w:val="E36C0A"/>
          <w:kern w:val="2"/>
          <w:sz w:val="28"/>
          <w:szCs w:val="28"/>
          <w:lang w:val="en-US" w:eastAsia="zh-CN" w:bidi="ar-SA"/>
        </w:rPr>
        <w:t>、</w:t>
      </w:r>
      <w:r>
        <w:rPr>
          <w:rFonts w:hint="eastAsia" w:ascii="宋体" w:hAnsi="宋体" w:cs="Times New Roman"/>
          <w:b/>
          <w:color w:val="E36C0A"/>
          <w:sz w:val="28"/>
          <w:szCs w:val="28"/>
          <w:lang w:eastAsia="zh-CN"/>
        </w:rPr>
        <w:t>考核结果应用及奖惩措施（考核为100分）</w:t>
      </w:r>
      <w:bookmarkEnd w:id="6"/>
    </w:p>
    <w:tbl>
      <w:tblPr>
        <w:tblStyle w:val="17"/>
        <w:tblW w:w="8290" w:type="dxa"/>
        <w:jc w:val="center"/>
        <w:tblLayout w:type="fixed"/>
        <w:tblCellMar>
          <w:top w:w="0" w:type="dxa"/>
          <w:left w:w="0" w:type="dxa"/>
          <w:bottom w:w="0" w:type="dxa"/>
          <w:right w:w="0" w:type="dxa"/>
        </w:tblCellMar>
      </w:tblPr>
      <w:tblGrid>
        <w:gridCol w:w="1836"/>
        <w:gridCol w:w="6454"/>
      </w:tblGrid>
      <w:tr w14:paraId="02F8528F">
        <w:tblPrEx>
          <w:tblCellMar>
            <w:top w:w="0" w:type="dxa"/>
            <w:left w:w="0" w:type="dxa"/>
            <w:bottom w:w="0" w:type="dxa"/>
            <w:right w:w="0" w:type="dxa"/>
          </w:tblCellMar>
        </w:tblPrEx>
        <w:trPr>
          <w:trHeight w:val="567" w:hRule="atLeast"/>
          <w:jc w:val="center"/>
        </w:trPr>
        <w:tc>
          <w:tcPr>
            <w:tcW w:w="18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61CF74">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考核得分（分）</w:t>
            </w:r>
          </w:p>
        </w:tc>
        <w:tc>
          <w:tcPr>
            <w:tcW w:w="645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C182802">
            <w:pPr>
              <w:widowControl/>
              <w:jc w:val="center"/>
              <w:textAlignment w:val="center"/>
              <w:rPr>
                <w:rFonts w:ascii="宋体" w:hAnsi="宋体" w:eastAsia="宋体" w:cs="宋体"/>
                <w:b/>
                <w:color w:val="000000"/>
                <w:sz w:val="24"/>
              </w:rPr>
            </w:pPr>
            <w:r>
              <w:rPr>
                <w:rFonts w:hint="eastAsia" w:ascii="宋体" w:hAnsi="宋体" w:eastAsia="宋体" w:cs="宋体"/>
                <w:b/>
                <w:color w:val="000000"/>
                <w:kern w:val="0"/>
                <w:sz w:val="24"/>
              </w:rPr>
              <w:t>发放比例</w:t>
            </w:r>
          </w:p>
        </w:tc>
      </w:tr>
      <w:tr w14:paraId="76B81A1D">
        <w:tblPrEx>
          <w:tblCellMar>
            <w:top w:w="0" w:type="dxa"/>
            <w:left w:w="0" w:type="dxa"/>
            <w:bottom w:w="0" w:type="dxa"/>
            <w:right w:w="0" w:type="dxa"/>
          </w:tblCellMar>
        </w:tblPrEx>
        <w:trPr>
          <w:trHeight w:val="567" w:hRule="atLeast"/>
          <w:jc w:val="center"/>
        </w:trPr>
        <w:tc>
          <w:tcPr>
            <w:tcW w:w="18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3CB9176">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90(含)以上</w:t>
            </w:r>
          </w:p>
        </w:tc>
        <w:tc>
          <w:tcPr>
            <w:tcW w:w="645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028FCB7">
            <w:pPr>
              <w:widowControl/>
              <w:jc w:val="left"/>
              <w:textAlignment w:val="center"/>
              <w:rPr>
                <w:rFonts w:hint="default" w:ascii="宋体" w:hAnsi="宋体" w:eastAsia="宋体" w:cs="宋体"/>
                <w:color w:val="000000"/>
                <w:sz w:val="24"/>
                <w:lang w:val="en-US" w:eastAsia="zh-CN"/>
              </w:rPr>
            </w:pPr>
            <w:r>
              <w:rPr>
                <w:rFonts w:hint="eastAsia" w:ascii="宋体" w:hAnsi="宋体" w:eastAsia="宋体" w:cs="宋体"/>
                <w:color w:val="000000"/>
                <w:kern w:val="0"/>
                <w:sz w:val="24"/>
              </w:rPr>
              <w:t>优秀，全额拨付</w:t>
            </w:r>
          </w:p>
        </w:tc>
      </w:tr>
      <w:tr w14:paraId="13F67157">
        <w:tblPrEx>
          <w:tblCellMar>
            <w:top w:w="0" w:type="dxa"/>
            <w:left w:w="0" w:type="dxa"/>
            <w:bottom w:w="0" w:type="dxa"/>
            <w:right w:w="0" w:type="dxa"/>
          </w:tblCellMar>
        </w:tblPrEx>
        <w:trPr>
          <w:trHeight w:val="567" w:hRule="atLeast"/>
          <w:jc w:val="center"/>
        </w:trPr>
        <w:tc>
          <w:tcPr>
            <w:tcW w:w="18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8554E9B">
            <w:pPr>
              <w:widowControl/>
              <w:jc w:val="center"/>
              <w:textAlignment w:val="center"/>
              <w:rPr>
                <w:rFonts w:hint="eastAsia" w:ascii="宋体" w:hAnsi="宋体" w:eastAsia="宋体" w:cs="宋体"/>
                <w:color w:val="000000"/>
                <w:sz w:val="24"/>
                <w:lang w:val="en-US" w:eastAsia="zh-CN"/>
              </w:rPr>
            </w:pPr>
            <w:r>
              <w:rPr>
                <w:rFonts w:hint="eastAsia" w:ascii="宋体" w:hAnsi="宋体" w:cs="宋体"/>
                <w:color w:val="000000"/>
                <w:kern w:val="0"/>
                <w:sz w:val="24"/>
                <w:lang w:val="en-US" w:eastAsia="zh-CN"/>
              </w:rPr>
              <w:t>80</w:t>
            </w:r>
            <w:r>
              <w:rPr>
                <w:rFonts w:hint="eastAsia" w:ascii="宋体" w:hAnsi="宋体" w:eastAsia="宋体" w:cs="宋体"/>
                <w:color w:val="000000"/>
                <w:kern w:val="0"/>
                <w:sz w:val="24"/>
              </w:rPr>
              <w:t>（含）-</w:t>
            </w:r>
            <w:r>
              <w:rPr>
                <w:rFonts w:hint="eastAsia" w:ascii="宋体" w:hAnsi="宋体" w:cs="宋体"/>
                <w:color w:val="000000"/>
                <w:kern w:val="0"/>
                <w:sz w:val="24"/>
                <w:lang w:val="en-US" w:eastAsia="zh-CN"/>
              </w:rPr>
              <w:t>89</w:t>
            </w:r>
          </w:p>
        </w:tc>
        <w:tc>
          <w:tcPr>
            <w:tcW w:w="645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68A6E42">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良好，考核得分每比90分少1分，扣当期应付款的1%。</w:t>
            </w:r>
          </w:p>
        </w:tc>
      </w:tr>
      <w:tr w14:paraId="3BC7BD7E">
        <w:tblPrEx>
          <w:tblCellMar>
            <w:top w:w="0" w:type="dxa"/>
            <w:left w:w="0" w:type="dxa"/>
            <w:bottom w:w="0" w:type="dxa"/>
            <w:right w:w="0" w:type="dxa"/>
          </w:tblCellMar>
        </w:tblPrEx>
        <w:trPr>
          <w:trHeight w:val="567" w:hRule="atLeast"/>
          <w:jc w:val="center"/>
        </w:trPr>
        <w:tc>
          <w:tcPr>
            <w:tcW w:w="183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6A3D867">
            <w:pPr>
              <w:widowControl/>
              <w:jc w:val="center"/>
              <w:textAlignment w:val="center"/>
              <w:rPr>
                <w:rFonts w:ascii="宋体" w:hAnsi="宋体" w:eastAsia="宋体" w:cs="宋体"/>
                <w:color w:val="000000"/>
                <w:sz w:val="24"/>
              </w:rPr>
            </w:pPr>
            <w:r>
              <w:rPr>
                <w:rFonts w:hint="eastAsia" w:ascii="宋体" w:hAnsi="宋体" w:cs="宋体"/>
                <w:color w:val="000000"/>
                <w:kern w:val="0"/>
                <w:sz w:val="24"/>
                <w:lang w:val="en-US" w:eastAsia="zh-CN"/>
              </w:rPr>
              <w:t>80</w:t>
            </w:r>
            <w:r>
              <w:rPr>
                <w:rFonts w:hint="eastAsia" w:ascii="宋体" w:hAnsi="宋体" w:eastAsia="宋体" w:cs="宋体"/>
                <w:color w:val="000000"/>
                <w:kern w:val="0"/>
                <w:sz w:val="24"/>
              </w:rPr>
              <w:t>以下</w:t>
            </w:r>
          </w:p>
        </w:tc>
        <w:tc>
          <w:tcPr>
            <w:tcW w:w="645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5E106F8">
            <w:pPr>
              <w:widowControl/>
              <w:jc w:val="left"/>
              <w:textAlignment w:val="center"/>
              <w:rPr>
                <w:rFonts w:ascii="宋体" w:hAnsi="宋体" w:eastAsia="宋体" w:cs="宋体"/>
                <w:color w:val="000000"/>
                <w:sz w:val="24"/>
              </w:rPr>
            </w:pPr>
            <w:r>
              <w:rPr>
                <w:rFonts w:hint="eastAsia" w:ascii="宋体" w:hAnsi="宋体" w:eastAsia="宋体" w:cs="宋体"/>
                <w:color w:val="000000"/>
                <w:kern w:val="0"/>
                <w:sz w:val="24"/>
              </w:rPr>
              <w:t>不合格，诫勉谈话，限期整改</w:t>
            </w:r>
            <w:r>
              <w:rPr>
                <w:rFonts w:hint="eastAsia" w:ascii="宋体" w:hAnsi="宋体" w:cs="宋体"/>
                <w:color w:val="000000"/>
                <w:kern w:val="0"/>
                <w:sz w:val="24"/>
                <w:lang w:eastAsia="zh-CN"/>
              </w:rPr>
              <w:t>，</w:t>
            </w:r>
            <w:r>
              <w:rPr>
                <w:rFonts w:hint="eastAsia" w:ascii="宋体" w:hAnsi="宋体" w:cs="宋体"/>
                <w:color w:val="000000"/>
                <w:kern w:val="0"/>
                <w:sz w:val="24"/>
                <w:lang w:val="en-US" w:eastAsia="zh-CN"/>
              </w:rPr>
              <w:t>整改不合格</w:t>
            </w:r>
            <w:r>
              <w:rPr>
                <w:rFonts w:hint="eastAsia" w:ascii="宋体" w:hAnsi="宋体" w:eastAsia="宋体" w:cs="宋体"/>
                <w:color w:val="000000"/>
                <w:kern w:val="0"/>
                <w:sz w:val="24"/>
              </w:rPr>
              <w:t>解除协议</w:t>
            </w:r>
            <w:r>
              <w:rPr>
                <w:rFonts w:hint="eastAsia" w:ascii="宋体" w:hAnsi="宋体" w:cs="宋体"/>
                <w:color w:val="000000"/>
                <w:kern w:val="0"/>
                <w:sz w:val="24"/>
                <w:lang w:eastAsia="zh-CN"/>
              </w:rPr>
              <w:t>（</w:t>
            </w:r>
            <w:r>
              <w:rPr>
                <w:rFonts w:hint="eastAsia" w:ascii="宋体" w:hAnsi="宋体" w:eastAsia="宋体" w:cs="宋体"/>
                <w:color w:val="000000"/>
                <w:kern w:val="0"/>
                <w:sz w:val="24"/>
              </w:rPr>
              <w:t>甲方不承担违约责任</w:t>
            </w:r>
            <w:r>
              <w:rPr>
                <w:rFonts w:hint="eastAsia" w:ascii="宋体" w:hAnsi="宋体" w:cs="宋体"/>
                <w:color w:val="000000"/>
                <w:kern w:val="0"/>
                <w:sz w:val="24"/>
                <w:lang w:eastAsia="zh-CN"/>
              </w:rPr>
              <w:t>），</w:t>
            </w:r>
            <w:r>
              <w:rPr>
                <w:rFonts w:hint="eastAsia" w:ascii="宋体" w:hAnsi="宋体" w:eastAsia="宋体" w:cs="宋体"/>
                <w:color w:val="000000"/>
                <w:kern w:val="0"/>
                <w:sz w:val="24"/>
              </w:rPr>
              <w:t>扣除当期应付款的</w:t>
            </w:r>
            <w:r>
              <w:rPr>
                <w:rFonts w:hint="eastAsia" w:ascii="宋体" w:hAnsi="宋体" w:cs="宋体"/>
                <w:color w:val="000000"/>
                <w:kern w:val="0"/>
                <w:sz w:val="24"/>
                <w:lang w:val="en-US" w:eastAsia="zh-CN"/>
              </w:rPr>
              <w:t>15</w:t>
            </w:r>
            <w:r>
              <w:rPr>
                <w:rFonts w:hint="eastAsia" w:ascii="宋体" w:hAnsi="宋体" w:eastAsia="宋体" w:cs="宋体"/>
                <w:color w:val="000000"/>
                <w:kern w:val="0"/>
                <w:sz w:val="24"/>
              </w:rPr>
              <w:t>%。</w:t>
            </w:r>
          </w:p>
        </w:tc>
      </w:tr>
    </w:tbl>
    <w:p w14:paraId="4B4B0ED2">
      <w:pPr>
        <w:keepNext w:val="0"/>
        <w:keepLines w:val="0"/>
        <w:pageBreakBefore w:val="0"/>
        <w:widowControl w:val="0"/>
        <w:numPr>
          <w:ilvl w:val="0"/>
          <w:numId w:val="0"/>
        </w:numPr>
        <w:kinsoku/>
        <w:wordWrap/>
        <w:overflowPunct/>
        <w:topLinePunct w:val="0"/>
        <w:autoSpaceDE/>
        <w:autoSpaceDN/>
        <w:bidi w:val="0"/>
        <w:adjustRightInd/>
        <w:snapToGrid/>
        <w:spacing w:before="156" w:line="360" w:lineRule="auto"/>
        <w:ind w:left="0" w:leftChars="0" w:firstLine="0" w:firstLineChars="0"/>
        <w:textAlignment w:val="baseline"/>
        <w:outlineLvl w:val="2"/>
        <w:rPr>
          <w:rFonts w:hint="eastAsia" w:ascii="宋体" w:hAnsi="宋体" w:cs="Times New Roman"/>
          <w:b/>
          <w:color w:val="E36C0A"/>
          <w:kern w:val="2"/>
          <w:sz w:val="28"/>
          <w:szCs w:val="28"/>
          <w:lang w:val="en-US" w:eastAsia="zh-CN" w:bidi="ar-SA"/>
        </w:rPr>
      </w:pPr>
      <w:bookmarkStart w:id="7" w:name="_Toc16673"/>
    </w:p>
    <w:p w14:paraId="3233BB4E">
      <w:pPr>
        <w:keepNext w:val="0"/>
        <w:keepLines w:val="0"/>
        <w:pageBreakBefore w:val="0"/>
        <w:widowControl w:val="0"/>
        <w:numPr>
          <w:ilvl w:val="0"/>
          <w:numId w:val="0"/>
        </w:numPr>
        <w:kinsoku/>
        <w:wordWrap/>
        <w:overflowPunct/>
        <w:topLinePunct w:val="0"/>
        <w:autoSpaceDE/>
        <w:autoSpaceDN/>
        <w:bidi w:val="0"/>
        <w:adjustRightInd/>
        <w:snapToGrid/>
        <w:spacing w:before="156" w:line="360" w:lineRule="auto"/>
        <w:ind w:left="0" w:leftChars="0" w:firstLine="0" w:firstLineChars="0"/>
        <w:textAlignment w:val="baseline"/>
        <w:outlineLvl w:val="2"/>
        <w:rPr>
          <w:rFonts w:hint="eastAsia" w:ascii="宋体" w:hAnsi="宋体" w:cs="Times New Roman"/>
          <w:b/>
          <w:color w:val="E36C0A"/>
          <w:kern w:val="2"/>
          <w:sz w:val="28"/>
          <w:szCs w:val="28"/>
          <w:lang w:val="en-US" w:eastAsia="zh-CN" w:bidi="ar-SA"/>
        </w:rPr>
      </w:pPr>
    </w:p>
    <w:p w14:paraId="7408E2CC">
      <w:pPr>
        <w:keepNext w:val="0"/>
        <w:keepLines w:val="0"/>
        <w:pageBreakBefore w:val="0"/>
        <w:widowControl w:val="0"/>
        <w:numPr>
          <w:ilvl w:val="0"/>
          <w:numId w:val="0"/>
        </w:numPr>
        <w:kinsoku/>
        <w:wordWrap/>
        <w:overflowPunct/>
        <w:topLinePunct w:val="0"/>
        <w:autoSpaceDE/>
        <w:autoSpaceDN/>
        <w:bidi w:val="0"/>
        <w:adjustRightInd/>
        <w:snapToGrid/>
        <w:spacing w:before="156" w:line="360" w:lineRule="auto"/>
        <w:ind w:left="0" w:leftChars="0" w:firstLine="0" w:firstLineChars="0"/>
        <w:textAlignment w:val="baseline"/>
        <w:outlineLvl w:val="2"/>
        <w:rPr>
          <w:rFonts w:hint="eastAsia" w:ascii="宋体" w:hAnsi="宋体" w:cs="Times New Roman"/>
          <w:b/>
          <w:color w:val="E36C0A"/>
          <w:kern w:val="2"/>
          <w:sz w:val="28"/>
          <w:szCs w:val="28"/>
          <w:lang w:val="en-US" w:eastAsia="zh-CN" w:bidi="ar-SA"/>
        </w:rPr>
      </w:pPr>
    </w:p>
    <w:p w14:paraId="17FE56F3">
      <w:pPr>
        <w:keepNext w:val="0"/>
        <w:keepLines w:val="0"/>
        <w:pageBreakBefore w:val="0"/>
        <w:widowControl w:val="0"/>
        <w:numPr>
          <w:ilvl w:val="0"/>
          <w:numId w:val="0"/>
        </w:numPr>
        <w:kinsoku/>
        <w:wordWrap/>
        <w:overflowPunct/>
        <w:topLinePunct w:val="0"/>
        <w:autoSpaceDE/>
        <w:autoSpaceDN/>
        <w:bidi w:val="0"/>
        <w:adjustRightInd/>
        <w:snapToGrid/>
        <w:spacing w:before="156" w:line="360" w:lineRule="auto"/>
        <w:ind w:left="0" w:leftChars="0" w:firstLine="0" w:firstLineChars="0"/>
        <w:textAlignment w:val="baseline"/>
        <w:outlineLvl w:val="2"/>
        <w:rPr>
          <w:rFonts w:hint="eastAsia" w:ascii="宋体" w:hAnsi="宋体" w:cs="Times New Roman"/>
          <w:b/>
          <w:color w:val="E36C0A"/>
          <w:kern w:val="2"/>
          <w:sz w:val="28"/>
          <w:szCs w:val="28"/>
          <w:lang w:val="en-US" w:eastAsia="zh-CN" w:bidi="ar-SA"/>
        </w:rPr>
      </w:pPr>
    </w:p>
    <w:p w14:paraId="04406370">
      <w:pPr>
        <w:keepNext w:val="0"/>
        <w:keepLines w:val="0"/>
        <w:pageBreakBefore w:val="0"/>
        <w:widowControl w:val="0"/>
        <w:numPr>
          <w:ilvl w:val="0"/>
          <w:numId w:val="0"/>
        </w:numPr>
        <w:kinsoku/>
        <w:wordWrap/>
        <w:overflowPunct/>
        <w:topLinePunct w:val="0"/>
        <w:autoSpaceDE/>
        <w:autoSpaceDN/>
        <w:bidi w:val="0"/>
        <w:adjustRightInd/>
        <w:snapToGrid/>
        <w:spacing w:before="156" w:line="360" w:lineRule="auto"/>
        <w:ind w:left="0" w:leftChars="0" w:firstLine="0" w:firstLineChars="0"/>
        <w:textAlignment w:val="baseline"/>
        <w:outlineLvl w:val="2"/>
        <w:rPr>
          <w:rFonts w:hint="eastAsia" w:ascii="宋体" w:hAnsi="宋体"/>
          <w:b/>
          <w:color w:val="E36C0A"/>
          <w:sz w:val="28"/>
          <w:szCs w:val="28"/>
          <w:lang w:eastAsia="zh-CN"/>
        </w:rPr>
      </w:pPr>
      <w:r>
        <w:rPr>
          <w:rFonts w:hint="eastAsia" w:ascii="宋体" w:hAnsi="宋体" w:cs="Times New Roman"/>
          <w:b/>
          <w:color w:val="E36C0A"/>
          <w:kern w:val="2"/>
          <w:sz w:val="28"/>
          <w:szCs w:val="28"/>
          <w:lang w:val="en-US" w:eastAsia="zh-CN" w:bidi="ar-SA"/>
        </w:rPr>
        <w:t>七</w:t>
      </w:r>
      <w:r>
        <w:rPr>
          <w:rFonts w:hint="eastAsia" w:ascii="宋体" w:hAnsi="宋体" w:eastAsia="宋体" w:cs="Times New Roman"/>
          <w:b/>
          <w:color w:val="E36C0A"/>
          <w:kern w:val="2"/>
          <w:sz w:val="28"/>
          <w:szCs w:val="28"/>
          <w:lang w:val="en-US" w:eastAsia="zh-CN" w:bidi="ar-SA"/>
        </w:rPr>
        <w:t>、</w:t>
      </w:r>
      <w:r>
        <w:rPr>
          <w:rFonts w:hint="eastAsia" w:ascii="宋体" w:hAnsi="宋体"/>
          <w:b/>
          <w:color w:val="E36C0A"/>
          <w:sz w:val="28"/>
          <w:szCs w:val="28"/>
          <w:lang w:eastAsia="zh-CN"/>
        </w:rPr>
        <w:t>考核标准及考核办法</w:t>
      </w:r>
      <w:bookmarkEnd w:id="7"/>
    </w:p>
    <w:tbl>
      <w:tblPr>
        <w:tblStyle w:val="17"/>
        <w:tblW w:w="93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2490"/>
        <w:gridCol w:w="1080"/>
        <w:gridCol w:w="4650"/>
      </w:tblGrid>
      <w:tr w14:paraId="78328B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7632F">
            <w:pPr>
              <w:keepNext w:val="0"/>
              <w:keepLines w:val="0"/>
              <w:widowControl/>
              <w:suppressLineNumbers w:val="0"/>
              <w:jc w:val="left"/>
              <w:textAlignment w:val="center"/>
              <w:rPr>
                <w:rFonts w:ascii="仿宋" w:hAnsi="仿宋" w:eastAsia="仿宋" w:cs="仿宋"/>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序号</w:t>
            </w:r>
          </w:p>
        </w:tc>
        <w:tc>
          <w:tcPr>
            <w:tcW w:w="24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4782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考核内容</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D042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分值</w:t>
            </w:r>
          </w:p>
        </w:tc>
        <w:tc>
          <w:tcPr>
            <w:tcW w:w="4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3841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考核标准</w:t>
            </w:r>
          </w:p>
        </w:tc>
      </w:tr>
      <w:tr w14:paraId="07A2C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A5F4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249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E8593">
            <w:pPr>
              <w:keepNext w:val="0"/>
              <w:keepLines w:val="0"/>
              <w:widowControl/>
              <w:suppressLineNumbers w:val="0"/>
              <w:jc w:val="center"/>
              <w:textAlignment w:val="center"/>
              <w:rPr>
                <w:rFonts w:hint="default" w:ascii="仿宋" w:hAnsi="仿宋" w:eastAsia="仿宋" w:cs="仿宋"/>
                <w:i w:val="0"/>
                <w:iCs w:val="0"/>
                <w:color w:val="000000"/>
                <w:sz w:val="24"/>
                <w:szCs w:val="24"/>
                <w:u w:val="none"/>
                <w:lang w:val="en-US"/>
              </w:rPr>
            </w:pPr>
            <w:r>
              <w:rPr>
                <w:rStyle w:val="28"/>
                <w:rFonts w:hint="default"/>
                <w:lang w:val="en-US" w:eastAsia="zh-CN" w:bidi="ar"/>
              </w:rPr>
              <w:t xml:space="preserve"> </w:t>
            </w:r>
            <w:r>
              <w:rPr>
                <w:rStyle w:val="28"/>
                <w:rFonts w:hint="eastAsia"/>
                <w:lang w:val="en-US" w:eastAsia="zh-CN" w:bidi="ar"/>
              </w:rPr>
              <w:t>光传输设备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5B02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3B8B2">
            <w:pPr>
              <w:keepNext w:val="0"/>
              <w:keepLines w:val="0"/>
              <w:widowControl/>
              <w:suppressLineNumbers w:val="0"/>
              <w:jc w:val="center"/>
              <w:textAlignment w:val="center"/>
              <w:rPr>
                <w:rFonts w:hint="eastAsia" w:ascii="仿宋" w:hAnsi="仿宋" w:eastAsia="仿宋" w:cs="仿宋"/>
                <w:i w:val="0"/>
                <w:iCs w:val="0"/>
                <w:color w:val="000000"/>
                <w:sz w:val="24"/>
                <w:szCs w:val="24"/>
                <w:highlight w:val="yellow"/>
                <w:u w:val="none"/>
              </w:rPr>
            </w:pPr>
            <w:r>
              <w:rPr>
                <w:rFonts w:hint="eastAsia" w:ascii="仿宋" w:hAnsi="仿宋" w:eastAsia="仿宋" w:cs="仿宋"/>
                <w:i w:val="0"/>
                <w:iCs w:val="0"/>
                <w:color w:val="000000"/>
                <w:kern w:val="0"/>
                <w:sz w:val="24"/>
                <w:szCs w:val="24"/>
                <w:u w:val="none"/>
                <w:lang w:val="en-US" w:eastAsia="zh-CN" w:bidi="ar"/>
              </w:rPr>
              <w:t>单点位故障时长≤2个日历日，得10分；</w:t>
            </w:r>
          </w:p>
        </w:tc>
      </w:tr>
      <w:tr w14:paraId="263AFC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E368D">
            <w:pPr>
              <w:jc w:val="center"/>
              <w:rPr>
                <w:rFonts w:hint="eastAsia" w:ascii="仿宋" w:hAnsi="仿宋" w:eastAsia="仿宋" w:cs="仿宋"/>
                <w:i w:val="0"/>
                <w:iCs w:val="0"/>
                <w:color w:val="000000"/>
                <w:sz w:val="24"/>
                <w:szCs w:val="24"/>
                <w:u w:val="none"/>
              </w:rPr>
            </w:pPr>
          </w:p>
        </w:tc>
        <w:tc>
          <w:tcPr>
            <w:tcW w:w="24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80589">
            <w:pPr>
              <w:jc w:val="center"/>
              <w:rPr>
                <w:rFonts w:hint="eastAsia" w:ascii="仿宋" w:hAnsi="仿宋" w:eastAsia="仿宋" w:cs="仿宋"/>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3CCDB">
            <w:pPr>
              <w:jc w:val="center"/>
              <w:rPr>
                <w:rFonts w:hint="eastAsia" w:ascii="仿宋" w:hAnsi="仿宋" w:eastAsia="仿宋" w:cs="仿宋"/>
                <w:i w:val="0"/>
                <w:iCs w:val="0"/>
                <w:color w:val="000000"/>
                <w:sz w:val="24"/>
                <w:szCs w:val="24"/>
                <w:u w:val="none"/>
              </w:rPr>
            </w:pP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99BBA">
            <w:pPr>
              <w:keepNext w:val="0"/>
              <w:keepLines w:val="0"/>
              <w:widowControl/>
              <w:suppressLineNumbers w:val="0"/>
              <w:jc w:val="center"/>
              <w:textAlignment w:val="center"/>
              <w:rPr>
                <w:rFonts w:hint="eastAsia" w:ascii="仿宋" w:hAnsi="仿宋" w:eastAsia="仿宋" w:cs="仿宋"/>
                <w:i w:val="0"/>
                <w:iCs w:val="0"/>
                <w:color w:val="000000"/>
                <w:sz w:val="24"/>
                <w:szCs w:val="24"/>
                <w:highlight w:val="yellow"/>
                <w:u w:val="none"/>
              </w:rPr>
            </w:pPr>
            <w:r>
              <w:rPr>
                <w:rFonts w:hint="eastAsia" w:ascii="仿宋" w:hAnsi="仿宋" w:eastAsia="仿宋" w:cs="仿宋"/>
                <w:i w:val="0"/>
                <w:iCs w:val="0"/>
                <w:color w:val="000000"/>
                <w:kern w:val="0"/>
                <w:sz w:val="24"/>
                <w:szCs w:val="24"/>
                <w:u w:val="none"/>
                <w:lang w:val="en-US" w:eastAsia="zh-CN" w:bidi="ar"/>
              </w:rPr>
              <w:t>单点位故障时长＞2个日历日，每超一日历日扣1分</w:t>
            </w:r>
          </w:p>
        </w:tc>
      </w:tr>
      <w:tr w14:paraId="7E1D1E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B1A2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249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3E05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default" w:ascii="Arial" w:hAnsi="Arial" w:eastAsia="宋体" w:cs="Arial"/>
                <w:i w:val="0"/>
                <w:iCs w:val="0"/>
                <w:color w:val="000000"/>
                <w:kern w:val="0"/>
                <w:sz w:val="24"/>
                <w:szCs w:val="24"/>
                <w:u w:val="none"/>
                <w:lang w:val="en-US" w:eastAsia="zh-CN" w:bidi="ar"/>
              </w:rPr>
              <w:t xml:space="preserve"> </w:t>
            </w:r>
            <w:r>
              <w:rPr>
                <w:rStyle w:val="28"/>
                <w:lang w:val="en-US" w:eastAsia="zh-CN" w:bidi="ar"/>
              </w:rPr>
              <w:t>故障次数</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D93A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05A9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单点位故障次数≤5次，得10分</w:t>
            </w:r>
          </w:p>
        </w:tc>
      </w:tr>
      <w:tr w14:paraId="358214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9EF04">
            <w:pPr>
              <w:jc w:val="center"/>
              <w:rPr>
                <w:rFonts w:hint="eastAsia" w:ascii="仿宋" w:hAnsi="仿宋" w:eastAsia="仿宋" w:cs="仿宋"/>
                <w:i w:val="0"/>
                <w:iCs w:val="0"/>
                <w:color w:val="000000"/>
                <w:sz w:val="24"/>
                <w:szCs w:val="24"/>
                <w:u w:val="none"/>
              </w:rPr>
            </w:pPr>
          </w:p>
        </w:tc>
        <w:tc>
          <w:tcPr>
            <w:tcW w:w="24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5D571">
            <w:pPr>
              <w:jc w:val="center"/>
              <w:rPr>
                <w:rFonts w:hint="eastAsia" w:ascii="仿宋" w:hAnsi="仿宋" w:eastAsia="仿宋" w:cs="仿宋"/>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C21A2">
            <w:pPr>
              <w:jc w:val="center"/>
              <w:rPr>
                <w:rFonts w:hint="eastAsia" w:ascii="仿宋" w:hAnsi="仿宋" w:eastAsia="仿宋" w:cs="仿宋"/>
                <w:i w:val="0"/>
                <w:iCs w:val="0"/>
                <w:color w:val="000000"/>
                <w:sz w:val="24"/>
                <w:szCs w:val="24"/>
                <w:u w:val="none"/>
              </w:rPr>
            </w:pP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2A61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单点位故障次数＞6次≤ 10次，得5分</w:t>
            </w:r>
          </w:p>
        </w:tc>
      </w:tr>
      <w:tr w14:paraId="50153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CA1C0">
            <w:pPr>
              <w:jc w:val="center"/>
              <w:rPr>
                <w:rFonts w:hint="eastAsia" w:ascii="仿宋" w:hAnsi="仿宋" w:eastAsia="仿宋" w:cs="仿宋"/>
                <w:i w:val="0"/>
                <w:iCs w:val="0"/>
                <w:color w:val="000000"/>
                <w:sz w:val="24"/>
                <w:szCs w:val="24"/>
                <w:u w:val="none"/>
              </w:rPr>
            </w:pPr>
          </w:p>
        </w:tc>
        <w:tc>
          <w:tcPr>
            <w:tcW w:w="24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A7112">
            <w:pPr>
              <w:jc w:val="center"/>
              <w:rPr>
                <w:rFonts w:hint="eastAsia" w:ascii="仿宋" w:hAnsi="仿宋" w:eastAsia="仿宋" w:cs="仿宋"/>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FE610">
            <w:pPr>
              <w:jc w:val="center"/>
              <w:rPr>
                <w:rFonts w:hint="eastAsia" w:ascii="仿宋" w:hAnsi="仿宋" w:eastAsia="仿宋" w:cs="仿宋"/>
                <w:i w:val="0"/>
                <w:iCs w:val="0"/>
                <w:color w:val="000000"/>
                <w:sz w:val="24"/>
                <w:szCs w:val="24"/>
                <w:u w:val="none"/>
              </w:rPr>
            </w:pP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01BC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单点位故障次数10次以上不得分</w:t>
            </w:r>
          </w:p>
        </w:tc>
      </w:tr>
      <w:tr w14:paraId="4A135C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A66A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24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EFB69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故障响应</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CBC8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3DF2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故障响应时间≤120分钟，得10分</w:t>
            </w:r>
          </w:p>
        </w:tc>
      </w:tr>
      <w:tr w14:paraId="551A47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89CDD">
            <w:pPr>
              <w:jc w:val="center"/>
              <w:rPr>
                <w:rFonts w:hint="eastAsia" w:ascii="仿宋" w:hAnsi="仿宋" w:eastAsia="仿宋" w:cs="仿宋"/>
                <w:i w:val="0"/>
                <w:iCs w:val="0"/>
                <w:color w:val="000000"/>
                <w:sz w:val="24"/>
                <w:szCs w:val="24"/>
                <w:u w:val="none"/>
              </w:rPr>
            </w:pPr>
          </w:p>
        </w:tc>
        <w:tc>
          <w:tcPr>
            <w:tcW w:w="2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C41D79">
            <w:pPr>
              <w:jc w:val="center"/>
              <w:rPr>
                <w:rFonts w:hint="eastAsia" w:ascii="仿宋" w:hAnsi="仿宋" w:eastAsia="仿宋" w:cs="仿宋"/>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1026C">
            <w:pPr>
              <w:jc w:val="center"/>
              <w:rPr>
                <w:rFonts w:hint="eastAsia" w:ascii="仿宋" w:hAnsi="仿宋" w:eastAsia="仿宋" w:cs="仿宋"/>
                <w:i w:val="0"/>
                <w:iCs w:val="0"/>
                <w:color w:val="000000"/>
                <w:sz w:val="24"/>
                <w:szCs w:val="24"/>
                <w:u w:val="none"/>
              </w:rPr>
            </w:pP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55C3B">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 xml:space="preserve"> 故障响应时间＞120分钟，每超10分钟</w:t>
            </w:r>
          </w:p>
          <w:p w14:paraId="1951005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扣1分</w:t>
            </w:r>
          </w:p>
        </w:tc>
      </w:tr>
      <w:tr w14:paraId="21D70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trPr>
        <w:tc>
          <w:tcPr>
            <w:tcW w:w="1080" w:type="dxa"/>
            <w:vMerge w:val="restart"/>
            <w:tcBorders>
              <w:top w:val="single" w:color="000000" w:sz="4" w:space="0"/>
              <w:left w:val="single" w:color="000000" w:sz="4" w:space="0"/>
              <w:right w:val="single" w:color="000000" w:sz="4" w:space="0"/>
            </w:tcBorders>
            <w:shd w:val="clear" w:color="auto" w:fill="auto"/>
            <w:noWrap/>
            <w:vAlign w:val="center"/>
          </w:tcPr>
          <w:p w14:paraId="2DB3DE7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2490" w:type="dxa"/>
            <w:vMerge w:val="restart"/>
            <w:tcBorders>
              <w:top w:val="single" w:color="000000" w:sz="4" w:space="0"/>
              <w:left w:val="single" w:color="000000" w:sz="4" w:space="0"/>
              <w:right w:val="single" w:color="000000" w:sz="4" w:space="0"/>
            </w:tcBorders>
            <w:shd w:val="clear" w:color="auto" w:fill="auto"/>
            <w:vAlign w:val="center"/>
          </w:tcPr>
          <w:p w14:paraId="1ED4775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光纤故障修复时间</w:t>
            </w:r>
          </w:p>
        </w:tc>
        <w:tc>
          <w:tcPr>
            <w:tcW w:w="1080" w:type="dxa"/>
            <w:vMerge w:val="restart"/>
            <w:tcBorders>
              <w:top w:val="single" w:color="000000" w:sz="4" w:space="0"/>
              <w:left w:val="single" w:color="000000" w:sz="4" w:space="0"/>
              <w:right w:val="single" w:color="000000" w:sz="4" w:space="0"/>
            </w:tcBorders>
            <w:shd w:val="clear" w:color="auto" w:fill="auto"/>
            <w:noWrap/>
            <w:vAlign w:val="center"/>
          </w:tcPr>
          <w:p w14:paraId="6F88E43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30</w:t>
            </w: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8FF8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故障修复时间≤24小时，得30分</w:t>
            </w:r>
          </w:p>
        </w:tc>
      </w:tr>
      <w:tr w14:paraId="30AFE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38" w:hRule="atLeast"/>
        </w:trPr>
        <w:tc>
          <w:tcPr>
            <w:tcW w:w="1080" w:type="dxa"/>
            <w:vMerge w:val="continue"/>
            <w:tcBorders>
              <w:left w:val="single" w:color="000000" w:sz="4" w:space="0"/>
              <w:right w:val="single" w:color="000000" w:sz="4" w:space="0"/>
            </w:tcBorders>
            <w:shd w:val="clear" w:color="auto" w:fill="auto"/>
            <w:noWrap/>
            <w:vAlign w:val="center"/>
          </w:tcPr>
          <w:p w14:paraId="25AF1A24">
            <w:pPr>
              <w:jc w:val="center"/>
              <w:rPr>
                <w:rFonts w:hint="eastAsia" w:ascii="仿宋" w:hAnsi="仿宋" w:eastAsia="仿宋" w:cs="仿宋"/>
                <w:i w:val="0"/>
                <w:iCs w:val="0"/>
                <w:color w:val="000000"/>
                <w:sz w:val="24"/>
                <w:szCs w:val="24"/>
                <w:u w:val="none"/>
              </w:rPr>
            </w:pPr>
          </w:p>
        </w:tc>
        <w:tc>
          <w:tcPr>
            <w:tcW w:w="2490" w:type="dxa"/>
            <w:vMerge w:val="continue"/>
            <w:tcBorders>
              <w:left w:val="single" w:color="000000" w:sz="4" w:space="0"/>
              <w:right w:val="single" w:color="000000" w:sz="4" w:space="0"/>
            </w:tcBorders>
            <w:shd w:val="clear" w:color="auto" w:fill="auto"/>
            <w:vAlign w:val="center"/>
          </w:tcPr>
          <w:p w14:paraId="6F9632F1">
            <w:pPr>
              <w:jc w:val="center"/>
              <w:rPr>
                <w:rFonts w:hint="eastAsia" w:ascii="仿宋" w:hAnsi="仿宋" w:eastAsia="仿宋" w:cs="仿宋"/>
                <w:i w:val="0"/>
                <w:iCs w:val="0"/>
                <w:color w:val="000000"/>
                <w:sz w:val="24"/>
                <w:szCs w:val="24"/>
                <w:u w:val="none"/>
              </w:rPr>
            </w:pPr>
          </w:p>
        </w:tc>
        <w:tc>
          <w:tcPr>
            <w:tcW w:w="1080" w:type="dxa"/>
            <w:vMerge w:val="continue"/>
            <w:tcBorders>
              <w:left w:val="single" w:color="000000" w:sz="4" w:space="0"/>
              <w:right w:val="single" w:color="000000" w:sz="4" w:space="0"/>
            </w:tcBorders>
            <w:shd w:val="clear" w:color="auto" w:fill="auto"/>
            <w:noWrap/>
            <w:vAlign w:val="center"/>
          </w:tcPr>
          <w:p w14:paraId="0820DCD7">
            <w:pPr>
              <w:jc w:val="center"/>
              <w:rPr>
                <w:rFonts w:hint="eastAsia" w:ascii="仿宋" w:hAnsi="仿宋" w:eastAsia="仿宋" w:cs="仿宋"/>
                <w:i w:val="0"/>
                <w:iCs w:val="0"/>
                <w:color w:val="000000"/>
                <w:sz w:val="24"/>
                <w:szCs w:val="24"/>
                <w:u w:val="none"/>
              </w:rPr>
            </w:pP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EFF70">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故障修复时间＞24小时，每超12小时</w:t>
            </w:r>
          </w:p>
          <w:p w14:paraId="33E03F2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扣1分</w:t>
            </w:r>
          </w:p>
        </w:tc>
      </w:tr>
      <w:tr w14:paraId="6B8AEF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4BDB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24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070EEE">
            <w:pPr>
              <w:keepNext w:val="0"/>
              <w:keepLines w:val="0"/>
              <w:widowControl/>
              <w:suppressLineNumbers w:val="0"/>
              <w:jc w:val="center"/>
              <w:textAlignment w:val="center"/>
              <w:rPr>
                <w:rFonts w:hint="default" w:ascii="仿宋" w:hAnsi="仿宋" w:eastAsia="仿宋" w:cs="仿宋"/>
                <w:i w:val="0"/>
                <w:iCs w:val="0"/>
                <w:color w:val="000000"/>
                <w:sz w:val="24"/>
                <w:szCs w:val="24"/>
                <w:u w:val="none"/>
                <w:lang w:val="en-US" w:eastAsia="zh-CN"/>
              </w:rPr>
            </w:pPr>
            <w:r>
              <w:rPr>
                <w:rFonts w:hint="eastAsia" w:ascii="仿宋" w:hAnsi="仿宋" w:eastAsia="仿宋" w:cs="仿宋"/>
                <w:i w:val="0"/>
                <w:iCs w:val="0"/>
                <w:color w:val="000000"/>
                <w:sz w:val="24"/>
                <w:szCs w:val="24"/>
                <w:u w:val="none"/>
                <w:lang w:val="en-US" w:eastAsia="zh-CN"/>
              </w:rPr>
              <w:t>点位迁移</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2DEA3">
            <w:pPr>
              <w:keepNext w:val="0"/>
              <w:keepLines w:val="0"/>
              <w:widowControl/>
              <w:suppressLineNumbers w:val="0"/>
              <w:jc w:val="center"/>
              <w:textAlignment w:val="center"/>
              <w:rPr>
                <w:rFonts w:hint="default"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18</w:t>
            </w: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FF6B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 点位迁移时间，自接到通知日起，3日历日内完成，得18分</w:t>
            </w:r>
          </w:p>
        </w:tc>
      </w:tr>
      <w:tr w14:paraId="0466B4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0081D">
            <w:pPr>
              <w:jc w:val="center"/>
              <w:rPr>
                <w:rFonts w:hint="eastAsia" w:ascii="仿宋" w:hAnsi="仿宋" w:eastAsia="仿宋" w:cs="仿宋"/>
                <w:i w:val="0"/>
                <w:iCs w:val="0"/>
                <w:color w:val="000000"/>
                <w:sz w:val="24"/>
                <w:szCs w:val="24"/>
                <w:u w:val="none"/>
              </w:rPr>
            </w:pPr>
          </w:p>
        </w:tc>
        <w:tc>
          <w:tcPr>
            <w:tcW w:w="24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B51D94">
            <w:pPr>
              <w:jc w:val="center"/>
              <w:rPr>
                <w:rFonts w:hint="eastAsia" w:ascii="仿宋" w:hAnsi="仿宋" w:eastAsia="仿宋" w:cs="仿宋"/>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A677E">
            <w:pPr>
              <w:jc w:val="center"/>
              <w:rPr>
                <w:rFonts w:hint="eastAsia" w:ascii="仿宋" w:hAnsi="仿宋" w:eastAsia="仿宋" w:cs="仿宋"/>
                <w:i w:val="0"/>
                <w:iCs w:val="0"/>
                <w:color w:val="000000"/>
                <w:sz w:val="24"/>
                <w:szCs w:val="24"/>
                <w:u w:val="none"/>
              </w:rPr>
            </w:pP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588C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 点位迁移时间＞3日历日，每超一日历日扣1分</w:t>
            </w:r>
          </w:p>
        </w:tc>
      </w:tr>
      <w:tr w14:paraId="024DB0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1080" w:type="dxa"/>
            <w:vMerge w:val="restart"/>
            <w:tcBorders>
              <w:top w:val="single" w:color="000000" w:sz="4" w:space="0"/>
              <w:left w:val="single" w:color="000000" w:sz="4" w:space="0"/>
              <w:right w:val="single" w:color="000000" w:sz="4" w:space="0"/>
            </w:tcBorders>
            <w:shd w:val="clear" w:color="auto" w:fill="auto"/>
            <w:noWrap/>
            <w:vAlign w:val="center"/>
          </w:tcPr>
          <w:p w14:paraId="769D0B29">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w:t>
            </w:r>
          </w:p>
        </w:tc>
        <w:tc>
          <w:tcPr>
            <w:tcW w:w="2490" w:type="dxa"/>
            <w:vMerge w:val="restart"/>
            <w:tcBorders>
              <w:top w:val="single" w:color="000000" w:sz="4" w:space="0"/>
              <w:left w:val="single" w:color="000000" w:sz="4" w:space="0"/>
              <w:right w:val="single" w:color="000000" w:sz="4" w:space="0"/>
            </w:tcBorders>
            <w:shd w:val="clear" w:color="auto" w:fill="auto"/>
            <w:vAlign w:val="center"/>
          </w:tcPr>
          <w:p w14:paraId="5B038DAF">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日常巡检</w:t>
            </w:r>
          </w:p>
        </w:tc>
        <w:tc>
          <w:tcPr>
            <w:tcW w:w="1080" w:type="dxa"/>
            <w:vMerge w:val="restart"/>
            <w:tcBorders>
              <w:top w:val="single" w:color="000000" w:sz="4" w:space="0"/>
              <w:left w:val="single" w:color="000000" w:sz="4" w:space="0"/>
              <w:right w:val="single" w:color="000000" w:sz="4" w:space="0"/>
            </w:tcBorders>
            <w:shd w:val="clear" w:color="auto" w:fill="auto"/>
            <w:noWrap/>
            <w:vAlign w:val="center"/>
          </w:tcPr>
          <w:p w14:paraId="1A66383B">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12</w:t>
            </w: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8F0BE">
            <w:pPr>
              <w:keepNext w:val="0"/>
              <w:keepLines w:val="0"/>
              <w:widowControl/>
              <w:suppressLineNumbers w:val="0"/>
              <w:jc w:val="center"/>
              <w:textAlignment w:val="center"/>
              <w:rPr>
                <w:rFonts w:hint="default"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每月开展1次巡检工作，得12分</w:t>
            </w:r>
          </w:p>
        </w:tc>
      </w:tr>
      <w:tr w14:paraId="1B974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1080" w:type="dxa"/>
            <w:vMerge w:val="continue"/>
            <w:tcBorders>
              <w:left w:val="single" w:color="000000" w:sz="4" w:space="0"/>
              <w:bottom w:val="single" w:color="000000" w:sz="4" w:space="0"/>
              <w:right w:val="single" w:color="000000" w:sz="4" w:space="0"/>
            </w:tcBorders>
            <w:shd w:val="clear" w:color="auto" w:fill="auto"/>
            <w:noWrap/>
            <w:vAlign w:val="center"/>
          </w:tcPr>
          <w:p w14:paraId="60D709F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2490" w:type="dxa"/>
            <w:vMerge w:val="continue"/>
            <w:tcBorders>
              <w:left w:val="single" w:color="000000" w:sz="4" w:space="0"/>
              <w:bottom w:val="single" w:color="000000" w:sz="4" w:space="0"/>
              <w:right w:val="single" w:color="000000" w:sz="4" w:space="0"/>
            </w:tcBorders>
            <w:shd w:val="clear" w:color="auto" w:fill="auto"/>
            <w:vAlign w:val="center"/>
          </w:tcPr>
          <w:p w14:paraId="433C69E9">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1080" w:type="dxa"/>
            <w:vMerge w:val="continue"/>
            <w:tcBorders>
              <w:left w:val="single" w:color="000000" w:sz="4" w:space="0"/>
              <w:bottom w:val="single" w:color="000000" w:sz="4" w:space="0"/>
              <w:right w:val="single" w:color="000000" w:sz="4" w:space="0"/>
            </w:tcBorders>
            <w:shd w:val="clear" w:color="auto" w:fill="auto"/>
            <w:noWrap/>
            <w:vAlign w:val="center"/>
          </w:tcPr>
          <w:p w14:paraId="34050F43">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67B1D">
            <w:pPr>
              <w:keepNext w:val="0"/>
              <w:keepLines w:val="0"/>
              <w:widowControl/>
              <w:suppressLineNumbers w:val="0"/>
              <w:jc w:val="center"/>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每少一次，扣1分</w:t>
            </w:r>
          </w:p>
        </w:tc>
      </w:tr>
      <w:tr w14:paraId="6E2A4A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DD5E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24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64263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服务态度与沟通</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1CA3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10分</w:t>
            </w: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6419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保持密切、有效的沟通，及时提供准确的信息和技术支持，得10分</w:t>
            </w:r>
          </w:p>
        </w:tc>
      </w:tr>
      <w:tr w14:paraId="39373D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6B2BD">
            <w:pPr>
              <w:jc w:val="center"/>
              <w:rPr>
                <w:rFonts w:hint="eastAsia" w:ascii="仿宋" w:hAnsi="仿宋" w:eastAsia="仿宋" w:cs="仿宋"/>
                <w:i w:val="0"/>
                <w:iCs w:val="0"/>
                <w:color w:val="000000"/>
                <w:sz w:val="24"/>
                <w:szCs w:val="24"/>
                <w:u w:val="none"/>
              </w:rPr>
            </w:pPr>
          </w:p>
        </w:tc>
        <w:tc>
          <w:tcPr>
            <w:tcW w:w="24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06D71">
            <w:pPr>
              <w:jc w:val="center"/>
              <w:rPr>
                <w:rFonts w:hint="eastAsia" w:ascii="仿宋" w:hAnsi="仿宋" w:eastAsia="仿宋" w:cs="仿宋"/>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AADAD">
            <w:pPr>
              <w:jc w:val="center"/>
              <w:rPr>
                <w:rFonts w:hint="eastAsia" w:ascii="仿宋" w:hAnsi="仿宋" w:eastAsia="仿宋" w:cs="仿宋"/>
                <w:i w:val="0"/>
                <w:iCs w:val="0"/>
                <w:color w:val="000000"/>
                <w:sz w:val="24"/>
                <w:szCs w:val="24"/>
                <w:u w:val="none"/>
              </w:rPr>
            </w:pP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E9F4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存在信息传递不及时、不准确或沟通方式不恰当等问题，每发生一次扣1分</w:t>
            </w:r>
          </w:p>
        </w:tc>
      </w:tr>
      <w:tr w14:paraId="468C9E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49516">
            <w:pPr>
              <w:jc w:val="center"/>
              <w:rPr>
                <w:rFonts w:hint="eastAsia" w:ascii="仿宋" w:hAnsi="仿宋" w:eastAsia="仿宋" w:cs="仿宋"/>
                <w:i w:val="0"/>
                <w:iCs w:val="0"/>
                <w:color w:val="000000"/>
                <w:sz w:val="24"/>
                <w:szCs w:val="24"/>
                <w:u w:val="none"/>
              </w:rPr>
            </w:pPr>
          </w:p>
        </w:tc>
        <w:tc>
          <w:tcPr>
            <w:tcW w:w="24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DD79B">
            <w:pPr>
              <w:jc w:val="center"/>
              <w:rPr>
                <w:rFonts w:hint="eastAsia" w:ascii="仿宋" w:hAnsi="仿宋" w:eastAsia="仿宋" w:cs="仿宋"/>
                <w:i w:val="0"/>
                <w:iCs w:val="0"/>
                <w:color w:val="000000"/>
                <w:sz w:val="24"/>
                <w:szCs w:val="24"/>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FD328">
            <w:pPr>
              <w:jc w:val="center"/>
              <w:rPr>
                <w:rFonts w:hint="eastAsia" w:ascii="仿宋" w:hAnsi="仿宋" w:eastAsia="仿宋" w:cs="仿宋"/>
                <w:i w:val="0"/>
                <w:iCs w:val="0"/>
                <w:color w:val="000000"/>
                <w:sz w:val="24"/>
                <w:szCs w:val="24"/>
                <w:u w:val="none"/>
              </w:rPr>
            </w:pPr>
          </w:p>
        </w:tc>
        <w:tc>
          <w:tcPr>
            <w:tcW w:w="4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11C3D">
            <w:pPr>
              <w:keepNext w:val="0"/>
              <w:keepLines w:val="0"/>
              <w:widowControl/>
              <w:suppressLineNumbers w:val="0"/>
              <w:jc w:val="center"/>
              <w:textAlignment w:val="center"/>
              <w:rPr>
                <w:rFonts w:hint="default"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出现误解、推诿责任等情况，每发生一次扣5分</w:t>
            </w:r>
          </w:p>
        </w:tc>
      </w:tr>
    </w:tbl>
    <w:p w14:paraId="42CCB4D2">
      <w:pPr>
        <w:rPr>
          <w:rFonts w:hint="eastAsia" w:eastAsia="宋体"/>
          <w:lang w:eastAsia="zh-CN"/>
        </w:rPr>
      </w:pP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CEC6761B-B87A-4B91-81F8-8838FB62279C}"/>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粗黑宋简体">
    <w:altName w:val="宋体"/>
    <w:panose1 w:val="02000000000000000000"/>
    <w:charset w:val="86"/>
    <w:family w:val="auto"/>
    <w:pitch w:val="default"/>
    <w:sig w:usb0="00000000" w:usb1="00000000"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2" w:fontKey="{A56EECCD-9552-4252-80ED-38FD8ABDB6A5}"/>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embedRegular r:id="rId3" w:fontKey="{1A73A175-F87D-4011-B110-966E4CB2DF0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7EC2D4">
    <w:pPr>
      <w:pStyle w:val="8"/>
      <w:jc w:val="both"/>
    </w:pPr>
  </w:p>
  <w:p w14:paraId="1A42E8BB">
    <w:pPr>
      <w:pStyle w:val="8"/>
      <w:jc w:val="center"/>
    </w:pPr>
  </w:p>
  <w:p w14:paraId="48B21614">
    <w:pPr>
      <w:pStyle w:val="8"/>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7310F1">
                          <w:pPr>
                            <w:pStyle w:val="8"/>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17310F1">
                    <w:pPr>
                      <w:pStyle w:val="8"/>
                    </w:pPr>
                    <w:r>
                      <w:fldChar w:fldCharType="begin"/>
                    </w:r>
                    <w:r>
                      <w:instrText xml:space="preserve"> PAGE  \* MERGEFORMAT </w:instrText>
                    </w:r>
                    <w:r>
                      <w:fldChar w:fldCharType="separate"/>
                    </w:r>
                    <w:r>
                      <w:t>3</w:t>
                    </w:r>
                    <w:r>
                      <w:fldChar w:fldCharType="end"/>
                    </w:r>
                  </w:p>
                </w:txbxContent>
              </v:textbox>
            </v:shape>
          </w:pict>
        </mc:Fallback>
      </mc:AlternateContent>
    </w:r>
  </w:p>
  <w:p w14:paraId="693B2B71">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3A829E">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yMDFkOTNlYzE5MjExYTZkM2Q4MTdlNWEzODRmN2MifQ=="/>
  </w:docVars>
  <w:rsids>
    <w:rsidRoot w:val="000F4225"/>
    <w:rsid w:val="0002002B"/>
    <w:rsid w:val="00037B6C"/>
    <w:rsid w:val="00046A0F"/>
    <w:rsid w:val="000757F0"/>
    <w:rsid w:val="00092C2E"/>
    <w:rsid w:val="000B553F"/>
    <w:rsid w:val="000B76D0"/>
    <w:rsid w:val="000D4A83"/>
    <w:rsid w:val="000E063C"/>
    <w:rsid w:val="000F4225"/>
    <w:rsid w:val="0010614E"/>
    <w:rsid w:val="00107CC1"/>
    <w:rsid w:val="0012585D"/>
    <w:rsid w:val="001618F3"/>
    <w:rsid w:val="00176D23"/>
    <w:rsid w:val="001A53B7"/>
    <w:rsid w:val="001B3506"/>
    <w:rsid w:val="001C6FA8"/>
    <w:rsid w:val="002030B2"/>
    <w:rsid w:val="0024292E"/>
    <w:rsid w:val="00245C35"/>
    <w:rsid w:val="00281460"/>
    <w:rsid w:val="002B0981"/>
    <w:rsid w:val="002B42AC"/>
    <w:rsid w:val="002E288A"/>
    <w:rsid w:val="00324340"/>
    <w:rsid w:val="0033376D"/>
    <w:rsid w:val="00357AB9"/>
    <w:rsid w:val="00372E32"/>
    <w:rsid w:val="003A73DF"/>
    <w:rsid w:val="003F0CFE"/>
    <w:rsid w:val="00422E8C"/>
    <w:rsid w:val="00456D54"/>
    <w:rsid w:val="00460F3C"/>
    <w:rsid w:val="00461B8C"/>
    <w:rsid w:val="00463698"/>
    <w:rsid w:val="0048517F"/>
    <w:rsid w:val="00494E13"/>
    <w:rsid w:val="004A11BD"/>
    <w:rsid w:val="004A2D7D"/>
    <w:rsid w:val="004A3D35"/>
    <w:rsid w:val="004B1503"/>
    <w:rsid w:val="004B5AE0"/>
    <w:rsid w:val="004E1D6B"/>
    <w:rsid w:val="004E27E3"/>
    <w:rsid w:val="00501D16"/>
    <w:rsid w:val="00514939"/>
    <w:rsid w:val="00521F0E"/>
    <w:rsid w:val="00524328"/>
    <w:rsid w:val="00544563"/>
    <w:rsid w:val="005516BB"/>
    <w:rsid w:val="00585A45"/>
    <w:rsid w:val="005C003B"/>
    <w:rsid w:val="005D1E29"/>
    <w:rsid w:val="005E5F59"/>
    <w:rsid w:val="005F223E"/>
    <w:rsid w:val="005F2E38"/>
    <w:rsid w:val="00612C01"/>
    <w:rsid w:val="00637CCB"/>
    <w:rsid w:val="006729AF"/>
    <w:rsid w:val="00677D4B"/>
    <w:rsid w:val="0069751F"/>
    <w:rsid w:val="006A1714"/>
    <w:rsid w:val="006A1AA3"/>
    <w:rsid w:val="006B5E87"/>
    <w:rsid w:val="006C3449"/>
    <w:rsid w:val="006C34D5"/>
    <w:rsid w:val="006D1EE9"/>
    <w:rsid w:val="006D7D04"/>
    <w:rsid w:val="007009A7"/>
    <w:rsid w:val="00707310"/>
    <w:rsid w:val="00726564"/>
    <w:rsid w:val="00761CE0"/>
    <w:rsid w:val="00772811"/>
    <w:rsid w:val="007A542E"/>
    <w:rsid w:val="008122F7"/>
    <w:rsid w:val="00820353"/>
    <w:rsid w:val="00830730"/>
    <w:rsid w:val="008437D7"/>
    <w:rsid w:val="008806BA"/>
    <w:rsid w:val="008B2945"/>
    <w:rsid w:val="008B5D9F"/>
    <w:rsid w:val="008C4D02"/>
    <w:rsid w:val="008E5514"/>
    <w:rsid w:val="008F1273"/>
    <w:rsid w:val="008F5579"/>
    <w:rsid w:val="008F6D3A"/>
    <w:rsid w:val="0095392D"/>
    <w:rsid w:val="009608C4"/>
    <w:rsid w:val="009A230B"/>
    <w:rsid w:val="009A45BD"/>
    <w:rsid w:val="009C7B8C"/>
    <w:rsid w:val="009D1679"/>
    <w:rsid w:val="00A12F09"/>
    <w:rsid w:val="00A40A89"/>
    <w:rsid w:val="00A45BF8"/>
    <w:rsid w:val="00A777D7"/>
    <w:rsid w:val="00AF3789"/>
    <w:rsid w:val="00AF699A"/>
    <w:rsid w:val="00B26B7E"/>
    <w:rsid w:val="00B3237A"/>
    <w:rsid w:val="00BA3F6C"/>
    <w:rsid w:val="00BC5BD6"/>
    <w:rsid w:val="00BD6C15"/>
    <w:rsid w:val="00C34EA3"/>
    <w:rsid w:val="00C94E07"/>
    <w:rsid w:val="00D00961"/>
    <w:rsid w:val="00D1051F"/>
    <w:rsid w:val="00D10EBF"/>
    <w:rsid w:val="00D1241E"/>
    <w:rsid w:val="00D80665"/>
    <w:rsid w:val="00D96579"/>
    <w:rsid w:val="00D96C43"/>
    <w:rsid w:val="00DA5E6D"/>
    <w:rsid w:val="00DA760F"/>
    <w:rsid w:val="00DB3734"/>
    <w:rsid w:val="00DD589E"/>
    <w:rsid w:val="00E237AB"/>
    <w:rsid w:val="00E34E6F"/>
    <w:rsid w:val="00E515A2"/>
    <w:rsid w:val="00E56A1F"/>
    <w:rsid w:val="00E60CC0"/>
    <w:rsid w:val="00E611C5"/>
    <w:rsid w:val="00EC3D71"/>
    <w:rsid w:val="00EF4818"/>
    <w:rsid w:val="00F03C95"/>
    <w:rsid w:val="00F12E4C"/>
    <w:rsid w:val="00F3157F"/>
    <w:rsid w:val="00F324D9"/>
    <w:rsid w:val="00F34D06"/>
    <w:rsid w:val="00F716A0"/>
    <w:rsid w:val="00F73142"/>
    <w:rsid w:val="00F92843"/>
    <w:rsid w:val="00FA7C5C"/>
    <w:rsid w:val="03B005F4"/>
    <w:rsid w:val="03B2751E"/>
    <w:rsid w:val="03D97BB3"/>
    <w:rsid w:val="04D54DFC"/>
    <w:rsid w:val="053A3164"/>
    <w:rsid w:val="062755CD"/>
    <w:rsid w:val="06C26CE1"/>
    <w:rsid w:val="070C28DE"/>
    <w:rsid w:val="079F29A8"/>
    <w:rsid w:val="080E1393"/>
    <w:rsid w:val="080F22FF"/>
    <w:rsid w:val="082643A7"/>
    <w:rsid w:val="08670F63"/>
    <w:rsid w:val="096E0D12"/>
    <w:rsid w:val="0A576CBC"/>
    <w:rsid w:val="0B043FF8"/>
    <w:rsid w:val="0B163BDF"/>
    <w:rsid w:val="0B422D73"/>
    <w:rsid w:val="0BBB4905"/>
    <w:rsid w:val="0C4B324E"/>
    <w:rsid w:val="0C882A07"/>
    <w:rsid w:val="0D7A1AF9"/>
    <w:rsid w:val="0D861C10"/>
    <w:rsid w:val="0D9613D9"/>
    <w:rsid w:val="0DD979BE"/>
    <w:rsid w:val="0E0B59E1"/>
    <w:rsid w:val="0ECD02B8"/>
    <w:rsid w:val="0F6C03BE"/>
    <w:rsid w:val="0F7D081D"/>
    <w:rsid w:val="10256653"/>
    <w:rsid w:val="10AD60E8"/>
    <w:rsid w:val="10E60131"/>
    <w:rsid w:val="115E4C70"/>
    <w:rsid w:val="1168681B"/>
    <w:rsid w:val="12D80DF0"/>
    <w:rsid w:val="131D494B"/>
    <w:rsid w:val="13D36C5E"/>
    <w:rsid w:val="13E16B2F"/>
    <w:rsid w:val="13EC0F6E"/>
    <w:rsid w:val="14663C85"/>
    <w:rsid w:val="146B0A7F"/>
    <w:rsid w:val="14DE1C42"/>
    <w:rsid w:val="14E31122"/>
    <w:rsid w:val="14F611B6"/>
    <w:rsid w:val="155D009D"/>
    <w:rsid w:val="158C17BA"/>
    <w:rsid w:val="17451C21"/>
    <w:rsid w:val="18537DD4"/>
    <w:rsid w:val="18C251FC"/>
    <w:rsid w:val="194B54E8"/>
    <w:rsid w:val="1A6A2ACB"/>
    <w:rsid w:val="1C016EFF"/>
    <w:rsid w:val="1C0A3EB5"/>
    <w:rsid w:val="1C483765"/>
    <w:rsid w:val="1E430E84"/>
    <w:rsid w:val="1E7E4D14"/>
    <w:rsid w:val="1FED5FF1"/>
    <w:rsid w:val="20296A7E"/>
    <w:rsid w:val="202F69C2"/>
    <w:rsid w:val="21FF173C"/>
    <w:rsid w:val="23B75019"/>
    <w:rsid w:val="242A41CC"/>
    <w:rsid w:val="242D4187"/>
    <w:rsid w:val="24D146B3"/>
    <w:rsid w:val="25E61363"/>
    <w:rsid w:val="25E74FC4"/>
    <w:rsid w:val="25EF4B9D"/>
    <w:rsid w:val="25F82554"/>
    <w:rsid w:val="264411DA"/>
    <w:rsid w:val="26EC5720"/>
    <w:rsid w:val="26F86B17"/>
    <w:rsid w:val="275E24C1"/>
    <w:rsid w:val="28757DED"/>
    <w:rsid w:val="28C668F3"/>
    <w:rsid w:val="2A0475FF"/>
    <w:rsid w:val="2AF04C7E"/>
    <w:rsid w:val="2B527B34"/>
    <w:rsid w:val="2BE04587"/>
    <w:rsid w:val="2CEA3B3F"/>
    <w:rsid w:val="2CF916CA"/>
    <w:rsid w:val="2D0B043B"/>
    <w:rsid w:val="2D241E80"/>
    <w:rsid w:val="2DA232EE"/>
    <w:rsid w:val="2DC9042B"/>
    <w:rsid w:val="2E552C39"/>
    <w:rsid w:val="2E7F7CB6"/>
    <w:rsid w:val="2EBD79EB"/>
    <w:rsid w:val="2F027A9C"/>
    <w:rsid w:val="300936DD"/>
    <w:rsid w:val="301F59D6"/>
    <w:rsid w:val="318F1FBE"/>
    <w:rsid w:val="34384B8F"/>
    <w:rsid w:val="348C23FD"/>
    <w:rsid w:val="35120455"/>
    <w:rsid w:val="3563787D"/>
    <w:rsid w:val="357B3C6E"/>
    <w:rsid w:val="369C20BC"/>
    <w:rsid w:val="36A30E44"/>
    <w:rsid w:val="370276D6"/>
    <w:rsid w:val="37173A00"/>
    <w:rsid w:val="374B6384"/>
    <w:rsid w:val="377C6BFA"/>
    <w:rsid w:val="39240F2B"/>
    <w:rsid w:val="39882115"/>
    <w:rsid w:val="39EB2477"/>
    <w:rsid w:val="3CA00003"/>
    <w:rsid w:val="3CE525CC"/>
    <w:rsid w:val="3D301E70"/>
    <w:rsid w:val="3D97733C"/>
    <w:rsid w:val="3DE633A0"/>
    <w:rsid w:val="3EEE1563"/>
    <w:rsid w:val="411F4D0C"/>
    <w:rsid w:val="412C4DDB"/>
    <w:rsid w:val="41F2695A"/>
    <w:rsid w:val="41FB021A"/>
    <w:rsid w:val="428C3408"/>
    <w:rsid w:val="43425E70"/>
    <w:rsid w:val="436A0304"/>
    <w:rsid w:val="43CB2323"/>
    <w:rsid w:val="4412168D"/>
    <w:rsid w:val="457F3A3B"/>
    <w:rsid w:val="4621517E"/>
    <w:rsid w:val="463351B6"/>
    <w:rsid w:val="46417308"/>
    <w:rsid w:val="46502459"/>
    <w:rsid w:val="469C0435"/>
    <w:rsid w:val="47E542F3"/>
    <w:rsid w:val="49117305"/>
    <w:rsid w:val="4A485AE2"/>
    <w:rsid w:val="4A8E7865"/>
    <w:rsid w:val="4AD975D1"/>
    <w:rsid w:val="4AF75950"/>
    <w:rsid w:val="4AFA6D0E"/>
    <w:rsid w:val="4B227542"/>
    <w:rsid w:val="4BB46D99"/>
    <w:rsid w:val="4C8F51BA"/>
    <w:rsid w:val="4CC2486C"/>
    <w:rsid w:val="4D3B27E0"/>
    <w:rsid w:val="4E233CA5"/>
    <w:rsid w:val="4ED212E5"/>
    <w:rsid w:val="4EE6313B"/>
    <w:rsid w:val="4F521E63"/>
    <w:rsid w:val="4FA47125"/>
    <w:rsid w:val="4FBD0AD3"/>
    <w:rsid w:val="50CD10F9"/>
    <w:rsid w:val="50F43F11"/>
    <w:rsid w:val="518F3D71"/>
    <w:rsid w:val="51B34BAC"/>
    <w:rsid w:val="527B6747"/>
    <w:rsid w:val="52CB68FB"/>
    <w:rsid w:val="5417438B"/>
    <w:rsid w:val="54745B1B"/>
    <w:rsid w:val="55C220B3"/>
    <w:rsid w:val="56052DAF"/>
    <w:rsid w:val="571F7091"/>
    <w:rsid w:val="58093FC9"/>
    <w:rsid w:val="58135D80"/>
    <w:rsid w:val="582E01A4"/>
    <w:rsid w:val="58D45B55"/>
    <w:rsid w:val="5B3376E1"/>
    <w:rsid w:val="5B584E6A"/>
    <w:rsid w:val="5C445014"/>
    <w:rsid w:val="5D046B71"/>
    <w:rsid w:val="5DD166EA"/>
    <w:rsid w:val="5DE15AD3"/>
    <w:rsid w:val="5E403823"/>
    <w:rsid w:val="5E802495"/>
    <w:rsid w:val="5EFB2A62"/>
    <w:rsid w:val="60264B9D"/>
    <w:rsid w:val="614F7276"/>
    <w:rsid w:val="64CD5A55"/>
    <w:rsid w:val="64E21FD2"/>
    <w:rsid w:val="65DF280D"/>
    <w:rsid w:val="6610648C"/>
    <w:rsid w:val="66141EEF"/>
    <w:rsid w:val="668F765E"/>
    <w:rsid w:val="67685231"/>
    <w:rsid w:val="67696AA4"/>
    <w:rsid w:val="67705E13"/>
    <w:rsid w:val="67986F49"/>
    <w:rsid w:val="68914293"/>
    <w:rsid w:val="68930A24"/>
    <w:rsid w:val="68B95A87"/>
    <w:rsid w:val="69312B24"/>
    <w:rsid w:val="69881A1D"/>
    <w:rsid w:val="69DC353A"/>
    <w:rsid w:val="6A321B28"/>
    <w:rsid w:val="6AC65D4A"/>
    <w:rsid w:val="6B6A52CA"/>
    <w:rsid w:val="6BA70024"/>
    <w:rsid w:val="6C712E8B"/>
    <w:rsid w:val="6D4A187C"/>
    <w:rsid w:val="6F6D2C38"/>
    <w:rsid w:val="6FD23443"/>
    <w:rsid w:val="729055BB"/>
    <w:rsid w:val="72AA27FC"/>
    <w:rsid w:val="7386251A"/>
    <w:rsid w:val="74324329"/>
    <w:rsid w:val="7548217D"/>
    <w:rsid w:val="75BC19B7"/>
    <w:rsid w:val="75F26656"/>
    <w:rsid w:val="76E372B4"/>
    <w:rsid w:val="774D279F"/>
    <w:rsid w:val="785C7DC2"/>
    <w:rsid w:val="788F055B"/>
    <w:rsid w:val="797E2B9D"/>
    <w:rsid w:val="79D7587D"/>
    <w:rsid w:val="79E463EE"/>
    <w:rsid w:val="7A102859"/>
    <w:rsid w:val="7ABD352E"/>
    <w:rsid w:val="7B1448AF"/>
    <w:rsid w:val="7B2E7DD6"/>
    <w:rsid w:val="7B6261A6"/>
    <w:rsid w:val="7BBF3C16"/>
    <w:rsid w:val="7BD6224A"/>
    <w:rsid w:val="7BFB5A49"/>
    <w:rsid w:val="7C4E33FE"/>
    <w:rsid w:val="7DA07373"/>
    <w:rsid w:val="7DDB39E7"/>
    <w:rsid w:val="7E0C6A9F"/>
    <w:rsid w:val="7EB62349"/>
    <w:rsid w:val="7EE8765B"/>
    <w:rsid w:val="7F29553D"/>
    <w:rsid w:val="7F567F7A"/>
    <w:rsid w:val="7FEF43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qFormat="1" w:uiPriority="39" w:name="toc 3"/>
    <w:lsdException w:qFormat="1"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autoRedefine/>
    <w:unhideWhenUsed/>
    <w:qFormat/>
    <w:uiPriority w:val="9"/>
    <w:pPr>
      <w:keepNext/>
      <w:keepLines/>
      <w:spacing w:before="260" w:after="260" w:line="416" w:lineRule="auto"/>
      <w:outlineLvl w:val="2"/>
    </w:pPr>
    <w:rPr>
      <w:rFonts w:eastAsia="方正粗黑宋简体"/>
      <w:b/>
      <w:bCs/>
      <w:color w:val="7030A0"/>
      <w:sz w:val="32"/>
      <w:szCs w:val="32"/>
    </w:rPr>
  </w:style>
  <w:style w:type="character" w:default="1" w:styleId="18">
    <w:name w:val="Default Paragraph Font"/>
    <w:autoRedefine/>
    <w:semiHidden/>
    <w:unhideWhenUsed/>
    <w:qFormat/>
    <w:uiPriority w:val="1"/>
  </w:style>
  <w:style w:type="table" w:default="1" w:styleId="17">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link w:val="24"/>
    <w:autoRedefine/>
    <w:semiHidden/>
    <w:unhideWhenUsed/>
    <w:qFormat/>
    <w:uiPriority w:val="99"/>
    <w:pPr>
      <w:jc w:val="left"/>
    </w:pPr>
  </w:style>
  <w:style w:type="paragraph" w:styleId="4">
    <w:name w:val="Body Text"/>
    <w:basedOn w:val="1"/>
    <w:unhideWhenUsed/>
    <w:qFormat/>
    <w:uiPriority w:val="99"/>
    <w:pPr>
      <w:spacing w:after="120"/>
    </w:pPr>
    <w:rPr>
      <w:rFonts w:ascii="Times New Roman" w:hAnsi="Times New Roman"/>
      <w:kern w:val="0"/>
      <w:sz w:val="20"/>
      <w:szCs w:val="21"/>
    </w:rPr>
  </w:style>
  <w:style w:type="paragraph" w:styleId="5">
    <w:name w:val="Body Text Indent"/>
    <w:basedOn w:val="1"/>
    <w:autoRedefine/>
    <w:qFormat/>
    <w:uiPriority w:val="0"/>
    <w:pPr>
      <w:spacing w:after="120"/>
      <w:ind w:left="420" w:leftChars="200"/>
    </w:pPr>
  </w:style>
  <w:style w:type="paragraph" w:styleId="6">
    <w:name w:val="toc 3"/>
    <w:basedOn w:val="1"/>
    <w:next w:val="1"/>
    <w:autoRedefine/>
    <w:semiHidden/>
    <w:unhideWhenUsed/>
    <w:qFormat/>
    <w:uiPriority w:val="39"/>
    <w:pPr>
      <w:ind w:left="840" w:leftChars="400"/>
    </w:pPr>
  </w:style>
  <w:style w:type="paragraph" w:styleId="7">
    <w:name w:val="Balloon Text"/>
    <w:basedOn w:val="1"/>
    <w:link w:val="27"/>
    <w:autoRedefine/>
    <w:semiHidden/>
    <w:unhideWhenUsed/>
    <w:qFormat/>
    <w:uiPriority w:val="99"/>
    <w:rPr>
      <w:rFonts w:ascii="宋体"/>
      <w:sz w:val="18"/>
      <w:szCs w:val="18"/>
    </w:rPr>
  </w:style>
  <w:style w:type="paragraph" w:styleId="8">
    <w:name w:val="footer"/>
    <w:basedOn w:val="1"/>
    <w:link w:val="22"/>
    <w:autoRedefine/>
    <w:unhideWhenUsed/>
    <w:qFormat/>
    <w:uiPriority w:val="99"/>
    <w:pPr>
      <w:tabs>
        <w:tab w:val="center" w:pos="4153"/>
        <w:tab w:val="right" w:pos="8306"/>
      </w:tabs>
      <w:snapToGrid w:val="0"/>
      <w:jc w:val="left"/>
    </w:pPr>
    <w:rPr>
      <w:sz w:val="18"/>
      <w:szCs w:val="18"/>
    </w:rPr>
  </w:style>
  <w:style w:type="paragraph" w:styleId="9">
    <w:name w:val="header"/>
    <w:basedOn w:val="1"/>
    <w:link w:val="2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autoRedefine/>
    <w:semiHidden/>
    <w:unhideWhenUsed/>
    <w:qFormat/>
    <w:uiPriority w:val="39"/>
  </w:style>
  <w:style w:type="paragraph" w:styleId="11">
    <w:name w:val="toc 4"/>
    <w:basedOn w:val="1"/>
    <w:next w:val="1"/>
    <w:autoRedefine/>
    <w:semiHidden/>
    <w:unhideWhenUsed/>
    <w:qFormat/>
    <w:uiPriority w:val="39"/>
    <w:pPr>
      <w:ind w:left="1260" w:leftChars="600"/>
    </w:pPr>
  </w:style>
  <w:style w:type="paragraph" w:styleId="12">
    <w:name w:val="toc 2"/>
    <w:basedOn w:val="1"/>
    <w:next w:val="1"/>
    <w:autoRedefine/>
    <w:semiHidden/>
    <w:unhideWhenUsed/>
    <w:qFormat/>
    <w:uiPriority w:val="39"/>
    <w:pPr>
      <w:ind w:left="420" w:leftChars="200"/>
    </w:pPr>
  </w:style>
  <w:style w:type="paragraph" w:styleId="13">
    <w:name w:val="Normal (Web)"/>
    <w:basedOn w:val="1"/>
    <w:autoRedefine/>
    <w:qFormat/>
    <w:uiPriority w:val="0"/>
    <w:pPr>
      <w:spacing w:beforeAutospacing="1" w:afterAutospacing="1"/>
      <w:jc w:val="left"/>
    </w:pPr>
    <w:rPr>
      <w:kern w:val="0"/>
      <w:sz w:val="24"/>
      <w:szCs w:val="24"/>
    </w:rPr>
  </w:style>
  <w:style w:type="paragraph" w:styleId="14">
    <w:name w:val="annotation subject"/>
    <w:basedOn w:val="3"/>
    <w:next w:val="3"/>
    <w:link w:val="26"/>
    <w:autoRedefine/>
    <w:semiHidden/>
    <w:unhideWhenUsed/>
    <w:qFormat/>
    <w:uiPriority w:val="99"/>
    <w:rPr>
      <w:b/>
      <w:bCs/>
    </w:rPr>
  </w:style>
  <w:style w:type="paragraph" w:styleId="15">
    <w:name w:val="Body Text First Indent"/>
    <w:basedOn w:val="4"/>
    <w:autoRedefine/>
    <w:unhideWhenUsed/>
    <w:qFormat/>
    <w:uiPriority w:val="99"/>
    <w:pPr>
      <w:ind w:firstLine="420" w:firstLineChars="100"/>
    </w:pPr>
  </w:style>
  <w:style w:type="paragraph" w:styleId="16">
    <w:name w:val="Body Text First Indent 2"/>
    <w:basedOn w:val="5"/>
    <w:qFormat/>
    <w:uiPriority w:val="0"/>
    <w:pPr>
      <w:ind w:firstLine="420" w:firstLineChars="200"/>
    </w:pPr>
  </w:style>
  <w:style w:type="character" w:styleId="19">
    <w:name w:val="Hyperlink"/>
    <w:autoRedefine/>
    <w:unhideWhenUsed/>
    <w:qFormat/>
    <w:uiPriority w:val="99"/>
    <w:rPr>
      <w:color w:val="0000FF"/>
      <w:u w:val="single"/>
    </w:rPr>
  </w:style>
  <w:style w:type="character" w:styleId="20">
    <w:name w:val="annotation reference"/>
    <w:autoRedefine/>
    <w:semiHidden/>
    <w:unhideWhenUsed/>
    <w:qFormat/>
    <w:uiPriority w:val="99"/>
    <w:rPr>
      <w:sz w:val="21"/>
      <w:szCs w:val="21"/>
    </w:rPr>
  </w:style>
  <w:style w:type="character" w:customStyle="1" w:styleId="21">
    <w:name w:val="页眉 字符"/>
    <w:basedOn w:val="18"/>
    <w:link w:val="9"/>
    <w:autoRedefine/>
    <w:qFormat/>
    <w:uiPriority w:val="99"/>
    <w:rPr>
      <w:sz w:val="18"/>
      <w:szCs w:val="18"/>
    </w:rPr>
  </w:style>
  <w:style w:type="character" w:customStyle="1" w:styleId="22">
    <w:name w:val="页脚 字符"/>
    <w:basedOn w:val="18"/>
    <w:link w:val="8"/>
    <w:autoRedefine/>
    <w:qFormat/>
    <w:uiPriority w:val="99"/>
    <w:rPr>
      <w:sz w:val="18"/>
      <w:szCs w:val="18"/>
    </w:rPr>
  </w:style>
  <w:style w:type="paragraph" w:customStyle="1" w:styleId="23">
    <w:name w:val="_Style 7"/>
    <w:basedOn w:val="1"/>
    <w:next w:val="1"/>
    <w:autoRedefine/>
    <w:unhideWhenUsed/>
    <w:qFormat/>
    <w:uiPriority w:val="39"/>
    <w:pPr>
      <w:ind w:left="1260" w:leftChars="600"/>
    </w:pPr>
  </w:style>
  <w:style w:type="character" w:customStyle="1" w:styleId="24">
    <w:name w:val="批注文字 字符"/>
    <w:basedOn w:val="18"/>
    <w:link w:val="3"/>
    <w:autoRedefine/>
    <w:semiHidden/>
    <w:qFormat/>
    <w:uiPriority w:val="99"/>
    <w:rPr>
      <w:rFonts w:ascii="Calibri" w:hAnsi="Calibri" w:eastAsia="宋体" w:cs="Times New Roman"/>
    </w:rPr>
  </w:style>
  <w:style w:type="paragraph" w:customStyle="1" w:styleId="25">
    <w:name w:val="正文-文档"/>
    <w:basedOn w:val="1"/>
    <w:autoRedefine/>
    <w:qFormat/>
    <w:uiPriority w:val="0"/>
    <w:pPr>
      <w:spacing w:line="660" w:lineRule="exact"/>
      <w:ind w:firstLine="200" w:firstLineChars="200"/>
    </w:pPr>
    <w:rPr>
      <w:rFonts w:ascii="Times New Roman" w:hAnsi="Times New Roman" w:eastAsia="仿宋_GB2312"/>
      <w:sz w:val="32"/>
      <w:szCs w:val="21"/>
    </w:rPr>
  </w:style>
  <w:style w:type="character" w:customStyle="1" w:styleId="26">
    <w:name w:val="批注主题 字符"/>
    <w:basedOn w:val="24"/>
    <w:link w:val="14"/>
    <w:autoRedefine/>
    <w:semiHidden/>
    <w:qFormat/>
    <w:uiPriority w:val="99"/>
    <w:rPr>
      <w:rFonts w:ascii="Calibri" w:hAnsi="Calibri" w:eastAsia="宋体" w:cs="Times New Roman"/>
      <w:b/>
      <w:bCs/>
      <w:kern w:val="2"/>
      <w:sz w:val="21"/>
      <w:szCs w:val="22"/>
    </w:rPr>
  </w:style>
  <w:style w:type="character" w:customStyle="1" w:styleId="27">
    <w:name w:val="批注框文本 字符"/>
    <w:basedOn w:val="18"/>
    <w:link w:val="7"/>
    <w:autoRedefine/>
    <w:semiHidden/>
    <w:qFormat/>
    <w:uiPriority w:val="99"/>
    <w:rPr>
      <w:rFonts w:ascii="宋体" w:hAnsi="Calibri" w:eastAsia="宋体" w:cs="Times New Roman"/>
      <w:kern w:val="2"/>
      <w:sz w:val="18"/>
      <w:szCs w:val="18"/>
    </w:rPr>
  </w:style>
  <w:style w:type="character" w:customStyle="1" w:styleId="28">
    <w:name w:val="font41"/>
    <w:basedOn w:val="18"/>
    <w:qFormat/>
    <w:uiPriority w:val="0"/>
    <w:rPr>
      <w:rFonts w:hint="eastAsia" w:ascii="仿宋" w:hAnsi="仿宋" w:eastAsia="仿宋" w:cs="仿宋"/>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1205</Words>
  <Characters>1241</Characters>
  <Lines>73</Lines>
  <Paragraphs>20</Paragraphs>
  <TotalTime>8</TotalTime>
  <ScaleCrop>false</ScaleCrop>
  <LinksUpToDate>false</LinksUpToDate>
  <CharactersWithSpaces>1248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2022-08-21T13:21:00Z</dcterms:created>
  <dc:creator>洋 付</dc:creator>
  <cp:lastModifiedBy>韩志磊</cp:lastModifiedBy>
  <dcterms:modified xsi:type="dcterms:W3CDTF">2026-04-02T09:22:52Z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C95B3AE332D74D2BAC19CB5C1BB54DE3_13</vt:lpwstr>
  </property>
  <property fmtid="{D5CDD505-2E9C-101B-9397-08002B2CF9AE}" pid="4" name="KSOTemplateDocerSaveRecord">
    <vt:lpwstr>eyJoZGlkIjoiZTYwNzYyMDU1OWM2ZjJhZTVlMzUyMDdjNmI0NGVkNjQiLCJ1c2VySWQiOiI0MzU1MDAyMTAifQ==</vt:lpwstr>
  </property>
</Properties>
</file>