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C1165">
      <w:pPr>
        <w:rPr>
          <w:rFonts w:hint="eastAsia" w:ascii="宋体" w:hAnsi="宋体" w:eastAsia="宋体" w:cs="宋体"/>
          <w:b/>
          <w:bCs/>
          <w:snapToGrid w:val="0"/>
          <w:color w:val="000000"/>
          <w:kern w:val="0"/>
          <w:sz w:val="19"/>
          <w:szCs w:val="19"/>
          <w:lang w:val="en-US" w:eastAsia="zh-CN" w:bidi="ar"/>
        </w:rPr>
      </w:pPr>
      <w:r>
        <w:rPr>
          <w:rFonts w:hint="eastAsia" w:ascii="宋体" w:hAnsi="宋体" w:eastAsia="宋体" w:cs="宋体"/>
          <w:b/>
          <w:bCs/>
          <w:snapToGrid w:val="0"/>
          <w:color w:val="000000"/>
          <w:kern w:val="0"/>
          <w:sz w:val="19"/>
          <w:szCs w:val="19"/>
          <w:lang w:val="en-US" w:eastAsia="zh-CN" w:bidi="ar"/>
        </w:rPr>
        <w:t>附件2作业设计（部分</w:t>
      </w:r>
      <w:r>
        <w:rPr>
          <w:rFonts w:hint="eastAsia" w:ascii="宋体" w:hAnsi="宋体" w:eastAsia="宋体" w:cs="宋体"/>
          <w:snapToGrid w:val="0"/>
          <w:color w:val="000000"/>
          <w:kern w:val="0"/>
          <w:sz w:val="19"/>
          <w:szCs w:val="19"/>
          <w:lang w:val="en-US" w:eastAsia="zh-CN" w:bidi="ar"/>
        </w:rPr>
        <w:t>）</w:t>
      </w:r>
      <w:r>
        <w:rPr>
          <w:rFonts w:hint="eastAsia" w:ascii="宋体" w:hAnsi="宋体" w:eastAsia="宋体" w:cs="宋体"/>
          <w:b/>
          <w:bCs/>
          <w:snapToGrid w:val="0"/>
          <w:color w:val="000000"/>
          <w:kern w:val="0"/>
          <w:sz w:val="19"/>
          <w:szCs w:val="19"/>
          <w:lang w:val="en-US" w:eastAsia="zh-CN" w:bidi="ar"/>
        </w:rPr>
        <w:t>：</w:t>
      </w:r>
    </w:p>
    <w:p w14:paraId="553AEEB6">
      <w:pPr>
        <w:jc w:val="center"/>
        <w:rPr>
          <w:rFonts w:hint="eastAsia" w:ascii="宋体" w:hAnsi="宋体" w:eastAsia="宋体" w:cs="宋体"/>
          <w:b w:val="0"/>
          <w:bCs w:val="0"/>
          <w:snapToGrid w:val="0"/>
          <w:color w:val="000000"/>
          <w:kern w:val="0"/>
          <w:sz w:val="28"/>
          <w:szCs w:val="28"/>
          <w:lang w:val="en-US" w:eastAsia="zh-CN" w:bidi="ar"/>
        </w:rPr>
      </w:pPr>
      <w:r>
        <w:rPr>
          <w:rFonts w:hint="eastAsia" w:ascii="宋体" w:hAnsi="宋体" w:eastAsia="宋体" w:cs="宋体"/>
          <w:b/>
          <w:bCs/>
          <w:snapToGrid w:val="0"/>
          <w:color w:val="000000"/>
          <w:kern w:val="0"/>
          <w:sz w:val="32"/>
          <w:szCs w:val="32"/>
          <w:lang w:val="en-US" w:eastAsia="zh-CN" w:bidi="ar"/>
        </w:rPr>
        <w:t>第三章 设计原则和依据</w:t>
      </w:r>
    </w:p>
    <w:p w14:paraId="41A24CE6">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highlight w:val="none"/>
          <w:lang w:val="en-US" w:eastAsia="zh-CN"/>
        </w:rPr>
      </w:pPr>
      <w:bookmarkStart w:id="0" w:name="_Toc3626"/>
      <w:bookmarkStart w:id="1" w:name="_Toc22932"/>
      <w:bookmarkStart w:id="2" w:name="_Toc13088"/>
      <w:bookmarkStart w:id="3" w:name="_Toc145993075"/>
      <w:bookmarkStart w:id="4" w:name="_Toc376940033"/>
      <w:bookmarkStart w:id="5" w:name="_Toc23049"/>
      <w:bookmarkStart w:id="6" w:name="_Toc140052615"/>
      <w:bookmarkStart w:id="7" w:name="_Toc376940172"/>
      <w:bookmarkStart w:id="8" w:name="_Toc145992788"/>
      <w:r>
        <w:rPr>
          <w:rFonts w:hint="eastAsia" w:ascii="宋体" w:hAnsi="宋体" w:eastAsia="宋体" w:cs="宋体"/>
          <w:highlight w:val="none"/>
          <w:lang w:val="en-US" w:eastAsia="zh-CN"/>
        </w:rPr>
        <w:t>3.1指导思想</w:t>
      </w:r>
      <w:bookmarkEnd w:id="0"/>
      <w:bookmarkEnd w:id="1"/>
      <w:bookmarkEnd w:id="2"/>
    </w:p>
    <w:p w14:paraId="04F1FE8F">
      <w:pPr>
        <w:pStyle w:val="7"/>
        <w:numPr>
          <w:ilvl w:val="0"/>
          <w:numId w:val="2"/>
        </w:numPr>
        <w:ind w:left="5" w:leftChars="0" w:firstLine="475" w:firstLineChars="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严格按照国家、内蒙古自治区造林相关技术规程和投资估算指标，开展巴彦淖尔市黄河北岸绿色生态廊道工程作业设计，确保设计的规范性、科学性和可操作性。</w:t>
      </w:r>
    </w:p>
    <w:p w14:paraId="4A39A0DA">
      <w:pPr>
        <w:pStyle w:val="7"/>
        <w:numPr>
          <w:ilvl w:val="0"/>
          <w:numId w:val="2"/>
        </w:numPr>
        <w:ind w:left="5" w:leftChars="0" w:firstLine="475" w:firstLineChars="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以生态优先为核心，立足黄河北岸生态保护需求，打造功能完善的护路林生态廊道，改善区域盐碱化立地条件，提升生态防护功能，实现生态效益优先的建设目标。</w:t>
      </w:r>
    </w:p>
    <w:p w14:paraId="61DCABCA">
      <w:pPr>
        <w:pStyle w:val="7"/>
        <w:numPr>
          <w:ilvl w:val="0"/>
          <w:numId w:val="2"/>
        </w:numPr>
        <w:ind w:left="5" w:leftChars="0" w:firstLine="475" w:firstLineChars="0"/>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适配项目区中度盐碱化滩地立地条件，满足盐碱地土壤改良、适生树种造林、长效抚育管护等核心技术需求，保障造林成活率和林分稳定性。</w:t>
      </w:r>
    </w:p>
    <w:p w14:paraId="63E29E61">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highlight w:val="none"/>
          <w:lang w:val="en-US" w:eastAsia="zh-CN"/>
        </w:rPr>
      </w:pPr>
      <w:bookmarkStart w:id="9" w:name="_Toc32570"/>
      <w:r>
        <w:rPr>
          <w:rFonts w:hint="eastAsia" w:ascii="宋体" w:hAnsi="宋体" w:eastAsia="宋体" w:cs="宋体"/>
          <w:highlight w:val="none"/>
          <w:lang w:val="en-US" w:eastAsia="zh-CN"/>
        </w:rPr>
        <w:t>3.2设计原则</w:t>
      </w:r>
      <w:bookmarkEnd w:id="3"/>
      <w:bookmarkEnd w:id="4"/>
      <w:bookmarkEnd w:id="5"/>
      <w:bookmarkEnd w:id="6"/>
      <w:bookmarkEnd w:id="7"/>
      <w:bookmarkEnd w:id="8"/>
      <w:bookmarkEnd w:id="9"/>
    </w:p>
    <w:p w14:paraId="72B96746">
      <w:pPr>
        <w:pStyle w:val="7"/>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ind w:left="5" w:leftChars="0" w:firstLine="475" w:firstLineChars="0"/>
        <w:textAlignment w:val="auto"/>
        <w:rPr>
          <w:rFonts w:hint="eastAsia" w:ascii="仿宋" w:hAnsi="仿宋" w:eastAsia="仿宋" w:cs="仿宋"/>
          <w:color w:val="auto"/>
          <w:sz w:val="30"/>
          <w:szCs w:val="30"/>
          <w:highlight w:val="none"/>
        </w:rPr>
      </w:pPr>
      <w:bookmarkStart w:id="10" w:name="_Toc140052616"/>
      <w:bookmarkStart w:id="11" w:name="_Toc2392"/>
      <w:bookmarkStart w:id="12" w:name="_Toc376940173"/>
      <w:bookmarkStart w:id="13" w:name="_Toc145993076"/>
      <w:bookmarkStart w:id="14" w:name="_Toc145992789"/>
      <w:bookmarkStart w:id="15" w:name="_Toc376940034"/>
      <w:r>
        <w:rPr>
          <w:rFonts w:hint="eastAsia" w:ascii="仿宋" w:hAnsi="仿宋" w:eastAsia="仿宋" w:cs="仿宋"/>
          <w:color w:val="auto"/>
          <w:sz w:val="30"/>
          <w:szCs w:val="30"/>
          <w:highlight w:val="none"/>
        </w:rPr>
        <w:t>坚持生态优先。植被恢复活动不可对生态系统形成不可逆的不利影响。以恢复植被为准则，从实际出发，尊重自然规律，坚持以保护生态效益为主的原则；</w:t>
      </w:r>
    </w:p>
    <w:p w14:paraId="3E0E304F">
      <w:pPr>
        <w:pStyle w:val="7"/>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ind w:left="5" w:leftChars="0" w:firstLine="475"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坚持因地制宜、适地适树。依据当地的气候、土壤、地形和水文条件，确定适宜发展的林种和树种。选择生物学特性与当地立地条件相适应的乡土树种或优良外来树种，确保树木能够正常生长、发育，并充分发挥其生态功能和经济价值；</w:t>
      </w:r>
    </w:p>
    <w:p w14:paraId="396AE3A8">
      <w:pPr>
        <w:pStyle w:val="7"/>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ind w:left="5" w:leftChars="0" w:firstLine="475"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遵循植被生长的自然规律，根据造林目标和树种，选择造林方式、造林方法;</w:t>
      </w:r>
    </w:p>
    <w:p w14:paraId="70A6FD0E">
      <w:pPr>
        <w:pStyle w:val="7"/>
        <w:keepNext w:val="0"/>
        <w:keepLines w:val="0"/>
        <w:pageBreakBefore w:val="0"/>
        <w:widowControl w:val="0"/>
        <w:numPr>
          <w:ilvl w:val="0"/>
          <w:numId w:val="3"/>
        </w:numPr>
        <w:kinsoku/>
        <w:wordWrap/>
        <w:overflowPunct/>
        <w:topLinePunct w:val="0"/>
        <w:autoSpaceDE/>
        <w:autoSpaceDN/>
        <w:bidi w:val="0"/>
        <w:adjustRightInd/>
        <w:snapToGrid/>
        <w:spacing w:beforeAutospacing="0" w:afterAutospacing="0"/>
        <w:ind w:left="5" w:leftChars="0" w:firstLine="475"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坚持合理布局，突出重点，分步实施。</w:t>
      </w:r>
    </w:p>
    <w:bookmarkEnd w:id="10"/>
    <w:bookmarkEnd w:id="11"/>
    <w:bookmarkEnd w:id="12"/>
    <w:bookmarkEnd w:id="13"/>
    <w:bookmarkEnd w:id="14"/>
    <w:bookmarkEnd w:id="15"/>
    <w:p w14:paraId="7232B62D">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highlight w:val="none"/>
          <w:lang w:val="en-US" w:eastAsia="zh-CN"/>
        </w:rPr>
      </w:pPr>
      <w:bookmarkStart w:id="16" w:name="_Toc23015"/>
      <w:bookmarkStart w:id="17" w:name="_Toc17475"/>
      <w:bookmarkStart w:id="18" w:name="_Toc25005"/>
      <w:bookmarkStart w:id="19" w:name="_Toc29121"/>
      <w:r>
        <w:rPr>
          <w:rFonts w:hint="eastAsia" w:ascii="宋体" w:hAnsi="宋体" w:eastAsia="宋体" w:cs="宋体"/>
          <w:highlight w:val="none"/>
          <w:lang w:val="en-US" w:eastAsia="zh-CN"/>
        </w:rPr>
        <w:t>3.3设计依据</w:t>
      </w:r>
      <w:bookmarkEnd w:id="16"/>
    </w:p>
    <w:p w14:paraId="1089D570">
      <w:pPr>
        <w:pStyle w:val="4"/>
        <w:numPr>
          <w:numId w:val="0"/>
        </w:numPr>
        <w:bidi w:val="0"/>
        <w:ind w:leftChars="0"/>
        <w:rPr>
          <w:rFonts w:hint="eastAsia" w:ascii="仿宋" w:hAnsi="仿宋" w:eastAsia="仿宋" w:cs="仿宋"/>
          <w:highlight w:val="none"/>
          <w:lang w:val="en-US" w:eastAsia="zh-CN"/>
        </w:rPr>
      </w:pPr>
      <w:r>
        <w:rPr>
          <w:rFonts w:hint="eastAsia" w:ascii="仿宋" w:hAnsi="仿宋" w:eastAsia="仿宋" w:cs="仿宋"/>
          <w:highlight w:val="none"/>
          <w:lang w:val="en-US" w:eastAsia="zh-CN"/>
        </w:rPr>
        <w:t>3.3.1批复文件</w:t>
      </w:r>
    </w:p>
    <w:p w14:paraId="5A6AF387">
      <w:pPr>
        <w:pStyle w:val="10"/>
        <w:ind w:left="0" w:leftChars="0" w:firstLine="450" w:firstLineChars="150"/>
        <w:rPr>
          <w:rFonts w:hint="default"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《关于下达 2026 年标志性工程建设任务的通知》</w:t>
      </w:r>
      <w:r>
        <w:rPr>
          <w:rFonts w:hint="default" w:ascii="仿宋" w:hAnsi="仿宋" w:eastAsia="仿宋" w:cs="仿宋"/>
          <w:bCs/>
          <w:color w:val="auto"/>
          <w:kern w:val="2"/>
          <w:sz w:val="30"/>
          <w:szCs w:val="30"/>
          <w:highlight w:val="none"/>
          <w:lang w:val="en-US" w:eastAsia="zh-CN" w:bidi="ar-SA"/>
        </w:rPr>
        <w:t>;</w:t>
      </w:r>
    </w:p>
    <w:p w14:paraId="190AA220">
      <w:pPr>
        <w:pStyle w:val="10"/>
        <w:ind w:left="0" w:leftChars="0" w:firstLine="450" w:firstLineChars="150"/>
        <w:rPr>
          <w:rFonts w:hint="default"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《国家林业和草原局关于印发&lt;国土绿化项目作业设计管理规定&gt;的通知》(林生发[2025]5号)</w:t>
      </w:r>
      <w:r>
        <w:rPr>
          <w:rFonts w:hint="default" w:ascii="仿宋" w:hAnsi="仿宋" w:eastAsia="仿宋" w:cs="仿宋"/>
          <w:bCs/>
          <w:color w:val="auto"/>
          <w:kern w:val="2"/>
          <w:sz w:val="30"/>
          <w:szCs w:val="30"/>
          <w:highlight w:val="none"/>
          <w:lang w:val="en-US" w:eastAsia="zh-CN" w:bidi="ar-SA"/>
        </w:rPr>
        <w:t>;</w:t>
      </w:r>
    </w:p>
    <w:p w14:paraId="71D1149E">
      <w:pPr>
        <w:pStyle w:val="10"/>
        <w:ind w:left="0" w:leftChars="0" w:firstLine="450" w:firstLineChars="150"/>
        <w:rPr>
          <w:rFonts w:hint="default"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《关于调整2023年自治区财政国土绿化支出(造林绿化项目)的通知》(巴财资环[2026]158号)</w:t>
      </w:r>
      <w:r>
        <w:rPr>
          <w:rFonts w:hint="default" w:ascii="仿宋" w:hAnsi="仿宋" w:eastAsia="仿宋" w:cs="仿宋"/>
          <w:bCs/>
          <w:color w:val="auto"/>
          <w:kern w:val="2"/>
          <w:sz w:val="30"/>
          <w:szCs w:val="30"/>
          <w:highlight w:val="none"/>
          <w:lang w:val="en-US" w:eastAsia="zh-CN" w:bidi="ar-SA"/>
        </w:rPr>
        <w:t>;</w:t>
      </w:r>
      <w:bookmarkStart w:id="107" w:name="_GoBack"/>
      <w:bookmarkEnd w:id="107"/>
    </w:p>
    <w:p w14:paraId="75E40233">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《国家林业和草原局关于统筹国土绿化空间优化乔灌草配置的通知》（林生发〔2024〕77 号）；</w:t>
      </w:r>
    </w:p>
    <w:p w14:paraId="2B75A45C">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《黄河流域国土绿化规划（2022-2030 年）》；</w:t>
      </w:r>
    </w:p>
    <w:p w14:paraId="64C6C9AF">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《黄河流域生态保护和高质量发展规划纲要》</w:t>
      </w:r>
      <w:r>
        <w:rPr>
          <w:rFonts w:hint="default" w:ascii="仿宋" w:hAnsi="仿宋" w:eastAsia="仿宋" w:cs="仿宋"/>
          <w:bCs/>
          <w:color w:val="auto"/>
          <w:kern w:val="2"/>
          <w:sz w:val="30"/>
          <w:szCs w:val="30"/>
          <w:highlight w:val="none"/>
          <w:lang w:val="en-US" w:eastAsia="zh-CN" w:bidi="ar-SA"/>
        </w:rPr>
        <w:t xml:space="preserve"> </w:t>
      </w:r>
      <w:r>
        <w:rPr>
          <w:rFonts w:hint="eastAsia" w:ascii="仿宋" w:hAnsi="仿宋" w:eastAsia="仿宋" w:cs="仿宋"/>
          <w:bCs/>
          <w:color w:val="auto"/>
          <w:kern w:val="2"/>
          <w:sz w:val="30"/>
          <w:szCs w:val="30"/>
          <w:highlight w:val="none"/>
          <w:lang w:val="en-US" w:eastAsia="zh-CN" w:bidi="ar-SA"/>
        </w:rPr>
        <w:t>。</w:t>
      </w:r>
    </w:p>
    <w:p w14:paraId="56C7D980">
      <w:pPr>
        <w:pStyle w:val="4"/>
        <w:numPr>
          <w:numId w:val="0"/>
        </w:numPr>
        <w:bidi w:val="0"/>
        <w:ind w:leftChars="0"/>
        <w:rPr>
          <w:rFonts w:hint="eastAsia" w:ascii="仿宋" w:hAnsi="仿宋" w:eastAsia="仿宋" w:cs="仿宋"/>
          <w:highlight w:val="none"/>
          <w:lang w:val="en-US" w:eastAsia="zh-CN"/>
        </w:rPr>
      </w:pPr>
      <w:r>
        <w:rPr>
          <w:rFonts w:hint="eastAsia" w:ascii="仿宋" w:hAnsi="仿宋" w:eastAsia="仿宋" w:cs="仿宋"/>
          <w:highlight w:val="none"/>
          <w:lang w:val="en-US" w:eastAsia="zh-CN"/>
        </w:rPr>
        <w:t>3.3.2国家标准</w:t>
      </w:r>
    </w:p>
    <w:p w14:paraId="7C35D934">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《森林抚育规程》（GB/T 15781-2015）；</w:t>
      </w:r>
    </w:p>
    <w:p w14:paraId="367EC169">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《森林资源规划设计调查技术规程》（GB/T 26424-2010）；</w:t>
      </w:r>
    </w:p>
    <w:p w14:paraId="02135A25">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《造林技术规程》（GB/T 15776-2023）；</w:t>
      </w:r>
    </w:p>
    <w:p w14:paraId="3FFB41B1">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《退化林修复技术规程》（GB/T 44351-2024）。</w:t>
      </w:r>
    </w:p>
    <w:p w14:paraId="277F0D74">
      <w:pPr>
        <w:pStyle w:val="4"/>
        <w:numPr>
          <w:numId w:val="0"/>
        </w:numPr>
        <w:bidi w:val="0"/>
        <w:ind w:leftChars="0"/>
        <w:rPr>
          <w:rFonts w:hint="eastAsia" w:ascii="仿宋" w:hAnsi="仿宋" w:eastAsia="仿宋" w:cs="仿宋"/>
          <w:highlight w:val="none"/>
          <w:lang w:val="en-US" w:eastAsia="zh-CN"/>
        </w:rPr>
      </w:pPr>
      <w:r>
        <w:rPr>
          <w:rFonts w:hint="eastAsia" w:ascii="仿宋" w:hAnsi="仿宋" w:eastAsia="仿宋" w:cs="仿宋"/>
          <w:highlight w:val="none"/>
          <w:lang w:val="en-US" w:eastAsia="zh-CN"/>
        </w:rPr>
        <w:t>3.3.3行业标准</w:t>
      </w:r>
    </w:p>
    <w:p w14:paraId="72BD1E4E">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《造林作业设计规程》（LY/T 1607-2024）；</w:t>
      </w:r>
    </w:p>
    <w:p w14:paraId="46C2C59E">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《低效林改造技术规程》（LY/T 1690-2017）；</w:t>
      </w:r>
    </w:p>
    <w:p w14:paraId="6931E6F0">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《退化防护林修复技术规程》（LY/T 3179-2020）；</w:t>
      </w:r>
    </w:p>
    <w:p w14:paraId="4C07D66E">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《防护林体系规划技术规程》（LY/T 2827-2017）；</w:t>
      </w:r>
    </w:p>
    <w:p w14:paraId="7D0634D0">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《草地资源调查技术规程》（NY/T 2998-2016）；</w:t>
      </w:r>
    </w:p>
    <w:p w14:paraId="0F51C7BA">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《有机肥》（NY 525-2021）。</w:t>
      </w:r>
    </w:p>
    <w:p w14:paraId="5337C043">
      <w:pPr>
        <w:pStyle w:val="4"/>
        <w:numPr>
          <w:numId w:val="0"/>
        </w:numPr>
        <w:bidi w:val="0"/>
        <w:ind w:leftChars="0"/>
        <w:rPr>
          <w:rFonts w:hint="eastAsia" w:ascii="仿宋" w:hAnsi="仿宋" w:eastAsia="仿宋" w:cs="仿宋"/>
          <w:highlight w:val="none"/>
          <w:lang w:val="en-US" w:eastAsia="zh-CN"/>
        </w:rPr>
      </w:pPr>
      <w:r>
        <w:rPr>
          <w:rFonts w:hint="eastAsia" w:ascii="仿宋" w:hAnsi="仿宋" w:eastAsia="仿宋" w:cs="仿宋"/>
          <w:highlight w:val="none"/>
          <w:lang w:val="en-US" w:eastAsia="zh-CN"/>
        </w:rPr>
        <w:t>3.3.4地方标准</w:t>
      </w:r>
    </w:p>
    <w:p w14:paraId="7223F435">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《主要造林树种苗木质量分级》（DB15T374-2023）；</w:t>
      </w:r>
    </w:p>
    <w:p w14:paraId="3E90310A">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《内蒙古自治区造林技术规程》（DB15/T389-2021）。</w:t>
      </w:r>
    </w:p>
    <w:p w14:paraId="795E4B75">
      <w:pPr>
        <w:pStyle w:val="4"/>
        <w:numPr>
          <w:numId w:val="0"/>
        </w:numPr>
        <w:bidi w:val="0"/>
        <w:ind w:leftChars="0"/>
        <w:rPr>
          <w:rFonts w:hint="eastAsia" w:ascii="仿宋" w:hAnsi="仿宋" w:eastAsia="仿宋" w:cs="仿宋"/>
          <w:highlight w:val="none"/>
          <w:lang w:val="en-US" w:eastAsia="zh-CN"/>
        </w:rPr>
      </w:pPr>
      <w:r>
        <w:rPr>
          <w:rFonts w:hint="eastAsia" w:ascii="仿宋" w:hAnsi="仿宋" w:eastAsia="仿宋" w:cs="仿宋"/>
          <w:highlight w:val="none"/>
          <w:lang w:val="en-US" w:eastAsia="zh-CN"/>
        </w:rPr>
        <w:t>3.3.5数据成果</w:t>
      </w:r>
    </w:p>
    <w:bookmarkEnd w:id="17"/>
    <w:p w14:paraId="65220169">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临河区2024年度国土三调变更成果库；</w:t>
      </w:r>
    </w:p>
    <w:p w14:paraId="2777E776">
      <w:pPr>
        <w:pStyle w:val="10"/>
        <w:ind w:left="0" w:leftChars="0" w:firstLine="450" w:firstLineChars="150"/>
        <w:rPr>
          <w:rFonts w:hint="eastAsia" w:ascii="仿宋" w:hAnsi="仿宋" w:eastAsia="仿宋" w:cs="仿宋"/>
          <w:bCs/>
          <w:color w:val="auto"/>
          <w:kern w:val="2"/>
          <w:sz w:val="30"/>
          <w:szCs w:val="30"/>
          <w:highlight w:val="none"/>
          <w:lang w:val="en-US" w:eastAsia="zh-CN" w:bidi="ar-SA"/>
        </w:rPr>
      </w:pPr>
      <w:r>
        <w:rPr>
          <w:rFonts w:hint="eastAsia" w:ascii="仿宋" w:hAnsi="仿宋" w:eastAsia="仿宋" w:cs="仿宋"/>
          <w:bCs/>
          <w:color w:val="auto"/>
          <w:kern w:val="2"/>
          <w:sz w:val="30"/>
          <w:szCs w:val="30"/>
          <w:highlight w:val="none"/>
          <w:lang w:val="en-US" w:eastAsia="zh-CN" w:bidi="ar-SA"/>
        </w:rPr>
        <w:t>临河区2024年度森林草原湿地荒漠调查监测数据库。</w:t>
      </w:r>
    </w:p>
    <w:bookmarkEnd w:id="18"/>
    <w:bookmarkEnd w:id="19"/>
    <w:p w14:paraId="3EA8F6EB">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eastAsia="zh-CN"/>
        </w:rPr>
      </w:pPr>
      <w:bookmarkStart w:id="20" w:name="_Toc249260885"/>
      <w:bookmarkStart w:id="21" w:name="_Toc20877"/>
      <w:bookmarkStart w:id="22" w:name="_Toc5045"/>
      <w:bookmarkStart w:id="23" w:name="_Toc5725"/>
      <w:r>
        <w:rPr>
          <w:rFonts w:hint="eastAsia" w:ascii="宋体" w:hAnsi="宋体" w:eastAsia="宋体" w:cs="宋体"/>
          <w:color w:val="auto"/>
          <w:highlight w:val="none"/>
          <w:lang w:val="en-US" w:eastAsia="zh-CN"/>
        </w:rPr>
        <w:t>3.4</w:t>
      </w:r>
      <w:r>
        <w:rPr>
          <w:rFonts w:hint="eastAsia" w:ascii="宋体" w:hAnsi="宋体" w:eastAsia="宋体" w:cs="宋体"/>
          <w:color w:val="auto"/>
          <w:highlight w:val="none"/>
        </w:rPr>
        <w:t>项目总流程</w:t>
      </w:r>
      <w:bookmarkEnd w:id="20"/>
      <w:bookmarkEnd w:id="21"/>
      <w:bookmarkEnd w:id="22"/>
      <w:bookmarkEnd w:id="23"/>
    </w:p>
    <w:p w14:paraId="763C13B7">
      <w:pPr>
        <w:pageBreakBefore w:val="0"/>
        <w:numPr>
          <w:ilvl w:val="0"/>
          <w:numId w:val="4"/>
        </w:numPr>
        <w:kinsoku/>
        <w:wordWrap/>
        <w:overflowPunct/>
        <w:topLinePunct w:val="0"/>
        <w:bidi w:val="0"/>
        <w:snapToGrid/>
        <w:spacing w:beforeAutospacing="0" w:afterAutospacing="0" w:line="600" w:lineRule="exact"/>
        <w:ind w:left="425" w:leftChars="0" w:hanging="425" w:firstLineChars="0"/>
        <w:rPr>
          <w:rFonts w:hint="eastAsia" w:ascii="仿宋" w:hAnsi="仿宋" w:eastAsia="仿宋" w:cs="仿宋"/>
          <w:color w:val="000000"/>
          <w:sz w:val="30"/>
          <w:szCs w:val="30"/>
          <w:highlight w:val="none"/>
          <w:lang w:val="en-US" w:eastAsia="zh-CN"/>
        </w:rPr>
      </w:pPr>
      <w:r>
        <w:rPr>
          <w:rFonts w:hint="eastAsia" w:ascii="仿宋" w:hAnsi="仿宋" w:eastAsia="仿宋" w:cs="仿宋"/>
          <w:color w:val="000000"/>
          <w:sz w:val="30"/>
          <w:szCs w:val="30"/>
          <w:highlight w:val="none"/>
          <w:lang w:val="en-US" w:eastAsia="zh-CN"/>
        </w:rPr>
        <w:t>项目前期准备：外业调查（小班面积、立地调查）→作业设计编制→设计审核；</w:t>
      </w:r>
    </w:p>
    <w:p w14:paraId="49F40A3E">
      <w:pPr>
        <w:pageBreakBefore w:val="0"/>
        <w:numPr>
          <w:ilvl w:val="0"/>
          <w:numId w:val="4"/>
        </w:numPr>
        <w:kinsoku/>
        <w:wordWrap/>
        <w:overflowPunct/>
        <w:topLinePunct w:val="0"/>
        <w:bidi w:val="0"/>
        <w:snapToGrid/>
        <w:spacing w:beforeAutospacing="0" w:afterAutospacing="0" w:line="600" w:lineRule="exact"/>
        <w:ind w:left="425" w:leftChars="0" w:hanging="425" w:firstLineChars="0"/>
        <w:rPr>
          <w:rFonts w:hint="eastAsia" w:ascii="仿宋" w:hAnsi="仿宋" w:eastAsia="仿宋" w:cs="仿宋"/>
          <w:color w:val="000000"/>
          <w:sz w:val="30"/>
          <w:szCs w:val="30"/>
          <w:highlight w:val="none"/>
          <w:lang w:val="en-US" w:eastAsia="zh-CN"/>
        </w:rPr>
      </w:pPr>
      <w:r>
        <w:rPr>
          <w:rFonts w:hint="eastAsia" w:ascii="仿宋" w:hAnsi="仿宋" w:eastAsia="仿宋" w:cs="仿宋"/>
          <w:color w:val="000000"/>
          <w:sz w:val="30"/>
          <w:szCs w:val="30"/>
          <w:highlight w:val="none"/>
          <w:lang w:val="en-US" w:eastAsia="zh-CN"/>
        </w:rPr>
        <w:t>施工准备：施工队伍进场→物资采购（苗木、石膏、有机肥、围栏等）→施工方案制定；</w:t>
      </w:r>
    </w:p>
    <w:p w14:paraId="4DE62940">
      <w:pPr>
        <w:pageBreakBefore w:val="0"/>
        <w:numPr>
          <w:ilvl w:val="0"/>
          <w:numId w:val="4"/>
        </w:numPr>
        <w:kinsoku/>
        <w:wordWrap/>
        <w:overflowPunct/>
        <w:topLinePunct w:val="0"/>
        <w:bidi w:val="0"/>
        <w:snapToGrid/>
        <w:spacing w:beforeAutospacing="0" w:afterAutospacing="0" w:line="600" w:lineRule="exact"/>
        <w:ind w:left="425" w:leftChars="0" w:hanging="425" w:firstLineChars="0"/>
        <w:rPr>
          <w:rFonts w:hint="eastAsia" w:ascii="仿宋" w:hAnsi="仿宋" w:eastAsia="仿宋" w:cs="仿宋"/>
          <w:color w:val="000000"/>
          <w:sz w:val="30"/>
          <w:szCs w:val="30"/>
          <w:highlight w:val="none"/>
          <w:lang w:val="en-US" w:eastAsia="zh-CN"/>
        </w:rPr>
      </w:pPr>
      <w:r>
        <w:rPr>
          <w:rFonts w:hint="eastAsia" w:ascii="仿宋" w:hAnsi="仿宋" w:eastAsia="仿宋" w:cs="仿宋"/>
          <w:color w:val="000000"/>
          <w:sz w:val="30"/>
          <w:szCs w:val="30"/>
          <w:highlight w:val="none"/>
          <w:lang w:val="en-US" w:eastAsia="zh-CN"/>
        </w:rPr>
        <w:t>现场施工：林地清理（移除枯树）→整地（机械整地、穴状整地）→土壤改良（石膏 + 有机肥分层施入）→植苗造林（坐水栽植）→设施建设（围栏、大门安装）；</w:t>
      </w:r>
    </w:p>
    <w:p w14:paraId="2EDAE226">
      <w:pPr>
        <w:pageBreakBefore w:val="0"/>
        <w:numPr>
          <w:ilvl w:val="0"/>
          <w:numId w:val="4"/>
        </w:numPr>
        <w:kinsoku/>
        <w:wordWrap/>
        <w:overflowPunct/>
        <w:topLinePunct w:val="0"/>
        <w:bidi w:val="0"/>
        <w:snapToGrid/>
        <w:spacing w:beforeAutospacing="0" w:afterAutospacing="0" w:line="600" w:lineRule="exact"/>
        <w:ind w:left="425" w:leftChars="0" w:hanging="425" w:firstLineChars="0"/>
        <w:rPr>
          <w:rFonts w:hint="eastAsia" w:ascii="仿宋" w:hAnsi="仿宋" w:eastAsia="仿宋" w:cs="仿宋"/>
          <w:color w:val="000000"/>
          <w:sz w:val="30"/>
          <w:szCs w:val="30"/>
          <w:highlight w:val="none"/>
          <w:lang w:val="en-US" w:eastAsia="zh-CN"/>
        </w:rPr>
      </w:pPr>
      <w:r>
        <w:rPr>
          <w:rFonts w:hint="eastAsia" w:ascii="仿宋" w:hAnsi="仿宋" w:eastAsia="仿宋" w:cs="仿宋"/>
          <w:color w:val="000000"/>
          <w:sz w:val="30"/>
          <w:szCs w:val="30"/>
          <w:highlight w:val="none"/>
          <w:lang w:val="en-US" w:eastAsia="zh-CN"/>
        </w:rPr>
        <w:t>抚育管护：灌溉→病虫害防治→防火巡护→补植→田埂 / 垄面维护；</w:t>
      </w:r>
    </w:p>
    <w:p w14:paraId="3DD8DFB5">
      <w:pPr>
        <w:pageBreakBefore w:val="0"/>
        <w:numPr>
          <w:ilvl w:val="0"/>
          <w:numId w:val="4"/>
        </w:numPr>
        <w:kinsoku/>
        <w:wordWrap/>
        <w:overflowPunct/>
        <w:topLinePunct w:val="0"/>
        <w:bidi w:val="0"/>
        <w:snapToGrid/>
        <w:spacing w:beforeAutospacing="0" w:afterAutospacing="0" w:line="600" w:lineRule="exact"/>
        <w:ind w:left="425" w:leftChars="0" w:hanging="425" w:firstLineChars="0"/>
        <w:rPr>
          <w:rFonts w:hint="eastAsia" w:ascii="仿宋" w:hAnsi="仿宋" w:eastAsia="仿宋" w:cs="仿宋"/>
          <w:color w:val="000000"/>
          <w:sz w:val="30"/>
          <w:szCs w:val="30"/>
          <w:highlight w:val="none"/>
          <w:lang w:val="en-US" w:eastAsia="zh-CN"/>
        </w:rPr>
      </w:pPr>
      <w:r>
        <w:rPr>
          <w:rFonts w:hint="eastAsia" w:ascii="仿宋" w:hAnsi="仿宋" w:eastAsia="仿宋" w:cs="仿宋"/>
          <w:color w:val="000000"/>
          <w:sz w:val="30"/>
          <w:szCs w:val="30"/>
          <w:highlight w:val="none"/>
          <w:lang w:val="en-US" w:eastAsia="zh-CN"/>
        </w:rPr>
        <w:t>检查验收：成活率自查验收（2026 年 9 月）→各项指标最终验收（造林 3 年后）→建档归档。</w:t>
      </w:r>
    </w:p>
    <w:p w14:paraId="19724536">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24" w:name="_Toc6488"/>
      <w:bookmarkStart w:id="25" w:name="_Toc29581"/>
      <w:bookmarkStart w:id="26" w:name="_Toc20090"/>
      <w:r>
        <w:rPr>
          <w:rFonts w:hint="eastAsia" w:ascii="宋体" w:hAnsi="宋体" w:eastAsia="宋体" w:cs="宋体"/>
          <w:color w:val="auto"/>
          <w:highlight w:val="none"/>
          <w:lang w:val="en-US" w:eastAsia="zh-CN"/>
        </w:rPr>
        <w:t>3.5</w:t>
      </w:r>
      <w:r>
        <w:rPr>
          <w:rFonts w:hint="eastAsia" w:ascii="宋体" w:hAnsi="宋体" w:eastAsia="宋体" w:cs="宋体"/>
          <w:color w:val="auto"/>
          <w:highlight w:val="none"/>
        </w:rPr>
        <w:t>项目环境保护、消防和能源节约</w:t>
      </w:r>
      <w:bookmarkEnd w:id="24"/>
      <w:bookmarkEnd w:id="25"/>
      <w:bookmarkEnd w:id="26"/>
    </w:p>
    <w:p w14:paraId="443C604F">
      <w:pPr>
        <w:pStyle w:val="4"/>
        <w:numPr>
          <w:numId w:val="0"/>
        </w:numPr>
        <w:bidi w:val="0"/>
        <w:ind w:leftChars="0"/>
        <w:rPr>
          <w:rFonts w:hint="eastAsia" w:ascii="仿宋" w:hAnsi="仿宋" w:eastAsia="仿宋" w:cs="仿宋"/>
          <w:highlight w:val="none"/>
        </w:rPr>
      </w:pPr>
      <w:r>
        <w:rPr>
          <w:rFonts w:hint="eastAsia" w:ascii="仿宋" w:hAnsi="仿宋" w:eastAsia="仿宋" w:cs="仿宋"/>
          <w:highlight w:val="none"/>
          <w:lang w:val="en-US" w:eastAsia="zh-CN"/>
        </w:rPr>
        <w:t>3.5.1</w:t>
      </w:r>
      <w:r>
        <w:rPr>
          <w:rFonts w:hint="eastAsia" w:ascii="仿宋" w:hAnsi="仿宋" w:eastAsia="仿宋" w:cs="仿宋"/>
          <w:highlight w:val="none"/>
        </w:rPr>
        <w:t>环境质量控制</w:t>
      </w:r>
    </w:p>
    <w:p w14:paraId="5B8EFE45">
      <w:pPr>
        <w:pStyle w:val="10"/>
        <w:rPr>
          <w:rFonts w:hint="eastAsia" w:ascii="仿宋" w:hAnsi="仿宋" w:eastAsia="仿宋" w:cs="仿宋"/>
          <w:b/>
          <w:bCs/>
          <w:color w:val="auto"/>
          <w:kern w:val="2"/>
          <w:sz w:val="30"/>
          <w:szCs w:val="30"/>
          <w:highlight w:val="none"/>
          <w:lang w:val="en-US" w:eastAsia="zh-CN" w:bidi="ar-SA"/>
        </w:rPr>
      </w:pPr>
      <w:bookmarkStart w:id="27" w:name="_Toc280125791"/>
      <w:bookmarkStart w:id="28" w:name="_Toc5413569"/>
      <w:bookmarkStart w:id="29" w:name="_Toc280125893"/>
      <w:bookmarkStart w:id="30" w:name="_Toc206754733"/>
      <w:r>
        <w:rPr>
          <w:rFonts w:hint="eastAsia" w:ascii="仿宋" w:hAnsi="仿宋" w:eastAsia="仿宋" w:cs="仿宋"/>
          <w:b/>
          <w:bCs/>
          <w:color w:val="auto"/>
          <w:kern w:val="2"/>
          <w:sz w:val="30"/>
          <w:szCs w:val="30"/>
          <w:highlight w:val="none"/>
          <w:lang w:val="en-US" w:eastAsia="zh-CN" w:bidi="ar-SA"/>
        </w:rPr>
        <w:t>（1）项目对环境影响</w:t>
      </w:r>
      <w:bookmarkEnd w:id="27"/>
      <w:bookmarkEnd w:id="28"/>
      <w:bookmarkEnd w:id="29"/>
      <w:bookmarkEnd w:id="30"/>
    </w:p>
    <w:p w14:paraId="77936BBE">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项目主要建设内容为</w:t>
      </w:r>
      <w:r>
        <w:rPr>
          <w:rFonts w:hint="eastAsia" w:ascii="仿宋" w:hAnsi="仿宋" w:eastAsia="仿宋" w:cs="仿宋"/>
          <w:sz w:val="30"/>
          <w:szCs w:val="30"/>
          <w:highlight w:val="none"/>
          <w:lang w:val="en-US" w:eastAsia="zh-CN"/>
        </w:rPr>
        <w:t>造林设计</w:t>
      </w:r>
      <w:r>
        <w:rPr>
          <w:rFonts w:hint="eastAsia" w:ascii="仿宋" w:hAnsi="仿宋" w:eastAsia="仿宋" w:cs="仿宋"/>
          <w:sz w:val="30"/>
          <w:szCs w:val="30"/>
          <w:highlight w:val="none"/>
        </w:rPr>
        <w:t>，对环境的影响主要为地表轻微扰动及工作人员的生活污染，但规模非常小，也不会产生工业“三废”，不会对环境造成较大破坏。</w:t>
      </w:r>
    </w:p>
    <w:p w14:paraId="149C0B03">
      <w:pPr>
        <w:pStyle w:val="10"/>
        <w:rPr>
          <w:rFonts w:hint="eastAsia" w:ascii="仿宋" w:hAnsi="仿宋" w:eastAsia="仿宋" w:cs="仿宋"/>
          <w:b/>
          <w:bCs/>
          <w:color w:val="auto"/>
          <w:kern w:val="2"/>
          <w:sz w:val="30"/>
          <w:szCs w:val="30"/>
          <w:highlight w:val="none"/>
          <w:lang w:val="en-US" w:eastAsia="zh-CN" w:bidi="ar-SA"/>
        </w:rPr>
      </w:pPr>
      <w:bookmarkStart w:id="31" w:name="_Toc280125792"/>
      <w:bookmarkStart w:id="32" w:name="_Toc280125894"/>
      <w:bookmarkStart w:id="33" w:name="_Toc206754734"/>
      <w:bookmarkStart w:id="34" w:name="_Toc5413570"/>
      <w:r>
        <w:rPr>
          <w:rFonts w:hint="eastAsia" w:ascii="仿宋" w:hAnsi="仿宋" w:eastAsia="仿宋" w:cs="仿宋"/>
          <w:b/>
          <w:bCs/>
          <w:color w:val="auto"/>
          <w:kern w:val="2"/>
          <w:sz w:val="30"/>
          <w:szCs w:val="30"/>
          <w:highlight w:val="none"/>
          <w:lang w:val="en-US" w:eastAsia="zh-CN" w:bidi="ar-SA"/>
        </w:rPr>
        <w:t>（2）环境保护措施</w:t>
      </w:r>
      <w:bookmarkEnd w:id="31"/>
      <w:bookmarkEnd w:id="32"/>
      <w:bookmarkEnd w:id="33"/>
      <w:bookmarkEnd w:id="34"/>
    </w:p>
    <w:p w14:paraId="4704084A">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为了严格保护项目区的环境质量，采取如下措施：</w:t>
      </w:r>
    </w:p>
    <w:p w14:paraId="01CFF87D">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① 项目区设置生活固废收集箱，清理后运出项目区交给专业部门处理。</w:t>
      </w:r>
    </w:p>
    <w:p w14:paraId="478D4D35">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② 附属设施施工严格按水土保持法、森林法、草原法、土地管理法等法律法规对环境保护的要求进行。</w:t>
      </w:r>
    </w:p>
    <w:p w14:paraId="6CC838C6">
      <w:pPr>
        <w:pStyle w:val="10"/>
        <w:rPr>
          <w:rFonts w:hint="eastAsia" w:ascii="仿宋" w:hAnsi="仿宋" w:eastAsia="仿宋" w:cs="仿宋"/>
          <w:b/>
          <w:bCs/>
          <w:color w:val="auto"/>
          <w:kern w:val="2"/>
          <w:sz w:val="30"/>
          <w:szCs w:val="30"/>
          <w:highlight w:val="none"/>
          <w:lang w:val="en-US" w:eastAsia="zh-CN" w:bidi="ar-SA"/>
        </w:rPr>
      </w:pPr>
      <w:bookmarkStart w:id="35" w:name="_Toc5413571"/>
      <w:bookmarkStart w:id="36" w:name="_Toc206754735"/>
      <w:bookmarkStart w:id="37" w:name="_Toc280125895"/>
      <w:r>
        <w:rPr>
          <w:rFonts w:hint="eastAsia" w:ascii="仿宋" w:hAnsi="仿宋" w:eastAsia="仿宋" w:cs="仿宋"/>
          <w:b/>
          <w:bCs/>
          <w:color w:val="auto"/>
          <w:kern w:val="2"/>
          <w:sz w:val="30"/>
          <w:szCs w:val="30"/>
          <w:highlight w:val="none"/>
          <w:lang w:val="en-US" w:eastAsia="zh-CN" w:bidi="ar-SA"/>
        </w:rPr>
        <w:t>（3）环境影响评价</w:t>
      </w:r>
      <w:bookmarkEnd w:id="35"/>
      <w:bookmarkEnd w:id="36"/>
      <w:bookmarkEnd w:id="37"/>
    </w:p>
    <w:p w14:paraId="59238A49">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建设不会产生工业“三废”，不会对土地资源造成破坏和水资源造成污染，不会造成地表大面积的植被破坏产生水土流失，小规模的环境影响均采取了完善的环境保护措施。从本质上说，本项目是为改善和提高环境质量服务的项目。</w:t>
      </w:r>
    </w:p>
    <w:p w14:paraId="35F41E43">
      <w:pPr>
        <w:pStyle w:val="4"/>
        <w:numPr>
          <w:numId w:val="0"/>
        </w:numPr>
        <w:bidi w:val="0"/>
        <w:ind w:leftChars="0"/>
        <w:rPr>
          <w:rFonts w:hint="eastAsia" w:ascii="仿宋" w:hAnsi="仿宋" w:eastAsia="仿宋" w:cs="仿宋"/>
          <w:highlight w:val="none"/>
        </w:rPr>
      </w:pPr>
      <w:bookmarkStart w:id="38" w:name="_Toc249260888"/>
      <w:bookmarkStart w:id="39" w:name="_Toc5413572"/>
      <w:bookmarkStart w:id="40" w:name="_Toc280125896"/>
      <w:r>
        <w:rPr>
          <w:rFonts w:hint="eastAsia" w:ascii="仿宋" w:hAnsi="仿宋" w:eastAsia="仿宋" w:cs="仿宋"/>
          <w:highlight w:val="none"/>
          <w:lang w:val="en-US" w:eastAsia="zh-CN"/>
        </w:rPr>
        <w:t>3.5.2</w:t>
      </w:r>
      <w:r>
        <w:rPr>
          <w:rFonts w:hint="eastAsia" w:ascii="仿宋" w:hAnsi="仿宋" w:eastAsia="仿宋" w:cs="仿宋"/>
          <w:highlight w:val="none"/>
        </w:rPr>
        <w:t>环境卫生</w:t>
      </w:r>
      <w:bookmarkEnd w:id="38"/>
      <w:bookmarkEnd w:id="39"/>
      <w:bookmarkEnd w:id="40"/>
    </w:p>
    <w:p w14:paraId="53D7BBB5">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项目主要建设内容为</w:t>
      </w:r>
      <w:r>
        <w:rPr>
          <w:rFonts w:hint="eastAsia" w:ascii="仿宋" w:hAnsi="仿宋" w:eastAsia="仿宋" w:cs="仿宋"/>
          <w:sz w:val="30"/>
          <w:szCs w:val="30"/>
          <w:highlight w:val="none"/>
          <w:lang w:val="en-US" w:eastAsia="zh-CN"/>
        </w:rPr>
        <w:t>造林设计</w:t>
      </w:r>
      <w:r>
        <w:rPr>
          <w:rFonts w:hint="eastAsia" w:ascii="仿宋" w:hAnsi="仿宋" w:eastAsia="仿宋" w:cs="仿宋"/>
          <w:sz w:val="30"/>
          <w:szCs w:val="30"/>
          <w:highlight w:val="none"/>
        </w:rPr>
        <w:t>，不会造成大面积的环境污染，小规模的环境扰动以《中华人民共和国环境保护法》、《建设项目环境保护设计规范》（国环（87）002）、《环境空气质量标准》（GB3095-1996）、《污水综合排放标准》（GB8978-1996）等环境质量控制法律、法规、标准为依据，严格保护环境，主要采取以下措施：</w:t>
      </w:r>
    </w:p>
    <w:p w14:paraId="13D5D21A">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（1）项目区的主要污染物为生活垃圾、生活废水，设置垃圾箱，垃圾箱处理物交专门部门处理。</w:t>
      </w:r>
    </w:p>
    <w:p w14:paraId="22EBC0A2">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（2）严格控制</w:t>
      </w:r>
      <w:r>
        <w:rPr>
          <w:rFonts w:hint="eastAsia" w:ascii="仿宋" w:hAnsi="仿宋" w:eastAsia="仿宋" w:cs="仿宋"/>
          <w:sz w:val="30"/>
          <w:szCs w:val="30"/>
          <w:highlight w:val="none"/>
          <w:lang w:val="en-US" w:eastAsia="zh-CN"/>
        </w:rPr>
        <w:t>施工车辆</w:t>
      </w:r>
      <w:r>
        <w:rPr>
          <w:rFonts w:hint="eastAsia" w:ascii="仿宋" w:hAnsi="仿宋" w:eastAsia="仿宋" w:cs="仿宋"/>
          <w:sz w:val="30"/>
          <w:szCs w:val="30"/>
          <w:highlight w:val="none"/>
        </w:rPr>
        <w:t>尾气污染环境和影响观测精度，机动车经环保部门检验，符合排放标准并持环保部门颁发的尾气排放合格证方可进入项目区。</w:t>
      </w:r>
    </w:p>
    <w:p w14:paraId="4A52C859">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（3）噪音超过国家标准的机动车辆限制进入项目区，出入区内的车辆需符合各项环境保护规定。</w:t>
      </w:r>
    </w:p>
    <w:p w14:paraId="0DBB7E97">
      <w:pPr>
        <w:pStyle w:val="4"/>
        <w:numPr>
          <w:numId w:val="0"/>
        </w:numPr>
        <w:bidi w:val="0"/>
        <w:ind w:leftChars="0"/>
        <w:rPr>
          <w:rFonts w:hint="eastAsia" w:ascii="仿宋" w:hAnsi="仿宋" w:eastAsia="仿宋" w:cs="仿宋"/>
          <w:highlight w:val="none"/>
        </w:rPr>
      </w:pPr>
      <w:bookmarkStart w:id="41" w:name="_Toc5413573"/>
      <w:bookmarkStart w:id="42" w:name="_Toc249260889"/>
      <w:bookmarkStart w:id="43" w:name="_Toc206754729"/>
      <w:bookmarkStart w:id="44" w:name="_Toc280125897"/>
      <w:r>
        <w:rPr>
          <w:rFonts w:hint="eastAsia" w:ascii="仿宋" w:hAnsi="仿宋" w:eastAsia="仿宋" w:cs="仿宋"/>
          <w:highlight w:val="none"/>
          <w:lang w:val="en-US" w:eastAsia="zh-CN"/>
        </w:rPr>
        <w:t>3.5.3</w:t>
      </w:r>
      <w:r>
        <w:rPr>
          <w:rFonts w:hint="eastAsia" w:ascii="仿宋" w:hAnsi="仿宋" w:eastAsia="仿宋" w:cs="仿宋"/>
          <w:highlight w:val="none"/>
        </w:rPr>
        <w:t>劳动安全</w:t>
      </w:r>
      <w:bookmarkEnd w:id="41"/>
      <w:bookmarkEnd w:id="42"/>
      <w:bookmarkEnd w:id="43"/>
      <w:bookmarkEnd w:id="44"/>
    </w:p>
    <w:p w14:paraId="24B90B18">
      <w:pPr>
        <w:tabs>
          <w:tab w:val="left" w:pos="3486"/>
        </w:tabs>
        <w:spacing w:line="64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为保证工作人员人身安全，建立各项安全工作制度，定期进行安全操作、安全工作的教育培训。</w:t>
      </w:r>
    </w:p>
    <w:p w14:paraId="666528D0">
      <w:pPr>
        <w:pStyle w:val="4"/>
        <w:numPr>
          <w:numId w:val="0"/>
        </w:numPr>
        <w:bidi w:val="0"/>
        <w:ind w:leftChars="0"/>
        <w:rPr>
          <w:rFonts w:hint="eastAsia" w:ascii="仿宋" w:hAnsi="仿宋" w:eastAsia="仿宋" w:cs="仿宋"/>
          <w:highlight w:val="none"/>
        </w:rPr>
      </w:pPr>
      <w:bookmarkStart w:id="45" w:name="_Toc206754730"/>
      <w:bookmarkStart w:id="46" w:name="_Toc280125899"/>
      <w:bookmarkStart w:id="47" w:name="_Toc5413575"/>
      <w:bookmarkStart w:id="48" w:name="_Toc249260891"/>
      <w:r>
        <w:rPr>
          <w:rFonts w:hint="eastAsia" w:ascii="仿宋" w:hAnsi="仿宋" w:eastAsia="仿宋" w:cs="仿宋"/>
          <w:highlight w:val="none"/>
          <w:lang w:val="en-US" w:eastAsia="zh-CN"/>
        </w:rPr>
        <w:t>3.5.4</w:t>
      </w:r>
      <w:r>
        <w:rPr>
          <w:rFonts w:hint="eastAsia" w:ascii="仿宋" w:hAnsi="仿宋" w:eastAsia="仿宋" w:cs="仿宋"/>
          <w:highlight w:val="none"/>
        </w:rPr>
        <w:t>节能措施</w:t>
      </w:r>
      <w:bookmarkEnd w:id="45"/>
      <w:bookmarkEnd w:id="46"/>
      <w:bookmarkEnd w:id="47"/>
      <w:bookmarkEnd w:id="48"/>
    </w:p>
    <w:p w14:paraId="598BA37A">
      <w:pPr>
        <w:pStyle w:val="7"/>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本项目执行过程中严格遵守《中华人民共和国节约能源法》。在项目执行过程中，加强对节能法律、法规和节能标准执行情况的监督检查。</w:t>
      </w:r>
    </w:p>
    <w:p w14:paraId="78FA525A">
      <w:pPr>
        <w:rPr>
          <w:rFonts w:hint="eastAsia" w:ascii="宋体" w:hAnsi="宋体" w:eastAsia="宋体" w:cs="宋体"/>
          <w:b w:val="0"/>
          <w:bCs w:val="0"/>
          <w:snapToGrid w:val="0"/>
          <w:color w:val="000000"/>
          <w:kern w:val="0"/>
          <w:sz w:val="28"/>
          <w:szCs w:val="28"/>
          <w:lang w:val="en-US" w:eastAsia="zh-CN" w:bidi="ar"/>
        </w:rPr>
      </w:pPr>
    </w:p>
    <w:p w14:paraId="0AB2203B">
      <w:pPr>
        <w:rPr>
          <w:rFonts w:hint="eastAsia" w:ascii="宋体" w:hAnsi="宋体" w:eastAsia="宋体" w:cs="宋体"/>
          <w:b w:val="0"/>
          <w:bCs w:val="0"/>
          <w:snapToGrid w:val="0"/>
          <w:color w:val="000000"/>
          <w:kern w:val="0"/>
          <w:sz w:val="28"/>
          <w:szCs w:val="28"/>
          <w:lang w:val="en-US" w:eastAsia="zh-CN" w:bidi="ar"/>
        </w:rPr>
      </w:pPr>
    </w:p>
    <w:p w14:paraId="3B0B480E">
      <w:pPr>
        <w:rPr>
          <w:rFonts w:hint="eastAsia" w:ascii="宋体" w:hAnsi="宋体" w:eastAsia="宋体" w:cs="宋体"/>
          <w:b w:val="0"/>
          <w:bCs w:val="0"/>
          <w:snapToGrid w:val="0"/>
          <w:color w:val="000000"/>
          <w:kern w:val="0"/>
          <w:sz w:val="28"/>
          <w:szCs w:val="28"/>
          <w:lang w:val="en-US" w:eastAsia="zh-CN" w:bidi="ar"/>
        </w:rPr>
      </w:pPr>
    </w:p>
    <w:p w14:paraId="3DA775A0">
      <w:pPr>
        <w:rPr>
          <w:rFonts w:hint="eastAsia" w:ascii="宋体" w:hAnsi="宋体" w:eastAsia="宋体" w:cs="宋体"/>
          <w:b w:val="0"/>
          <w:bCs w:val="0"/>
          <w:snapToGrid w:val="0"/>
          <w:color w:val="000000"/>
          <w:kern w:val="0"/>
          <w:sz w:val="28"/>
          <w:szCs w:val="28"/>
          <w:lang w:val="en-US" w:eastAsia="zh-CN" w:bidi="ar"/>
        </w:rPr>
      </w:pPr>
    </w:p>
    <w:p w14:paraId="6E4DE938">
      <w:pPr>
        <w:jc w:val="center"/>
        <w:rPr>
          <w:rFonts w:hint="eastAsia" w:ascii="宋体" w:hAnsi="宋体" w:eastAsia="宋体" w:cs="宋体"/>
          <w:b/>
          <w:bCs/>
          <w:snapToGrid w:val="0"/>
          <w:color w:val="000000"/>
          <w:kern w:val="0"/>
          <w:sz w:val="32"/>
          <w:szCs w:val="32"/>
          <w:lang w:val="en-US" w:eastAsia="zh-CN" w:bidi="ar"/>
        </w:rPr>
      </w:pPr>
      <w:r>
        <w:rPr>
          <w:rFonts w:hint="eastAsia" w:ascii="宋体" w:hAnsi="宋体" w:eastAsia="宋体" w:cs="宋体"/>
          <w:b/>
          <w:bCs/>
          <w:snapToGrid w:val="0"/>
          <w:color w:val="000000"/>
          <w:kern w:val="0"/>
          <w:sz w:val="32"/>
          <w:szCs w:val="32"/>
          <w:lang w:val="en-US" w:eastAsia="zh-CN" w:bidi="ar"/>
        </w:rPr>
        <w:t>第五章 建设布局及内容</w:t>
      </w:r>
    </w:p>
    <w:p w14:paraId="4CFA8273">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eastAsia="zh-CN"/>
        </w:rPr>
      </w:pPr>
      <w:bookmarkStart w:id="49" w:name="_Toc133632387"/>
      <w:bookmarkStart w:id="50" w:name="_Toc140047421"/>
      <w:bookmarkStart w:id="51" w:name="_Toc145992791"/>
      <w:bookmarkStart w:id="52" w:name="_Toc376940175"/>
      <w:bookmarkStart w:id="53" w:name="_Toc376940036"/>
      <w:bookmarkStart w:id="54" w:name="_Toc145993078"/>
      <w:bookmarkStart w:id="55" w:name="_Toc27462"/>
      <w:bookmarkStart w:id="56" w:name="_Toc1762"/>
      <w:bookmarkStart w:id="57" w:name="_Toc2406"/>
      <w:bookmarkStart w:id="58" w:name="_Toc12107"/>
      <w:r>
        <w:rPr>
          <w:rFonts w:hint="eastAsia" w:ascii="宋体" w:hAnsi="宋体" w:eastAsia="宋体" w:cs="宋体"/>
          <w:color w:val="auto"/>
          <w:highlight w:val="none"/>
          <w:lang w:val="en-US" w:eastAsia="zh-CN"/>
        </w:rPr>
        <w:t>5.1</w:t>
      </w:r>
      <w:r>
        <w:rPr>
          <w:rFonts w:hint="eastAsia" w:ascii="宋体" w:hAnsi="宋体" w:eastAsia="宋体" w:cs="宋体"/>
          <w:color w:val="auto"/>
          <w:highlight w:val="none"/>
        </w:rPr>
        <w:t>项目建设</w:t>
      </w:r>
      <w:bookmarkEnd w:id="49"/>
      <w:bookmarkEnd w:id="50"/>
      <w:bookmarkEnd w:id="51"/>
      <w:bookmarkEnd w:id="52"/>
      <w:bookmarkEnd w:id="53"/>
      <w:bookmarkEnd w:id="54"/>
      <w:r>
        <w:rPr>
          <w:rFonts w:hint="eastAsia" w:ascii="宋体" w:hAnsi="宋体" w:eastAsia="宋体" w:cs="宋体"/>
          <w:color w:val="auto"/>
          <w:highlight w:val="none"/>
          <w:lang w:val="en-US" w:eastAsia="zh-CN"/>
        </w:rPr>
        <w:t>布局</w:t>
      </w:r>
      <w:bookmarkEnd w:id="55"/>
      <w:bookmarkEnd w:id="56"/>
    </w:p>
    <w:p w14:paraId="2FCD5AAF">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b w:val="0"/>
          <w:bCs w:val="0"/>
          <w:color w:val="000000"/>
          <w:kern w:val="2"/>
          <w:sz w:val="30"/>
          <w:szCs w:val="30"/>
          <w:highlight w:val="none"/>
          <w:lang w:val="en-US" w:eastAsia="zh-CN" w:bidi="ar-SA"/>
        </w:rPr>
      </w:pPr>
      <w:bookmarkStart w:id="59" w:name="_Toc140047422"/>
      <w:bookmarkStart w:id="60" w:name="_Toc135621768"/>
      <w:r>
        <w:rPr>
          <w:rFonts w:hint="eastAsia" w:ascii="仿宋" w:hAnsi="仿宋" w:eastAsia="仿宋" w:cs="仿宋"/>
          <w:b w:val="0"/>
          <w:bCs w:val="0"/>
          <w:color w:val="000000"/>
          <w:kern w:val="2"/>
          <w:sz w:val="30"/>
          <w:szCs w:val="30"/>
          <w:highlight w:val="none"/>
          <w:lang w:val="en-US" w:eastAsia="zh-CN" w:bidi="ar-SA"/>
        </w:rPr>
        <w:t>项目区整体沿黄河冲积平原呈条带状分布，结合地块立地条件、植被现状、权属边界及修复目标，遵循 “因地制宜、分区施策、集中连片” 的原则，统筹布局植被修复、围栏封禁、灌溉配套等工程内容，确保项目布局与区域生态保护规划、国土空间规划相衔接。</w:t>
      </w:r>
    </w:p>
    <w:p w14:paraId="376A26BB">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项目建设</w:t>
      </w:r>
      <w:r>
        <w:rPr>
          <w:rFonts w:hint="eastAsia" w:ascii="仿宋" w:hAnsi="仿宋" w:eastAsia="仿宋" w:cs="仿宋"/>
          <w:color w:val="auto"/>
          <w:sz w:val="30"/>
          <w:szCs w:val="30"/>
          <w:highlight w:val="none"/>
        </w:rPr>
        <w:t>总面积</w:t>
      </w:r>
      <w:r>
        <w:rPr>
          <w:rFonts w:hint="eastAsia" w:ascii="仿宋" w:hAnsi="仿宋" w:eastAsia="仿宋" w:cs="仿宋"/>
          <w:color w:val="auto"/>
          <w:sz w:val="30"/>
          <w:szCs w:val="30"/>
          <w:highlight w:val="none"/>
          <w:lang w:val="en-US" w:eastAsia="zh-CN"/>
        </w:rPr>
        <w:t>为211.71亩，共涉及3个村，划分为7个小班。其中，富河村3个小班、128亩，新河村3个小班、69.29亩，黄河村1个小班、14.42亩。</w:t>
      </w:r>
    </w:p>
    <w:p w14:paraId="6FC898DC">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eastAsia="zh-CN"/>
        </w:rPr>
      </w:pPr>
      <w:bookmarkStart w:id="61" w:name="_Toc376940176"/>
      <w:bookmarkStart w:id="62" w:name="_Toc145993079"/>
      <w:bookmarkStart w:id="63" w:name="_Toc145992792"/>
      <w:bookmarkStart w:id="64" w:name="_Toc376940037"/>
      <w:bookmarkStart w:id="65" w:name="_Toc21338"/>
      <w:bookmarkStart w:id="66" w:name="_Toc1902"/>
      <w:r>
        <w:rPr>
          <w:rFonts w:hint="eastAsia" w:ascii="宋体" w:hAnsi="宋体" w:eastAsia="宋体" w:cs="宋体"/>
          <w:color w:val="auto"/>
          <w:highlight w:val="none"/>
          <w:lang w:val="en-US" w:eastAsia="zh-CN"/>
        </w:rPr>
        <w:t>5.2</w:t>
      </w:r>
      <w:r>
        <w:rPr>
          <w:rFonts w:hint="eastAsia" w:ascii="宋体" w:hAnsi="宋体" w:eastAsia="宋体" w:cs="宋体"/>
          <w:color w:val="auto"/>
          <w:highlight w:val="none"/>
        </w:rPr>
        <w:t>项目建设</w:t>
      </w:r>
      <w:bookmarkEnd w:id="59"/>
      <w:bookmarkEnd w:id="60"/>
      <w:bookmarkEnd w:id="61"/>
      <w:bookmarkEnd w:id="62"/>
      <w:bookmarkEnd w:id="63"/>
      <w:bookmarkEnd w:id="64"/>
      <w:r>
        <w:rPr>
          <w:rFonts w:hint="eastAsia" w:ascii="宋体" w:hAnsi="宋体" w:eastAsia="宋体" w:cs="宋体"/>
          <w:color w:val="auto"/>
          <w:highlight w:val="none"/>
          <w:lang w:val="en-US" w:eastAsia="zh-CN"/>
        </w:rPr>
        <w:t>内容</w:t>
      </w:r>
      <w:bookmarkEnd w:id="65"/>
      <w:bookmarkEnd w:id="66"/>
    </w:p>
    <w:p w14:paraId="18935FA9">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项目建设</w:t>
      </w:r>
      <w:r>
        <w:rPr>
          <w:rFonts w:hint="eastAsia" w:ascii="仿宋" w:hAnsi="仿宋" w:eastAsia="仿宋" w:cs="仿宋"/>
          <w:color w:val="auto"/>
          <w:sz w:val="30"/>
          <w:szCs w:val="30"/>
          <w:highlight w:val="none"/>
        </w:rPr>
        <w:t>总面积</w:t>
      </w:r>
      <w:r>
        <w:rPr>
          <w:rFonts w:hint="eastAsia" w:ascii="仿宋" w:hAnsi="仿宋" w:eastAsia="仿宋" w:cs="仿宋"/>
          <w:color w:val="auto"/>
          <w:sz w:val="30"/>
          <w:szCs w:val="30"/>
          <w:highlight w:val="none"/>
          <w:lang w:val="en-US" w:eastAsia="zh-CN"/>
        </w:rPr>
        <w:t>为211.71亩，</w:t>
      </w:r>
      <w:r>
        <w:rPr>
          <w:rFonts w:hint="eastAsia" w:ascii="仿宋" w:hAnsi="仿宋" w:eastAsia="仿宋" w:cs="仿宋"/>
          <w:color w:val="auto"/>
          <w:sz w:val="30"/>
          <w:szCs w:val="30"/>
          <w:highlight w:val="none"/>
        </w:rPr>
        <w:t>根据项目区的地形地貌特征，全部为</w:t>
      </w:r>
      <w:r>
        <w:rPr>
          <w:rFonts w:hint="eastAsia" w:ascii="仿宋" w:hAnsi="仿宋" w:eastAsia="仿宋" w:cs="仿宋"/>
          <w:color w:val="auto"/>
          <w:sz w:val="30"/>
          <w:szCs w:val="30"/>
          <w:highlight w:val="none"/>
          <w:lang w:val="en-US" w:eastAsia="zh-CN"/>
        </w:rPr>
        <w:t>植苗造林</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其中富河村128.00</w:t>
      </w:r>
      <w:r>
        <w:rPr>
          <w:rFonts w:hint="eastAsia" w:ascii="仿宋" w:hAnsi="仿宋" w:eastAsia="仿宋" w:cs="仿宋"/>
          <w:color w:val="auto"/>
          <w:sz w:val="30"/>
          <w:szCs w:val="30"/>
          <w:highlight w:val="none"/>
        </w:rPr>
        <w:t>亩</w:t>
      </w:r>
      <w:r>
        <w:rPr>
          <w:rFonts w:hint="eastAsia" w:ascii="仿宋" w:hAnsi="仿宋" w:eastAsia="仿宋" w:cs="仿宋"/>
          <w:color w:val="auto"/>
          <w:sz w:val="30"/>
          <w:szCs w:val="30"/>
          <w:highlight w:val="none"/>
          <w:lang w:val="en-US" w:eastAsia="zh-CN"/>
        </w:rPr>
        <w:t>、黄河村14.42</w:t>
      </w:r>
      <w:r>
        <w:rPr>
          <w:rFonts w:hint="eastAsia" w:ascii="仿宋" w:hAnsi="仿宋" w:eastAsia="仿宋" w:cs="仿宋"/>
          <w:color w:val="auto"/>
          <w:sz w:val="30"/>
          <w:szCs w:val="30"/>
          <w:highlight w:val="none"/>
        </w:rPr>
        <w:t>亩，全部</w:t>
      </w:r>
      <w:r>
        <w:rPr>
          <w:rFonts w:hint="eastAsia" w:ascii="仿宋" w:hAnsi="仿宋" w:eastAsia="仿宋" w:cs="仿宋"/>
          <w:color w:val="auto"/>
          <w:sz w:val="30"/>
          <w:szCs w:val="30"/>
          <w:highlight w:val="none"/>
          <w:lang w:val="en-US" w:eastAsia="zh-CN"/>
        </w:rPr>
        <w:t>营造杜梨砧木（嫁接早酥红梨）经济林。新河村69.29</w:t>
      </w:r>
      <w:r>
        <w:rPr>
          <w:rFonts w:hint="eastAsia" w:ascii="仿宋" w:hAnsi="仿宋" w:eastAsia="仿宋" w:cs="仿宋"/>
          <w:color w:val="auto"/>
          <w:sz w:val="30"/>
          <w:szCs w:val="30"/>
          <w:highlight w:val="none"/>
        </w:rPr>
        <w:t>亩，全部</w:t>
      </w:r>
      <w:r>
        <w:rPr>
          <w:rFonts w:hint="eastAsia" w:ascii="仿宋" w:hAnsi="仿宋" w:eastAsia="仿宋" w:cs="仿宋"/>
          <w:color w:val="auto"/>
          <w:sz w:val="30"/>
          <w:szCs w:val="30"/>
          <w:highlight w:val="none"/>
          <w:lang w:val="en-US" w:eastAsia="zh-CN"/>
        </w:rPr>
        <w:t>营造新疆大果沙枣防护林</w:t>
      </w:r>
      <w:r>
        <w:rPr>
          <w:rFonts w:hint="eastAsia" w:ascii="仿宋" w:hAnsi="仿宋" w:eastAsia="仿宋" w:cs="仿宋"/>
          <w:color w:val="auto"/>
          <w:sz w:val="30"/>
          <w:szCs w:val="30"/>
          <w:highlight w:val="none"/>
        </w:rPr>
        <w:t>。详见</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REF _Ref13053 \h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 xml:space="preserve">表 </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STYLEREF 2 \s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5.2</w:t>
      </w:r>
      <w:r>
        <w:rPr>
          <w:rFonts w:hint="eastAsia" w:ascii="仿宋" w:hAnsi="仿宋" w:eastAsia="仿宋" w:cs="仿宋"/>
          <w:color w:val="auto"/>
          <w:sz w:val="30"/>
          <w:szCs w:val="30"/>
          <w:highlight w:val="none"/>
        </w:rPr>
        <w:fldChar w:fldCharType="end"/>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rPr>
        <w:fldChar w:fldCharType="end"/>
      </w:r>
      <w:r>
        <w:rPr>
          <w:rFonts w:hint="eastAsia" w:ascii="仿宋" w:hAnsi="仿宋" w:eastAsia="仿宋" w:cs="仿宋"/>
          <w:color w:val="auto"/>
          <w:sz w:val="30"/>
          <w:szCs w:val="30"/>
          <w:highlight w:val="none"/>
        </w:rPr>
        <w:t>。</w:t>
      </w:r>
    </w:p>
    <w:p w14:paraId="1E2C119B">
      <w:pP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br w:type="page"/>
      </w:r>
    </w:p>
    <w:p w14:paraId="4EF22118">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rPr>
      </w:pPr>
    </w:p>
    <w:p w14:paraId="12F3E578">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eastAsia="zh-CN"/>
        </w:rPr>
      </w:pPr>
      <w:bookmarkStart w:id="67" w:name="_Ref13053"/>
      <w:r>
        <w:rPr>
          <w:rFonts w:hint="eastAsia" w:ascii="仿宋" w:hAnsi="仿宋" w:eastAsia="仿宋" w:cs="仿宋"/>
          <w:color w:val="auto"/>
          <w:sz w:val="30"/>
          <w:szCs w:val="30"/>
          <w:highlight w:val="none"/>
        </w:rPr>
        <w:t xml:space="preserve">表 </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STYLEREF 2 \s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5.2</w:t>
      </w:r>
      <w:r>
        <w:rPr>
          <w:rFonts w:hint="eastAsia" w:ascii="仿宋" w:hAnsi="仿宋" w:eastAsia="仿宋" w:cs="仿宋"/>
          <w:color w:val="auto"/>
          <w:sz w:val="30"/>
          <w:szCs w:val="30"/>
          <w:highlight w:val="none"/>
        </w:rPr>
        <w:fldChar w:fldCharType="end"/>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SEQ 表 \* ARABIC \s 2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rPr>
        <w:fldChar w:fldCharType="end"/>
      </w:r>
      <w:bookmarkEnd w:id="67"/>
      <w:r>
        <w:rPr>
          <w:rFonts w:hint="eastAsia" w:ascii="仿宋" w:hAnsi="仿宋" w:eastAsia="仿宋" w:cs="仿宋"/>
          <w:color w:val="auto"/>
          <w:sz w:val="30"/>
          <w:szCs w:val="30"/>
          <w:highlight w:val="none"/>
          <w:lang w:eastAsia="zh-CN"/>
        </w:rPr>
        <w:t xml:space="preserve">项目建设规模布局表         </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lang w:eastAsia="zh-CN"/>
        </w:rPr>
        <w:t>单位：亩</w:t>
      </w:r>
    </w:p>
    <w:tbl>
      <w:tblPr>
        <w:tblStyle w:val="15"/>
        <w:tblW w:w="90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18"/>
        <w:gridCol w:w="689"/>
        <w:gridCol w:w="693"/>
        <w:gridCol w:w="1379"/>
        <w:gridCol w:w="3127"/>
        <w:gridCol w:w="1075"/>
        <w:gridCol w:w="996"/>
      </w:tblGrid>
      <w:tr w14:paraId="05436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blHeader/>
          <w:jc w:val="center"/>
        </w:trPr>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CB7BEC">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建设地点</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16318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村</w:t>
            </w:r>
          </w:p>
        </w:tc>
        <w:tc>
          <w:tcPr>
            <w:tcW w:w="6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44C93B">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小班号</w:t>
            </w:r>
          </w:p>
        </w:tc>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E87965">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合计（亩）</w:t>
            </w:r>
          </w:p>
        </w:tc>
        <w:tc>
          <w:tcPr>
            <w:tcW w:w="312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C040D0">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措施</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AB12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树种</w:t>
            </w: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BBA30">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模式</w:t>
            </w:r>
          </w:p>
        </w:tc>
      </w:tr>
      <w:tr w14:paraId="7551B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ED229">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0D98E">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F242E">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D08A9">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31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B269C">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38885">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68331">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r>
      <w:tr w14:paraId="492C0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6C5C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临河区</w:t>
            </w:r>
          </w:p>
        </w:tc>
        <w:tc>
          <w:tcPr>
            <w:tcW w:w="13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688C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C237">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211.71</w:t>
            </w:r>
          </w:p>
        </w:tc>
        <w:tc>
          <w:tcPr>
            <w:tcW w:w="31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DAC46">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D9965">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18E0">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r>
      <w:tr w14:paraId="417BC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B77B6">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双河镇</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E77FBB">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富河村</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FEF59">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8677D">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128.00</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13876">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A94E0">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2A4CB">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r>
      <w:tr w14:paraId="7821FF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6C5D">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1D08B">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FF3B2">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7B92C">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22.71</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9B1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清理枯死木+土壤改良+整地+栽植+灌溉+围封</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73502">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杜梨</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2ACC5">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模式一</w:t>
            </w:r>
          </w:p>
        </w:tc>
      </w:tr>
      <w:tr w14:paraId="1FFBA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41B01">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2833D">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5A4C">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5038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33.36</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CE132">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清理枯死木+土壤改良+整地+栽植+灌溉+围封</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2BE5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杜梨</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C5A0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模式一</w:t>
            </w:r>
          </w:p>
        </w:tc>
      </w:tr>
      <w:tr w14:paraId="1C0E1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288F">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60352">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22E6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77F7">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71.93</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FC18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清理枯死木+土壤改良+整地+栽植+灌溉+围封</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E86C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杜梨</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2C05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模式一</w:t>
            </w:r>
          </w:p>
        </w:tc>
      </w:tr>
      <w:tr w14:paraId="539BE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82F1">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6FFC70">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新河村</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DF69F">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小计</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B2AE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83.71</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74E22">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E7807">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32CB7">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r>
      <w:tr w14:paraId="003A2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C34CD">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3601B">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EA84E">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E783">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D920">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土壤改良+整地+栽植+灌溉+围封</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8811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新疆大果沙枣</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4CE55">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模式二</w:t>
            </w:r>
          </w:p>
        </w:tc>
      </w:tr>
      <w:tr w14:paraId="7C32A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ECC13">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B2026">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ADC0E">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A301F">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49.87</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38079">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土壤改良+整地+栽植+灌溉+围封</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6C19E">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新疆大果沙枣</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F70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模式二</w:t>
            </w:r>
          </w:p>
        </w:tc>
      </w:tr>
      <w:tr w14:paraId="2A15E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E4BF9">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31216">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12A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851B9">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17.54</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7240">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土壤改良+整地+栽植+灌溉+围封</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6ABEB">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新疆大果沙枣</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BEF9A">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模式二</w:t>
            </w:r>
          </w:p>
        </w:tc>
      </w:tr>
      <w:tr w14:paraId="1F52A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7AD02">
            <w:pPr>
              <w:snapToGrid w:val="0"/>
              <w:ind w:left="0" w:leftChars="0" w:right="0" w:rightChars="0" w:firstLine="0" w:firstLineChars="0"/>
              <w:jc w:val="center"/>
              <w:rPr>
                <w:rFonts w:hint="eastAsia" w:ascii="宋体" w:hAnsi="宋体" w:eastAsia="宋体" w:cs="宋体"/>
                <w:b/>
                <w:bCs/>
                <w:i w:val="0"/>
                <w:iCs w:val="0"/>
                <w:color w:val="000000"/>
                <w:sz w:val="22"/>
                <w:szCs w:val="22"/>
                <w:u w:val="none"/>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DBFF9">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黄河村</w:t>
            </w:r>
          </w:p>
        </w:tc>
        <w:tc>
          <w:tcPr>
            <w:tcW w:w="6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A67A3">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C108">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14.42</w:t>
            </w:r>
          </w:p>
        </w:tc>
        <w:tc>
          <w:tcPr>
            <w:tcW w:w="31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0C265">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清理枯死木+土壤改良+整地+栽植+灌溉+围封</w:t>
            </w:r>
          </w:p>
        </w:tc>
        <w:tc>
          <w:tcPr>
            <w:tcW w:w="10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B9B1">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杜梨</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D3364">
            <w:pPr>
              <w:keepNext w:val="0"/>
              <w:keepLines w:val="0"/>
              <w:widowControl/>
              <w:suppressLineNumbers w:val="0"/>
              <w:snapToGrid w:val="0"/>
              <w:spacing w:line="240" w:lineRule="auto"/>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模式一</w:t>
            </w:r>
          </w:p>
        </w:tc>
      </w:tr>
    </w:tbl>
    <w:p w14:paraId="0EF79AC5">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315F6476">
      <w:pPr>
        <w:keepNext w:val="0"/>
        <w:keepLines w:val="0"/>
        <w:pageBreakBefore w:val="0"/>
        <w:widowControl w:val="0"/>
        <w:kinsoku/>
        <w:wordWrap/>
        <w:overflowPunct/>
        <w:topLinePunct w:val="0"/>
        <w:autoSpaceDE/>
        <w:autoSpaceDN/>
        <w:bidi w:val="0"/>
        <w:textAlignment w:val="auto"/>
        <w:rPr>
          <w:rFonts w:hint="eastAsia"/>
          <w:lang w:val="en-US" w:eastAsia="zh-CN"/>
        </w:rPr>
      </w:pPr>
    </w:p>
    <w:p w14:paraId="2792495D">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both"/>
        <w:textAlignment w:val="auto"/>
        <w:rPr>
          <w:rFonts w:hint="eastAsia" w:ascii="宋体" w:hAnsi="宋体" w:eastAsia="宋体" w:cs="宋体"/>
          <w:color w:val="auto"/>
          <w:highlight w:val="none"/>
          <w:lang w:val="en-US" w:eastAsia="zh-CN"/>
        </w:rPr>
      </w:pPr>
    </w:p>
    <w:p w14:paraId="695798C9">
      <w:pPr>
        <w:rPr>
          <w:rFonts w:hint="eastAsia"/>
          <w:lang w:val="en-US" w:eastAsia="zh-CN"/>
        </w:rPr>
      </w:pPr>
    </w:p>
    <w:p w14:paraId="4F8AC64A">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0EF9A2B7">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26FDE5A7">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34EB6F60">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both"/>
        <w:textAlignment w:val="auto"/>
        <w:rPr>
          <w:rFonts w:hint="eastAsia" w:ascii="宋体" w:hAnsi="宋体" w:eastAsia="宋体" w:cs="宋体"/>
          <w:color w:val="auto"/>
          <w:highlight w:val="none"/>
          <w:lang w:val="en-US" w:eastAsia="zh-CN"/>
        </w:rPr>
      </w:pPr>
    </w:p>
    <w:p w14:paraId="552253D8">
      <w:pPr>
        <w:rPr>
          <w:rFonts w:hint="eastAsia"/>
          <w:lang w:val="en-US" w:eastAsia="zh-CN"/>
        </w:rPr>
      </w:pPr>
    </w:p>
    <w:p w14:paraId="3E417C21">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59C1C62F">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3C0967CF">
      <w:pPr>
        <w:pStyle w:val="2"/>
        <w:keepNext w:val="0"/>
        <w:keepLines w:val="0"/>
        <w:pageBreakBefore w:val="0"/>
        <w:widowControl w:val="0"/>
        <w:numPr>
          <w:ilvl w:val="0"/>
          <w:numId w:val="0"/>
        </w:numPr>
        <w:kinsoku/>
        <w:wordWrap/>
        <w:overflowPunct/>
        <w:topLinePunct w:val="0"/>
        <w:autoSpaceDE/>
        <w:autoSpaceDN/>
        <w:bidi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70CD3046">
      <w:pPr>
        <w:pStyle w:val="2"/>
        <w:keepNext w:val="0"/>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03B9A5DC">
      <w:pPr>
        <w:pStyle w:val="2"/>
        <w:keepNext w:val="0"/>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59256EC7">
      <w:pPr>
        <w:pStyle w:val="2"/>
        <w:keepNext w:val="0"/>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240" w:lineRule="auto"/>
        <w:ind w:leftChars="0"/>
        <w:jc w:val="center"/>
        <w:textAlignment w:val="auto"/>
        <w:rPr>
          <w:rFonts w:hint="eastAsia" w:ascii="宋体" w:hAnsi="宋体" w:eastAsia="宋体" w:cs="宋体"/>
          <w:color w:val="auto"/>
          <w:highlight w:val="none"/>
          <w:lang w:val="en-US" w:eastAsia="zh-CN"/>
        </w:rPr>
      </w:pPr>
    </w:p>
    <w:p w14:paraId="6719A770">
      <w:pPr>
        <w:rPr>
          <w:rFonts w:hint="eastAsia" w:ascii="宋体" w:hAnsi="宋体" w:eastAsia="宋体" w:cs="宋体"/>
          <w:color w:val="auto"/>
          <w:highlight w:val="none"/>
          <w:lang w:val="en-US" w:eastAsia="zh-CN"/>
        </w:rPr>
      </w:pPr>
    </w:p>
    <w:p w14:paraId="265DEA1E">
      <w:pPr>
        <w:rPr>
          <w:rFonts w:hint="eastAsia" w:ascii="宋体" w:hAnsi="宋体" w:eastAsia="宋体" w:cs="宋体"/>
          <w:color w:val="auto"/>
          <w:highlight w:val="none"/>
          <w:lang w:val="en-US" w:eastAsia="zh-CN"/>
        </w:rPr>
      </w:pPr>
    </w:p>
    <w:p w14:paraId="6DA9C54B">
      <w:pPr>
        <w:pStyle w:val="2"/>
        <w:keepNext w:val="0"/>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240" w:lineRule="auto"/>
        <w:ind w:leftChars="0"/>
        <w:jc w:val="both"/>
        <w:textAlignment w:val="auto"/>
        <w:rPr>
          <w:rFonts w:hint="eastAsia" w:ascii="宋体" w:hAnsi="宋体" w:eastAsia="宋体" w:cs="宋体"/>
          <w:color w:val="auto"/>
          <w:highlight w:val="none"/>
          <w:lang w:val="en-US" w:eastAsia="zh-CN"/>
        </w:rPr>
      </w:pPr>
    </w:p>
    <w:p w14:paraId="59F705F7">
      <w:pPr>
        <w:pStyle w:val="2"/>
        <w:keepNext w:val="0"/>
        <w:keepLines/>
        <w:pageBreakBefore w:val="0"/>
        <w:widowControl w:val="0"/>
        <w:numPr>
          <w:ilvl w:val="0"/>
          <w:numId w:val="0"/>
        </w:numPr>
        <w:kinsoku/>
        <w:wordWrap/>
        <w:overflowPunct/>
        <w:topLinePunct w:val="0"/>
        <w:autoSpaceDE/>
        <w:autoSpaceDN/>
        <w:bidi w:val="0"/>
        <w:adjustRightInd w:val="0"/>
        <w:snapToGrid w:val="0"/>
        <w:spacing w:before="0" w:beforeLines="0" w:after="0" w:afterLines="0" w:line="240" w:lineRule="auto"/>
        <w:ind w:leftChars="0"/>
        <w:jc w:val="center"/>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第六章 </w:t>
      </w:r>
      <w:r>
        <w:rPr>
          <w:rFonts w:hint="eastAsia" w:ascii="宋体" w:hAnsi="宋体" w:eastAsia="宋体" w:cs="宋体"/>
          <w:color w:val="auto"/>
          <w:highlight w:val="none"/>
        </w:rPr>
        <w:t>作业设计</w:t>
      </w:r>
      <w:bookmarkEnd w:id="57"/>
      <w:bookmarkEnd w:id="58"/>
    </w:p>
    <w:p w14:paraId="6F5304AD">
      <w:pPr>
        <w:pStyle w:val="3"/>
        <w:keepNext w:val="0"/>
        <w:keepLines/>
        <w:pageBreakBefore w:val="0"/>
        <w:widowControl w:val="0"/>
        <w:numPr>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eastAsia="宋体" w:cs="宋体"/>
          <w:color w:val="auto"/>
          <w:highlight w:val="none"/>
          <w:lang w:val="en-US" w:eastAsia="zh-CN"/>
        </w:rPr>
      </w:pPr>
      <w:bookmarkStart w:id="68" w:name="_Toc9848"/>
      <w:bookmarkStart w:id="69" w:name="_Toc25514"/>
      <w:r>
        <w:rPr>
          <w:rFonts w:hint="eastAsia" w:ascii="宋体" w:hAnsi="宋体" w:eastAsia="宋体" w:cs="宋体"/>
          <w:color w:val="auto"/>
          <w:highlight w:val="none"/>
          <w:lang w:val="en-US" w:eastAsia="zh-CN"/>
        </w:rPr>
        <w:t>6.1立地类型划分</w:t>
      </w:r>
      <w:bookmarkEnd w:id="68"/>
      <w:bookmarkEnd w:id="69"/>
    </w:p>
    <w:p w14:paraId="08718BF1">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b/>
          <w:color w:val="auto"/>
          <w:sz w:val="30"/>
          <w:szCs w:val="30"/>
          <w:highlight w:val="none"/>
        </w:rPr>
      </w:pPr>
      <w:r>
        <w:rPr>
          <w:rFonts w:hint="eastAsia" w:ascii="仿宋" w:hAnsi="仿宋" w:eastAsia="仿宋" w:cs="仿宋"/>
          <w:color w:val="auto"/>
          <w:sz w:val="30"/>
          <w:szCs w:val="30"/>
          <w:highlight w:val="none"/>
        </w:rPr>
        <w:t>经过外业调查，根据项目区地形地势、</w:t>
      </w:r>
      <w:r>
        <w:rPr>
          <w:rFonts w:hint="eastAsia" w:ascii="仿宋" w:hAnsi="仿宋" w:eastAsia="仿宋" w:cs="仿宋"/>
          <w:color w:val="auto"/>
          <w:sz w:val="30"/>
          <w:szCs w:val="30"/>
          <w:highlight w:val="none"/>
          <w:lang w:eastAsia="zh-CN"/>
        </w:rPr>
        <w:t>海拔</w:t>
      </w:r>
      <w:r>
        <w:rPr>
          <w:rFonts w:hint="eastAsia" w:ascii="仿宋" w:hAnsi="仿宋" w:eastAsia="仿宋" w:cs="仿宋"/>
          <w:color w:val="auto"/>
          <w:sz w:val="30"/>
          <w:szCs w:val="30"/>
          <w:highlight w:val="none"/>
        </w:rPr>
        <w:t>、坡度、坡向、坡位、土壤类型、土层厚度、主要植被等因子的特点，项目区</w:t>
      </w:r>
      <w:r>
        <w:rPr>
          <w:rFonts w:hint="eastAsia"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rPr>
        <w:t>个作业小班</w:t>
      </w:r>
      <w:r>
        <w:rPr>
          <w:rFonts w:hint="eastAsia" w:ascii="仿宋" w:hAnsi="仿宋" w:eastAsia="仿宋" w:cs="仿宋"/>
          <w:color w:val="auto"/>
          <w:sz w:val="30"/>
          <w:szCs w:val="30"/>
          <w:highlight w:val="none"/>
          <w:lang w:val="en-US" w:eastAsia="zh-CN"/>
        </w:rPr>
        <w:t>有1</w:t>
      </w:r>
      <w:r>
        <w:rPr>
          <w:rFonts w:hint="eastAsia" w:ascii="仿宋" w:hAnsi="仿宋" w:eastAsia="仿宋" w:cs="仿宋"/>
          <w:color w:val="auto"/>
          <w:sz w:val="30"/>
          <w:szCs w:val="30"/>
          <w:highlight w:val="none"/>
        </w:rPr>
        <w:t>个立地类型，具体立地特征详见</w:t>
      </w:r>
      <w:r>
        <w:rPr>
          <w:rFonts w:hint="eastAsia" w:ascii="仿宋" w:hAnsi="仿宋" w:eastAsia="仿宋" w:cs="仿宋"/>
          <w:color w:val="auto"/>
          <w:sz w:val="30"/>
          <w:szCs w:val="30"/>
          <w:highlight w:val="none"/>
          <w:lang w:val="en-US" w:eastAsia="zh-CN"/>
        </w:rPr>
        <w:fldChar w:fldCharType="begin"/>
      </w:r>
      <w:r>
        <w:rPr>
          <w:rFonts w:hint="eastAsia" w:ascii="仿宋" w:hAnsi="仿宋" w:eastAsia="仿宋" w:cs="仿宋"/>
          <w:color w:val="auto"/>
          <w:sz w:val="30"/>
          <w:szCs w:val="30"/>
          <w:highlight w:val="none"/>
          <w:lang w:val="en-US" w:eastAsia="zh-CN"/>
        </w:rPr>
        <w:instrText xml:space="preserve"> REF _Ref13458 \h </w:instrText>
      </w:r>
      <w:r>
        <w:rPr>
          <w:rFonts w:hint="eastAsia" w:ascii="仿宋" w:hAnsi="仿宋" w:eastAsia="仿宋" w:cs="仿宋"/>
          <w:color w:val="auto"/>
          <w:sz w:val="30"/>
          <w:szCs w:val="30"/>
          <w:highlight w:val="none"/>
          <w:lang w:val="en-US" w:eastAsia="zh-CN"/>
        </w:rPr>
        <w:fldChar w:fldCharType="separate"/>
      </w:r>
      <w:r>
        <w:rPr>
          <w:rFonts w:hint="eastAsia" w:ascii="仿宋" w:hAnsi="仿宋" w:eastAsia="仿宋" w:cs="仿宋"/>
          <w:color w:val="auto"/>
          <w:sz w:val="30"/>
          <w:szCs w:val="30"/>
          <w:highlight w:val="none"/>
        </w:rPr>
        <w:t xml:space="preserve">表 </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STYLEREF 2 \s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6.1</w:t>
      </w:r>
      <w:r>
        <w:rPr>
          <w:rFonts w:hint="eastAsia" w:ascii="仿宋" w:hAnsi="仿宋" w:eastAsia="仿宋" w:cs="仿宋"/>
          <w:color w:val="auto"/>
          <w:sz w:val="30"/>
          <w:szCs w:val="30"/>
          <w:highlight w:val="none"/>
        </w:rPr>
        <w:fldChar w:fldCharType="end"/>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fldChar w:fldCharType="end"/>
      </w:r>
      <w:r>
        <w:rPr>
          <w:rFonts w:hint="eastAsia" w:ascii="仿宋" w:hAnsi="仿宋" w:eastAsia="仿宋" w:cs="仿宋"/>
          <w:color w:val="auto"/>
          <w:sz w:val="30"/>
          <w:szCs w:val="30"/>
          <w:highlight w:val="none"/>
        </w:rPr>
        <w:t>。</w:t>
      </w:r>
    </w:p>
    <w:p w14:paraId="2B77D8EA">
      <w:pPr>
        <w:pageBreakBefore w:val="0"/>
        <w:kinsoku/>
        <w:wordWrap/>
        <w:overflowPunct/>
        <w:topLinePunct w:val="0"/>
        <w:autoSpaceDE/>
        <w:autoSpaceDN/>
        <w:bidi w:val="0"/>
        <w:snapToGrid/>
        <w:spacing w:beforeAutospacing="0" w:afterAutospacing="0" w:line="360" w:lineRule="auto"/>
        <w:jc w:val="center"/>
        <w:rPr>
          <w:rFonts w:hint="eastAsia" w:ascii="仿宋" w:hAnsi="仿宋" w:eastAsia="仿宋" w:cs="仿宋"/>
          <w:color w:val="auto"/>
          <w:sz w:val="30"/>
          <w:szCs w:val="30"/>
          <w:highlight w:val="none"/>
        </w:rPr>
      </w:pPr>
      <w:bookmarkStart w:id="70" w:name="_Ref13458"/>
      <w:r>
        <w:rPr>
          <w:rFonts w:hint="eastAsia" w:ascii="仿宋" w:hAnsi="仿宋" w:eastAsia="仿宋" w:cs="仿宋"/>
          <w:color w:val="auto"/>
          <w:sz w:val="30"/>
          <w:szCs w:val="30"/>
          <w:highlight w:val="none"/>
        </w:rPr>
        <w:t xml:space="preserve">表 </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STYLEREF 2 \s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6.1</w:t>
      </w:r>
      <w:r>
        <w:rPr>
          <w:rFonts w:hint="eastAsia" w:ascii="仿宋" w:hAnsi="仿宋" w:eastAsia="仿宋" w:cs="仿宋"/>
          <w:color w:val="auto"/>
          <w:sz w:val="30"/>
          <w:szCs w:val="30"/>
          <w:highlight w:val="none"/>
        </w:rPr>
        <w:fldChar w:fldCharType="end"/>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SEQ 表 \* ARABIC \s 2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rPr>
        <w:fldChar w:fldCharType="end"/>
      </w:r>
      <w:bookmarkEnd w:id="70"/>
      <w:r>
        <w:rPr>
          <w:rFonts w:hint="eastAsia" w:ascii="仿宋" w:hAnsi="仿宋" w:eastAsia="仿宋" w:cs="仿宋"/>
          <w:color w:val="auto"/>
          <w:sz w:val="30"/>
          <w:szCs w:val="30"/>
          <w:highlight w:val="none"/>
        </w:rPr>
        <w:t>立地类型一览表</w:t>
      </w:r>
    </w:p>
    <w:tbl>
      <w:tblPr>
        <w:tblStyle w:val="15"/>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666"/>
        <w:gridCol w:w="1955"/>
        <w:gridCol w:w="3535"/>
        <w:gridCol w:w="2563"/>
      </w:tblGrid>
      <w:tr w14:paraId="4F05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tblHeader/>
          <w:jc w:val="center"/>
        </w:trPr>
        <w:tc>
          <w:tcPr>
            <w:tcW w:w="666" w:type="dxa"/>
            <w:shd w:val="clear" w:color="auto" w:fill="auto"/>
            <w:tcMar>
              <w:top w:w="120" w:type="dxa"/>
              <w:left w:w="120" w:type="dxa"/>
              <w:bottom w:w="120" w:type="dxa"/>
              <w:right w:w="120" w:type="dxa"/>
            </w:tcMar>
            <w:vAlign w:val="center"/>
          </w:tcPr>
          <w:p w14:paraId="432EC411">
            <w:pPr>
              <w:keepNext w:val="0"/>
              <w:keepLines w:val="0"/>
              <w:widowControl/>
              <w:suppressLineNumbers w:val="0"/>
              <w:snapToGrid w:val="0"/>
              <w:spacing w:line="240" w:lineRule="auto"/>
              <w:ind w:left="0" w:leftChars="0" w:right="0" w:rightChars="0" w:firstLine="0" w:firstLineChars="0"/>
              <w:jc w:val="center"/>
              <w:rPr>
                <w:b/>
                <w:bCs/>
                <w:sz w:val="20"/>
                <w:szCs w:val="20"/>
              </w:rPr>
            </w:pPr>
            <w:r>
              <w:rPr>
                <w:rFonts w:ascii="宋体" w:hAnsi="宋体" w:eastAsia="宋体" w:cs="宋体"/>
                <w:b/>
                <w:bCs/>
                <w:color w:val="auto"/>
                <w:kern w:val="0"/>
                <w:sz w:val="20"/>
                <w:szCs w:val="20"/>
                <w:lang w:val="en-US" w:eastAsia="zh-CN" w:bidi="ar"/>
              </w:rPr>
              <w:t>类型</w:t>
            </w:r>
          </w:p>
        </w:tc>
        <w:tc>
          <w:tcPr>
            <w:tcW w:w="1955" w:type="dxa"/>
            <w:shd w:val="clear" w:color="auto" w:fill="auto"/>
            <w:tcMar>
              <w:top w:w="120" w:type="dxa"/>
              <w:left w:w="120" w:type="dxa"/>
              <w:bottom w:w="120" w:type="dxa"/>
              <w:right w:w="120" w:type="dxa"/>
            </w:tcMar>
            <w:vAlign w:val="center"/>
          </w:tcPr>
          <w:p w14:paraId="2A872CD5">
            <w:pPr>
              <w:keepNext w:val="0"/>
              <w:keepLines w:val="0"/>
              <w:widowControl/>
              <w:suppressLineNumbers w:val="0"/>
              <w:snapToGrid w:val="0"/>
              <w:spacing w:line="240" w:lineRule="auto"/>
              <w:ind w:left="0" w:leftChars="0" w:right="0" w:rightChars="0" w:firstLine="0" w:firstLineChars="0"/>
              <w:jc w:val="center"/>
              <w:rPr>
                <w:b/>
                <w:bCs/>
                <w:sz w:val="20"/>
                <w:szCs w:val="20"/>
              </w:rPr>
            </w:pPr>
            <w:r>
              <w:rPr>
                <w:rFonts w:ascii="宋体" w:hAnsi="宋体" w:eastAsia="宋体" w:cs="宋体"/>
                <w:b/>
                <w:bCs/>
                <w:color w:val="auto"/>
                <w:kern w:val="0"/>
                <w:sz w:val="20"/>
                <w:szCs w:val="20"/>
                <w:lang w:val="en-US" w:eastAsia="zh-CN" w:bidi="ar"/>
              </w:rPr>
              <w:t>代表树种/草种</w:t>
            </w:r>
          </w:p>
        </w:tc>
        <w:tc>
          <w:tcPr>
            <w:tcW w:w="3535" w:type="dxa"/>
            <w:shd w:val="clear" w:color="auto" w:fill="auto"/>
            <w:tcMar>
              <w:top w:w="120" w:type="dxa"/>
              <w:left w:w="120" w:type="dxa"/>
              <w:bottom w:w="120" w:type="dxa"/>
              <w:right w:w="120" w:type="dxa"/>
            </w:tcMar>
            <w:vAlign w:val="center"/>
          </w:tcPr>
          <w:p w14:paraId="632AF5EF">
            <w:pPr>
              <w:keepNext w:val="0"/>
              <w:keepLines w:val="0"/>
              <w:widowControl/>
              <w:suppressLineNumbers w:val="0"/>
              <w:snapToGrid w:val="0"/>
              <w:spacing w:line="240" w:lineRule="auto"/>
              <w:ind w:left="0" w:leftChars="0" w:right="0" w:rightChars="0" w:firstLine="0" w:firstLineChars="0"/>
              <w:jc w:val="center"/>
              <w:rPr>
                <w:b/>
                <w:bCs/>
                <w:sz w:val="20"/>
                <w:szCs w:val="20"/>
              </w:rPr>
            </w:pPr>
            <w:r>
              <w:rPr>
                <w:rFonts w:ascii="宋体" w:hAnsi="宋体" w:eastAsia="宋体" w:cs="宋体"/>
                <w:b/>
                <w:bCs/>
                <w:color w:val="auto"/>
                <w:kern w:val="0"/>
                <w:sz w:val="20"/>
                <w:szCs w:val="20"/>
                <w:lang w:val="en-US" w:eastAsia="zh-CN" w:bidi="ar"/>
              </w:rPr>
              <w:t>立地条件核心特征</w:t>
            </w:r>
          </w:p>
        </w:tc>
        <w:tc>
          <w:tcPr>
            <w:tcW w:w="2563" w:type="dxa"/>
            <w:shd w:val="clear" w:color="auto" w:fill="auto"/>
            <w:tcMar>
              <w:top w:w="120" w:type="dxa"/>
              <w:left w:w="120" w:type="dxa"/>
              <w:bottom w:w="120" w:type="dxa"/>
              <w:right w:w="120" w:type="dxa"/>
            </w:tcMar>
            <w:vAlign w:val="center"/>
          </w:tcPr>
          <w:p w14:paraId="1B7CE135">
            <w:pPr>
              <w:keepNext w:val="0"/>
              <w:keepLines w:val="0"/>
              <w:widowControl/>
              <w:suppressLineNumbers w:val="0"/>
              <w:snapToGrid w:val="0"/>
              <w:spacing w:line="240" w:lineRule="auto"/>
              <w:ind w:left="0" w:leftChars="0" w:right="0" w:rightChars="0" w:firstLine="0" w:firstLineChars="0"/>
              <w:jc w:val="center"/>
              <w:rPr>
                <w:b/>
                <w:bCs/>
                <w:sz w:val="20"/>
                <w:szCs w:val="20"/>
              </w:rPr>
            </w:pPr>
            <w:r>
              <w:rPr>
                <w:rFonts w:ascii="宋体" w:hAnsi="宋体" w:eastAsia="宋体" w:cs="宋体"/>
                <w:b/>
                <w:bCs/>
                <w:color w:val="auto"/>
                <w:kern w:val="0"/>
                <w:sz w:val="20"/>
                <w:szCs w:val="20"/>
                <w:lang w:val="en-US" w:eastAsia="zh-CN" w:bidi="ar"/>
              </w:rPr>
              <w:t>适宜性说明</w:t>
            </w:r>
          </w:p>
        </w:tc>
      </w:tr>
      <w:tr w14:paraId="31FC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jc w:val="center"/>
        </w:trPr>
        <w:tc>
          <w:tcPr>
            <w:tcW w:w="666" w:type="dxa"/>
            <w:shd w:val="clear" w:color="auto" w:fill="auto"/>
            <w:tcMar>
              <w:top w:w="120" w:type="dxa"/>
              <w:left w:w="120" w:type="dxa"/>
              <w:bottom w:w="120" w:type="dxa"/>
              <w:right w:w="120" w:type="dxa"/>
            </w:tcMar>
            <w:vAlign w:val="center"/>
          </w:tcPr>
          <w:p w14:paraId="49D2DC20">
            <w:pPr>
              <w:keepNext w:val="0"/>
              <w:keepLines w:val="0"/>
              <w:widowControl/>
              <w:suppressLineNumbers w:val="0"/>
              <w:snapToGrid w:val="0"/>
              <w:spacing w:line="240" w:lineRule="auto"/>
              <w:ind w:left="0" w:leftChars="0" w:right="0" w:rightChars="0" w:firstLine="0" w:firstLineChars="0"/>
              <w:jc w:val="center"/>
              <w:rPr>
                <w:sz w:val="20"/>
                <w:szCs w:val="20"/>
              </w:rPr>
            </w:pPr>
            <w:r>
              <w:rPr>
                <w:rStyle w:val="18"/>
                <w:rFonts w:ascii="宋体" w:hAnsi="宋体" w:eastAsia="宋体" w:cs="宋体"/>
                <w:color w:val="auto"/>
                <w:kern w:val="0"/>
                <w:sz w:val="20"/>
                <w:szCs w:val="20"/>
                <w:lang w:val="en-US" w:eastAsia="zh-CN" w:bidi="ar"/>
              </w:rPr>
              <w:t>乔木</w:t>
            </w:r>
          </w:p>
        </w:tc>
        <w:tc>
          <w:tcPr>
            <w:tcW w:w="1955" w:type="dxa"/>
            <w:shd w:val="clear" w:color="auto" w:fill="auto"/>
            <w:tcMar>
              <w:top w:w="120" w:type="dxa"/>
              <w:left w:w="120" w:type="dxa"/>
              <w:bottom w:w="120" w:type="dxa"/>
              <w:right w:w="120" w:type="dxa"/>
            </w:tcMar>
            <w:vAlign w:val="center"/>
          </w:tcPr>
          <w:p w14:paraId="3042DDC3">
            <w:pPr>
              <w:keepNext w:val="0"/>
              <w:keepLines w:val="0"/>
              <w:widowControl/>
              <w:suppressLineNumbers w:val="0"/>
              <w:snapToGrid w:val="0"/>
              <w:spacing w:line="240" w:lineRule="auto"/>
              <w:ind w:left="0" w:leftChars="0" w:right="0" w:rightChars="0" w:firstLine="0" w:firstLineChars="0"/>
              <w:jc w:val="center"/>
              <w:rPr>
                <w:sz w:val="20"/>
                <w:szCs w:val="20"/>
              </w:rPr>
            </w:pPr>
            <w:r>
              <w:rPr>
                <w:rFonts w:ascii="宋体" w:hAnsi="宋体" w:eastAsia="宋体" w:cs="宋体"/>
                <w:color w:val="auto"/>
                <w:kern w:val="0"/>
                <w:sz w:val="20"/>
                <w:szCs w:val="20"/>
                <w:lang w:val="en-US" w:eastAsia="zh-CN" w:bidi="ar"/>
              </w:rPr>
              <w:t>杜梨、新疆杨</w:t>
            </w:r>
          </w:p>
        </w:tc>
        <w:tc>
          <w:tcPr>
            <w:tcW w:w="3535" w:type="dxa"/>
            <w:shd w:val="clear" w:color="auto" w:fill="auto"/>
            <w:tcMar>
              <w:top w:w="120" w:type="dxa"/>
              <w:left w:w="120" w:type="dxa"/>
              <w:bottom w:w="120" w:type="dxa"/>
              <w:right w:w="120" w:type="dxa"/>
            </w:tcMar>
            <w:vAlign w:val="center"/>
          </w:tcPr>
          <w:p w14:paraId="71C343C9">
            <w:pPr>
              <w:keepNext w:val="0"/>
              <w:keepLines w:val="0"/>
              <w:widowControl/>
              <w:suppressLineNumbers w:val="0"/>
              <w:snapToGrid w:val="0"/>
              <w:spacing w:line="240" w:lineRule="auto"/>
              <w:ind w:left="0" w:leftChars="0" w:right="0" w:rightChars="0" w:firstLine="0" w:firstLineChars="0"/>
              <w:jc w:val="left"/>
              <w:rPr>
                <w:sz w:val="20"/>
                <w:szCs w:val="20"/>
              </w:rPr>
            </w:pPr>
            <w:r>
              <w:rPr>
                <w:rFonts w:ascii="宋体" w:hAnsi="宋体" w:eastAsia="宋体" w:cs="宋体"/>
                <w:color w:val="auto"/>
                <w:kern w:val="0"/>
                <w:sz w:val="20"/>
                <w:szCs w:val="20"/>
                <w:lang w:val="en-US" w:eastAsia="zh-CN" w:bidi="ar"/>
              </w:rPr>
              <w:t>地貌：黄河冲积平原，地势平缓，局部低洼易积盐2. 土壤：灌淤土为主，</w:t>
            </w:r>
            <w:r>
              <w:rPr>
                <w:rStyle w:val="17"/>
                <w:rFonts w:ascii="宋体" w:hAnsi="宋体" w:eastAsia="宋体" w:cs="宋体"/>
                <w:color w:val="auto"/>
                <w:kern w:val="0"/>
                <w:sz w:val="20"/>
                <w:szCs w:val="20"/>
                <w:lang w:val="en-US" w:eastAsia="zh-CN" w:bidi="ar"/>
              </w:rPr>
              <w:t>微碱性 pH7.5–8.5</w:t>
            </w:r>
            <w:r>
              <w:rPr>
                <w:rFonts w:ascii="宋体" w:hAnsi="宋体" w:eastAsia="宋体" w:cs="宋体"/>
                <w:color w:val="auto"/>
                <w:kern w:val="0"/>
                <w:sz w:val="20"/>
                <w:szCs w:val="20"/>
                <w:lang w:val="en-US" w:eastAsia="zh-CN" w:bidi="ar"/>
              </w:rPr>
              <w:t>，轻度–中度盐渍化，土层较厚3. 水分：引黄灌溉便利，地下水埋深浅</w:t>
            </w:r>
            <w:r>
              <w:rPr>
                <w:rFonts w:ascii="宋体" w:hAnsi="宋体" w:eastAsia="宋体" w:cs="宋体"/>
                <w:color w:val="auto"/>
                <w:kern w:val="0"/>
                <w:sz w:val="18"/>
                <w:szCs w:val="18"/>
                <w:lang w:val="en-US" w:eastAsia="zh-CN" w:bidi="ar"/>
              </w:rPr>
              <w:t>（年均降水约 140mm）</w:t>
            </w:r>
          </w:p>
        </w:tc>
        <w:tc>
          <w:tcPr>
            <w:tcW w:w="2563" w:type="dxa"/>
            <w:shd w:val="clear" w:color="auto" w:fill="auto"/>
            <w:tcMar>
              <w:top w:w="120" w:type="dxa"/>
              <w:left w:w="120" w:type="dxa"/>
              <w:bottom w:w="120" w:type="dxa"/>
              <w:right w:w="120" w:type="dxa"/>
            </w:tcMar>
            <w:vAlign w:val="center"/>
          </w:tcPr>
          <w:p w14:paraId="001866AC">
            <w:pPr>
              <w:keepNext w:val="0"/>
              <w:keepLines w:val="0"/>
              <w:widowControl/>
              <w:suppressLineNumbers w:val="0"/>
              <w:snapToGrid w:val="0"/>
              <w:spacing w:line="240" w:lineRule="auto"/>
              <w:ind w:left="0" w:leftChars="0" w:right="0" w:rightChars="0" w:firstLine="0" w:firstLineChars="0"/>
              <w:jc w:val="left"/>
              <w:rPr>
                <w:sz w:val="20"/>
                <w:szCs w:val="20"/>
              </w:rPr>
            </w:pPr>
            <w:r>
              <w:rPr>
                <w:rFonts w:ascii="宋体" w:hAnsi="宋体" w:eastAsia="宋体" w:cs="宋体"/>
                <w:color w:val="auto"/>
                <w:kern w:val="0"/>
                <w:sz w:val="20"/>
                <w:szCs w:val="20"/>
                <w:lang w:val="en-US" w:eastAsia="zh-CN" w:bidi="ar"/>
              </w:rPr>
              <w:t>耐盐碱、耐旱、抗风、根系深，适配沿黄堤岸与防护林带，成活率高</w:t>
            </w:r>
          </w:p>
        </w:tc>
      </w:tr>
    </w:tbl>
    <w:p w14:paraId="5EFA0296">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71" w:name="_Toc8154"/>
      <w:bookmarkStart w:id="72" w:name="_Toc20194"/>
      <w:r>
        <w:rPr>
          <w:rFonts w:hint="eastAsia" w:ascii="宋体" w:hAnsi="宋体" w:eastAsia="宋体" w:cs="宋体"/>
          <w:color w:val="auto"/>
          <w:highlight w:val="none"/>
          <w:lang w:val="en-US" w:eastAsia="zh-CN"/>
        </w:rPr>
        <w:t>6.2树种、林种设计</w:t>
      </w:r>
      <w:bookmarkEnd w:id="71"/>
      <w:bookmarkEnd w:id="72"/>
    </w:p>
    <w:p w14:paraId="7BEFCBB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1"/>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项目区地处河套平原，生态区位重要，生态脆弱，林种分为经济林和防护林。根据造林地立地条件及树种的生态学特性，本着因地制宜、适地适树的原则，选择树种新疆大果沙枣、杜梨作为树种。</w:t>
      </w:r>
    </w:p>
    <w:p w14:paraId="5893D63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1"/>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部分小班地类为乔木林地，现状无现存乔木立木、无有效幼树更新或有病虫害乔木树种需要清理，林地长期处于无立木、生态功能缺失状态，不符合乔木林地培育目标。为恢复林地乔木植被、提升生态防护，本次按无立木林地修复造林实施人工新造林，严格遵循适地适树原则选用乡土树种，执行造林密度、整地栽植、抚育管护等技术标准，确保造林成效与林地功能恢复，符合森林资源保护修复与科学绿化相关规定，特此说明。</w:t>
      </w:r>
    </w:p>
    <w:p w14:paraId="34169AFB">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73" w:name="_Toc24305"/>
      <w:bookmarkStart w:id="74" w:name="_Toc1997"/>
      <w:bookmarkStart w:id="75" w:name="_Toc10130"/>
      <w:r>
        <w:rPr>
          <w:rFonts w:hint="eastAsia" w:ascii="宋体" w:hAnsi="宋体" w:eastAsia="宋体" w:cs="宋体"/>
          <w:color w:val="auto"/>
          <w:highlight w:val="none"/>
          <w:lang w:val="en-US" w:eastAsia="zh-CN"/>
        </w:rPr>
        <w:t>6.3种苗</w:t>
      </w:r>
      <w:bookmarkEnd w:id="73"/>
      <w:bookmarkEnd w:id="74"/>
      <w:bookmarkEnd w:id="75"/>
    </w:p>
    <w:p w14:paraId="2517ACF3">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6.3.1质量要求</w:t>
      </w:r>
    </w:p>
    <w:p w14:paraId="59C6529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1"/>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苗木等级二级以上。</w:t>
      </w:r>
    </w:p>
    <w:p w14:paraId="6A95273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1"/>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工程所需种苗的生产和经营实行“三证一签”制度，必须具备：苗木生产许可证、质量检验合格证、植物检疫合格证和苗木产地标签。杜绝不合格种苗和来源不明的种苗。项目区所需苗木规格情况详见</w:t>
      </w:r>
      <w:r>
        <w:rPr>
          <w:rFonts w:hint="eastAsia" w:ascii="仿宋" w:hAnsi="仿宋" w:eastAsia="仿宋" w:cs="仿宋"/>
          <w:color w:val="auto"/>
          <w:sz w:val="30"/>
          <w:szCs w:val="30"/>
          <w:highlight w:val="none"/>
          <w:lang w:val="en-US" w:eastAsia="zh-CN"/>
        </w:rPr>
        <w:fldChar w:fldCharType="begin"/>
      </w:r>
      <w:r>
        <w:rPr>
          <w:rFonts w:hint="eastAsia" w:ascii="仿宋" w:hAnsi="仿宋" w:eastAsia="仿宋" w:cs="仿宋"/>
          <w:color w:val="auto"/>
          <w:sz w:val="30"/>
          <w:szCs w:val="30"/>
          <w:highlight w:val="none"/>
          <w:lang w:val="en-US" w:eastAsia="zh-CN"/>
        </w:rPr>
        <w:instrText xml:space="preserve"> REF _Ref19781 \h </w:instrText>
      </w:r>
      <w:r>
        <w:rPr>
          <w:rFonts w:hint="eastAsia" w:ascii="仿宋" w:hAnsi="仿宋" w:eastAsia="仿宋" w:cs="仿宋"/>
          <w:color w:val="auto"/>
          <w:sz w:val="30"/>
          <w:szCs w:val="30"/>
          <w:highlight w:val="none"/>
          <w:lang w:val="en-US" w:eastAsia="zh-CN"/>
        </w:rPr>
        <w:fldChar w:fldCharType="separate"/>
      </w:r>
      <w:r>
        <w:rPr>
          <w:color w:val="auto"/>
          <w:sz w:val="30"/>
          <w:szCs w:val="30"/>
          <w:highlight w:val="none"/>
        </w:rPr>
        <w:t xml:space="preserve">表 </w:t>
      </w:r>
      <w:r>
        <w:rPr>
          <w:color w:val="auto"/>
          <w:sz w:val="30"/>
          <w:szCs w:val="30"/>
          <w:highlight w:val="none"/>
        </w:rPr>
        <w:fldChar w:fldCharType="begin"/>
      </w:r>
      <w:r>
        <w:rPr>
          <w:color w:val="auto"/>
          <w:sz w:val="30"/>
          <w:szCs w:val="30"/>
          <w:highlight w:val="none"/>
        </w:rPr>
        <w:instrText xml:space="preserve"> STYLEREF 2 \s </w:instrText>
      </w:r>
      <w:r>
        <w:rPr>
          <w:color w:val="auto"/>
          <w:sz w:val="30"/>
          <w:szCs w:val="30"/>
          <w:highlight w:val="none"/>
        </w:rPr>
        <w:fldChar w:fldCharType="separate"/>
      </w:r>
      <w:r>
        <w:rPr>
          <w:color w:val="auto"/>
          <w:sz w:val="30"/>
          <w:szCs w:val="30"/>
          <w:highlight w:val="none"/>
        </w:rPr>
        <w:t>6.</w:t>
      </w:r>
      <w:r>
        <w:rPr>
          <w:rFonts w:hint="eastAsia"/>
          <w:color w:val="auto"/>
          <w:sz w:val="30"/>
          <w:szCs w:val="30"/>
          <w:highlight w:val="none"/>
          <w:lang w:val="en-US" w:eastAsia="zh-CN"/>
        </w:rPr>
        <w:t>3</w:t>
      </w:r>
      <w:r>
        <w:rPr>
          <w:color w:val="auto"/>
          <w:sz w:val="30"/>
          <w:szCs w:val="30"/>
          <w:highlight w:val="none"/>
        </w:rPr>
        <w:fldChar w:fldCharType="end"/>
      </w:r>
      <w:r>
        <w:rPr>
          <w:rFonts w:hint="eastAsia"/>
          <w:color w:val="auto"/>
          <w:sz w:val="30"/>
          <w:szCs w:val="30"/>
          <w:highlight w:val="none"/>
          <w:lang w:eastAsia="zh-CN"/>
        </w:rPr>
        <w:t>-</w:t>
      </w:r>
      <w:r>
        <w:rPr>
          <w:color w:val="auto"/>
          <w:sz w:val="30"/>
          <w:szCs w:val="30"/>
          <w:highlight w:val="none"/>
        </w:rPr>
        <w:t>1</w:t>
      </w:r>
      <w:r>
        <w:rPr>
          <w:rFonts w:hint="eastAsia" w:ascii="仿宋" w:hAnsi="仿宋" w:eastAsia="仿宋" w:cs="仿宋"/>
          <w:color w:val="auto"/>
          <w:sz w:val="30"/>
          <w:szCs w:val="30"/>
          <w:highlight w:val="none"/>
          <w:lang w:val="en-US" w:eastAsia="zh-CN"/>
        </w:rPr>
        <w:fldChar w:fldCharType="end"/>
      </w:r>
      <w:r>
        <w:rPr>
          <w:rFonts w:hint="eastAsia" w:ascii="仿宋" w:hAnsi="仿宋" w:eastAsia="仿宋" w:cs="仿宋"/>
          <w:color w:val="auto"/>
          <w:sz w:val="30"/>
          <w:szCs w:val="30"/>
          <w:highlight w:val="none"/>
          <w:lang w:val="en-US" w:eastAsia="zh-CN"/>
        </w:rPr>
        <w:t>。</w:t>
      </w:r>
    </w:p>
    <w:p w14:paraId="1E20ED45">
      <w:pPr>
        <w:pStyle w:val="8"/>
        <w:keepNext w:val="0"/>
        <w:keepLines w:val="0"/>
        <w:pageBreakBefore w:val="0"/>
        <w:widowControl w:val="0"/>
        <w:kinsoku/>
        <w:wordWrap/>
        <w:overflowPunct/>
        <w:topLinePunct w:val="0"/>
        <w:autoSpaceDE/>
        <w:autoSpaceDN/>
        <w:bidi w:val="0"/>
        <w:adjustRightInd/>
        <w:snapToGrid/>
        <w:spacing w:beforeAutospacing="0" w:afterAutospacing="0" w:line="360" w:lineRule="auto"/>
        <w:jc w:val="center"/>
        <w:textAlignment w:val="auto"/>
        <w:rPr>
          <w:rFonts w:hint="eastAsia" w:ascii="仿宋" w:hAnsi="仿宋" w:eastAsia="仿宋" w:cs="仿宋"/>
          <w:color w:val="auto"/>
          <w:sz w:val="30"/>
          <w:szCs w:val="30"/>
          <w:highlight w:val="none"/>
          <w:lang w:val="en-US" w:eastAsia="zh-CN"/>
        </w:rPr>
      </w:pPr>
      <w:bookmarkStart w:id="76" w:name="_Ref19781"/>
      <w:r>
        <w:rPr>
          <w:color w:val="auto"/>
          <w:sz w:val="30"/>
          <w:szCs w:val="30"/>
          <w:highlight w:val="none"/>
        </w:rPr>
        <w:t xml:space="preserve">表 </w:t>
      </w:r>
      <w:r>
        <w:rPr>
          <w:color w:val="auto"/>
          <w:sz w:val="30"/>
          <w:szCs w:val="30"/>
          <w:highlight w:val="none"/>
        </w:rPr>
        <w:fldChar w:fldCharType="begin"/>
      </w:r>
      <w:r>
        <w:rPr>
          <w:color w:val="auto"/>
          <w:sz w:val="30"/>
          <w:szCs w:val="30"/>
          <w:highlight w:val="none"/>
        </w:rPr>
        <w:instrText xml:space="preserve"> STYLEREF 2 \s </w:instrText>
      </w:r>
      <w:r>
        <w:rPr>
          <w:color w:val="auto"/>
          <w:sz w:val="30"/>
          <w:szCs w:val="30"/>
          <w:highlight w:val="none"/>
        </w:rPr>
        <w:fldChar w:fldCharType="separate"/>
      </w:r>
      <w:r>
        <w:rPr>
          <w:color w:val="auto"/>
          <w:sz w:val="30"/>
          <w:szCs w:val="30"/>
          <w:highlight w:val="none"/>
        </w:rPr>
        <w:t>6.3</w:t>
      </w:r>
      <w:r>
        <w:rPr>
          <w:color w:val="auto"/>
          <w:sz w:val="30"/>
          <w:szCs w:val="30"/>
          <w:highlight w:val="none"/>
        </w:rPr>
        <w:fldChar w:fldCharType="end"/>
      </w:r>
      <w:r>
        <w:rPr>
          <w:rFonts w:hint="eastAsia"/>
          <w:color w:val="auto"/>
          <w:sz w:val="30"/>
          <w:szCs w:val="30"/>
          <w:highlight w:val="none"/>
          <w:lang w:eastAsia="zh-CN"/>
        </w:rPr>
        <w:t>-</w:t>
      </w:r>
      <w:r>
        <w:rPr>
          <w:color w:val="auto"/>
          <w:sz w:val="30"/>
          <w:szCs w:val="30"/>
          <w:highlight w:val="none"/>
        </w:rPr>
        <w:fldChar w:fldCharType="begin"/>
      </w:r>
      <w:r>
        <w:rPr>
          <w:color w:val="auto"/>
          <w:sz w:val="30"/>
          <w:szCs w:val="30"/>
          <w:highlight w:val="none"/>
        </w:rPr>
        <w:instrText xml:space="preserve"> SEQ 表 \* ARABIC \s 2 </w:instrText>
      </w:r>
      <w:r>
        <w:rPr>
          <w:color w:val="auto"/>
          <w:sz w:val="30"/>
          <w:szCs w:val="30"/>
          <w:highlight w:val="none"/>
        </w:rPr>
        <w:fldChar w:fldCharType="separate"/>
      </w:r>
      <w:r>
        <w:rPr>
          <w:color w:val="auto"/>
          <w:sz w:val="30"/>
          <w:szCs w:val="30"/>
          <w:highlight w:val="none"/>
        </w:rPr>
        <w:t>1</w:t>
      </w:r>
      <w:r>
        <w:rPr>
          <w:color w:val="auto"/>
          <w:sz w:val="30"/>
          <w:szCs w:val="30"/>
          <w:highlight w:val="none"/>
        </w:rPr>
        <w:fldChar w:fldCharType="end"/>
      </w:r>
      <w:bookmarkEnd w:id="76"/>
      <w:r>
        <w:rPr>
          <w:rFonts w:hint="eastAsia" w:ascii="仿宋" w:hAnsi="仿宋" w:eastAsia="仿宋" w:cs="仿宋"/>
          <w:color w:val="auto"/>
          <w:sz w:val="30"/>
          <w:szCs w:val="30"/>
          <w:highlight w:val="none"/>
          <w:lang w:val="en-US" w:eastAsia="zh-CN"/>
        </w:rPr>
        <w:t>苗木质量规格表</w:t>
      </w:r>
    </w:p>
    <w:tbl>
      <w:tblPr>
        <w:tblStyle w:val="15"/>
        <w:tblW w:w="4998" w:type="pct"/>
        <w:tblInd w:w="0" w:type="dxa"/>
        <w:tblLayout w:type="autofit"/>
        <w:tblCellMar>
          <w:top w:w="0" w:type="dxa"/>
          <w:left w:w="108" w:type="dxa"/>
          <w:bottom w:w="0" w:type="dxa"/>
          <w:right w:w="108" w:type="dxa"/>
        </w:tblCellMar>
      </w:tblPr>
      <w:tblGrid>
        <w:gridCol w:w="2250"/>
        <w:gridCol w:w="1800"/>
        <w:gridCol w:w="1759"/>
        <w:gridCol w:w="2710"/>
      </w:tblGrid>
      <w:tr w14:paraId="7EDB2E27">
        <w:tblPrEx>
          <w:tblCellMar>
            <w:top w:w="0" w:type="dxa"/>
            <w:left w:w="108" w:type="dxa"/>
            <w:bottom w:w="0" w:type="dxa"/>
            <w:right w:w="108" w:type="dxa"/>
          </w:tblCellMar>
        </w:tblPrEx>
        <w:trPr>
          <w:trHeight w:val="466" w:hRule="atLeast"/>
        </w:trPr>
        <w:tc>
          <w:tcPr>
            <w:tcW w:w="1321" w:type="pct"/>
            <w:tcBorders>
              <w:top w:val="single" w:color="auto" w:sz="4" w:space="0"/>
              <w:left w:val="single" w:color="auto" w:sz="4" w:space="0"/>
              <w:bottom w:val="single" w:color="auto" w:sz="4" w:space="0"/>
              <w:right w:val="single" w:color="auto" w:sz="8" w:space="0"/>
            </w:tcBorders>
            <w:noWrap w:val="0"/>
            <w:vAlign w:val="center"/>
          </w:tcPr>
          <w:p w14:paraId="7D3B85A6">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树种</w:t>
            </w:r>
          </w:p>
        </w:tc>
        <w:tc>
          <w:tcPr>
            <w:tcW w:w="1056" w:type="pct"/>
            <w:tcBorders>
              <w:top w:val="single" w:color="auto" w:sz="4" w:space="0"/>
              <w:left w:val="single" w:color="auto" w:sz="4" w:space="0"/>
              <w:bottom w:val="single" w:color="auto" w:sz="4" w:space="0"/>
              <w:right w:val="single" w:color="auto" w:sz="8" w:space="0"/>
            </w:tcBorders>
            <w:noWrap w:val="0"/>
            <w:vAlign w:val="center"/>
          </w:tcPr>
          <w:p w14:paraId="39B0239D">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苗木类型</w:t>
            </w:r>
          </w:p>
        </w:tc>
        <w:tc>
          <w:tcPr>
            <w:tcW w:w="1032" w:type="pct"/>
            <w:tcBorders>
              <w:top w:val="single" w:color="auto" w:sz="4" w:space="0"/>
              <w:left w:val="nil"/>
              <w:bottom w:val="single" w:color="auto" w:sz="4" w:space="0"/>
              <w:right w:val="single" w:color="auto" w:sz="8" w:space="0"/>
            </w:tcBorders>
            <w:noWrap w:val="0"/>
            <w:vAlign w:val="center"/>
          </w:tcPr>
          <w:p w14:paraId="217E7E38">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等级</w:t>
            </w:r>
          </w:p>
        </w:tc>
        <w:tc>
          <w:tcPr>
            <w:tcW w:w="1590" w:type="pct"/>
            <w:tcBorders>
              <w:top w:val="single" w:color="auto" w:sz="4" w:space="0"/>
              <w:left w:val="nil"/>
              <w:bottom w:val="single" w:color="auto" w:sz="4" w:space="0"/>
              <w:right w:val="single" w:color="auto" w:sz="8" w:space="0"/>
            </w:tcBorders>
            <w:noWrap w:val="0"/>
            <w:vAlign w:val="center"/>
          </w:tcPr>
          <w:p w14:paraId="42DECD75">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规格</w:t>
            </w:r>
          </w:p>
        </w:tc>
      </w:tr>
      <w:tr w14:paraId="72CE520E">
        <w:tblPrEx>
          <w:tblCellMar>
            <w:top w:w="0" w:type="dxa"/>
            <w:left w:w="108" w:type="dxa"/>
            <w:bottom w:w="0" w:type="dxa"/>
            <w:right w:w="108" w:type="dxa"/>
          </w:tblCellMar>
        </w:tblPrEx>
        <w:trPr>
          <w:trHeight w:val="354" w:hRule="atLeast"/>
        </w:trPr>
        <w:tc>
          <w:tcPr>
            <w:tcW w:w="1321" w:type="pct"/>
            <w:tcBorders>
              <w:top w:val="single" w:color="auto" w:sz="4" w:space="0"/>
              <w:left w:val="single" w:color="auto" w:sz="4" w:space="0"/>
              <w:bottom w:val="single" w:color="auto" w:sz="4" w:space="0"/>
              <w:right w:val="single" w:color="auto" w:sz="8" w:space="0"/>
            </w:tcBorders>
            <w:noWrap w:val="0"/>
            <w:vAlign w:val="center"/>
          </w:tcPr>
          <w:p w14:paraId="7E384A44">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新疆大果沙枣</w:t>
            </w:r>
          </w:p>
        </w:tc>
        <w:tc>
          <w:tcPr>
            <w:tcW w:w="1056" w:type="pct"/>
            <w:tcBorders>
              <w:top w:val="single" w:color="auto" w:sz="4" w:space="0"/>
              <w:left w:val="single" w:color="auto" w:sz="4" w:space="0"/>
              <w:bottom w:val="single" w:color="auto" w:sz="4" w:space="0"/>
              <w:right w:val="single" w:color="auto" w:sz="8" w:space="0"/>
            </w:tcBorders>
            <w:noWrap w:val="0"/>
            <w:vAlign w:val="center"/>
          </w:tcPr>
          <w:p w14:paraId="5CF2F312">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杯苗</w:t>
            </w:r>
          </w:p>
        </w:tc>
        <w:tc>
          <w:tcPr>
            <w:tcW w:w="1032" w:type="pct"/>
            <w:tcBorders>
              <w:top w:val="single" w:color="auto" w:sz="4" w:space="0"/>
              <w:left w:val="nil"/>
              <w:bottom w:val="single" w:color="auto" w:sz="4" w:space="0"/>
              <w:right w:val="single" w:color="auto" w:sz="8" w:space="0"/>
            </w:tcBorders>
            <w:noWrap w:val="0"/>
            <w:vAlign w:val="center"/>
          </w:tcPr>
          <w:p w14:paraId="3AEBB818">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Ⅱ级以上</w:t>
            </w:r>
          </w:p>
        </w:tc>
        <w:tc>
          <w:tcPr>
            <w:tcW w:w="1590" w:type="pct"/>
            <w:tcBorders>
              <w:top w:val="single" w:color="auto" w:sz="4" w:space="0"/>
              <w:left w:val="nil"/>
              <w:bottom w:val="single" w:color="auto" w:sz="4" w:space="0"/>
              <w:right w:val="single" w:color="auto" w:sz="8" w:space="0"/>
            </w:tcBorders>
            <w:noWrap w:val="0"/>
            <w:vAlign w:val="center"/>
          </w:tcPr>
          <w:p w14:paraId="0591BC51">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1-2年生，杯苗</w:t>
            </w:r>
          </w:p>
        </w:tc>
      </w:tr>
      <w:tr w14:paraId="0267E59F">
        <w:tblPrEx>
          <w:tblCellMar>
            <w:top w:w="0" w:type="dxa"/>
            <w:left w:w="108" w:type="dxa"/>
            <w:bottom w:w="0" w:type="dxa"/>
            <w:right w:w="108" w:type="dxa"/>
          </w:tblCellMar>
        </w:tblPrEx>
        <w:trPr>
          <w:trHeight w:val="354" w:hRule="atLeast"/>
        </w:trPr>
        <w:tc>
          <w:tcPr>
            <w:tcW w:w="1321" w:type="pct"/>
            <w:tcBorders>
              <w:top w:val="single" w:color="auto" w:sz="4" w:space="0"/>
              <w:left w:val="single" w:color="auto" w:sz="4" w:space="0"/>
              <w:bottom w:val="single" w:color="auto" w:sz="4" w:space="0"/>
              <w:right w:val="single" w:color="auto" w:sz="8" w:space="0"/>
            </w:tcBorders>
            <w:noWrap w:val="0"/>
            <w:vAlign w:val="center"/>
          </w:tcPr>
          <w:p w14:paraId="5C4DB905">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杜梨</w:t>
            </w:r>
          </w:p>
        </w:tc>
        <w:tc>
          <w:tcPr>
            <w:tcW w:w="1056" w:type="pct"/>
            <w:tcBorders>
              <w:top w:val="single" w:color="auto" w:sz="4" w:space="0"/>
              <w:left w:val="single" w:color="auto" w:sz="4" w:space="0"/>
              <w:bottom w:val="single" w:color="auto" w:sz="4" w:space="0"/>
              <w:right w:val="single" w:color="auto" w:sz="8" w:space="0"/>
            </w:tcBorders>
            <w:noWrap w:val="0"/>
            <w:vAlign w:val="center"/>
          </w:tcPr>
          <w:p w14:paraId="02E88003">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裸根苗</w:t>
            </w:r>
          </w:p>
        </w:tc>
        <w:tc>
          <w:tcPr>
            <w:tcW w:w="1032" w:type="pct"/>
            <w:tcBorders>
              <w:top w:val="single" w:color="auto" w:sz="4" w:space="0"/>
              <w:left w:val="nil"/>
              <w:bottom w:val="single" w:color="auto" w:sz="4" w:space="0"/>
              <w:right w:val="single" w:color="auto" w:sz="8" w:space="0"/>
            </w:tcBorders>
            <w:noWrap w:val="0"/>
            <w:vAlign w:val="center"/>
          </w:tcPr>
          <w:p w14:paraId="01214826">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Ⅱ级以上</w:t>
            </w:r>
          </w:p>
        </w:tc>
        <w:tc>
          <w:tcPr>
            <w:tcW w:w="1590" w:type="pct"/>
            <w:tcBorders>
              <w:top w:val="single" w:color="auto" w:sz="4" w:space="0"/>
              <w:left w:val="nil"/>
              <w:bottom w:val="single" w:color="auto" w:sz="4" w:space="0"/>
              <w:right w:val="single" w:color="auto" w:sz="8" w:space="0"/>
            </w:tcBorders>
            <w:noWrap w:val="0"/>
            <w:vAlign w:val="center"/>
          </w:tcPr>
          <w:p w14:paraId="796AA1C0">
            <w:pPr>
              <w:pStyle w:val="9"/>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2年苗，地径2cm</w:t>
            </w:r>
          </w:p>
        </w:tc>
      </w:tr>
    </w:tbl>
    <w:p w14:paraId="7FDF180E">
      <w:pPr>
        <w:pStyle w:val="3"/>
        <w:numPr>
          <w:numId w:val="0"/>
        </w:numPr>
        <w:bidi w:val="0"/>
        <w:ind w:leftChars="0"/>
        <w:rPr>
          <w:rFonts w:hint="eastAsia" w:cs="Times New Roman"/>
          <w:lang w:val="en-US" w:eastAsia="zh-CN"/>
        </w:rPr>
      </w:pPr>
      <w:bookmarkStart w:id="77" w:name="_Toc28495"/>
      <w:bookmarkStart w:id="78" w:name="_Toc16669"/>
      <w:bookmarkStart w:id="79" w:name="_Toc3353"/>
      <w:r>
        <w:rPr>
          <w:rFonts w:hint="eastAsia" w:cs="Times New Roman"/>
          <w:lang w:val="en-US" w:eastAsia="zh-CN"/>
        </w:rPr>
        <w:t>6.4盐碱地改良</w:t>
      </w:r>
      <w:bookmarkEnd w:id="77"/>
    </w:p>
    <w:p w14:paraId="6AF3E79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1"/>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根据对项目区部分小班土壤进行土壤检测，检测结果显示，</w:t>
      </w:r>
      <w:r>
        <w:rPr>
          <w:rFonts w:hint="eastAsia" w:ascii="仿宋" w:hAnsi="仿宋" w:eastAsia="仿宋" w:cs="仿宋"/>
          <w:color w:val="auto"/>
          <w:sz w:val="30"/>
          <w:szCs w:val="30"/>
          <w:highlight w:val="none"/>
          <w:lang w:val="en-US" w:eastAsia="zh-CN"/>
        </w:rPr>
        <w:t>临河区</w:t>
      </w:r>
      <w:r>
        <w:rPr>
          <w:rFonts w:hint="eastAsia" w:ascii="仿宋" w:hAnsi="仿宋" w:eastAsia="仿宋" w:cs="仿宋"/>
          <w:color w:val="auto"/>
          <w:sz w:val="30"/>
          <w:szCs w:val="30"/>
          <w:highlight w:val="none"/>
        </w:rPr>
        <w:t>项目区土壤检测含盐量为</w:t>
      </w:r>
      <w:r>
        <w:rPr>
          <w:rFonts w:hint="eastAsia" w:ascii="仿宋" w:hAnsi="仿宋" w:eastAsia="仿宋" w:cs="仿宋"/>
          <w:color w:val="auto"/>
          <w:sz w:val="30"/>
          <w:szCs w:val="30"/>
          <w:highlight w:val="none"/>
          <w:lang w:val="en-US" w:eastAsia="zh-CN"/>
        </w:rPr>
        <w:t>0.7-4.4</w:t>
      </w:r>
      <w:r>
        <w:rPr>
          <w:rFonts w:hint="eastAsia" w:ascii="仿宋" w:hAnsi="仿宋" w:eastAsia="仿宋" w:cs="仿宋"/>
          <w:color w:val="auto"/>
          <w:sz w:val="30"/>
          <w:szCs w:val="30"/>
          <w:highlight w:val="none"/>
        </w:rPr>
        <w:t>g/kg ，PH 值为8.</w:t>
      </w:r>
      <w:r>
        <w:rPr>
          <w:rFonts w:hint="eastAsia" w:ascii="仿宋" w:hAnsi="仿宋" w:eastAsia="仿宋" w:cs="仿宋"/>
          <w:color w:val="auto"/>
          <w:sz w:val="30"/>
          <w:szCs w:val="30"/>
          <w:highlight w:val="none"/>
          <w:lang w:val="en-US" w:eastAsia="zh-CN"/>
        </w:rPr>
        <w:t>8-8.9</w:t>
      </w:r>
      <w:r>
        <w:rPr>
          <w:rFonts w:hint="eastAsia" w:ascii="仿宋" w:hAnsi="仿宋" w:eastAsia="仿宋" w:cs="仿宋"/>
          <w:color w:val="auto"/>
          <w:sz w:val="30"/>
          <w:szCs w:val="30"/>
          <w:highlight w:val="none"/>
        </w:rPr>
        <w:t>。检测结果显示，项目区土壤盐碱化</w:t>
      </w:r>
      <w:r>
        <w:rPr>
          <w:rFonts w:hint="eastAsia" w:ascii="仿宋" w:hAnsi="仿宋" w:eastAsia="仿宋" w:cs="仿宋"/>
          <w:color w:val="auto"/>
          <w:sz w:val="30"/>
          <w:szCs w:val="30"/>
          <w:highlight w:val="none"/>
          <w:lang w:val="en-US" w:eastAsia="zh-CN"/>
        </w:rPr>
        <w:t>为中度盐碱</w:t>
      </w:r>
      <w:r>
        <w:rPr>
          <w:rFonts w:hint="eastAsia" w:ascii="仿宋" w:hAnsi="仿宋" w:eastAsia="仿宋" w:cs="仿宋"/>
          <w:color w:val="auto"/>
          <w:sz w:val="30"/>
          <w:szCs w:val="30"/>
          <w:highlight w:val="none"/>
        </w:rPr>
        <w:t>，为确保造林成活率，植苗前需进行盐碱地改良作业。</w:t>
      </w:r>
    </w:p>
    <w:p w14:paraId="6905F5D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1"/>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根据项目区立地和植被现状，为确保原生植被不被破坏</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本项目采取盐碱地改良方式为局部改良</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防护林</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0.4</w:t>
      </w:r>
      <w:r>
        <w:rPr>
          <w:rFonts w:hint="eastAsia" w:ascii="仿宋" w:hAnsi="仿宋" w:eastAsia="仿宋" w:cs="仿宋"/>
          <w:color w:val="auto"/>
          <w:sz w:val="30"/>
          <w:szCs w:val="30"/>
          <w:highlight w:val="none"/>
        </w:rPr>
        <w:t>kg/穴石膏 +</w:t>
      </w:r>
      <w:r>
        <w:rPr>
          <w:rFonts w:hint="eastAsia" w:ascii="仿宋" w:hAnsi="仿宋" w:eastAsia="仿宋" w:cs="仿宋"/>
          <w:color w:val="auto"/>
          <w:sz w:val="30"/>
          <w:szCs w:val="30"/>
          <w:highlight w:val="none"/>
          <w:lang w:val="en-US" w:eastAsia="zh-CN"/>
        </w:rPr>
        <w:t>3</w:t>
      </w:r>
      <w:r>
        <w:rPr>
          <w:rFonts w:hint="eastAsia" w:ascii="仿宋" w:hAnsi="仿宋" w:eastAsia="仿宋" w:cs="仿宋"/>
          <w:color w:val="auto"/>
          <w:sz w:val="30"/>
          <w:szCs w:val="30"/>
          <w:highlight w:val="none"/>
        </w:rPr>
        <w:t>kg/穴腐熟有机肥”</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经济林</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1</w:t>
      </w:r>
      <w:r>
        <w:rPr>
          <w:rFonts w:hint="eastAsia" w:ascii="仿宋" w:hAnsi="仿宋" w:eastAsia="仿宋" w:cs="仿宋"/>
          <w:color w:val="auto"/>
          <w:sz w:val="30"/>
          <w:szCs w:val="30"/>
          <w:highlight w:val="none"/>
        </w:rPr>
        <w:t xml:space="preserve">kg/穴石膏 + </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t>kg/穴腐熟有机肥”的局部脱盐方案，可使植树穴内土壤全盐量降至5g/kg以下，满足苗木生长需求</w:t>
      </w:r>
      <w:r>
        <w:rPr>
          <w:rFonts w:hint="eastAsia" w:ascii="仿宋" w:hAnsi="仿宋" w:eastAsia="仿宋" w:cs="仿宋"/>
          <w:color w:val="auto"/>
          <w:sz w:val="30"/>
          <w:szCs w:val="30"/>
          <w:highlight w:val="none"/>
          <w:lang w:eastAsia="zh-CN"/>
        </w:rPr>
        <w:t>。</w:t>
      </w:r>
    </w:p>
    <w:p w14:paraId="68E3B93D">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6.4.1施肥、脱盐种类及用量</w:t>
      </w:r>
    </w:p>
    <w:p w14:paraId="53269EC5">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color w:val="auto"/>
          <w:sz w:val="30"/>
          <w:szCs w:val="30"/>
          <w:highlight w:val="none"/>
          <w:lang w:val="en-US" w:eastAsia="zh-CN"/>
        </w:rPr>
        <w:t>防护林施肥</w:t>
      </w:r>
      <w:r>
        <w:rPr>
          <w:rFonts w:hint="eastAsia" w:ascii="仿宋" w:hAnsi="仿宋" w:eastAsia="仿宋" w:cs="仿宋"/>
          <w:b w:val="0"/>
          <w:bCs w:val="0"/>
          <w:color w:val="auto"/>
          <w:sz w:val="30"/>
          <w:szCs w:val="30"/>
          <w:highlight w:val="none"/>
          <w:lang w:val="en-US" w:eastAsia="zh-CN"/>
        </w:rPr>
        <w:t>采取按穴施有机肥及石膏，施肥 1 次，腐熟有机肥：3kg/穴、石膏（农业用石膏）：0.4kg/穴</w:t>
      </w:r>
    </w:p>
    <w:p w14:paraId="27F772E3">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经济林施肥：采取按穴施有机肥及石膏，施肥 1 次，腐熟有机肥：5kg/穴、石膏（农业用石膏）：1kg/穴</w:t>
      </w:r>
    </w:p>
    <w:p w14:paraId="7B650465">
      <w:pPr>
        <w:keepNext w:val="0"/>
        <w:keepLines w:val="0"/>
        <w:pageBreakBefore w:val="0"/>
        <w:widowControl w:val="0"/>
        <w:numPr>
          <w:ilvl w:val="0"/>
          <w:numId w:val="5"/>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施肥技术（分层施入）</w:t>
      </w:r>
    </w:p>
    <w:p w14:paraId="66D5E1F3">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leftChars="0" w:firstLine="600" w:firstLineChars="200"/>
        <w:textAlignment w:val="auto"/>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底层（10cm深左右）：将一半有机肥与挖出的底土混合回填；中层（根区）：将石膏和剩余有机肥，与挖出表土充分混合拌匀，填入树穴中部；上层（覆盖层）：用素土回填。</w:t>
      </w:r>
    </w:p>
    <w:p w14:paraId="397F3068">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80" w:name="_Toc10052"/>
      <w:r>
        <w:rPr>
          <w:rFonts w:hint="eastAsia" w:ascii="宋体" w:hAnsi="宋体" w:eastAsia="宋体" w:cs="宋体"/>
          <w:color w:val="auto"/>
          <w:highlight w:val="none"/>
          <w:lang w:val="en-US" w:eastAsia="zh-CN"/>
        </w:rPr>
        <w:t>6.5整地</w:t>
      </w:r>
      <w:bookmarkEnd w:id="78"/>
      <w:bookmarkEnd w:id="79"/>
      <w:bookmarkEnd w:id="80"/>
    </w:p>
    <w:p w14:paraId="545BFA17">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6.5.1防护林、经济林整地</w:t>
      </w:r>
    </w:p>
    <w:p w14:paraId="10146FA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1"/>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保证造林的成活率和林分的整体效果</w:t>
      </w:r>
      <w:r>
        <w:rPr>
          <w:rFonts w:hint="eastAsia" w:ascii="仿宋" w:hAnsi="仿宋" w:eastAsia="仿宋" w:cs="仿宋"/>
          <w:color w:val="auto"/>
          <w:sz w:val="30"/>
          <w:szCs w:val="30"/>
          <w:highlight w:val="none"/>
          <w:lang w:eastAsia="zh-CN"/>
        </w:rPr>
        <w:t>。</w:t>
      </w:r>
    </w:p>
    <w:p w14:paraId="6FA8FDAF">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防护林、经济林采取机械穴状整地。</w:t>
      </w:r>
    </w:p>
    <w:p w14:paraId="524B5A9C">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防护林、经济林整地规格为：直径80cm，深80cm。</w:t>
      </w:r>
    </w:p>
    <w:p w14:paraId="5A56D383">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整地时间：2026年4月。</w:t>
      </w:r>
    </w:p>
    <w:p w14:paraId="1A571BC0">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整地方式：机械整地。</w:t>
      </w:r>
    </w:p>
    <w:p w14:paraId="4D2A17A6">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整地技术要求：植树穴呈品字形排列，挖掘时表土心土分放，栽植时表土回填穴底。</w:t>
      </w:r>
    </w:p>
    <w:p w14:paraId="6A1EA758">
      <w:pPr>
        <w:keepNext w:val="0"/>
        <w:keepLines w:val="0"/>
        <w:pageBreakBefore w:val="0"/>
        <w:widowControl w:val="0"/>
        <w:numPr>
          <w:ilvl w:val="0"/>
          <w:numId w:val="6"/>
        </w:numPr>
        <w:kinsoku/>
        <w:wordWrap/>
        <w:overflowPunct/>
        <w:topLinePunct w:val="0"/>
        <w:autoSpaceDE/>
        <w:autoSpaceDN/>
        <w:bidi w:val="0"/>
        <w:adjustRightInd/>
        <w:snapToGrid/>
        <w:spacing w:beforeAutospacing="0" w:afterAutospacing="0" w:line="360" w:lineRule="auto"/>
        <w:ind w:left="425" w:leftChars="0" w:hanging="425" w:firstLineChars="0"/>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整地图式：穴状整地纵断面、平面图。</w:t>
      </w:r>
      <w:r>
        <w:rPr>
          <w:rFonts w:hint="eastAsia" w:ascii="仿宋" w:hAnsi="仿宋" w:eastAsia="仿宋" w:cs="仿宋"/>
          <w:color w:val="auto"/>
          <w:sz w:val="30"/>
          <w:szCs w:val="30"/>
          <w:highlight w:val="none"/>
          <w:lang w:val="en-US" w:eastAsia="zh-CN"/>
        </w:rPr>
        <w:t>详见</w:t>
      </w:r>
      <w:r>
        <w:rPr>
          <w:rFonts w:hint="eastAsia" w:ascii="仿宋" w:hAnsi="仿宋" w:eastAsia="仿宋" w:cs="仿宋"/>
          <w:color w:val="auto"/>
          <w:sz w:val="30"/>
          <w:szCs w:val="30"/>
          <w:highlight w:val="none"/>
          <w:lang w:val="en-US" w:eastAsia="zh-CN"/>
        </w:rPr>
        <w:fldChar w:fldCharType="begin"/>
      </w:r>
      <w:r>
        <w:rPr>
          <w:rFonts w:hint="eastAsia" w:ascii="仿宋" w:hAnsi="仿宋" w:eastAsia="仿宋" w:cs="仿宋"/>
          <w:color w:val="auto"/>
          <w:sz w:val="30"/>
          <w:szCs w:val="30"/>
          <w:highlight w:val="none"/>
          <w:lang w:val="en-US" w:eastAsia="zh-CN"/>
        </w:rPr>
        <w:instrText xml:space="preserve"> REF _Ref14026 \h </w:instrText>
      </w:r>
      <w:r>
        <w:rPr>
          <w:rFonts w:hint="eastAsia" w:ascii="仿宋" w:hAnsi="仿宋" w:eastAsia="仿宋" w:cs="仿宋"/>
          <w:color w:val="auto"/>
          <w:sz w:val="30"/>
          <w:szCs w:val="30"/>
          <w:highlight w:val="none"/>
          <w:lang w:val="en-US" w:eastAsia="zh-CN"/>
        </w:rPr>
        <w:fldChar w:fldCharType="separate"/>
      </w:r>
      <w:r>
        <w:rPr>
          <w:rFonts w:hint="eastAsia" w:ascii="仿宋" w:hAnsi="仿宋" w:eastAsia="仿宋" w:cs="仿宋"/>
          <w:color w:val="auto"/>
          <w:sz w:val="30"/>
          <w:szCs w:val="30"/>
          <w:highlight w:val="none"/>
        </w:rPr>
        <w:t xml:space="preserve">图 </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STYLEREF 2 \s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6.</w:t>
      </w:r>
      <w:r>
        <w:rPr>
          <w:rFonts w:hint="eastAsia"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rPr>
        <w:fldChar w:fldCharType="end"/>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fldChar w:fldCharType="end"/>
      </w:r>
      <w:r>
        <w:rPr>
          <w:rFonts w:hint="eastAsia" w:ascii="仿宋" w:hAnsi="仿宋" w:eastAsia="仿宋" w:cs="仿宋"/>
          <w:color w:val="auto"/>
          <w:sz w:val="30"/>
          <w:szCs w:val="30"/>
          <w:highlight w:val="none"/>
        </w:rPr>
        <w:t>：</w:t>
      </w:r>
    </w:p>
    <w:p w14:paraId="3B7EF6DB">
      <w:pPr>
        <w:pStyle w:val="6"/>
        <w:pageBreakBefore w:val="0"/>
        <w:numPr>
          <w:ilvl w:val="5"/>
          <w:numId w:val="0"/>
        </w:numPr>
        <w:kinsoku/>
        <w:wordWrap/>
        <w:overflowPunct/>
        <w:topLinePunct w:val="0"/>
        <w:autoSpaceDE/>
        <w:autoSpaceDN/>
        <w:bidi w:val="0"/>
        <w:spacing w:line="240" w:lineRule="auto"/>
        <w:ind w:leftChars="0"/>
        <w:jc w:val="center"/>
        <w:rPr>
          <w:rFonts w:hint="eastAsia" w:eastAsia="宋体"/>
          <w:color w:val="auto"/>
          <w:highlight w:val="none"/>
          <w:lang w:eastAsia="zh-CN"/>
        </w:rPr>
      </w:pPr>
      <w:r>
        <w:rPr>
          <w:rFonts w:hint="eastAsia" w:eastAsia="仿宋"/>
          <w:lang w:eastAsia="zh-CN"/>
        </w:rPr>
        <w:drawing>
          <wp:inline distT="0" distB="0" distL="114300" distR="114300">
            <wp:extent cx="3260725" cy="2576830"/>
            <wp:effectExtent l="0" t="0" r="15875" b="13970"/>
            <wp:docPr id="9" name="图片 9" descr="整地树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整地树穴"/>
                    <pic:cNvPicPr>
                      <a:picLocks noChangeAspect="1"/>
                    </pic:cNvPicPr>
                  </pic:nvPicPr>
                  <pic:blipFill>
                    <a:blip r:embed="rId5"/>
                    <a:srcRect t="21975" r="51102" b="23410"/>
                    <a:stretch>
                      <a:fillRect/>
                    </a:stretch>
                  </pic:blipFill>
                  <pic:spPr>
                    <a:xfrm>
                      <a:off x="0" y="0"/>
                      <a:ext cx="3260725" cy="2576830"/>
                    </a:xfrm>
                    <a:prstGeom prst="rect">
                      <a:avLst/>
                    </a:prstGeom>
                  </pic:spPr>
                </pic:pic>
              </a:graphicData>
            </a:graphic>
          </wp:inline>
        </w:drawing>
      </w:r>
    </w:p>
    <w:p w14:paraId="5C6BE88B">
      <w:pPr>
        <w:pStyle w:val="14"/>
        <w:pageBreakBefore w:val="0"/>
        <w:kinsoku/>
        <w:wordWrap/>
        <w:overflowPunct/>
        <w:topLinePunct w:val="0"/>
        <w:autoSpaceDE/>
        <w:autoSpaceDN/>
        <w:bidi w:val="0"/>
        <w:spacing w:line="240" w:lineRule="auto"/>
        <w:ind w:firstLine="2400" w:firstLineChars="800"/>
        <w:jc w:val="both"/>
        <w:rPr>
          <w:rFonts w:hint="eastAsia" w:ascii="宋体" w:hAnsi="宋体" w:eastAsia="宋体" w:cs="宋体"/>
          <w:color w:val="auto"/>
          <w:sz w:val="28"/>
          <w:szCs w:val="28"/>
          <w:highlight w:val="none"/>
        </w:rPr>
      </w:pPr>
      <w:bookmarkStart w:id="81" w:name="_Ref14026"/>
      <w:r>
        <w:rPr>
          <w:color w:val="auto"/>
          <w:sz w:val="30"/>
          <w:szCs w:val="30"/>
          <w:highlight w:val="none"/>
        </w:rPr>
        <w:t xml:space="preserve">图 </w:t>
      </w:r>
      <w:r>
        <w:rPr>
          <w:color w:val="auto"/>
          <w:sz w:val="30"/>
          <w:szCs w:val="30"/>
          <w:highlight w:val="none"/>
        </w:rPr>
        <w:fldChar w:fldCharType="begin"/>
      </w:r>
      <w:r>
        <w:rPr>
          <w:color w:val="auto"/>
          <w:sz w:val="30"/>
          <w:szCs w:val="30"/>
          <w:highlight w:val="none"/>
        </w:rPr>
        <w:instrText xml:space="preserve"> STYLEREF 2 \s </w:instrText>
      </w:r>
      <w:r>
        <w:rPr>
          <w:color w:val="auto"/>
          <w:sz w:val="30"/>
          <w:szCs w:val="30"/>
          <w:highlight w:val="none"/>
        </w:rPr>
        <w:fldChar w:fldCharType="separate"/>
      </w:r>
      <w:r>
        <w:rPr>
          <w:color w:val="auto"/>
          <w:sz w:val="30"/>
          <w:szCs w:val="30"/>
          <w:highlight w:val="none"/>
        </w:rPr>
        <w:t>6.</w:t>
      </w:r>
      <w:r>
        <w:rPr>
          <w:rFonts w:hint="eastAsia"/>
          <w:color w:val="auto"/>
          <w:sz w:val="30"/>
          <w:szCs w:val="30"/>
          <w:highlight w:val="none"/>
          <w:lang w:val="en-US" w:eastAsia="zh-CN"/>
        </w:rPr>
        <w:t>5</w:t>
      </w:r>
      <w:r>
        <w:rPr>
          <w:color w:val="auto"/>
          <w:sz w:val="30"/>
          <w:szCs w:val="30"/>
          <w:highlight w:val="none"/>
        </w:rPr>
        <w:fldChar w:fldCharType="end"/>
      </w:r>
      <w:r>
        <w:rPr>
          <w:rFonts w:hint="eastAsia"/>
          <w:color w:val="auto"/>
          <w:sz w:val="30"/>
          <w:szCs w:val="30"/>
          <w:highlight w:val="none"/>
          <w:lang w:eastAsia="zh-CN"/>
        </w:rPr>
        <w:t>-</w:t>
      </w:r>
      <w:r>
        <w:rPr>
          <w:color w:val="auto"/>
          <w:sz w:val="30"/>
          <w:szCs w:val="30"/>
          <w:highlight w:val="none"/>
        </w:rPr>
        <w:fldChar w:fldCharType="begin"/>
      </w:r>
      <w:r>
        <w:rPr>
          <w:color w:val="auto"/>
          <w:sz w:val="30"/>
          <w:szCs w:val="30"/>
          <w:highlight w:val="none"/>
        </w:rPr>
        <w:instrText xml:space="preserve"> SEQ 图 \* ARABIC \s 2 </w:instrText>
      </w:r>
      <w:r>
        <w:rPr>
          <w:color w:val="auto"/>
          <w:sz w:val="30"/>
          <w:szCs w:val="30"/>
          <w:highlight w:val="none"/>
        </w:rPr>
        <w:fldChar w:fldCharType="separate"/>
      </w:r>
      <w:r>
        <w:rPr>
          <w:color w:val="auto"/>
          <w:sz w:val="30"/>
          <w:szCs w:val="30"/>
          <w:highlight w:val="none"/>
        </w:rPr>
        <w:t>1</w:t>
      </w:r>
      <w:r>
        <w:rPr>
          <w:color w:val="auto"/>
          <w:sz w:val="30"/>
          <w:szCs w:val="30"/>
          <w:highlight w:val="none"/>
        </w:rPr>
        <w:fldChar w:fldCharType="end"/>
      </w:r>
      <w:bookmarkEnd w:id="81"/>
      <w:r>
        <w:rPr>
          <w:rFonts w:hint="eastAsia" w:ascii="宋体" w:hAnsi="宋体" w:eastAsia="宋体" w:cs="宋体"/>
          <w:color w:val="auto"/>
          <w:sz w:val="28"/>
          <w:szCs w:val="28"/>
          <w:highlight w:val="none"/>
          <w:lang w:val="en-US" w:eastAsia="zh-CN"/>
        </w:rPr>
        <w:t>穴状</w:t>
      </w:r>
      <w:r>
        <w:rPr>
          <w:rFonts w:hint="eastAsia" w:ascii="宋体" w:hAnsi="宋体" w:eastAsia="宋体" w:cs="宋体"/>
          <w:color w:val="auto"/>
          <w:sz w:val="28"/>
          <w:szCs w:val="28"/>
          <w:highlight w:val="none"/>
        </w:rPr>
        <w:t>整地模式图</w:t>
      </w:r>
    </w:p>
    <w:p w14:paraId="27B107B3">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sz w:val="28"/>
          <w:szCs w:val="28"/>
          <w:highlight w:val="none"/>
        </w:rPr>
      </w:pPr>
      <w:r>
        <w:rPr>
          <w:rFonts w:hint="eastAsia" w:ascii="宋体" w:hAnsi="宋体" w:eastAsia="宋体" w:cs="宋体"/>
          <w:color w:val="auto"/>
          <w:highlight w:val="none"/>
          <w:lang w:val="en-US" w:eastAsia="zh-CN"/>
        </w:rPr>
        <w:t>6.5.2林地清理</w:t>
      </w:r>
    </w:p>
    <w:p w14:paraId="74A415CA">
      <w:pPr>
        <w:keepNext w:val="0"/>
        <w:keepLines w:val="0"/>
        <w:pageBreakBefore w:val="0"/>
        <w:widowControl w:val="0"/>
        <w:kinsoku/>
        <w:wordWrap/>
        <w:overflowPunct/>
        <w:topLinePunct w:val="0"/>
        <w:autoSpaceDE/>
        <w:autoSpaceDN/>
        <w:bidi w:val="0"/>
        <w:adjustRightInd/>
        <w:snapToGrid/>
        <w:spacing w:beforeAutospacing="0" w:afterAutospacing="0" w:line="640" w:lineRule="exact"/>
        <w:ind w:firstLine="561"/>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清理枯死木、濒死木、病腐木、风折木及1cm以上粗枝桠、胸径（树桩）20CM以内死木，装车外运处理。</w:t>
      </w:r>
    </w:p>
    <w:p w14:paraId="1DF50079">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82" w:name="_Toc1064"/>
      <w:r>
        <w:rPr>
          <w:rFonts w:hint="eastAsia" w:ascii="宋体" w:hAnsi="宋体" w:eastAsia="宋体" w:cs="宋体"/>
          <w:color w:val="auto"/>
          <w:highlight w:val="none"/>
          <w:lang w:val="en-US" w:eastAsia="zh-CN"/>
        </w:rPr>
        <w:t>6.6栽植</w:t>
      </w:r>
      <w:bookmarkEnd w:id="82"/>
    </w:p>
    <w:p w14:paraId="3C70F201">
      <w:pPr>
        <w:pStyle w:val="4"/>
        <w:numPr>
          <w:numId w:val="0"/>
        </w:numPr>
        <w:bidi w:val="0"/>
        <w:ind w:leftChars="0"/>
        <w:rPr>
          <w:rFonts w:hint="eastAsia"/>
          <w:lang w:val="en-US" w:eastAsia="zh-CN"/>
        </w:rPr>
      </w:pPr>
      <w:r>
        <w:rPr>
          <w:rFonts w:hint="eastAsia"/>
          <w:lang w:val="en-US" w:eastAsia="zh-CN"/>
        </w:rPr>
        <w:t>6.6.1裸根苗栽植</w:t>
      </w:r>
    </w:p>
    <w:p w14:paraId="45EF9963">
      <w:pPr>
        <w:pageBreakBefore w:val="0"/>
        <w:tabs>
          <w:tab w:val="left" w:pos="3486"/>
        </w:tabs>
        <w:kinsoku/>
        <w:wordWrap/>
        <w:overflowPunct/>
        <w:topLinePunct w:val="0"/>
        <w:autoSpaceDE/>
        <w:autoSpaceDN/>
        <w:bidi w:val="0"/>
        <w:spacing w:line="360" w:lineRule="auto"/>
        <w:ind w:firstLine="600" w:firstLineChars="200"/>
        <w:jc w:val="left"/>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采取人工植苗造林的方法。新疆大果沙枣容器苗植苗前要去掉容器，每穴1株，栽植时将苗木直立于挖好的植树穴中，深浅适当、分层填土、分层踏实，确保根系与土壤紧密接触。最后将容器统一收走处理，不可随意丢弃。</w:t>
      </w:r>
    </w:p>
    <w:p w14:paraId="038F3CDB">
      <w:pPr>
        <w:pageBreakBefore w:val="0"/>
        <w:tabs>
          <w:tab w:val="left" w:pos="3486"/>
        </w:tabs>
        <w:kinsoku/>
        <w:wordWrap/>
        <w:overflowPunct/>
        <w:topLinePunct w:val="0"/>
        <w:autoSpaceDE/>
        <w:autoSpaceDN/>
        <w:bidi w:val="0"/>
        <w:spacing w:line="360" w:lineRule="auto"/>
        <w:ind w:firstLine="600" w:firstLineChars="200"/>
        <w:jc w:val="left"/>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在苗木定植过程中，先在栽植坑内浇水，待水分下渗后再栽植苗木、覆土踏实，使根系与湿润土壤紧密结合，确保苗木及时吸收水分、快速缓苗。</w:t>
      </w:r>
    </w:p>
    <w:p w14:paraId="29508110">
      <w:pPr>
        <w:pageBreakBefore w:val="0"/>
        <w:tabs>
          <w:tab w:val="left" w:pos="3486"/>
        </w:tabs>
        <w:kinsoku/>
        <w:wordWrap/>
        <w:overflowPunct/>
        <w:topLinePunct w:val="0"/>
        <w:autoSpaceDE/>
        <w:autoSpaceDN/>
        <w:bidi w:val="0"/>
        <w:spacing w:line="360" w:lineRule="auto"/>
        <w:ind w:firstLine="600" w:firstLineChars="200"/>
        <w:jc w:val="left"/>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杜梨每穴栽植1株，将苗木放置在穴中心位置并扶正，栽植时将苗木直立于挖好的植树穴中，使其深浅适当、分层填土、分层踏实，确保根系与土壤紧密接触。植树沟要低于原土面，并覆盖沟面，以防反盐。</w:t>
      </w:r>
    </w:p>
    <w:p w14:paraId="6498554D">
      <w:pPr>
        <w:pageBreakBefore w:val="0"/>
        <w:tabs>
          <w:tab w:val="left" w:pos="3486"/>
        </w:tabs>
        <w:kinsoku/>
        <w:wordWrap/>
        <w:overflowPunct/>
        <w:topLinePunct w:val="0"/>
        <w:autoSpaceDE/>
        <w:autoSpaceDN/>
        <w:bidi w:val="0"/>
        <w:spacing w:line="360" w:lineRule="auto"/>
        <w:ind w:firstLine="600" w:firstLineChars="200"/>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杜梨砧木嫁接早酥红梨的时间在第二年春季3月下旬至4月上旬（枝接）。将杜梨砧木在距地面10至15厘米处剪断，选取健壮的红梨枝条削成1.5至2厘米长的楔形接穗，保留2至3个饱满芽；在砧木切面中心垂直劈开相应深度，将接穗插入并对准形成层，用塑料条绑紧封严，接穗顶端涂蜡防水分蒸发。嫁接成活后，及时抹除砧木上的萌蘖以集中养分，约15至20天，新梢长至20至30厘米时松绑解带，待新梢长至30厘米以上时立支柱防风折。</w:t>
      </w:r>
    </w:p>
    <w:p w14:paraId="1879C6CC">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83" w:name="_Toc24421"/>
      <w:bookmarkStart w:id="84" w:name="_Toc6903"/>
      <w:bookmarkStart w:id="85" w:name="_Toc11739"/>
      <w:r>
        <w:rPr>
          <w:rFonts w:hint="eastAsia" w:ascii="宋体" w:hAnsi="宋体" w:eastAsia="宋体" w:cs="宋体"/>
          <w:color w:val="auto"/>
          <w:highlight w:val="none"/>
          <w:lang w:val="en-US" w:eastAsia="zh-CN"/>
        </w:rPr>
        <w:t>6.7造林时间</w:t>
      </w:r>
      <w:bookmarkEnd w:id="83"/>
      <w:bookmarkEnd w:id="84"/>
      <w:bookmarkEnd w:id="85"/>
    </w:p>
    <w:p w14:paraId="7B30C606">
      <w:pPr>
        <w:pageBreakBefore w:val="0"/>
        <w:widowControl w:val="0"/>
        <w:kinsoku/>
        <w:wordWrap/>
        <w:overflowPunct/>
        <w:topLinePunct w:val="0"/>
        <w:autoSpaceDE/>
        <w:autoSpaceDN/>
        <w:bidi w:val="0"/>
        <w:adjustRightInd/>
        <w:snapToGrid/>
        <w:spacing w:beforeAutospacing="0" w:afterAutospacing="0" w:line="360" w:lineRule="auto"/>
        <w:ind w:firstLine="606" w:firstLineChars="202"/>
        <w:textAlignment w:val="auto"/>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-5月</w:t>
      </w:r>
      <w:r>
        <w:rPr>
          <w:rFonts w:hint="eastAsia" w:ascii="仿宋" w:hAnsi="仿宋" w:eastAsia="仿宋" w:cs="仿宋"/>
          <w:color w:val="auto"/>
          <w:sz w:val="30"/>
          <w:szCs w:val="30"/>
          <w:highlight w:val="none"/>
        </w:rPr>
        <w:t>。</w:t>
      </w:r>
    </w:p>
    <w:p w14:paraId="67AB2A61">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86" w:name="_Toc14177"/>
      <w:bookmarkStart w:id="87" w:name="_Toc17075"/>
      <w:bookmarkStart w:id="88" w:name="_Toc1483"/>
      <w:r>
        <w:rPr>
          <w:rFonts w:hint="eastAsia" w:ascii="宋体" w:hAnsi="宋体" w:eastAsia="宋体" w:cs="宋体"/>
          <w:color w:val="auto"/>
          <w:highlight w:val="none"/>
          <w:lang w:val="en-US" w:eastAsia="zh-CN"/>
        </w:rPr>
        <w:t>6.8造林模式</w:t>
      </w:r>
      <w:bookmarkEnd w:id="86"/>
      <w:bookmarkEnd w:id="87"/>
      <w:bookmarkEnd w:id="88"/>
    </w:p>
    <w:p w14:paraId="1F69579A">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6.8.1模式一</w:t>
      </w:r>
    </w:p>
    <w:p w14:paraId="67C10FF1">
      <w:pPr>
        <w:pStyle w:val="14"/>
        <w:keepNext w:val="0"/>
        <w:keepLines w:val="0"/>
        <w:pageBreakBefore w:val="0"/>
        <w:widowControl w:val="0"/>
        <w:numPr>
          <w:ilvl w:val="0"/>
          <w:numId w:val="0"/>
        </w:numPr>
        <w:kinsoku/>
        <w:wordWrap/>
        <w:overflowPunct/>
        <w:topLinePunct w:val="0"/>
        <w:autoSpaceDE/>
        <w:autoSpaceDN/>
        <w:bidi w:val="0"/>
        <w:adjustRightInd/>
        <w:snapToGrid/>
        <w:spacing w:beforeAutospacing="0" w:after="0" w:afterLines="0" w:afterAutospacing="0" w:line="360" w:lineRule="auto"/>
        <w:ind w:left="0" w:leftChars="0" w:firstLine="480" w:firstLineChars="16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b w:val="0"/>
          <w:bCs w:val="0"/>
          <w:color w:val="000000"/>
          <w:sz w:val="30"/>
          <w:szCs w:val="30"/>
          <w:lang w:val="en-US" w:eastAsia="zh-CN"/>
        </w:rPr>
        <w:t>清理枯死木</w:t>
      </w:r>
      <w:r>
        <w:rPr>
          <w:rFonts w:hint="eastAsia" w:ascii="仿宋" w:hAnsi="仿宋" w:eastAsia="仿宋" w:cs="仿宋"/>
          <w:color w:val="auto"/>
          <w:kern w:val="2"/>
          <w:sz w:val="30"/>
          <w:szCs w:val="30"/>
          <w:highlight w:val="none"/>
          <w:lang w:val="en-US" w:eastAsia="zh-CN" w:bidi="ar-SA"/>
        </w:rPr>
        <w:t>+土壤改良+整地+栽植+灌溉+围封</w:t>
      </w:r>
    </w:p>
    <w:p w14:paraId="2C5B72F8">
      <w:pPr>
        <w:pStyle w:val="14"/>
        <w:keepNext w:val="0"/>
        <w:keepLines w:val="0"/>
        <w:pageBreakBefore w:val="0"/>
        <w:widowControl w:val="0"/>
        <w:numPr>
          <w:ilvl w:val="0"/>
          <w:numId w:val="7"/>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树种：杜梨</w:t>
      </w:r>
    </w:p>
    <w:p w14:paraId="5FFF5899">
      <w:pPr>
        <w:pStyle w:val="14"/>
        <w:keepNext w:val="0"/>
        <w:keepLines w:val="0"/>
        <w:pageBreakBefore w:val="0"/>
        <w:widowControl w:val="0"/>
        <w:numPr>
          <w:ilvl w:val="0"/>
          <w:numId w:val="7"/>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配置方式：2m×4m，按品字形排列</w:t>
      </w:r>
    </w:p>
    <w:p w14:paraId="59F2A637">
      <w:pPr>
        <w:pStyle w:val="14"/>
        <w:keepNext w:val="0"/>
        <w:keepLines w:val="0"/>
        <w:pageBreakBefore w:val="0"/>
        <w:widowControl w:val="0"/>
        <w:numPr>
          <w:ilvl w:val="0"/>
          <w:numId w:val="7"/>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整地方法：机械穴状</w:t>
      </w:r>
    </w:p>
    <w:p w14:paraId="77DE9322">
      <w:pPr>
        <w:pStyle w:val="14"/>
        <w:keepNext w:val="0"/>
        <w:keepLines w:val="0"/>
        <w:pageBreakBefore w:val="0"/>
        <w:widowControl w:val="0"/>
        <w:numPr>
          <w:ilvl w:val="0"/>
          <w:numId w:val="7"/>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施肥：施肥 1 次，腐熟有机肥：5kg/穴</w:t>
      </w:r>
    </w:p>
    <w:p w14:paraId="202CBCB1">
      <w:pPr>
        <w:pStyle w:val="14"/>
        <w:keepNext w:val="0"/>
        <w:keepLines w:val="0"/>
        <w:pageBreakBefore w:val="0"/>
        <w:widowControl w:val="0"/>
        <w:numPr>
          <w:ilvl w:val="0"/>
          <w:numId w:val="7"/>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土地改良：石膏（农业用石膏）：1kg/穴</w:t>
      </w:r>
    </w:p>
    <w:p w14:paraId="2A9C0671">
      <w:pPr>
        <w:pStyle w:val="14"/>
        <w:keepNext w:val="0"/>
        <w:keepLines w:val="0"/>
        <w:pageBreakBefore w:val="0"/>
        <w:widowControl w:val="0"/>
        <w:numPr>
          <w:ilvl w:val="0"/>
          <w:numId w:val="7"/>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初植密度：84穴/亩，1株/穴</w:t>
      </w:r>
    </w:p>
    <w:p w14:paraId="50243558">
      <w:pPr>
        <w:pStyle w:val="14"/>
        <w:keepNext w:val="0"/>
        <w:keepLines w:val="0"/>
        <w:pageBreakBefore w:val="0"/>
        <w:widowControl w:val="0"/>
        <w:numPr>
          <w:ilvl w:val="0"/>
          <w:numId w:val="7"/>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栽植季节：4月-5月</w:t>
      </w:r>
    </w:p>
    <w:p w14:paraId="3CA676F7">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该造林模式适用于双河镇富河村的1-3小班、黄河村的7小班，模式图详见</w:t>
      </w:r>
      <w:r>
        <w:rPr>
          <w:rFonts w:hint="eastAsia" w:ascii="仿宋" w:hAnsi="仿宋" w:eastAsia="仿宋" w:cs="仿宋"/>
          <w:color w:val="auto"/>
          <w:sz w:val="30"/>
          <w:szCs w:val="30"/>
          <w:highlight w:val="none"/>
          <w:lang w:val="en-US" w:eastAsia="zh-CN"/>
        </w:rPr>
        <w:fldChar w:fldCharType="begin"/>
      </w:r>
      <w:r>
        <w:rPr>
          <w:rFonts w:hint="eastAsia" w:ascii="仿宋" w:hAnsi="仿宋" w:eastAsia="仿宋" w:cs="仿宋"/>
          <w:color w:val="auto"/>
          <w:sz w:val="30"/>
          <w:szCs w:val="30"/>
          <w:highlight w:val="none"/>
          <w:lang w:val="en-US" w:eastAsia="zh-CN"/>
        </w:rPr>
        <w:instrText xml:space="preserve"> REF _Ref14235 \h </w:instrText>
      </w:r>
      <w:r>
        <w:rPr>
          <w:rFonts w:hint="eastAsia" w:ascii="仿宋" w:hAnsi="仿宋" w:eastAsia="仿宋" w:cs="仿宋"/>
          <w:color w:val="auto"/>
          <w:sz w:val="30"/>
          <w:szCs w:val="30"/>
          <w:highlight w:val="none"/>
          <w:lang w:val="en-US" w:eastAsia="zh-CN"/>
        </w:rPr>
        <w:fldChar w:fldCharType="separate"/>
      </w:r>
      <w:r>
        <w:rPr>
          <w:rFonts w:hint="eastAsia" w:ascii="仿宋" w:hAnsi="仿宋" w:eastAsia="仿宋" w:cs="仿宋"/>
          <w:color w:val="auto"/>
          <w:sz w:val="30"/>
          <w:szCs w:val="30"/>
          <w:highlight w:val="none"/>
        </w:rPr>
        <w:t xml:space="preserve">图 </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STYLEREF 2 \s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6.8</w:t>
      </w:r>
      <w:r>
        <w:rPr>
          <w:rFonts w:hint="eastAsia" w:ascii="仿宋" w:hAnsi="仿宋" w:eastAsia="仿宋" w:cs="仿宋"/>
          <w:color w:val="auto"/>
          <w:sz w:val="30"/>
          <w:szCs w:val="30"/>
          <w:highlight w:val="none"/>
        </w:rPr>
        <w:fldChar w:fldCharType="end"/>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1</w:t>
      </w:r>
      <w:r>
        <w:rPr>
          <w:rFonts w:hint="eastAsia" w:ascii="仿宋" w:hAnsi="仿宋" w:eastAsia="仿宋" w:cs="仿宋"/>
          <w:color w:val="auto"/>
          <w:sz w:val="30"/>
          <w:szCs w:val="30"/>
          <w:highlight w:val="none"/>
          <w:lang w:val="en-US" w:eastAsia="zh-CN"/>
        </w:rPr>
        <w:fldChar w:fldCharType="end"/>
      </w:r>
    </w:p>
    <w:p w14:paraId="5A83B342">
      <w:pPr>
        <w:pageBreakBefore w:val="0"/>
        <w:kinsoku/>
        <w:wordWrap/>
        <w:overflowPunct/>
        <w:topLinePunct w:val="0"/>
        <w:autoSpaceDE/>
        <w:autoSpaceDN/>
        <w:bidi w:val="0"/>
        <w:spacing w:line="360" w:lineRule="auto"/>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drawing>
          <wp:inline distT="0" distB="0" distL="114300" distR="114300">
            <wp:extent cx="3971290" cy="4558665"/>
            <wp:effectExtent l="0" t="0" r="0" b="13335"/>
            <wp:docPr id="12" name="图片 12" descr="C:/Users/Administrator/Desktop/图片1.1 拷贝.png图片1.1 拷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C:/Users/Administrator/Desktop/图片1.1 拷贝.png图片1.1 拷贝"/>
                    <pic:cNvPicPr>
                      <a:picLocks noChangeAspect="1"/>
                    </pic:cNvPicPr>
                  </pic:nvPicPr>
                  <pic:blipFill>
                    <a:blip r:embed="rId6"/>
                    <a:srcRect l="-435" r="-2000"/>
                    <a:stretch>
                      <a:fillRect/>
                    </a:stretch>
                  </pic:blipFill>
                  <pic:spPr>
                    <a:xfrm>
                      <a:off x="0" y="0"/>
                      <a:ext cx="3971290" cy="4558665"/>
                    </a:xfrm>
                    <a:prstGeom prst="rect">
                      <a:avLst/>
                    </a:prstGeom>
                  </pic:spPr>
                </pic:pic>
              </a:graphicData>
            </a:graphic>
          </wp:inline>
        </w:drawing>
      </w:r>
    </w:p>
    <w:p w14:paraId="3E34118E">
      <w:pPr>
        <w:pStyle w:val="14"/>
        <w:pageBreakBefore w:val="0"/>
        <w:kinsoku/>
        <w:wordWrap/>
        <w:overflowPunct/>
        <w:topLinePunct w:val="0"/>
        <w:autoSpaceDE/>
        <w:autoSpaceDN/>
        <w:bidi w:val="0"/>
        <w:spacing w:line="360" w:lineRule="auto"/>
        <w:ind w:firstLine="2400" w:firstLineChars="800"/>
        <w:jc w:val="both"/>
        <w:rPr>
          <w:rFonts w:hint="eastAsia"/>
          <w:color w:val="auto"/>
          <w:sz w:val="30"/>
          <w:szCs w:val="30"/>
          <w:highlight w:val="none"/>
          <w:lang w:val="en-US" w:eastAsia="zh-CN"/>
        </w:rPr>
      </w:pPr>
      <w:bookmarkStart w:id="89" w:name="_Ref14235"/>
      <w:r>
        <w:rPr>
          <w:color w:val="auto"/>
          <w:sz w:val="30"/>
          <w:szCs w:val="30"/>
          <w:highlight w:val="none"/>
        </w:rPr>
        <w:t xml:space="preserve">图 </w:t>
      </w:r>
      <w:r>
        <w:rPr>
          <w:color w:val="auto"/>
          <w:sz w:val="30"/>
          <w:szCs w:val="30"/>
          <w:highlight w:val="none"/>
        </w:rPr>
        <w:fldChar w:fldCharType="begin"/>
      </w:r>
      <w:r>
        <w:rPr>
          <w:color w:val="auto"/>
          <w:sz w:val="30"/>
          <w:szCs w:val="30"/>
          <w:highlight w:val="none"/>
        </w:rPr>
        <w:instrText xml:space="preserve"> STYLEREF 2 \s </w:instrText>
      </w:r>
      <w:r>
        <w:rPr>
          <w:color w:val="auto"/>
          <w:sz w:val="30"/>
          <w:szCs w:val="30"/>
          <w:highlight w:val="none"/>
        </w:rPr>
        <w:fldChar w:fldCharType="separate"/>
      </w:r>
      <w:r>
        <w:rPr>
          <w:color w:val="auto"/>
          <w:sz w:val="30"/>
          <w:szCs w:val="30"/>
          <w:highlight w:val="none"/>
        </w:rPr>
        <w:t>6.8</w:t>
      </w:r>
      <w:r>
        <w:rPr>
          <w:color w:val="auto"/>
          <w:sz w:val="30"/>
          <w:szCs w:val="30"/>
          <w:highlight w:val="none"/>
        </w:rPr>
        <w:fldChar w:fldCharType="end"/>
      </w:r>
      <w:r>
        <w:rPr>
          <w:rFonts w:hint="eastAsia"/>
          <w:color w:val="auto"/>
          <w:sz w:val="30"/>
          <w:szCs w:val="30"/>
          <w:highlight w:val="none"/>
          <w:lang w:eastAsia="zh-CN"/>
        </w:rPr>
        <w:t>-</w:t>
      </w:r>
      <w:r>
        <w:rPr>
          <w:color w:val="auto"/>
          <w:sz w:val="30"/>
          <w:szCs w:val="30"/>
          <w:highlight w:val="none"/>
        </w:rPr>
        <w:fldChar w:fldCharType="begin"/>
      </w:r>
      <w:r>
        <w:rPr>
          <w:color w:val="auto"/>
          <w:sz w:val="30"/>
          <w:szCs w:val="30"/>
          <w:highlight w:val="none"/>
        </w:rPr>
        <w:instrText xml:space="preserve"> SEQ 图 \* ARABIC \s 2 </w:instrText>
      </w:r>
      <w:r>
        <w:rPr>
          <w:color w:val="auto"/>
          <w:sz w:val="30"/>
          <w:szCs w:val="30"/>
          <w:highlight w:val="none"/>
        </w:rPr>
        <w:fldChar w:fldCharType="separate"/>
      </w:r>
      <w:r>
        <w:rPr>
          <w:color w:val="auto"/>
          <w:sz w:val="30"/>
          <w:szCs w:val="30"/>
          <w:highlight w:val="none"/>
        </w:rPr>
        <w:t>1</w:t>
      </w:r>
      <w:r>
        <w:rPr>
          <w:color w:val="auto"/>
          <w:sz w:val="30"/>
          <w:szCs w:val="30"/>
          <w:highlight w:val="none"/>
        </w:rPr>
        <w:fldChar w:fldCharType="end"/>
      </w:r>
      <w:bookmarkEnd w:id="89"/>
      <w:r>
        <w:rPr>
          <w:rFonts w:hint="eastAsia" w:ascii="宋体" w:hAnsi="宋体" w:eastAsia="宋体" w:cs="宋体"/>
          <w:color w:val="auto"/>
          <w:sz w:val="30"/>
          <w:szCs w:val="30"/>
          <w:highlight w:val="none"/>
          <w:lang w:val="en-US" w:eastAsia="zh-CN"/>
        </w:rPr>
        <w:t>种植</w:t>
      </w:r>
      <w:r>
        <w:rPr>
          <w:rFonts w:hint="eastAsia" w:ascii="宋体" w:hAnsi="宋体" w:eastAsia="宋体" w:cs="宋体"/>
          <w:color w:val="auto"/>
          <w:sz w:val="30"/>
          <w:szCs w:val="30"/>
          <w:highlight w:val="none"/>
        </w:rPr>
        <w:t>模式图</w:t>
      </w:r>
    </w:p>
    <w:p w14:paraId="7D0F3C93">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6.8.2模式二</w:t>
      </w:r>
    </w:p>
    <w:p w14:paraId="40BAEFCE">
      <w:pPr>
        <w:pStyle w:val="14"/>
        <w:keepNext w:val="0"/>
        <w:keepLines w:val="0"/>
        <w:pageBreakBefore w:val="0"/>
        <w:widowControl w:val="0"/>
        <w:kinsoku/>
        <w:wordWrap/>
        <w:overflowPunct/>
        <w:topLinePunct w:val="0"/>
        <w:autoSpaceDE/>
        <w:autoSpaceDN/>
        <w:bidi w:val="0"/>
        <w:adjustRightInd/>
        <w:snapToGrid/>
        <w:spacing w:beforeAutospacing="0" w:after="0" w:afterAutospacing="0" w:line="360" w:lineRule="auto"/>
        <w:ind w:left="0" w:leftChars="0" w:firstLine="600" w:firstLineChars="20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整地+土壤改良+栽植+灌溉+围封</w:t>
      </w:r>
    </w:p>
    <w:p w14:paraId="4E0DD0C4">
      <w:pPr>
        <w:pStyle w:val="14"/>
        <w:keepNext w:val="0"/>
        <w:keepLines w:val="0"/>
        <w:pageBreakBefore w:val="0"/>
        <w:widowControl w:val="0"/>
        <w:numPr>
          <w:ilvl w:val="0"/>
          <w:numId w:val="8"/>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树种：新疆大果沙枣</w:t>
      </w:r>
    </w:p>
    <w:p w14:paraId="070605AD">
      <w:pPr>
        <w:pStyle w:val="14"/>
        <w:keepNext w:val="0"/>
        <w:keepLines w:val="0"/>
        <w:pageBreakBefore w:val="0"/>
        <w:widowControl w:val="0"/>
        <w:numPr>
          <w:ilvl w:val="0"/>
          <w:numId w:val="8"/>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配置方式：2m×4m，按品字形排列</w:t>
      </w:r>
    </w:p>
    <w:p w14:paraId="74228384">
      <w:pPr>
        <w:pStyle w:val="14"/>
        <w:keepNext w:val="0"/>
        <w:keepLines w:val="0"/>
        <w:pageBreakBefore w:val="0"/>
        <w:widowControl w:val="0"/>
        <w:numPr>
          <w:ilvl w:val="0"/>
          <w:numId w:val="8"/>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整地方法：机械穴状</w:t>
      </w:r>
    </w:p>
    <w:p w14:paraId="674F7F25">
      <w:pPr>
        <w:pStyle w:val="14"/>
        <w:keepNext w:val="0"/>
        <w:keepLines w:val="0"/>
        <w:pageBreakBefore w:val="0"/>
        <w:widowControl w:val="0"/>
        <w:numPr>
          <w:ilvl w:val="0"/>
          <w:numId w:val="8"/>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施肥：施肥 1 次，腐熟有机肥：3kg/穴</w:t>
      </w:r>
    </w:p>
    <w:p w14:paraId="7F5B50A3">
      <w:pPr>
        <w:pStyle w:val="14"/>
        <w:keepNext w:val="0"/>
        <w:keepLines w:val="0"/>
        <w:pageBreakBefore w:val="0"/>
        <w:widowControl w:val="0"/>
        <w:numPr>
          <w:ilvl w:val="0"/>
          <w:numId w:val="8"/>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土地改良：石膏（农业用石膏）：0.4kg/穴</w:t>
      </w:r>
    </w:p>
    <w:p w14:paraId="5601579A">
      <w:pPr>
        <w:pStyle w:val="14"/>
        <w:keepNext w:val="0"/>
        <w:keepLines w:val="0"/>
        <w:pageBreakBefore w:val="0"/>
        <w:widowControl w:val="0"/>
        <w:numPr>
          <w:ilvl w:val="0"/>
          <w:numId w:val="8"/>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初植密度：84穴/亩，1株/穴</w:t>
      </w:r>
    </w:p>
    <w:p w14:paraId="680E54A5">
      <w:pPr>
        <w:pStyle w:val="14"/>
        <w:keepNext w:val="0"/>
        <w:keepLines w:val="0"/>
        <w:pageBreakBefore w:val="0"/>
        <w:widowControl w:val="0"/>
        <w:numPr>
          <w:ilvl w:val="0"/>
          <w:numId w:val="8"/>
        </w:numPr>
        <w:kinsoku/>
        <w:wordWrap/>
        <w:overflowPunct/>
        <w:topLinePunct w:val="0"/>
        <w:autoSpaceDE/>
        <w:autoSpaceDN/>
        <w:bidi w:val="0"/>
        <w:adjustRightInd/>
        <w:snapToGrid/>
        <w:spacing w:beforeAutospacing="0" w:after="0" w:afterLines="0" w:afterAutospacing="0" w:line="360" w:lineRule="auto"/>
        <w:ind w:left="425" w:leftChars="0" w:hanging="425" w:firstLineChars="0"/>
        <w:textAlignment w:val="auto"/>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栽植季节：4月-5月</w:t>
      </w:r>
    </w:p>
    <w:p w14:paraId="43956A6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该造林模式适用于双河镇新河村的4-6小班；模式图详见</w:t>
      </w:r>
      <w:r>
        <w:rPr>
          <w:rFonts w:hint="eastAsia" w:ascii="仿宋" w:hAnsi="仿宋" w:eastAsia="仿宋" w:cs="仿宋"/>
          <w:color w:val="auto"/>
          <w:sz w:val="30"/>
          <w:szCs w:val="30"/>
          <w:highlight w:val="none"/>
          <w:lang w:val="en-US" w:eastAsia="zh-CN"/>
        </w:rPr>
        <w:fldChar w:fldCharType="begin"/>
      </w:r>
      <w:r>
        <w:rPr>
          <w:rFonts w:hint="eastAsia" w:ascii="仿宋" w:hAnsi="仿宋" w:eastAsia="仿宋" w:cs="仿宋"/>
          <w:color w:val="auto"/>
          <w:sz w:val="30"/>
          <w:szCs w:val="30"/>
          <w:highlight w:val="none"/>
          <w:lang w:val="en-US" w:eastAsia="zh-CN"/>
        </w:rPr>
        <w:instrText xml:space="preserve"> REF _Ref14359 \h </w:instrText>
      </w:r>
      <w:r>
        <w:rPr>
          <w:rFonts w:hint="eastAsia" w:ascii="仿宋" w:hAnsi="仿宋" w:eastAsia="仿宋" w:cs="仿宋"/>
          <w:color w:val="auto"/>
          <w:sz w:val="30"/>
          <w:szCs w:val="30"/>
          <w:highlight w:val="none"/>
          <w:lang w:val="en-US" w:eastAsia="zh-CN"/>
        </w:rPr>
        <w:fldChar w:fldCharType="separate"/>
      </w:r>
      <w:r>
        <w:rPr>
          <w:rFonts w:hint="eastAsia" w:ascii="仿宋" w:hAnsi="仿宋" w:eastAsia="仿宋" w:cs="仿宋"/>
          <w:color w:val="auto"/>
          <w:sz w:val="30"/>
          <w:szCs w:val="30"/>
          <w:highlight w:val="none"/>
        </w:rPr>
        <w:t xml:space="preserve">图 </w:t>
      </w: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STYLEREF 2 \s </w:instrText>
      </w:r>
      <w:r>
        <w:rPr>
          <w:rFonts w:hint="eastAsia" w:ascii="仿宋" w:hAnsi="仿宋" w:eastAsia="仿宋" w:cs="仿宋"/>
          <w:color w:val="auto"/>
          <w:sz w:val="30"/>
          <w:szCs w:val="30"/>
          <w:highlight w:val="none"/>
        </w:rPr>
        <w:fldChar w:fldCharType="separate"/>
      </w:r>
      <w:r>
        <w:rPr>
          <w:rFonts w:hint="eastAsia" w:ascii="仿宋" w:hAnsi="仿宋" w:eastAsia="仿宋" w:cs="仿宋"/>
          <w:color w:val="auto"/>
          <w:sz w:val="30"/>
          <w:szCs w:val="30"/>
          <w:highlight w:val="none"/>
        </w:rPr>
        <w:t>6.8</w:t>
      </w:r>
      <w:r>
        <w:rPr>
          <w:rFonts w:hint="eastAsia" w:ascii="仿宋" w:hAnsi="仿宋" w:eastAsia="仿宋" w:cs="仿宋"/>
          <w:color w:val="auto"/>
          <w:sz w:val="30"/>
          <w:szCs w:val="30"/>
          <w:highlight w:val="none"/>
        </w:rPr>
        <w:fldChar w:fldCharType="end"/>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2</w:t>
      </w:r>
      <w:r>
        <w:rPr>
          <w:rFonts w:hint="eastAsia" w:ascii="仿宋" w:hAnsi="仿宋" w:eastAsia="仿宋" w:cs="仿宋"/>
          <w:color w:val="auto"/>
          <w:sz w:val="30"/>
          <w:szCs w:val="30"/>
          <w:highlight w:val="none"/>
          <w:lang w:val="en-US" w:eastAsia="zh-CN"/>
        </w:rPr>
        <w:fldChar w:fldCharType="end"/>
      </w:r>
      <w:r>
        <w:rPr>
          <w:rFonts w:hint="eastAsia" w:ascii="仿宋" w:hAnsi="仿宋" w:eastAsia="仿宋" w:cs="仿宋"/>
          <w:color w:val="auto"/>
          <w:sz w:val="30"/>
          <w:szCs w:val="30"/>
          <w:highlight w:val="none"/>
          <w:lang w:val="en-US" w:eastAsia="zh-CN"/>
        </w:rPr>
        <w:t>。</w:t>
      </w:r>
    </w:p>
    <w:p w14:paraId="6F033DDE">
      <w:pPr>
        <w:pageBreakBefore w:val="0"/>
        <w:kinsoku/>
        <w:wordWrap/>
        <w:overflowPunct/>
        <w:topLinePunct w:val="0"/>
        <w:autoSpaceDE/>
        <w:autoSpaceDN/>
        <w:bidi w:val="0"/>
        <w:spacing w:line="360" w:lineRule="auto"/>
        <w:jc w:val="center"/>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drawing>
          <wp:inline distT="0" distB="0" distL="114300" distR="114300">
            <wp:extent cx="3651250" cy="4453890"/>
            <wp:effectExtent l="0" t="0" r="6350" b="3810"/>
            <wp:docPr id="15" name="图片 15" descr="C:/Users/Administrator/Desktop/沙枣模式图.png沙枣模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Administrator/Desktop/沙枣模式图.png沙枣模式图"/>
                    <pic:cNvPicPr>
                      <a:picLocks noChangeAspect="1"/>
                    </pic:cNvPicPr>
                  </pic:nvPicPr>
                  <pic:blipFill>
                    <a:blip r:embed="rId7"/>
                    <a:srcRect l="28" r="28"/>
                    <a:stretch>
                      <a:fillRect/>
                    </a:stretch>
                  </pic:blipFill>
                  <pic:spPr>
                    <a:xfrm>
                      <a:off x="0" y="0"/>
                      <a:ext cx="3651250" cy="4453890"/>
                    </a:xfrm>
                    <a:prstGeom prst="rect">
                      <a:avLst/>
                    </a:prstGeom>
                  </pic:spPr>
                </pic:pic>
              </a:graphicData>
            </a:graphic>
          </wp:inline>
        </w:drawing>
      </w:r>
    </w:p>
    <w:p w14:paraId="3E1BBB04">
      <w:pPr>
        <w:pStyle w:val="14"/>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600" w:firstLineChars="200"/>
        <w:jc w:val="center"/>
        <w:textAlignment w:val="auto"/>
        <w:rPr>
          <w:rFonts w:hint="eastAsia" w:ascii="仿宋" w:hAnsi="仿宋" w:eastAsia="仿宋" w:cs="仿宋"/>
          <w:color w:val="auto"/>
          <w:sz w:val="30"/>
          <w:szCs w:val="30"/>
          <w:highlight w:val="none"/>
          <w:lang w:val="en-US" w:eastAsia="zh-CN"/>
        </w:rPr>
      </w:pPr>
      <w:bookmarkStart w:id="90" w:name="_Ref14359"/>
      <w:r>
        <w:rPr>
          <w:color w:val="auto"/>
          <w:sz w:val="30"/>
          <w:szCs w:val="30"/>
          <w:highlight w:val="none"/>
        </w:rPr>
        <w:t xml:space="preserve">图 </w:t>
      </w:r>
      <w:r>
        <w:rPr>
          <w:color w:val="auto"/>
          <w:sz w:val="30"/>
          <w:szCs w:val="30"/>
          <w:highlight w:val="none"/>
        </w:rPr>
        <w:fldChar w:fldCharType="begin"/>
      </w:r>
      <w:r>
        <w:rPr>
          <w:color w:val="auto"/>
          <w:sz w:val="30"/>
          <w:szCs w:val="30"/>
          <w:highlight w:val="none"/>
        </w:rPr>
        <w:instrText xml:space="preserve"> STYLEREF 2 \s </w:instrText>
      </w:r>
      <w:r>
        <w:rPr>
          <w:color w:val="auto"/>
          <w:sz w:val="30"/>
          <w:szCs w:val="30"/>
          <w:highlight w:val="none"/>
        </w:rPr>
        <w:fldChar w:fldCharType="separate"/>
      </w:r>
      <w:r>
        <w:rPr>
          <w:color w:val="auto"/>
          <w:sz w:val="30"/>
          <w:szCs w:val="30"/>
          <w:highlight w:val="none"/>
        </w:rPr>
        <w:t>6.</w:t>
      </w:r>
      <w:r>
        <w:rPr>
          <w:rFonts w:hint="eastAsia"/>
          <w:color w:val="auto"/>
          <w:sz w:val="30"/>
          <w:szCs w:val="30"/>
          <w:highlight w:val="none"/>
          <w:lang w:val="en-US" w:eastAsia="zh-CN"/>
        </w:rPr>
        <w:t>8</w:t>
      </w:r>
      <w:r>
        <w:rPr>
          <w:color w:val="auto"/>
          <w:sz w:val="30"/>
          <w:szCs w:val="30"/>
          <w:highlight w:val="none"/>
        </w:rPr>
        <w:fldChar w:fldCharType="end"/>
      </w:r>
      <w:r>
        <w:rPr>
          <w:rFonts w:hint="eastAsia"/>
          <w:color w:val="auto"/>
          <w:sz w:val="30"/>
          <w:szCs w:val="30"/>
          <w:highlight w:val="none"/>
          <w:lang w:eastAsia="zh-CN"/>
        </w:rPr>
        <w:t>-</w:t>
      </w:r>
      <w:bookmarkEnd w:id="90"/>
      <w:r>
        <w:rPr>
          <w:rFonts w:hint="eastAsia"/>
          <w:color w:val="auto"/>
          <w:sz w:val="30"/>
          <w:szCs w:val="30"/>
          <w:highlight w:val="none"/>
          <w:lang w:val="en-US" w:eastAsia="zh-CN"/>
        </w:rPr>
        <w:t>2</w:t>
      </w:r>
      <w:r>
        <w:rPr>
          <w:rFonts w:hint="eastAsia" w:ascii="宋体" w:hAnsi="宋体" w:eastAsia="宋体" w:cs="宋体"/>
          <w:color w:val="auto"/>
          <w:sz w:val="28"/>
          <w:szCs w:val="28"/>
          <w:highlight w:val="none"/>
          <w:lang w:val="en-US" w:eastAsia="zh-CN"/>
        </w:rPr>
        <w:t>种植</w:t>
      </w:r>
      <w:r>
        <w:rPr>
          <w:rFonts w:hint="eastAsia" w:ascii="宋体" w:hAnsi="宋体" w:eastAsia="宋体" w:cs="宋体"/>
          <w:color w:val="auto"/>
          <w:sz w:val="28"/>
          <w:szCs w:val="28"/>
          <w:highlight w:val="none"/>
        </w:rPr>
        <w:t>模式图</w:t>
      </w:r>
    </w:p>
    <w:p w14:paraId="2FAC99B5">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91" w:name="_Toc29696"/>
      <w:r>
        <w:rPr>
          <w:rFonts w:hint="eastAsia" w:ascii="宋体" w:hAnsi="宋体" w:eastAsia="宋体" w:cs="宋体"/>
          <w:color w:val="auto"/>
          <w:highlight w:val="none"/>
          <w:lang w:val="en-US" w:eastAsia="zh-CN"/>
        </w:rPr>
        <w:t>6.9补植</w:t>
      </w:r>
      <w:bookmarkEnd w:id="91"/>
    </w:p>
    <w:p w14:paraId="0379A876">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rPr>
      </w:pPr>
      <w:bookmarkStart w:id="92" w:name="_Toc8069"/>
      <w:bookmarkStart w:id="93" w:name="_Toc21540"/>
      <w:r>
        <w:rPr>
          <w:rFonts w:hint="eastAsia" w:ascii="宋体" w:hAnsi="宋体" w:eastAsia="宋体" w:cs="宋体"/>
          <w:color w:val="auto"/>
          <w:highlight w:val="none"/>
          <w:lang w:val="en-US" w:eastAsia="zh-CN"/>
        </w:rPr>
        <w:t>6.9.1</w:t>
      </w:r>
      <w:r>
        <w:rPr>
          <w:rFonts w:hint="eastAsia" w:ascii="宋体" w:hAnsi="宋体" w:eastAsia="宋体" w:cs="宋体"/>
          <w:color w:val="auto"/>
          <w:highlight w:val="none"/>
        </w:rPr>
        <w:t>补植原则</w:t>
      </w:r>
    </w:p>
    <w:p w14:paraId="3182E754">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在秋季或第二年早春对枯死苗木进行补植</w:t>
      </w:r>
      <w:r>
        <w:rPr>
          <w:rFonts w:hint="eastAsia" w:ascii="仿宋" w:hAnsi="仿宋" w:eastAsia="仿宋" w:cs="仿宋"/>
          <w:color w:val="auto"/>
          <w:sz w:val="30"/>
          <w:szCs w:val="30"/>
          <w:highlight w:val="none"/>
        </w:rPr>
        <w:t>。</w:t>
      </w:r>
    </w:p>
    <w:p w14:paraId="26C57E6D">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6.9.2</w:t>
      </w:r>
      <w:r>
        <w:rPr>
          <w:rFonts w:hint="eastAsia" w:ascii="宋体" w:hAnsi="宋体" w:eastAsia="宋体" w:cs="宋体"/>
          <w:color w:val="auto"/>
          <w:highlight w:val="none"/>
        </w:rPr>
        <w:t>补植树种</w:t>
      </w:r>
    </w:p>
    <w:p w14:paraId="52F1962C">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补植树种为原造林树种，规格同</w:t>
      </w:r>
      <w:r>
        <w:rPr>
          <w:rFonts w:hint="eastAsia" w:ascii="仿宋" w:hAnsi="仿宋" w:eastAsia="仿宋" w:cs="仿宋"/>
          <w:b w:val="0"/>
          <w:bCs w:val="0"/>
          <w:color w:val="000000"/>
          <w:kern w:val="2"/>
          <w:sz w:val="30"/>
          <w:szCs w:val="30"/>
          <w:highlight w:val="none"/>
          <w:lang w:val="en-US" w:eastAsia="zh-CN" w:bidi="ar-SA"/>
        </w:rPr>
        <w:t>原有</w:t>
      </w:r>
      <w:r>
        <w:rPr>
          <w:rFonts w:hint="eastAsia" w:ascii="仿宋" w:hAnsi="仿宋" w:eastAsia="仿宋" w:cs="仿宋"/>
          <w:color w:val="auto"/>
          <w:sz w:val="30"/>
          <w:szCs w:val="30"/>
          <w:highlight w:val="none"/>
          <w:lang w:val="en-US" w:eastAsia="zh-CN"/>
        </w:rPr>
        <w:t>造林苗木规格。</w:t>
      </w:r>
    </w:p>
    <w:p w14:paraId="6A5607B4">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6.9.3</w:t>
      </w:r>
      <w:r>
        <w:rPr>
          <w:rFonts w:hint="eastAsia" w:ascii="宋体" w:hAnsi="宋体" w:eastAsia="宋体" w:cs="宋体"/>
          <w:color w:val="auto"/>
          <w:highlight w:val="none"/>
        </w:rPr>
        <w:t>补植技术措施</w:t>
      </w:r>
    </w:p>
    <w:p w14:paraId="30859EA8">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补植技术措施同原有造林技术措施。</w:t>
      </w:r>
    </w:p>
    <w:p w14:paraId="019AE9A2">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rPr>
      </w:pPr>
      <w:bookmarkStart w:id="94" w:name="_Toc11101"/>
      <w:r>
        <w:rPr>
          <w:rFonts w:hint="eastAsia" w:ascii="宋体" w:hAnsi="宋体" w:eastAsia="宋体" w:cs="宋体"/>
          <w:color w:val="auto"/>
          <w:highlight w:val="none"/>
          <w:lang w:val="en-US" w:eastAsia="zh-CN"/>
        </w:rPr>
        <w:t>6.10抚育管理</w:t>
      </w:r>
      <w:bookmarkEnd w:id="92"/>
      <w:bookmarkEnd w:id="93"/>
      <w:bookmarkEnd w:id="94"/>
    </w:p>
    <w:p w14:paraId="263EB5EF">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6.10.1灌溉</w:t>
      </w:r>
    </w:p>
    <w:p w14:paraId="03B2F740">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采用滴灌进行浇水，</w:t>
      </w:r>
      <w:r>
        <w:rPr>
          <w:rFonts w:hint="eastAsia" w:ascii="仿宋" w:hAnsi="仿宋" w:eastAsia="仿宋" w:cs="仿宋"/>
          <w:color w:val="auto"/>
          <w:sz w:val="30"/>
          <w:szCs w:val="30"/>
          <w:highlight w:val="none"/>
        </w:rPr>
        <w:t>苗木栽植，三年共浇水</w:t>
      </w:r>
      <w:r>
        <w:rPr>
          <w:rFonts w:hint="eastAsia" w:ascii="仿宋" w:hAnsi="仿宋" w:eastAsia="仿宋" w:cs="仿宋"/>
          <w:color w:val="auto"/>
          <w:sz w:val="30"/>
          <w:szCs w:val="30"/>
          <w:highlight w:val="none"/>
          <w:lang w:val="en-US" w:eastAsia="zh-CN"/>
        </w:rPr>
        <w:t>15</w:t>
      </w:r>
      <w:r>
        <w:rPr>
          <w:rFonts w:hint="eastAsia" w:ascii="仿宋" w:hAnsi="仿宋" w:eastAsia="仿宋" w:cs="仿宋"/>
          <w:color w:val="auto"/>
          <w:sz w:val="30"/>
          <w:szCs w:val="30"/>
          <w:highlight w:val="none"/>
        </w:rPr>
        <w:t>次。</w:t>
      </w:r>
    </w:p>
    <w:p w14:paraId="3AA93D74">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栽植当年（第1年）：共灌溉6次，其中包含坐水栽植1次，以保障苗木初期成活与根系稳固；</w:t>
      </w:r>
    </w:p>
    <w:p w14:paraId="1A674021">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栽植后（第2年）：共灌溉5次，重点满足苗木生长旺盛期的水分需求；</w:t>
      </w:r>
    </w:p>
    <w:p w14:paraId="2A1B63E0">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栽植后（第3年）：共灌溉4次，逐步优化灌溉频率，促进苗木木质化与抗性提升。</w:t>
      </w:r>
    </w:p>
    <w:p w14:paraId="23274515">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实际灌溉时间需根据当年气候条件、土壤墒情及苗木生长状况动态调整，确保水分供给精准适配。</w:t>
      </w:r>
    </w:p>
    <w:p w14:paraId="073B8CE2">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灌溉</w:t>
      </w:r>
      <w:r>
        <w:rPr>
          <w:rFonts w:hint="eastAsia" w:ascii="仿宋" w:hAnsi="仿宋" w:eastAsia="仿宋" w:cs="仿宋"/>
          <w:b w:val="0"/>
          <w:bCs w:val="0"/>
          <w:color w:val="000000"/>
          <w:kern w:val="2"/>
          <w:sz w:val="30"/>
          <w:szCs w:val="30"/>
          <w:highlight w:val="none"/>
          <w:lang w:val="en-US" w:eastAsia="zh-CN" w:bidi="ar-SA"/>
        </w:rPr>
        <w:t>水源</w:t>
      </w:r>
      <w:r>
        <w:rPr>
          <w:rFonts w:hint="eastAsia" w:ascii="仿宋" w:hAnsi="仿宋" w:eastAsia="仿宋" w:cs="仿宋"/>
          <w:color w:val="auto"/>
          <w:sz w:val="30"/>
          <w:szCs w:val="30"/>
          <w:highlight w:val="none"/>
          <w:lang w:val="en-US" w:eastAsia="zh-CN"/>
        </w:rPr>
        <w:t>由建设单位牵头与地方水利部门沟通协调，完成灌溉用水的指标分配、取水许可及调度管理等相关事宜，保障项目灌溉水源稳定可靠。</w:t>
      </w:r>
    </w:p>
    <w:p w14:paraId="42FD8B69">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sz w:val="30"/>
          <w:szCs w:val="30"/>
          <w:highlight w:val="none"/>
        </w:rPr>
        <w:t>滴灌技术大幅降低输水损失与深层渗漏，有效提升水资源利用效率，契合临河沿黄区域干旱少雨、蒸发量大、土壤盐渍化的立地特征，既避免过度灌溉引发的次生盐渍化等生态问题，又严格遵循《中华人民共和国水法》等相关法规要求，符合黄河流域生态保护和高质量发展及节水型社会建设的相关规定，水资源配置科学合理、合规可行。</w:t>
      </w:r>
    </w:p>
    <w:p w14:paraId="4D560A43">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6.10.2围封</w:t>
      </w:r>
    </w:p>
    <w:p w14:paraId="30C6177E">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zh-CN" w:eastAsia="zh-CN"/>
        </w:rPr>
      </w:pPr>
      <w:r>
        <w:rPr>
          <w:rFonts w:hint="eastAsia" w:ascii="仿宋" w:hAnsi="仿宋" w:eastAsia="仿宋" w:cs="仿宋"/>
          <w:color w:val="auto"/>
          <w:sz w:val="30"/>
          <w:szCs w:val="30"/>
          <w:highlight w:val="none"/>
          <w:lang w:val="zh-CN" w:eastAsia="zh-CN"/>
        </w:rPr>
        <w:t>施工单位自行考虑完成安装合格产品的围栏封育工程所需其他施工工序及内容，施工满足《草原围栏建设技术规程》NY/T1237-2006规范要求。</w:t>
      </w:r>
    </w:p>
    <w:p w14:paraId="35651406">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项目区进行围栏封育，禁止放牧利用，为植物生长发育创造良好条件，防止人、畜破坏，及时采取有力措施防控有害生物灾害和自然灾害。</w:t>
      </w:r>
    </w:p>
    <w:p w14:paraId="32B4C0A1">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①围栏规格 </w:t>
      </w:r>
    </w:p>
    <w:p w14:paraId="42983641">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网围栏标准采用钢结构</w:t>
      </w: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网片</w:t>
      </w: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 xml:space="preserve">单层刺丝。 </w:t>
      </w:r>
    </w:p>
    <w:p w14:paraId="36F921B8">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网片：采用</w:t>
      </w:r>
      <w:r>
        <w:rPr>
          <w:rFonts w:hint="default" w:ascii="仿宋" w:hAnsi="仿宋" w:eastAsia="仿宋" w:cs="仿宋"/>
          <w:color w:val="auto"/>
          <w:sz w:val="30"/>
          <w:szCs w:val="30"/>
          <w:highlight w:val="none"/>
          <w:lang w:val="en-US" w:eastAsia="zh-CN"/>
        </w:rPr>
        <w:t>7-90-30</w:t>
      </w:r>
      <w:r>
        <w:rPr>
          <w:rFonts w:hint="eastAsia" w:ascii="仿宋" w:hAnsi="仿宋" w:eastAsia="仿宋" w:cs="仿宋"/>
          <w:color w:val="auto"/>
          <w:sz w:val="30"/>
          <w:szCs w:val="30"/>
          <w:highlight w:val="none"/>
          <w:lang w:val="en-US" w:eastAsia="zh-CN"/>
        </w:rPr>
        <w:t>型，即网宽</w:t>
      </w:r>
      <w:r>
        <w:rPr>
          <w:rFonts w:hint="default" w:ascii="仿宋" w:hAnsi="仿宋" w:eastAsia="仿宋" w:cs="仿宋"/>
          <w:color w:val="auto"/>
          <w:sz w:val="30"/>
          <w:szCs w:val="30"/>
          <w:highlight w:val="none"/>
          <w:lang w:val="en-US" w:eastAsia="zh-CN"/>
        </w:rPr>
        <w:t>900</w:t>
      </w:r>
      <w:r>
        <w:rPr>
          <w:rFonts w:hint="eastAsia" w:ascii="仿宋" w:hAnsi="仿宋" w:eastAsia="仿宋" w:cs="仿宋"/>
          <w:color w:val="auto"/>
          <w:sz w:val="30"/>
          <w:szCs w:val="30"/>
          <w:highlight w:val="none"/>
          <w:lang w:val="en-US" w:eastAsia="zh-CN"/>
        </w:rPr>
        <w:t>毫米，纬线</w:t>
      </w:r>
      <w:r>
        <w:rPr>
          <w:rFonts w:hint="default" w:ascii="仿宋" w:hAnsi="仿宋" w:eastAsia="仿宋" w:cs="仿宋"/>
          <w:color w:val="auto"/>
          <w:sz w:val="30"/>
          <w:szCs w:val="30"/>
          <w:highlight w:val="none"/>
          <w:lang w:val="en-US" w:eastAsia="zh-CN"/>
        </w:rPr>
        <w:t xml:space="preserve">7 </w:t>
      </w:r>
      <w:r>
        <w:rPr>
          <w:rFonts w:hint="eastAsia" w:ascii="仿宋" w:hAnsi="仿宋" w:eastAsia="仿宋" w:cs="仿宋"/>
          <w:color w:val="auto"/>
          <w:sz w:val="30"/>
          <w:szCs w:val="30"/>
          <w:highlight w:val="none"/>
          <w:lang w:val="en-US" w:eastAsia="zh-CN"/>
        </w:rPr>
        <w:t>根，纬线间距均为</w:t>
      </w:r>
      <w:r>
        <w:rPr>
          <w:rFonts w:hint="default" w:ascii="仿宋" w:hAnsi="仿宋" w:eastAsia="仿宋" w:cs="仿宋"/>
          <w:color w:val="auto"/>
          <w:sz w:val="30"/>
          <w:szCs w:val="30"/>
          <w:highlight w:val="none"/>
          <w:lang w:val="en-US" w:eastAsia="zh-CN"/>
        </w:rPr>
        <w:t>150</w:t>
      </w:r>
      <w:r>
        <w:rPr>
          <w:rFonts w:hint="eastAsia" w:ascii="仿宋" w:hAnsi="仿宋" w:eastAsia="仿宋" w:cs="仿宋"/>
          <w:color w:val="auto"/>
          <w:sz w:val="30"/>
          <w:szCs w:val="30"/>
          <w:highlight w:val="none"/>
          <w:lang w:val="en-US" w:eastAsia="zh-CN"/>
        </w:rPr>
        <w:t>毫米，经线间距均为</w:t>
      </w:r>
      <w:r>
        <w:rPr>
          <w:rFonts w:hint="default" w:ascii="仿宋" w:hAnsi="仿宋" w:eastAsia="仿宋" w:cs="仿宋"/>
          <w:color w:val="auto"/>
          <w:sz w:val="30"/>
          <w:szCs w:val="30"/>
          <w:highlight w:val="none"/>
          <w:lang w:val="en-US" w:eastAsia="zh-CN"/>
        </w:rPr>
        <w:t>300</w:t>
      </w:r>
      <w:r>
        <w:rPr>
          <w:rFonts w:hint="eastAsia" w:ascii="仿宋" w:hAnsi="仿宋" w:eastAsia="仿宋" w:cs="仿宋"/>
          <w:color w:val="auto"/>
          <w:sz w:val="30"/>
          <w:szCs w:val="30"/>
          <w:highlight w:val="none"/>
          <w:lang w:val="en-US" w:eastAsia="zh-CN"/>
        </w:rPr>
        <w:t>毫米，底边纬线距地面</w:t>
      </w:r>
      <w:r>
        <w:rPr>
          <w:rFonts w:hint="default" w:ascii="仿宋" w:hAnsi="仿宋" w:eastAsia="仿宋" w:cs="仿宋"/>
          <w:color w:val="auto"/>
          <w:sz w:val="30"/>
          <w:szCs w:val="30"/>
          <w:highlight w:val="none"/>
          <w:lang w:val="en-US" w:eastAsia="zh-CN"/>
        </w:rPr>
        <w:t>100</w:t>
      </w:r>
      <w:r>
        <w:rPr>
          <w:rFonts w:hint="eastAsia" w:ascii="仿宋" w:hAnsi="仿宋" w:eastAsia="仿宋" w:cs="仿宋"/>
          <w:color w:val="auto"/>
          <w:sz w:val="30"/>
          <w:szCs w:val="30"/>
          <w:highlight w:val="none"/>
          <w:lang w:val="en-US" w:eastAsia="zh-CN"/>
        </w:rPr>
        <w:t>毫米。边纬线钢丝公称直径</w:t>
      </w:r>
      <w:r>
        <w:rPr>
          <w:rFonts w:hint="default" w:ascii="仿宋" w:hAnsi="仿宋" w:eastAsia="仿宋" w:cs="仿宋"/>
          <w:color w:val="auto"/>
          <w:sz w:val="30"/>
          <w:szCs w:val="30"/>
          <w:highlight w:val="none"/>
          <w:lang w:val="en-US" w:eastAsia="zh-CN"/>
        </w:rPr>
        <w:t>2.8</w:t>
      </w:r>
      <w:r>
        <w:rPr>
          <w:rFonts w:hint="eastAsia" w:ascii="仿宋" w:hAnsi="仿宋" w:eastAsia="仿宋" w:cs="仿宋"/>
          <w:color w:val="auto"/>
          <w:sz w:val="30"/>
          <w:szCs w:val="30"/>
          <w:highlight w:val="none"/>
          <w:lang w:val="en-US" w:eastAsia="zh-CN"/>
        </w:rPr>
        <w:t>毫米，热镀锌层重量≥</w:t>
      </w:r>
      <w:r>
        <w:rPr>
          <w:rFonts w:hint="default" w:ascii="仿宋" w:hAnsi="仿宋" w:eastAsia="仿宋" w:cs="仿宋"/>
          <w:color w:val="auto"/>
          <w:sz w:val="30"/>
          <w:szCs w:val="30"/>
          <w:highlight w:val="none"/>
          <w:lang w:val="en-US" w:eastAsia="zh-CN"/>
        </w:rPr>
        <w:t>90</w:t>
      </w:r>
      <w:r>
        <w:rPr>
          <w:rFonts w:hint="eastAsia" w:ascii="仿宋" w:hAnsi="仿宋" w:eastAsia="仿宋" w:cs="仿宋"/>
          <w:color w:val="auto"/>
          <w:sz w:val="30"/>
          <w:szCs w:val="30"/>
          <w:highlight w:val="none"/>
          <w:lang w:val="en-US" w:eastAsia="zh-CN"/>
        </w:rPr>
        <w:t>克</w:t>
      </w: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平方米，中纬和经线钢丝公称直径</w:t>
      </w:r>
      <w:r>
        <w:rPr>
          <w:rFonts w:hint="default" w:ascii="仿宋" w:hAnsi="仿宋" w:eastAsia="仿宋" w:cs="仿宋"/>
          <w:color w:val="auto"/>
          <w:sz w:val="30"/>
          <w:szCs w:val="30"/>
          <w:highlight w:val="none"/>
          <w:lang w:val="en-US" w:eastAsia="zh-CN"/>
        </w:rPr>
        <w:t>2.5</w:t>
      </w:r>
      <w:r>
        <w:rPr>
          <w:rFonts w:hint="eastAsia" w:ascii="仿宋" w:hAnsi="仿宋" w:eastAsia="仿宋" w:cs="仿宋"/>
          <w:color w:val="auto"/>
          <w:sz w:val="30"/>
          <w:szCs w:val="30"/>
          <w:highlight w:val="none"/>
          <w:lang w:val="en-US" w:eastAsia="zh-CN"/>
        </w:rPr>
        <w:t>毫米，热镀锌层重量≥</w:t>
      </w:r>
      <w:r>
        <w:rPr>
          <w:rFonts w:hint="default" w:ascii="仿宋" w:hAnsi="仿宋" w:eastAsia="仿宋" w:cs="仿宋"/>
          <w:color w:val="auto"/>
          <w:sz w:val="30"/>
          <w:szCs w:val="30"/>
          <w:highlight w:val="none"/>
          <w:lang w:val="en-US" w:eastAsia="zh-CN"/>
        </w:rPr>
        <w:t>80</w:t>
      </w:r>
      <w:r>
        <w:rPr>
          <w:rFonts w:hint="eastAsia" w:ascii="仿宋" w:hAnsi="仿宋" w:eastAsia="仿宋" w:cs="仿宋"/>
          <w:color w:val="auto"/>
          <w:sz w:val="30"/>
          <w:szCs w:val="30"/>
          <w:highlight w:val="none"/>
          <w:lang w:val="en-US" w:eastAsia="zh-CN"/>
        </w:rPr>
        <w:t>克</w:t>
      </w: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平方米，每捆长度≥</w:t>
      </w:r>
      <w:r>
        <w:rPr>
          <w:rFonts w:hint="default" w:ascii="仿宋" w:hAnsi="仿宋" w:eastAsia="仿宋" w:cs="仿宋"/>
          <w:color w:val="auto"/>
          <w:sz w:val="30"/>
          <w:szCs w:val="30"/>
          <w:highlight w:val="none"/>
          <w:lang w:val="en-US" w:eastAsia="zh-CN"/>
        </w:rPr>
        <w:t>200</w:t>
      </w:r>
      <w:r>
        <w:rPr>
          <w:rFonts w:hint="eastAsia" w:ascii="仿宋" w:hAnsi="仿宋" w:eastAsia="仿宋" w:cs="仿宋"/>
          <w:color w:val="auto"/>
          <w:sz w:val="30"/>
          <w:szCs w:val="30"/>
          <w:highlight w:val="none"/>
          <w:lang w:val="en-US" w:eastAsia="zh-CN"/>
        </w:rPr>
        <w:t>米，纬线钢丝抗拉强度≥</w:t>
      </w:r>
      <w:r>
        <w:rPr>
          <w:rFonts w:hint="default" w:ascii="仿宋" w:hAnsi="仿宋" w:eastAsia="仿宋" w:cs="仿宋"/>
          <w:color w:val="auto"/>
          <w:sz w:val="30"/>
          <w:szCs w:val="30"/>
          <w:highlight w:val="none"/>
          <w:lang w:val="en-US" w:eastAsia="zh-CN"/>
        </w:rPr>
        <w:t>900Mpa</w:t>
      </w:r>
      <w:r>
        <w:rPr>
          <w:rFonts w:hint="eastAsia" w:ascii="仿宋" w:hAnsi="仿宋" w:eastAsia="仿宋" w:cs="仿宋"/>
          <w:color w:val="auto"/>
          <w:sz w:val="30"/>
          <w:szCs w:val="30"/>
          <w:highlight w:val="none"/>
          <w:lang w:val="en-US" w:eastAsia="zh-CN"/>
        </w:rPr>
        <w:t>，经线抗拉强度≥</w:t>
      </w:r>
      <w:r>
        <w:rPr>
          <w:rFonts w:hint="default" w:ascii="仿宋" w:hAnsi="仿宋" w:eastAsia="仿宋" w:cs="仿宋"/>
          <w:color w:val="auto"/>
          <w:sz w:val="30"/>
          <w:szCs w:val="30"/>
          <w:highlight w:val="none"/>
          <w:lang w:val="en-US" w:eastAsia="zh-CN"/>
        </w:rPr>
        <w:t>550Mpa</w:t>
      </w:r>
      <w:r>
        <w:rPr>
          <w:rFonts w:hint="eastAsia" w:ascii="仿宋" w:hAnsi="仿宋" w:eastAsia="仿宋" w:cs="仿宋"/>
          <w:color w:val="auto"/>
          <w:sz w:val="30"/>
          <w:szCs w:val="30"/>
          <w:highlight w:val="none"/>
          <w:lang w:val="en-US" w:eastAsia="zh-CN"/>
        </w:rPr>
        <w:t>。采用竖扣线（经线垂直扣结纬线）的结构固定，以提升抗拉强度。</w:t>
      </w:r>
    </w:p>
    <w:p w14:paraId="2B81F8B1">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立柱：角钢立柱采用热轧等边角钢，小立柱规格为</w:t>
      </w:r>
      <w:r>
        <w:rPr>
          <w:rFonts w:hint="default" w:ascii="仿宋" w:hAnsi="仿宋" w:eastAsia="仿宋" w:cs="仿宋"/>
          <w:color w:val="auto"/>
          <w:sz w:val="30"/>
          <w:szCs w:val="30"/>
          <w:highlight w:val="none"/>
          <w:lang w:val="en-US" w:eastAsia="zh-CN"/>
        </w:rPr>
        <w:t>40</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 xml:space="preserve">40 </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1800</w:t>
      </w:r>
      <w:r>
        <w:rPr>
          <w:rFonts w:hint="eastAsia" w:ascii="仿宋" w:hAnsi="仿宋" w:eastAsia="仿宋" w:cs="仿宋"/>
          <w:color w:val="auto"/>
          <w:sz w:val="30"/>
          <w:szCs w:val="30"/>
          <w:highlight w:val="none"/>
          <w:lang w:val="en-US" w:eastAsia="zh-CN"/>
        </w:rPr>
        <w:t>毫米，小立柱间隔为</w:t>
      </w:r>
      <w:r>
        <w:rPr>
          <w:rFonts w:hint="default" w:ascii="仿宋" w:hAnsi="仿宋" w:eastAsia="仿宋" w:cs="仿宋"/>
          <w:color w:val="auto"/>
          <w:sz w:val="30"/>
          <w:szCs w:val="30"/>
          <w:highlight w:val="none"/>
          <w:lang w:val="en-US" w:eastAsia="zh-CN"/>
        </w:rPr>
        <w:t>10</w:t>
      </w:r>
      <w:r>
        <w:rPr>
          <w:rFonts w:hint="eastAsia" w:ascii="仿宋" w:hAnsi="仿宋" w:eastAsia="仿宋" w:cs="仿宋"/>
          <w:color w:val="auto"/>
          <w:sz w:val="30"/>
          <w:szCs w:val="30"/>
          <w:highlight w:val="none"/>
          <w:lang w:val="en-US" w:eastAsia="zh-CN"/>
        </w:rPr>
        <w:t>米，埋深</w:t>
      </w:r>
      <w:r>
        <w:rPr>
          <w:rFonts w:hint="default" w:ascii="仿宋" w:hAnsi="仿宋" w:eastAsia="仿宋" w:cs="仿宋"/>
          <w:color w:val="auto"/>
          <w:sz w:val="30"/>
          <w:szCs w:val="30"/>
          <w:highlight w:val="none"/>
          <w:lang w:val="en-US" w:eastAsia="zh-CN"/>
        </w:rPr>
        <w:t>60</w:t>
      </w:r>
      <w:r>
        <w:rPr>
          <w:rFonts w:hint="eastAsia" w:ascii="仿宋" w:hAnsi="仿宋" w:eastAsia="仿宋" w:cs="仿宋"/>
          <w:color w:val="auto"/>
          <w:sz w:val="30"/>
          <w:szCs w:val="30"/>
          <w:highlight w:val="none"/>
          <w:lang w:val="en-US" w:eastAsia="zh-CN"/>
        </w:rPr>
        <w:t>厘米；中间柱间隔</w:t>
      </w:r>
      <w:r>
        <w:rPr>
          <w:rFonts w:hint="default" w:ascii="仿宋" w:hAnsi="仿宋" w:eastAsia="仿宋" w:cs="仿宋"/>
          <w:color w:val="auto"/>
          <w:sz w:val="30"/>
          <w:szCs w:val="30"/>
          <w:highlight w:val="none"/>
          <w:lang w:val="en-US" w:eastAsia="zh-CN"/>
        </w:rPr>
        <w:t>200</w:t>
      </w:r>
      <w:r>
        <w:rPr>
          <w:rFonts w:hint="eastAsia" w:ascii="仿宋" w:hAnsi="仿宋" w:eastAsia="仿宋" w:cs="仿宋"/>
          <w:color w:val="auto"/>
          <w:sz w:val="30"/>
          <w:szCs w:val="30"/>
          <w:highlight w:val="none"/>
          <w:lang w:val="en-US" w:eastAsia="zh-CN"/>
        </w:rPr>
        <w:t>米设置，埋深</w:t>
      </w:r>
      <w:r>
        <w:rPr>
          <w:rFonts w:hint="default" w:ascii="仿宋" w:hAnsi="仿宋" w:eastAsia="仿宋" w:cs="仿宋"/>
          <w:color w:val="auto"/>
          <w:sz w:val="30"/>
          <w:szCs w:val="30"/>
          <w:highlight w:val="none"/>
          <w:lang w:val="en-US" w:eastAsia="zh-CN"/>
        </w:rPr>
        <w:t>80</w:t>
      </w:r>
      <w:r>
        <w:rPr>
          <w:rFonts w:hint="eastAsia" w:ascii="仿宋" w:hAnsi="仿宋" w:eastAsia="仿宋" w:cs="仿宋"/>
          <w:color w:val="auto"/>
          <w:sz w:val="30"/>
          <w:szCs w:val="30"/>
          <w:highlight w:val="none"/>
          <w:lang w:val="en-US" w:eastAsia="zh-CN"/>
        </w:rPr>
        <w:t>厘米，中间柱采用</w:t>
      </w:r>
      <w:r>
        <w:rPr>
          <w:rFonts w:hint="default"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lang w:val="en-US" w:eastAsia="zh-CN"/>
        </w:rPr>
        <w:t>毫米热轧等边角钢立柱，规格为</w:t>
      </w:r>
      <w:r>
        <w:rPr>
          <w:rFonts w:hint="default" w:ascii="仿宋" w:hAnsi="仿宋" w:eastAsia="仿宋" w:cs="仿宋"/>
          <w:color w:val="auto"/>
          <w:sz w:val="30"/>
          <w:szCs w:val="30"/>
          <w:highlight w:val="none"/>
          <w:lang w:val="en-US" w:eastAsia="zh-CN"/>
        </w:rPr>
        <w:t>70</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70</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2000</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 xml:space="preserve">7 </w:t>
      </w:r>
      <w:r>
        <w:rPr>
          <w:rFonts w:hint="eastAsia" w:ascii="仿宋" w:hAnsi="仿宋" w:eastAsia="仿宋" w:cs="仿宋"/>
          <w:color w:val="auto"/>
          <w:sz w:val="30"/>
          <w:szCs w:val="30"/>
          <w:highlight w:val="none"/>
          <w:lang w:val="en-US" w:eastAsia="zh-CN"/>
        </w:rPr>
        <w:t>毫米的热轧等边角钢斜柱，规格为</w:t>
      </w:r>
      <w:r>
        <w:rPr>
          <w:rFonts w:hint="default" w:ascii="仿宋" w:hAnsi="仿宋" w:eastAsia="仿宋" w:cs="仿宋"/>
          <w:color w:val="auto"/>
          <w:sz w:val="30"/>
          <w:szCs w:val="30"/>
          <w:highlight w:val="none"/>
          <w:lang w:val="en-US" w:eastAsia="zh-CN"/>
        </w:rPr>
        <w:t>80</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80</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2000</w:t>
      </w:r>
      <w:r>
        <w:rPr>
          <w:rFonts w:hint="eastAsia" w:ascii="仿宋" w:hAnsi="仿宋" w:eastAsia="仿宋" w:cs="仿宋"/>
          <w:color w:val="auto"/>
          <w:sz w:val="30"/>
          <w:szCs w:val="30"/>
          <w:highlight w:val="none"/>
          <w:lang w:val="en-US" w:eastAsia="zh-CN"/>
        </w:rPr>
        <w:t>毫米。主线设立单顶，拐角处设立双顶，地锚</w:t>
      </w:r>
      <w:r>
        <w:rPr>
          <w:rFonts w:hint="default" w:ascii="仿宋" w:hAnsi="仿宋" w:eastAsia="仿宋" w:cs="仿宋"/>
          <w:color w:val="auto"/>
          <w:sz w:val="30"/>
          <w:szCs w:val="30"/>
          <w:highlight w:val="none"/>
          <w:lang w:val="en-US" w:eastAsia="zh-CN"/>
        </w:rPr>
        <w:t>40</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40</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500</w:t>
      </w:r>
      <w:r>
        <w:rPr>
          <w:rFonts w:hint="eastAsia" w:ascii="仿宋" w:hAnsi="仿宋" w:eastAsia="仿宋" w:cs="仿宋"/>
          <w:color w:val="auto"/>
          <w:sz w:val="30"/>
          <w:szCs w:val="30"/>
          <w:highlight w:val="none"/>
          <w:lang w:val="en-US" w:eastAsia="zh-CN"/>
        </w:rPr>
        <w:t>毫米，每根斜柱配</w:t>
      </w:r>
      <w:r>
        <w:rPr>
          <w:rFonts w:hint="default" w:ascii="仿宋" w:hAnsi="仿宋" w:eastAsia="仿宋" w:cs="仿宋"/>
          <w:color w:val="auto"/>
          <w:sz w:val="30"/>
          <w:szCs w:val="30"/>
          <w:highlight w:val="none"/>
          <w:lang w:val="en-US" w:eastAsia="zh-CN"/>
        </w:rPr>
        <w:t>2</w:t>
      </w:r>
      <w:r>
        <w:rPr>
          <w:rFonts w:hint="eastAsia" w:ascii="仿宋" w:hAnsi="仿宋" w:eastAsia="仿宋" w:cs="仿宋"/>
          <w:color w:val="auto"/>
          <w:sz w:val="30"/>
          <w:szCs w:val="30"/>
          <w:highlight w:val="none"/>
          <w:lang w:val="en-US" w:eastAsia="zh-CN"/>
        </w:rPr>
        <w:t>个地锚。为施工方便，且容易张紧，故小立柱预留孔距应与网片纬线间距及刺丝位置一致。</w:t>
      </w:r>
    </w:p>
    <w:p w14:paraId="4DD2ADCF">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刺丝：采用双股刺钢丝，股线φ</w:t>
      </w:r>
      <w:r>
        <w:rPr>
          <w:rFonts w:hint="default" w:ascii="仿宋" w:hAnsi="仿宋" w:eastAsia="仿宋" w:cs="仿宋"/>
          <w:color w:val="auto"/>
          <w:sz w:val="30"/>
          <w:szCs w:val="30"/>
          <w:highlight w:val="none"/>
          <w:lang w:val="en-US" w:eastAsia="zh-CN"/>
        </w:rPr>
        <w:t xml:space="preserve">2.0 </w:t>
      </w:r>
      <w:r>
        <w:rPr>
          <w:rFonts w:hint="eastAsia" w:ascii="仿宋" w:hAnsi="仿宋" w:eastAsia="仿宋" w:cs="仿宋"/>
          <w:color w:val="auto"/>
          <w:sz w:val="30"/>
          <w:szCs w:val="30"/>
          <w:highlight w:val="none"/>
          <w:lang w:val="en-US" w:eastAsia="zh-CN"/>
        </w:rPr>
        <w:t>镀锌铁丝，每捆长度≥</w:t>
      </w:r>
      <w:r>
        <w:rPr>
          <w:rFonts w:hint="default" w:ascii="仿宋" w:hAnsi="仿宋" w:eastAsia="仿宋" w:cs="仿宋"/>
          <w:color w:val="auto"/>
          <w:sz w:val="30"/>
          <w:szCs w:val="30"/>
          <w:highlight w:val="none"/>
          <w:lang w:val="en-US" w:eastAsia="zh-CN"/>
        </w:rPr>
        <w:t xml:space="preserve">200 </w:t>
      </w:r>
      <w:r>
        <w:rPr>
          <w:rFonts w:hint="eastAsia" w:ascii="仿宋" w:hAnsi="仿宋" w:eastAsia="仿宋" w:cs="仿宋"/>
          <w:color w:val="auto"/>
          <w:sz w:val="30"/>
          <w:szCs w:val="30"/>
          <w:highlight w:val="none"/>
          <w:lang w:val="en-US" w:eastAsia="zh-CN"/>
        </w:rPr>
        <w:t>米，刺间距</w:t>
      </w:r>
      <w:r>
        <w:rPr>
          <w:rFonts w:hint="default" w:ascii="仿宋" w:hAnsi="仿宋" w:eastAsia="仿宋" w:cs="仿宋"/>
          <w:color w:val="auto"/>
          <w:sz w:val="30"/>
          <w:szCs w:val="30"/>
          <w:highlight w:val="none"/>
          <w:lang w:val="en-US" w:eastAsia="zh-CN"/>
        </w:rPr>
        <w:t xml:space="preserve">100 </w:t>
      </w:r>
      <w:r>
        <w:rPr>
          <w:rFonts w:hint="eastAsia" w:ascii="仿宋" w:hAnsi="仿宋" w:eastAsia="仿宋" w:cs="仿宋"/>
          <w:color w:val="auto"/>
          <w:sz w:val="30"/>
          <w:szCs w:val="30"/>
          <w:highlight w:val="none"/>
          <w:lang w:val="en-US" w:eastAsia="zh-CN"/>
        </w:rPr>
        <w:t>毫米～</w:t>
      </w:r>
      <w:r>
        <w:rPr>
          <w:rFonts w:hint="default" w:ascii="仿宋" w:hAnsi="仿宋" w:eastAsia="仿宋" w:cs="仿宋"/>
          <w:color w:val="auto"/>
          <w:sz w:val="30"/>
          <w:szCs w:val="30"/>
          <w:highlight w:val="none"/>
          <w:lang w:val="en-US" w:eastAsia="zh-CN"/>
        </w:rPr>
        <w:t xml:space="preserve">120 </w:t>
      </w:r>
      <w:r>
        <w:rPr>
          <w:rFonts w:hint="eastAsia" w:ascii="仿宋" w:hAnsi="仿宋" w:eastAsia="仿宋" w:cs="仿宋"/>
          <w:color w:val="auto"/>
          <w:sz w:val="30"/>
          <w:szCs w:val="30"/>
          <w:highlight w:val="none"/>
          <w:lang w:val="en-US" w:eastAsia="zh-CN"/>
        </w:rPr>
        <w:t>毫米，转数为</w:t>
      </w:r>
      <w:r>
        <w:rPr>
          <w:rFonts w:hint="default" w:ascii="仿宋" w:hAnsi="仿宋" w:eastAsia="仿宋" w:cs="仿宋"/>
          <w:color w:val="auto"/>
          <w:sz w:val="30"/>
          <w:szCs w:val="30"/>
          <w:highlight w:val="none"/>
          <w:lang w:val="en-US" w:eastAsia="zh-CN"/>
        </w:rPr>
        <w:t>7</w:t>
      </w:r>
      <w:r>
        <w:rPr>
          <w:rFonts w:hint="eastAsia" w:ascii="仿宋" w:hAnsi="仿宋" w:eastAsia="仿宋" w:cs="仿宋"/>
          <w:color w:val="auto"/>
          <w:sz w:val="30"/>
          <w:szCs w:val="30"/>
          <w:highlight w:val="none"/>
          <w:lang w:val="en-US" w:eastAsia="zh-CN"/>
        </w:rPr>
        <w:t>～</w:t>
      </w:r>
      <w:r>
        <w:rPr>
          <w:rFonts w:hint="default" w:ascii="仿宋" w:hAnsi="仿宋" w:eastAsia="仿宋" w:cs="仿宋"/>
          <w:color w:val="auto"/>
          <w:sz w:val="30"/>
          <w:szCs w:val="30"/>
          <w:highlight w:val="none"/>
          <w:lang w:val="en-US" w:eastAsia="zh-CN"/>
        </w:rPr>
        <w:t xml:space="preserve">8 </w:t>
      </w:r>
      <w:r>
        <w:rPr>
          <w:rFonts w:hint="eastAsia" w:ascii="仿宋" w:hAnsi="仿宋" w:eastAsia="仿宋" w:cs="仿宋"/>
          <w:color w:val="auto"/>
          <w:sz w:val="30"/>
          <w:szCs w:val="30"/>
          <w:highlight w:val="none"/>
          <w:lang w:val="en-US" w:eastAsia="zh-CN"/>
        </w:rPr>
        <w:t>转</w:t>
      </w: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米，抗张强度</w:t>
      </w:r>
      <w:r>
        <w:rPr>
          <w:rFonts w:hint="default" w:ascii="仿宋" w:hAnsi="仿宋" w:eastAsia="仿宋" w:cs="仿宋"/>
          <w:color w:val="auto"/>
          <w:sz w:val="30"/>
          <w:szCs w:val="30"/>
          <w:highlight w:val="none"/>
          <w:lang w:val="en-US" w:eastAsia="zh-CN"/>
        </w:rPr>
        <w:t>500</w:t>
      </w:r>
      <w:r>
        <w:rPr>
          <w:rFonts w:hint="eastAsia" w:ascii="仿宋" w:hAnsi="仿宋" w:eastAsia="仿宋" w:cs="仿宋"/>
          <w:color w:val="auto"/>
          <w:sz w:val="30"/>
          <w:szCs w:val="30"/>
          <w:highlight w:val="none"/>
          <w:lang w:val="en-US" w:eastAsia="zh-CN"/>
        </w:rPr>
        <w:t xml:space="preserve">～ </w:t>
      </w:r>
      <w:r>
        <w:rPr>
          <w:rFonts w:hint="default" w:ascii="仿宋" w:hAnsi="仿宋" w:eastAsia="仿宋" w:cs="仿宋"/>
          <w:color w:val="auto"/>
          <w:sz w:val="30"/>
          <w:szCs w:val="30"/>
          <w:highlight w:val="none"/>
          <w:lang w:val="en-US" w:eastAsia="zh-CN"/>
        </w:rPr>
        <w:t>660 Mpa</w:t>
      </w:r>
      <w:r>
        <w:rPr>
          <w:rFonts w:hint="eastAsia" w:ascii="仿宋" w:hAnsi="仿宋" w:eastAsia="仿宋" w:cs="仿宋"/>
          <w:color w:val="auto"/>
          <w:sz w:val="30"/>
          <w:szCs w:val="30"/>
          <w:highlight w:val="none"/>
          <w:lang w:val="en-US" w:eastAsia="zh-CN"/>
        </w:rPr>
        <w:t>，热镀锌重量≥</w:t>
      </w:r>
      <w:r>
        <w:rPr>
          <w:rFonts w:hint="default" w:ascii="仿宋" w:hAnsi="仿宋" w:eastAsia="仿宋" w:cs="仿宋"/>
          <w:color w:val="auto"/>
          <w:sz w:val="30"/>
          <w:szCs w:val="30"/>
          <w:highlight w:val="none"/>
          <w:lang w:val="en-US" w:eastAsia="zh-CN"/>
        </w:rPr>
        <w:t xml:space="preserve">90 </w:t>
      </w:r>
      <w:r>
        <w:rPr>
          <w:rFonts w:hint="eastAsia" w:ascii="仿宋" w:hAnsi="仿宋" w:eastAsia="仿宋" w:cs="仿宋"/>
          <w:color w:val="auto"/>
          <w:sz w:val="30"/>
          <w:szCs w:val="30"/>
          <w:highlight w:val="none"/>
          <w:lang w:val="en-US" w:eastAsia="zh-CN"/>
        </w:rPr>
        <w:t>克</w:t>
      </w: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平方米。刺丝安装于各立柱顶端。</w:t>
      </w:r>
    </w:p>
    <w:p w14:paraId="1C5C77BF">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绑丝：采用抗拉强度不低于</w:t>
      </w:r>
      <w:r>
        <w:rPr>
          <w:rFonts w:hint="default" w:ascii="仿宋" w:hAnsi="仿宋" w:eastAsia="仿宋" w:cs="仿宋"/>
          <w:color w:val="auto"/>
          <w:sz w:val="30"/>
          <w:szCs w:val="30"/>
          <w:highlight w:val="none"/>
          <w:lang w:val="en-US" w:eastAsia="zh-CN"/>
        </w:rPr>
        <w:t>350Mpa</w:t>
      </w:r>
      <w:r>
        <w:rPr>
          <w:rFonts w:hint="eastAsia" w:ascii="仿宋" w:hAnsi="仿宋" w:eastAsia="仿宋" w:cs="仿宋"/>
          <w:color w:val="auto"/>
          <w:sz w:val="30"/>
          <w:szCs w:val="30"/>
          <w:highlight w:val="none"/>
          <w:lang w:val="en-US" w:eastAsia="zh-CN"/>
        </w:rPr>
        <w:t>，直径为</w:t>
      </w:r>
      <w:r>
        <w:rPr>
          <w:rFonts w:hint="default" w:ascii="仿宋" w:hAnsi="仿宋" w:eastAsia="仿宋" w:cs="仿宋"/>
          <w:color w:val="auto"/>
          <w:sz w:val="30"/>
          <w:szCs w:val="30"/>
          <w:highlight w:val="none"/>
          <w:lang w:val="en-US" w:eastAsia="zh-CN"/>
        </w:rPr>
        <w:t xml:space="preserve">2.0 </w:t>
      </w:r>
      <w:r>
        <w:rPr>
          <w:rFonts w:hint="eastAsia" w:ascii="仿宋" w:hAnsi="仿宋" w:eastAsia="仿宋" w:cs="仿宋"/>
          <w:color w:val="auto"/>
          <w:sz w:val="30"/>
          <w:szCs w:val="30"/>
          <w:highlight w:val="none"/>
          <w:lang w:val="en-US" w:eastAsia="zh-CN"/>
        </w:rPr>
        <w:t>毫米的镀锌铁丝。</w:t>
      </w:r>
    </w:p>
    <w:p w14:paraId="5199DFCC">
      <w:pPr>
        <w:pageBreakBefore w:val="0"/>
        <w:kinsoku/>
        <w:wordWrap/>
        <w:overflowPunct/>
        <w:topLinePunct w:val="0"/>
        <w:autoSpaceDE/>
        <w:autoSpaceDN/>
        <w:bidi w:val="0"/>
        <w:snapToGrid/>
        <w:spacing w:beforeAutospacing="0" w:afterAutospacing="0" w:line="360" w:lineRule="auto"/>
        <w:ind w:firstLine="600" w:firstLineChars="200"/>
        <w:rPr>
          <w:rFonts w:hint="default"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大门：采用与主线围栏同源材质与工艺，门体选用 7-90-30 型网片（网宽 900mm，纬线 7 根、间距 150mm，经线间距 300mm，边纬线 φ2.8mm、中纬 / 经线 φ2.5mm，竖扣线固定，镀锌层、抗拉强度同主线标准），以 40mm×40mm×4mm 热轧等边角钢做边框，门高与主线围栏齐平（含顶部单层刺丝总高 1.2m，底边距地面 100mm），按需设置双扇（总宽4.0m，高1.2m）平开结构；门柱采用 70mm×70mm×7mm×2000mm 热轧等边角钢，埋深 80cm，每根门柱配 1 根 80mm×80mm×7mm×2000mm斜柱及2个40mm×40mm×4mm×500mm 地锚加固；顶部刺丝、绑丝规格与主线一致，配套热镀锌合页、防盗插销等五金件，确保整体强度、防腐性能与主线围栏统一，满足通行与防护需求。</w:t>
      </w:r>
    </w:p>
    <w:p w14:paraId="655AFFB6">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②施工流程 </w:t>
      </w:r>
    </w:p>
    <w:p w14:paraId="7A336B15">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围栏安装：固定门柱、拐角柱和受力中立柱，展开网片→固定起始端→专用张紧器固定→夹紧纬线→实施张紧→绑扎固定网片→移至下一个网片段施工。</w:t>
      </w:r>
    </w:p>
    <w:p w14:paraId="6A73A091">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③安装方法</w:t>
      </w:r>
    </w:p>
    <w:p w14:paraId="734320DB">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铺设网片：从中间柱的一端开始，沿围栏线路铺放编结网。将编结网铺在围栏内侧，将网格较紧的一端朝向立柱，起始端留</w:t>
      </w:r>
      <w:r>
        <w:rPr>
          <w:rFonts w:hint="default" w:ascii="仿宋" w:hAnsi="仿宋" w:eastAsia="仿宋" w:cs="仿宋"/>
          <w:color w:val="auto"/>
          <w:sz w:val="30"/>
          <w:szCs w:val="30"/>
          <w:highlight w:val="none"/>
          <w:lang w:val="en-US" w:eastAsia="zh-CN"/>
        </w:rPr>
        <w:t>5</w:t>
      </w:r>
      <w:r>
        <w:rPr>
          <w:rFonts w:hint="eastAsia" w:ascii="仿宋" w:hAnsi="仿宋" w:eastAsia="仿宋" w:cs="仿宋"/>
          <w:color w:val="auto"/>
          <w:sz w:val="30"/>
          <w:szCs w:val="30"/>
          <w:highlight w:val="none"/>
          <w:lang w:val="en-US" w:eastAsia="zh-CN"/>
        </w:rPr>
        <w:t>～</w:t>
      </w:r>
      <w:r>
        <w:rPr>
          <w:rFonts w:hint="default"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lang w:val="en-US" w:eastAsia="zh-CN"/>
        </w:rPr>
        <w:t>厘米编结网；编结网的一端剪去一根经线，将编结网竖起，把每一根纬线线端在起始中间柱上绑扎牢固；继续铺放围栏网，直到下一个中间柱，将编结网竖起并初步固定；若需将两部分编结网连接在一起，可使用围栏线绞结器接头。</w:t>
      </w:r>
    </w:p>
    <w:p w14:paraId="2220BF1F">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张紧器固定：埋设临时作业立柱，安装张紧器张紧围栏，各纬线张紧力为</w:t>
      </w:r>
      <w:r>
        <w:rPr>
          <w:rFonts w:hint="default" w:ascii="仿宋" w:hAnsi="仿宋" w:eastAsia="仿宋" w:cs="仿宋"/>
          <w:color w:val="auto"/>
          <w:sz w:val="30"/>
          <w:szCs w:val="30"/>
          <w:highlight w:val="none"/>
          <w:lang w:val="en-US" w:eastAsia="zh-CN"/>
        </w:rPr>
        <w:t>700N</w:t>
      </w:r>
      <w:r>
        <w:rPr>
          <w:rFonts w:hint="eastAsia" w:ascii="仿宋" w:hAnsi="仿宋" w:eastAsia="仿宋" w:cs="仿宋"/>
          <w:color w:val="auto"/>
          <w:sz w:val="30"/>
          <w:szCs w:val="30"/>
          <w:highlight w:val="none"/>
          <w:lang w:val="en-US" w:eastAsia="zh-CN"/>
        </w:rPr>
        <w:t>～</w:t>
      </w:r>
      <w:r>
        <w:rPr>
          <w:rFonts w:hint="default" w:ascii="仿宋" w:hAnsi="仿宋" w:eastAsia="仿宋" w:cs="仿宋"/>
          <w:color w:val="auto"/>
          <w:sz w:val="30"/>
          <w:szCs w:val="30"/>
          <w:highlight w:val="none"/>
          <w:lang w:val="en-US" w:eastAsia="zh-CN"/>
        </w:rPr>
        <w:t>900N</w:t>
      </w:r>
      <w:r>
        <w:rPr>
          <w:rFonts w:hint="eastAsia" w:ascii="仿宋" w:hAnsi="仿宋" w:eastAsia="仿宋" w:cs="仿宋"/>
          <w:color w:val="auto"/>
          <w:sz w:val="30"/>
          <w:szCs w:val="30"/>
          <w:highlight w:val="none"/>
          <w:lang w:val="en-US" w:eastAsia="zh-CN"/>
        </w:rPr>
        <w:t>，整片围栏受力要均匀。</w:t>
      </w:r>
    </w:p>
    <w:p w14:paraId="34212A8D">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实施张紧：将围栏另一端相对中间柱的位置除去一根经线，自中纬线分别向上向下将每根纬线分别绕中间柱绞紧。</w:t>
      </w:r>
    </w:p>
    <w:p w14:paraId="310E3618">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lang w:val="en-US" w:eastAsia="zh-CN"/>
        </w:rPr>
        <w:t>固定网片：将编结网自边纬线向中间逐一绑扎在线桩上。</w:t>
      </w:r>
    </w:p>
    <w:p w14:paraId="1853CE2D">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 xml:space="preserve"> ④验收 </w:t>
      </w:r>
    </w:p>
    <w:p w14:paraId="71F6879F">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围栏线路应符合要求、外观整齐。采用</w:t>
      </w:r>
      <w:r>
        <w:rPr>
          <w:rFonts w:hint="default" w:ascii="仿宋" w:hAnsi="仿宋" w:eastAsia="仿宋" w:cs="仿宋"/>
          <w:color w:val="auto"/>
          <w:sz w:val="30"/>
          <w:szCs w:val="30"/>
          <w:highlight w:val="none"/>
          <w:lang w:val="en-US" w:eastAsia="zh-CN"/>
        </w:rPr>
        <w:t>JB/T 7138</w:t>
      </w:r>
      <w:r>
        <w:rPr>
          <w:rFonts w:hint="eastAsia" w:ascii="仿宋" w:hAnsi="仿宋" w:eastAsia="仿宋" w:cs="仿宋"/>
          <w:color w:val="auto"/>
          <w:sz w:val="30"/>
          <w:szCs w:val="30"/>
          <w:highlight w:val="none"/>
          <w:lang w:val="en-US" w:eastAsia="zh-CN"/>
        </w:rPr>
        <w:t>中的测定方法检查编结网的纬线张力是否达到</w:t>
      </w:r>
      <w:r>
        <w:rPr>
          <w:rFonts w:hint="default" w:ascii="仿宋" w:hAnsi="仿宋" w:eastAsia="仿宋" w:cs="仿宋"/>
          <w:color w:val="auto"/>
          <w:sz w:val="30"/>
          <w:szCs w:val="30"/>
          <w:highlight w:val="none"/>
          <w:lang w:val="en-US" w:eastAsia="zh-CN"/>
        </w:rPr>
        <w:t>700N</w:t>
      </w:r>
      <w:r>
        <w:rPr>
          <w:rFonts w:hint="eastAsia" w:ascii="仿宋" w:hAnsi="仿宋" w:eastAsia="仿宋" w:cs="仿宋"/>
          <w:color w:val="auto"/>
          <w:sz w:val="30"/>
          <w:szCs w:val="30"/>
          <w:highlight w:val="none"/>
          <w:lang w:val="en-US" w:eastAsia="zh-CN"/>
        </w:rPr>
        <w:t>～</w:t>
      </w:r>
      <w:r>
        <w:rPr>
          <w:rFonts w:hint="default" w:ascii="仿宋" w:hAnsi="仿宋" w:eastAsia="仿宋" w:cs="仿宋"/>
          <w:color w:val="auto"/>
          <w:sz w:val="30"/>
          <w:szCs w:val="30"/>
          <w:highlight w:val="none"/>
          <w:lang w:val="en-US" w:eastAsia="zh-CN"/>
        </w:rPr>
        <w:t>900N</w:t>
      </w:r>
      <w:r>
        <w:rPr>
          <w:rFonts w:hint="eastAsia" w:ascii="仿宋" w:hAnsi="仿宋" w:eastAsia="仿宋" w:cs="仿宋"/>
          <w:color w:val="auto"/>
          <w:sz w:val="30"/>
          <w:szCs w:val="30"/>
          <w:highlight w:val="none"/>
          <w:lang w:val="en-US" w:eastAsia="zh-CN"/>
        </w:rPr>
        <w:t>。编结网的纬线接头是否挽结牢固，是否把纬线与各种立柱绑接牢固，钢丝头不外翘。所有立柱是否牢固可靠。所有紧固螺栓是否拧紧。检查地面是否有碎钢丝。若架设后的围栏不符合上述要求，应立即返修，经检验合格方可交付使用。</w:t>
      </w:r>
    </w:p>
    <w:p w14:paraId="3F86A54D">
      <w:pPr>
        <w:keepNext w:val="0"/>
        <w:keepLines w:val="0"/>
        <w:pageBreakBefore w:val="0"/>
        <w:widowControl/>
        <w:suppressLineNumbers w:val="0"/>
        <w:kinsoku/>
        <w:wordWrap/>
        <w:overflowPunct/>
        <w:topLinePunct w:val="0"/>
        <w:autoSpaceDE/>
        <w:autoSpaceDN/>
        <w:bidi w:val="0"/>
        <w:adjustRightInd/>
        <w:snapToGrid/>
        <w:ind w:firstLine="420" w:firstLineChars="200"/>
        <w:jc w:val="center"/>
        <w:textAlignment w:val="auto"/>
      </w:pPr>
      <w:r>
        <w:drawing>
          <wp:inline distT="0" distB="0" distL="114300" distR="114300">
            <wp:extent cx="5273675" cy="2281555"/>
            <wp:effectExtent l="0" t="0" r="3175" b="444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8"/>
                    <a:stretch>
                      <a:fillRect/>
                    </a:stretch>
                  </pic:blipFill>
                  <pic:spPr>
                    <a:xfrm>
                      <a:off x="0" y="0"/>
                      <a:ext cx="5273675" cy="2281555"/>
                    </a:xfrm>
                    <a:prstGeom prst="rect">
                      <a:avLst/>
                    </a:prstGeom>
                    <a:noFill/>
                    <a:ln>
                      <a:noFill/>
                    </a:ln>
                  </pic:spPr>
                </pic:pic>
              </a:graphicData>
            </a:graphic>
          </wp:inline>
        </w:drawing>
      </w:r>
      <w:r>
        <w:rPr>
          <w:rFonts w:hint="eastAsia" w:ascii="仿宋" w:hAnsi="仿宋" w:eastAsia="仿宋" w:cs="仿宋"/>
          <w:color w:val="auto"/>
          <w:kern w:val="2"/>
          <w:sz w:val="30"/>
          <w:szCs w:val="30"/>
          <w:lang w:val="en-US" w:eastAsia="zh-CN" w:bidi="ar-SA"/>
        </w:rPr>
        <w:t>图6-10-</w:t>
      </w:r>
      <w:r>
        <w:rPr>
          <w:rFonts w:hint="default" w:ascii="仿宋" w:hAnsi="仿宋" w:eastAsia="仿宋" w:cs="仿宋"/>
          <w:color w:val="auto"/>
          <w:kern w:val="2"/>
          <w:sz w:val="30"/>
          <w:szCs w:val="30"/>
          <w:lang w:val="en-US" w:eastAsia="zh-CN" w:bidi="ar-SA"/>
        </w:rPr>
        <w:t xml:space="preserve">1 </w:t>
      </w:r>
      <w:r>
        <w:rPr>
          <w:rFonts w:hint="eastAsia" w:ascii="仿宋" w:hAnsi="仿宋" w:eastAsia="仿宋" w:cs="仿宋"/>
          <w:color w:val="auto"/>
          <w:kern w:val="2"/>
          <w:sz w:val="30"/>
          <w:szCs w:val="30"/>
          <w:lang w:val="en-US" w:eastAsia="zh-CN" w:bidi="ar-SA"/>
        </w:rPr>
        <w:t>围栏网立面图</w:t>
      </w:r>
    </w:p>
    <w:p w14:paraId="518D5324">
      <w:pPr>
        <w:keepNext w:val="0"/>
        <w:keepLines w:val="0"/>
        <w:pageBreakBefore w:val="0"/>
        <w:kinsoku/>
        <w:wordWrap/>
        <w:overflowPunct/>
        <w:topLinePunct w:val="0"/>
        <w:autoSpaceDE/>
        <w:autoSpaceDN/>
        <w:bidi w:val="0"/>
        <w:adjustRightInd/>
        <w:snapToGrid/>
        <w:ind w:firstLine="420" w:firstLineChars="200"/>
        <w:textAlignment w:val="auto"/>
      </w:pPr>
      <w:r>
        <w:drawing>
          <wp:inline distT="0" distB="0" distL="114300" distR="114300">
            <wp:extent cx="5273040" cy="2964815"/>
            <wp:effectExtent l="0" t="0" r="381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273040" cy="2964815"/>
                    </a:xfrm>
                    <a:prstGeom prst="rect">
                      <a:avLst/>
                    </a:prstGeom>
                    <a:noFill/>
                    <a:ln>
                      <a:noFill/>
                    </a:ln>
                  </pic:spPr>
                </pic:pic>
              </a:graphicData>
            </a:graphic>
          </wp:inline>
        </w:drawing>
      </w:r>
    </w:p>
    <w:p w14:paraId="3E2E4979">
      <w:pPr>
        <w:pStyle w:val="8"/>
        <w:jc w:val="center"/>
        <w:rPr>
          <w:rFonts w:hint="eastAsia" w:ascii="仿宋" w:hAnsi="仿宋" w:eastAsia="仿宋" w:cs="仿宋"/>
          <w:sz w:val="30"/>
          <w:szCs w:val="30"/>
          <w:lang w:eastAsia="zh-CN"/>
        </w:rPr>
      </w:pPr>
      <w:r>
        <w:rPr>
          <w:rFonts w:hint="eastAsia" w:ascii="仿宋" w:hAnsi="仿宋" w:eastAsia="仿宋" w:cs="仿宋"/>
          <w:sz w:val="30"/>
          <w:szCs w:val="30"/>
          <w:lang w:val="en-US" w:eastAsia="zh-CN"/>
        </w:rPr>
        <w:t>图6-10-2拐角柱、加强柱示意图</w:t>
      </w:r>
    </w:p>
    <w:p w14:paraId="13AD7C0D">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6.10.3防治</w:t>
      </w:r>
    </w:p>
    <w:p w14:paraId="78D0DD46">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定期检查苗木生长状况，一旦发现病虫害迹象，立即采取针对性措施进行防治，如喷洒生物农药或采用物理防治方法。同时，及时清理苗木周围的落叶、杂草等，减少病虫害滋生的环境。对于已发生病虫害的苗木，要进行隔离处理，防止病虫害扩散。</w:t>
      </w:r>
    </w:p>
    <w:p w14:paraId="349109A5">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6.10.4林草防火</w:t>
      </w:r>
    </w:p>
    <w:p w14:paraId="1E8D9F00">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为切实做好护林防火工作，有效遏制森林火灾发生，保护生态环境和人民生命财产安全，结合实际情况，制定如下实施方案：</w:t>
      </w:r>
    </w:p>
    <w:p w14:paraId="78A3EF82">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重点防火期</w:t>
      </w:r>
    </w:p>
    <w:p w14:paraId="1B741157">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入冬季节（12月）为森林防火紧要期宣传发动培训阶段。</w:t>
      </w:r>
    </w:p>
    <w:p w14:paraId="7E471CF4">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春节前后（1-2月）为森林防火重点时期宣传防范教育阶段。</w:t>
      </w:r>
    </w:p>
    <w:p w14:paraId="68B9083F">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清明节前后（3-5月）为森林防火关键期警示宣传教育阶段，是传统上山祭祀、农事生产用火高发期。</w:t>
      </w:r>
    </w:p>
    <w:p w14:paraId="7603B7CC">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高温、干旱期：夏秋防火（6-11月）为森林防火特殊期预防教育阶段。高温、干旱期重点时段采取特殊措施加强安全用火、安全扑火的宣传。</w:t>
      </w:r>
    </w:p>
    <w:p w14:paraId="1552455F">
      <w:pPr>
        <w:pStyle w:val="4"/>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6.10.5保障措施</w:t>
      </w:r>
    </w:p>
    <w:p w14:paraId="515FBACE">
      <w:pPr>
        <w:pageBreakBefore w:val="0"/>
        <w:kinsoku/>
        <w:wordWrap/>
        <w:overflowPunct/>
        <w:topLinePunct w:val="0"/>
        <w:autoSpaceDE/>
        <w:autoSpaceDN/>
        <w:bidi w:val="0"/>
        <w:snapToGrid/>
        <w:spacing w:beforeAutospacing="0" w:afterAutospacing="0" w:line="360" w:lineRule="auto"/>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造林前预留防火隔离带，切断火源。</w:t>
      </w:r>
    </w:p>
    <w:p w14:paraId="6267E758">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95" w:name="_Toc18986"/>
      <w:bookmarkStart w:id="96" w:name="_Toc15198"/>
      <w:bookmarkStart w:id="97" w:name="_Toc19656"/>
      <w:r>
        <w:rPr>
          <w:rFonts w:hint="eastAsia" w:ascii="宋体" w:hAnsi="宋体" w:eastAsia="宋体" w:cs="宋体"/>
          <w:color w:val="auto"/>
          <w:highlight w:val="none"/>
          <w:lang w:val="en-US" w:eastAsia="zh-CN"/>
        </w:rPr>
        <w:t>6.11</w:t>
      </w:r>
      <w:bookmarkEnd w:id="95"/>
      <w:bookmarkEnd w:id="96"/>
      <w:bookmarkEnd w:id="97"/>
      <w:bookmarkStart w:id="98" w:name="_Toc16432"/>
      <w:bookmarkStart w:id="99" w:name="_Toc9329"/>
      <w:bookmarkStart w:id="100" w:name="_Toc5872"/>
      <w:r>
        <w:rPr>
          <w:rFonts w:hint="eastAsia" w:ascii="宋体" w:hAnsi="宋体" w:eastAsia="宋体" w:cs="宋体"/>
          <w:color w:val="auto"/>
          <w:highlight w:val="none"/>
          <w:lang w:val="en-US" w:eastAsia="zh-CN"/>
        </w:rPr>
        <w:t>建立档案</w:t>
      </w:r>
      <w:bookmarkEnd w:id="98"/>
      <w:bookmarkEnd w:id="99"/>
      <w:bookmarkEnd w:id="100"/>
    </w:p>
    <w:p w14:paraId="57729803">
      <w:pPr>
        <w:spacing w:before="235" w:line="369" w:lineRule="auto"/>
        <w:ind w:left="1" w:right="104" w:firstLine="587"/>
        <w:rPr>
          <w:rFonts w:hint="eastAsia" w:ascii="仿宋" w:hAnsi="仿宋" w:eastAsia="仿宋" w:cs="仿宋"/>
          <w:spacing w:val="3"/>
          <w:sz w:val="30"/>
          <w:szCs w:val="30"/>
        </w:rPr>
      </w:pPr>
      <w:r>
        <w:rPr>
          <w:rFonts w:hint="eastAsia" w:ascii="仿宋" w:hAnsi="仿宋" w:eastAsia="仿宋" w:cs="仿宋"/>
          <w:spacing w:val="3"/>
          <w:sz w:val="30"/>
          <w:szCs w:val="30"/>
        </w:rPr>
        <w:t>人工造林按</w:t>
      </w:r>
      <w:r>
        <w:rPr>
          <w:rFonts w:hint="eastAsia" w:ascii="仿宋" w:hAnsi="仿宋" w:eastAsia="仿宋" w:cs="仿宋"/>
          <w:spacing w:val="3"/>
          <w:sz w:val="30"/>
          <w:szCs w:val="30"/>
          <w:lang w:eastAsia="zh-CN"/>
        </w:rPr>
        <w:t>照</w:t>
      </w:r>
      <w:r>
        <w:rPr>
          <w:rFonts w:hint="eastAsia" w:ascii="仿宋" w:hAnsi="仿宋" w:eastAsia="仿宋" w:cs="仿宋"/>
          <w:spacing w:val="3"/>
          <w:sz w:val="30"/>
          <w:szCs w:val="30"/>
        </w:rPr>
        <w:t>林地的最小单位（小班）建立档案，要连续记载经营管理活动的完整资料，从外业调查、作业设计、施工准备、整地、造林、抚育、管护、补植补播、林木生长情况、成活率、保存率调查统计等各个环节，边实施边整理归档，做到资料完善详细。</w:t>
      </w:r>
    </w:p>
    <w:p w14:paraId="4E8CACDC">
      <w:pPr>
        <w:pStyle w:val="3"/>
        <w:pageBreakBefore w:val="0"/>
        <w:numPr>
          <w:numId w:val="0"/>
        </w:numPr>
        <w:kinsoku/>
        <w:wordWrap/>
        <w:overflowPunct/>
        <w:topLinePunct w:val="0"/>
        <w:autoSpaceDE/>
        <w:autoSpaceDN/>
        <w:bidi w:val="0"/>
        <w:spacing w:line="360" w:lineRule="auto"/>
        <w:ind w:leftChars="0"/>
        <w:rPr>
          <w:rFonts w:hint="eastAsia" w:ascii="宋体" w:hAnsi="宋体" w:eastAsia="宋体" w:cs="宋体"/>
          <w:color w:val="auto"/>
          <w:highlight w:val="none"/>
          <w:lang w:val="en-US" w:eastAsia="zh-CN"/>
        </w:rPr>
      </w:pPr>
      <w:bookmarkStart w:id="101" w:name="_Toc29288"/>
      <w:bookmarkStart w:id="102" w:name="_Toc29991"/>
      <w:bookmarkStart w:id="103" w:name="_Toc16177"/>
      <w:r>
        <w:rPr>
          <w:rFonts w:hint="eastAsia" w:ascii="宋体" w:hAnsi="宋体" w:eastAsia="宋体" w:cs="宋体"/>
          <w:color w:val="auto"/>
          <w:highlight w:val="none"/>
          <w:lang w:val="en-US" w:eastAsia="zh-CN"/>
        </w:rPr>
        <w:t>6.12检查验收</w:t>
      </w:r>
      <w:bookmarkEnd w:id="101"/>
      <w:bookmarkEnd w:id="102"/>
      <w:bookmarkEnd w:id="103"/>
    </w:p>
    <w:p w14:paraId="0908D853">
      <w:pPr>
        <w:spacing w:before="235" w:line="369" w:lineRule="auto"/>
        <w:ind w:left="1" w:right="104" w:firstLine="587"/>
        <w:rPr>
          <w:rFonts w:hint="eastAsia" w:ascii="仿宋" w:hAnsi="仿宋" w:eastAsia="仿宋" w:cs="仿宋"/>
          <w:spacing w:val="3"/>
          <w:sz w:val="30"/>
          <w:szCs w:val="30"/>
        </w:rPr>
      </w:pPr>
      <w:r>
        <w:rPr>
          <w:rFonts w:hint="eastAsia" w:ascii="仿宋" w:hAnsi="仿宋" w:eastAsia="仿宋" w:cs="仿宋"/>
          <w:spacing w:val="3"/>
          <w:sz w:val="30"/>
          <w:szCs w:val="30"/>
        </w:rPr>
        <w:t>202</w:t>
      </w:r>
      <w:r>
        <w:rPr>
          <w:rFonts w:hint="eastAsia" w:ascii="仿宋" w:hAnsi="仿宋" w:eastAsia="仿宋" w:cs="仿宋"/>
          <w:spacing w:val="3"/>
          <w:sz w:val="30"/>
          <w:szCs w:val="30"/>
          <w:lang w:val="en-US" w:eastAsia="zh-CN"/>
        </w:rPr>
        <w:t>6</w:t>
      </w:r>
      <w:r>
        <w:rPr>
          <w:rFonts w:hint="eastAsia" w:ascii="仿宋" w:hAnsi="仿宋" w:eastAsia="仿宋" w:cs="仿宋"/>
          <w:spacing w:val="3"/>
          <w:sz w:val="30"/>
          <w:szCs w:val="30"/>
        </w:rPr>
        <w:t>年</w:t>
      </w:r>
      <w:r>
        <w:rPr>
          <w:rFonts w:hint="eastAsia" w:ascii="仿宋" w:hAnsi="仿宋" w:eastAsia="仿宋" w:cs="仿宋"/>
          <w:spacing w:val="3"/>
          <w:sz w:val="30"/>
          <w:szCs w:val="30"/>
          <w:lang w:val="en-US" w:eastAsia="zh-CN"/>
        </w:rPr>
        <w:t>9</w:t>
      </w:r>
      <w:r>
        <w:rPr>
          <w:rFonts w:hint="eastAsia" w:ascii="仿宋" w:hAnsi="仿宋" w:eastAsia="仿宋" w:cs="仿宋"/>
          <w:spacing w:val="3"/>
          <w:sz w:val="30"/>
          <w:szCs w:val="30"/>
        </w:rPr>
        <w:t>月进行成活率自查验收，3年后进行各项指标验收。</w:t>
      </w:r>
    </w:p>
    <w:p w14:paraId="57C01E4F">
      <w:pPr>
        <w:spacing w:before="235" w:line="369" w:lineRule="auto"/>
        <w:ind w:left="1" w:right="104" w:firstLine="587"/>
        <w:rPr>
          <w:rFonts w:hint="eastAsia" w:ascii="仿宋" w:hAnsi="仿宋" w:eastAsia="仿宋" w:cs="仿宋"/>
          <w:spacing w:val="3"/>
          <w:sz w:val="30"/>
          <w:szCs w:val="30"/>
        </w:rPr>
      </w:pPr>
      <w:r>
        <w:rPr>
          <w:rFonts w:hint="eastAsia" w:ascii="仿宋" w:hAnsi="仿宋" w:eastAsia="仿宋" w:cs="仿宋"/>
          <w:spacing w:val="3"/>
          <w:sz w:val="30"/>
          <w:szCs w:val="30"/>
          <w:lang w:val="en-US" w:eastAsia="zh-CN"/>
        </w:rPr>
        <w:t>栽植</w:t>
      </w:r>
      <w:r>
        <w:rPr>
          <w:rFonts w:hint="eastAsia" w:ascii="仿宋" w:hAnsi="仿宋" w:eastAsia="仿宋" w:cs="仿宋"/>
          <w:spacing w:val="3"/>
          <w:sz w:val="30"/>
          <w:szCs w:val="30"/>
        </w:rPr>
        <w:t>：人工造</w:t>
      </w:r>
      <w:r>
        <w:rPr>
          <w:rFonts w:hint="eastAsia" w:ascii="仿宋" w:hAnsi="仿宋" w:eastAsia="仿宋" w:cs="仿宋"/>
          <w:spacing w:val="3"/>
          <w:sz w:val="30"/>
          <w:szCs w:val="30"/>
          <w:lang w:val="en-US" w:eastAsia="zh-CN"/>
        </w:rPr>
        <w:t>乔木</w:t>
      </w:r>
      <w:r>
        <w:rPr>
          <w:rFonts w:hint="eastAsia" w:ascii="仿宋" w:hAnsi="仿宋" w:eastAsia="仿宋" w:cs="仿宋"/>
          <w:spacing w:val="3"/>
          <w:sz w:val="30"/>
          <w:szCs w:val="30"/>
        </w:rPr>
        <w:t xml:space="preserve">当年苗木成活率达到 </w:t>
      </w:r>
      <w:r>
        <w:rPr>
          <w:rFonts w:hint="eastAsia" w:ascii="仿宋" w:hAnsi="仿宋" w:eastAsia="仿宋" w:cs="仿宋"/>
          <w:spacing w:val="3"/>
          <w:sz w:val="30"/>
          <w:szCs w:val="30"/>
          <w:lang w:val="en-US" w:eastAsia="zh-CN"/>
        </w:rPr>
        <w:t>70</w:t>
      </w:r>
      <w:r>
        <w:rPr>
          <w:rFonts w:hint="eastAsia" w:ascii="仿宋" w:hAnsi="仿宋" w:eastAsia="仿宋" w:cs="仿宋"/>
          <w:spacing w:val="3"/>
          <w:sz w:val="30"/>
          <w:szCs w:val="30"/>
        </w:rPr>
        <w:t>%（含）以上为合格；成活率</w:t>
      </w:r>
      <w:r>
        <w:rPr>
          <w:rFonts w:hint="eastAsia" w:ascii="仿宋" w:hAnsi="仿宋" w:eastAsia="仿宋" w:cs="仿宋"/>
          <w:spacing w:val="3"/>
          <w:sz w:val="30"/>
          <w:szCs w:val="30"/>
          <w:lang w:val="en-US" w:eastAsia="zh-CN"/>
        </w:rPr>
        <w:t>69</w:t>
      </w:r>
      <w:r>
        <w:rPr>
          <w:rFonts w:hint="eastAsia" w:ascii="仿宋" w:hAnsi="仿宋" w:eastAsia="仿宋" w:cs="仿宋"/>
          <w:spacing w:val="3"/>
          <w:sz w:val="30"/>
          <w:szCs w:val="30"/>
        </w:rPr>
        <w:t>%-41%时应进行补植；成活率＜40%时应重新造林。</w:t>
      </w:r>
    </w:p>
    <w:p w14:paraId="4F472E55">
      <w:pPr>
        <w:spacing w:before="235" w:line="369" w:lineRule="auto"/>
        <w:ind w:left="1" w:right="104" w:firstLine="587"/>
        <w:rPr>
          <w:rFonts w:hint="eastAsia" w:ascii="仿宋" w:hAnsi="仿宋" w:eastAsia="仿宋" w:cs="仿宋"/>
          <w:spacing w:val="3"/>
          <w:sz w:val="30"/>
          <w:szCs w:val="30"/>
        </w:rPr>
      </w:pPr>
      <w:r>
        <w:rPr>
          <w:rFonts w:hint="eastAsia" w:ascii="仿宋" w:hAnsi="仿宋" w:eastAsia="仿宋" w:cs="仿宋"/>
          <w:spacing w:val="3"/>
          <w:sz w:val="30"/>
          <w:szCs w:val="30"/>
        </w:rPr>
        <w:t>验收标准：人工造乔木林三年成活率≥</w:t>
      </w:r>
      <w:r>
        <w:rPr>
          <w:rFonts w:hint="eastAsia" w:ascii="仿宋" w:hAnsi="仿宋" w:cs="仿宋"/>
          <w:color w:val="000000"/>
          <w:sz w:val="30"/>
          <w:szCs w:val="30"/>
          <w:highlight w:val="none"/>
          <w:lang w:val="en-US" w:eastAsia="zh-CN"/>
        </w:rPr>
        <w:t>70</w:t>
      </w:r>
      <w:r>
        <w:rPr>
          <w:rFonts w:hint="eastAsia" w:ascii="仿宋" w:hAnsi="仿宋" w:eastAsia="仿宋" w:cs="仿宋"/>
          <w:color w:val="000000"/>
          <w:sz w:val="30"/>
          <w:szCs w:val="30"/>
          <w:highlight w:val="none"/>
        </w:rPr>
        <w:t>%</w:t>
      </w:r>
      <w:r>
        <w:rPr>
          <w:rFonts w:hint="eastAsia" w:ascii="仿宋" w:hAnsi="仿宋" w:eastAsia="仿宋" w:cs="仿宋"/>
          <w:spacing w:val="3"/>
          <w:sz w:val="30"/>
          <w:szCs w:val="30"/>
        </w:rPr>
        <w:t>，三年保存率≥</w:t>
      </w:r>
      <w:r>
        <w:rPr>
          <w:rFonts w:hint="eastAsia" w:ascii="仿宋" w:hAnsi="仿宋" w:eastAsia="仿宋" w:cs="仿宋"/>
          <w:spacing w:val="3"/>
          <w:sz w:val="30"/>
          <w:szCs w:val="30"/>
          <w:lang w:val="en-US" w:eastAsia="zh-CN"/>
        </w:rPr>
        <w:t>65</w:t>
      </w:r>
      <w:r>
        <w:rPr>
          <w:rFonts w:hint="eastAsia" w:ascii="仿宋" w:hAnsi="仿宋" w:eastAsia="仿宋" w:cs="仿宋"/>
          <w:spacing w:val="3"/>
          <w:sz w:val="30"/>
          <w:szCs w:val="30"/>
        </w:rPr>
        <w:t>%。</w:t>
      </w:r>
    </w:p>
    <w:p w14:paraId="7F532622">
      <w:pPr>
        <w:rPr>
          <w:rFonts w:hint="eastAsia" w:ascii="宋体" w:hAnsi="宋体" w:eastAsia="宋体" w:cs="宋体"/>
          <w:b/>
          <w:bCs/>
          <w:snapToGrid w:val="0"/>
          <w:color w:val="000000"/>
          <w:kern w:val="0"/>
          <w:sz w:val="19"/>
          <w:szCs w:val="19"/>
          <w:lang w:val="en-US" w:eastAsia="zh-CN" w:bidi="ar"/>
        </w:rPr>
      </w:pPr>
    </w:p>
    <w:p w14:paraId="4D1C6C8D">
      <w:pPr>
        <w:rPr>
          <w:rFonts w:hint="eastAsia" w:ascii="宋体" w:hAnsi="宋体" w:eastAsia="宋体" w:cs="宋体"/>
          <w:b/>
          <w:bCs/>
          <w:snapToGrid w:val="0"/>
          <w:color w:val="000000"/>
          <w:kern w:val="0"/>
          <w:sz w:val="19"/>
          <w:szCs w:val="19"/>
          <w:lang w:val="en-US" w:eastAsia="zh-CN" w:bidi="ar"/>
        </w:rPr>
      </w:pPr>
    </w:p>
    <w:p w14:paraId="48B0CF44">
      <w:pPr>
        <w:rPr>
          <w:rFonts w:hint="eastAsia" w:ascii="宋体" w:hAnsi="宋体" w:eastAsia="宋体" w:cs="宋体"/>
          <w:b/>
          <w:bCs/>
          <w:snapToGrid w:val="0"/>
          <w:color w:val="000000"/>
          <w:kern w:val="0"/>
          <w:sz w:val="19"/>
          <w:szCs w:val="19"/>
          <w:lang w:val="en-US" w:eastAsia="zh-CN" w:bidi="ar"/>
        </w:rPr>
      </w:pPr>
    </w:p>
    <w:p w14:paraId="57948A77">
      <w:pPr>
        <w:rPr>
          <w:rFonts w:hint="eastAsia" w:ascii="宋体" w:hAnsi="宋体" w:eastAsia="宋体" w:cs="宋体"/>
          <w:b/>
          <w:bCs/>
          <w:snapToGrid w:val="0"/>
          <w:color w:val="000000"/>
          <w:kern w:val="0"/>
          <w:sz w:val="19"/>
          <w:szCs w:val="19"/>
          <w:lang w:val="en-US" w:eastAsia="zh-CN" w:bidi="ar"/>
        </w:rPr>
      </w:pPr>
    </w:p>
    <w:p w14:paraId="793FBCB2">
      <w:pPr>
        <w:rPr>
          <w:rFonts w:hint="eastAsia" w:ascii="宋体" w:hAnsi="宋体" w:eastAsia="宋体" w:cs="宋体"/>
          <w:b/>
          <w:bCs/>
          <w:snapToGrid w:val="0"/>
          <w:color w:val="000000"/>
          <w:kern w:val="0"/>
          <w:sz w:val="19"/>
          <w:szCs w:val="19"/>
          <w:lang w:val="en-US" w:eastAsia="zh-CN" w:bidi="ar"/>
        </w:rPr>
      </w:pPr>
    </w:p>
    <w:p w14:paraId="15DD4B6A">
      <w:pPr>
        <w:rPr>
          <w:rFonts w:hint="eastAsia" w:ascii="宋体" w:hAnsi="宋体" w:eastAsia="宋体" w:cs="宋体"/>
          <w:b/>
          <w:bCs/>
          <w:snapToGrid w:val="0"/>
          <w:color w:val="000000"/>
          <w:kern w:val="0"/>
          <w:sz w:val="19"/>
          <w:szCs w:val="19"/>
          <w:lang w:val="en-US" w:eastAsia="zh-CN" w:bidi="ar"/>
        </w:rPr>
      </w:pPr>
    </w:p>
    <w:p w14:paraId="708B3553">
      <w:pPr>
        <w:rPr>
          <w:rFonts w:hint="eastAsia" w:ascii="宋体" w:hAnsi="宋体" w:eastAsia="宋体" w:cs="宋体"/>
          <w:b/>
          <w:bCs/>
          <w:snapToGrid w:val="0"/>
          <w:color w:val="000000"/>
          <w:kern w:val="0"/>
          <w:sz w:val="19"/>
          <w:szCs w:val="19"/>
          <w:lang w:val="en-US" w:eastAsia="zh-CN" w:bidi="ar"/>
        </w:rPr>
      </w:pPr>
    </w:p>
    <w:p w14:paraId="592E6CAD">
      <w:pPr>
        <w:rPr>
          <w:rFonts w:hint="eastAsia" w:ascii="宋体" w:hAnsi="宋体" w:eastAsia="宋体" w:cs="宋体"/>
          <w:b/>
          <w:bCs/>
          <w:snapToGrid w:val="0"/>
          <w:color w:val="000000"/>
          <w:kern w:val="0"/>
          <w:sz w:val="19"/>
          <w:szCs w:val="19"/>
          <w:lang w:val="en-US" w:eastAsia="zh-CN" w:bidi="ar"/>
        </w:rPr>
      </w:pPr>
    </w:p>
    <w:p w14:paraId="6BE68B98">
      <w:pPr>
        <w:rPr>
          <w:rFonts w:hint="eastAsia" w:ascii="宋体" w:hAnsi="宋体" w:eastAsia="宋体" w:cs="宋体"/>
          <w:b/>
          <w:bCs/>
          <w:snapToGrid w:val="0"/>
          <w:color w:val="000000"/>
          <w:kern w:val="0"/>
          <w:sz w:val="19"/>
          <w:szCs w:val="19"/>
          <w:lang w:val="en-US" w:eastAsia="zh-CN" w:bidi="ar"/>
        </w:rPr>
      </w:pPr>
    </w:p>
    <w:p w14:paraId="39C159A3">
      <w:pPr>
        <w:rPr>
          <w:rFonts w:hint="eastAsia" w:ascii="宋体" w:hAnsi="宋体" w:eastAsia="宋体" w:cs="宋体"/>
          <w:b/>
          <w:bCs/>
          <w:snapToGrid w:val="0"/>
          <w:color w:val="000000"/>
          <w:kern w:val="0"/>
          <w:sz w:val="19"/>
          <w:szCs w:val="19"/>
          <w:lang w:val="en-US" w:eastAsia="zh-CN" w:bidi="ar"/>
        </w:rPr>
      </w:pPr>
    </w:p>
    <w:p w14:paraId="7109E3A2">
      <w:pPr>
        <w:rPr>
          <w:rFonts w:hint="eastAsia" w:ascii="宋体" w:hAnsi="宋体" w:eastAsia="宋体" w:cs="宋体"/>
          <w:b/>
          <w:bCs/>
          <w:snapToGrid w:val="0"/>
          <w:color w:val="000000"/>
          <w:kern w:val="0"/>
          <w:sz w:val="19"/>
          <w:szCs w:val="19"/>
          <w:lang w:val="en-US" w:eastAsia="zh-CN" w:bidi="ar"/>
        </w:rPr>
      </w:pPr>
    </w:p>
    <w:p w14:paraId="7EEEF2FF">
      <w:pPr>
        <w:rPr>
          <w:rFonts w:hint="eastAsia" w:ascii="宋体" w:hAnsi="宋体" w:eastAsia="宋体" w:cs="宋体"/>
          <w:b/>
          <w:bCs/>
          <w:snapToGrid w:val="0"/>
          <w:color w:val="000000"/>
          <w:kern w:val="0"/>
          <w:sz w:val="19"/>
          <w:szCs w:val="19"/>
          <w:lang w:val="en-US" w:eastAsia="zh-CN" w:bidi="ar"/>
        </w:rPr>
      </w:pPr>
    </w:p>
    <w:p w14:paraId="391CCA53">
      <w:pPr>
        <w:rPr>
          <w:rFonts w:hint="eastAsia" w:ascii="宋体" w:hAnsi="宋体" w:eastAsia="宋体" w:cs="宋体"/>
          <w:b/>
          <w:bCs/>
          <w:snapToGrid w:val="0"/>
          <w:color w:val="000000"/>
          <w:kern w:val="0"/>
          <w:sz w:val="19"/>
          <w:szCs w:val="19"/>
          <w:lang w:val="en-US" w:eastAsia="zh-CN" w:bidi="ar"/>
        </w:rPr>
      </w:pPr>
    </w:p>
    <w:p w14:paraId="496BB83F">
      <w:pPr>
        <w:rPr>
          <w:rFonts w:hint="eastAsia" w:ascii="宋体" w:hAnsi="宋体" w:eastAsia="宋体" w:cs="宋体"/>
          <w:b/>
          <w:bCs/>
          <w:snapToGrid w:val="0"/>
          <w:color w:val="000000"/>
          <w:kern w:val="0"/>
          <w:sz w:val="19"/>
          <w:szCs w:val="19"/>
          <w:lang w:val="en-US" w:eastAsia="zh-CN" w:bidi="ar"/>
        </w:rPr>
      </w:pPr>
    </w:p>
    <w:p w14:paraId="49033E2B">
      <w:pPr>
        <w:rPr>
          <w:rFonts w:hint="eastAsia" w:ascii="宋体" w:hAnsi="宋体" w:eastAsia="宋体" w:cs="宋体"/>
          <w:b/>
          <w:bCs/>
          <w:snapToGrid w:val="0"/>
          <w:color w:val="000000"/>
          <w:kern w:val="0"/>
          <w:sz w:val="19"/>
          <w:szCs w:val="19"/>
          <w:lang w:val="en-US" w:eastAsia="zh-CN" w:bidi="ar"/>
        </w:rPr>
      </w:pPr>
    </w:p>
    <w:p w14:paraId="1CA8AC2F">
      <w:pPr>
        <w:rPr>
          <w:rFonts w:hint="eastAsia" w:ascii="宋体" w:hAnsi="宋体" w:eastAsia="宋体" w:cs="宋体"/>
          <w:b/>
          <w:bCs/>
          <w:snapToGrid w:val="0"/>
          <w:color w:val="000000"/>
          <w:kern w:val="0"/>
          <w:sz w:val="19"/>
          <w:szCs w:val="19"/>
          <w:lang w:val="en-US" w:eastAsia="zh-CN" w:bidi="ar"/>
        </w:rPr>
      </w:pPr>
    </w:p>
    <w:p w14:paraId="2B0FE961">
      <w:pPr>
        <w:rPr>
          <w:rFonts w:hint="eastAsia" w:ascii="宋体" w:hAnsi="宋体" w:eastAsia="宋体" w:cs="宋体"/>
          <w:b/>
          <w:bCs/>
          <w:snapToGrid w:val="0"/>
          <w:color w:val="000000"/>
          <w:kern w:val="0"/>
          <w:sz w:val="19"/>
          <w:szCs w:val="19"/>
          <w:lang w:val="en-US" w:eastAsia="zh-CN" w:bidi="ar"/>
        </w:rPr>
      </w:pPr>
    </w:p>
    <w:p w14:paraId="36C50AA5">
      <w:pPr>
        <w:rPr>
          <w:rFonts w:hint="eastAsia" w:ascii="宋体" w:hAnsi="宋体" w:eastAsia="宋体" w:cs="宋体"/>
          <w:b/>
          <w:bCs/>
          <w:snapToGrid w:val="0"/>
          <w:color w:val="000000"/>
          <w:kern w:val="0"/>
          <w:sz w:val="19"/>
          <w:szCs w:val="19"/>
          <w:lang w:val="en-US" w:eastAsia="zh-CN" w:bidi="ar"/>
        </w:rPr>
      </w:pPr>
    </w:p>
    <w:p w14:paraId="409E5BDA">
      <w:pPr>
        <w:rPr>
          <w:rFonts w:hint="eastAsia" w:ascii="宋体" w:hAnsi="宋体" w:eastAsia="宋体" w:cs="宋体"/>
          <w:b/>
          <w:bCs/>
          <w:snapToGrid w:val="0"/>
          <w:color w:val="000000"/>
          <w:kern w:val="0"/>
          <w:sz w:val="19"/>
          <w:szCs w:val="19"/>
          <w:lang w:val="en-US" w:eastAsia="zh-CN" w:bidi="ar"/>
        </w:rPr>
      </w:pPr>
    </w:p>
    <w:p w14:paraId="106D0106">
      <w:pPr>
        <w:rPr>
          <w:rFonts w:hint="eastAsia" w:ascii="宋体" w:hAnsi="宋体" w:eastAsia="宋体" w:cs="宋体"/>
          <w:b/>
          <w:bCs/>
          <w:snapToGrid w:val="0"/>
          <w:color w:val="000000"/>
          <w:kern w:val="0"/>
          <w:sz w:val="19"/>
          <w:szCs w:val="19"/>
          <w:lang w:val="en-US" w:eastAsia="zh-CN" w:bidi="ar"/>
        </w:rPr>
      </w:pPr>
    </w:p>
    <w:p w14:paraId="2563293B">
      <w:pPr>
        <w:rPr>
          <w:rFonts w:hint="eastAsia" w:ascii="宋体" w:hAnsi="宋体" w:eastAsia="宋体" w:cs="宋体"/>
          <w:b/>
          <w:bCs/>
          <w:snapToGrid w:val="0"/>
          <w:color w:val="000000"/>
          <w:kern w:val="0"/>
          <w:sz w:val="19"/>
          <w:szCs w:val="19"/>
          <w:lang w:val="en-US" w:eastAsia="zh-CN" w:bidi="ar"/>
        </w:rPr>
      </w:pPr>
    </w:p>
    <w:p w14:paraId="702C8E20">
      <w:pPr>
        <w:rPr>
          <w:rFonts w:hint="eastAsia" w:ascii="宋体" w:hAnsi="宋体" w:eastAsia="宋体" w:cs="宋体"/>
          <w:b/>
          <w:bCs/>
          <w:snapToGrid w:val="0"/>
          <w:color w:val="000000"/>
          <w:kern w:val="0"/>
          <w:sz w:val="19"/>
          <w:szCs w:val="19"/>
          <w:lang w:val="en-US" w:eastAsia="zh-CN" w:bidi="ar"/>
        </w:rPr>
      </w:pPr>
    </w:p>
    <w:p w14:paraId="5E83D44F">
      <w:pPr>
        <w:rPr>
          <w:rFonts w:hint="eastAsia" w:ascii="宋体" w:hAnsi="宋体" w:eastAsia="宋体" w:cs="宋体"/>
          <w:b/>
          <w:bCs/>
          <w:snapToGrid w:val="0"/>
          <w:color w:val="000000"/>
          <w:kern w:val="0"/>
          <w:sz w:val="19"/>
          <w:szCs w:val="19"/>
          <w:lang w:val="en-US" w:eastAsia="zh-CN" w:bidi="ar"/>
        </w:rPr>
      </w:pPr>
    </w:p>
    <w:p w14:paraId="48F9294B">
      <w:pPr>
        <w:rPr>
          <w:rFonts w:hint="eastAsia" w:ascii="宋体" w:hAnsi="宋体" w:eastAsia="宋体" w:cs="宋体"/>
          <w:b/>
          <w:bCs/>
          <w:snapToGrid w:val="0"/>
          <w:color w:val="000000"/>
          <w:kern w:val="0"/>
          <w:sz w:val="19"/>
          <w:szCs w:val="19"/>
          <w:lang w:val="en-US" w:eastAsia="zh-CN" w:bidi="ar"/>
        </w:rPr>
      </w:pPr>
    </w:p>
    <w:p w14:paraId="4ACE1787">
      <w:pPr>
        <w:rPr>
          <w:rFonts w:hint="eastAsia" w:ascii="宋体" w:hAnsi="宋体" w:eastAsia="宋体" w:cs="宋体"/>
          <w:b/>
          <w:bCs/>
          <w:snapToGrid w:val="0"/>
          <w:color w:val="000000"/>
          <w:kern w:val="0"/>
          <w:sz w:val="19"/>
          <w:szCs w:val="19"/>
          <w:lang w:val="en-US" w:eastAsia="zh-CN" w:bidi="ar"/>
        </w:rPr>
      </w:pPr>
    </w:p>
    <w:p w14:paraId="19090E2A">
      <w:pPr>
        <w:rPr>
          <w:rFonts w:hint="eastAsia" w:ascii="宋体" w:hAnsi="宋体" w:eastAsia="宋体" w:cs="宋体"/>
          <w:b/>
          <w:bCs/>
          <w:snapToGrid w:val="0"/>
          <w:color w:val="000000"/>
          <w:kern w:val="0"/>
          <w:sz w:val="19"/>
          <w:szCs w:val="19"/>
          <w:lang w:val="en-US" w:eastAsia="zh-CN" w:bidi="ar"/>
        </w:rPr>
      </w:pPr>
    </w:p>
    <w:p w14:paraId="745945D6">
      <w:pPr>
        <w:rPr>
          <w:rFonts w:hint="eastAsia" w:ascii="宋体" w:hAnsi="宋体" w:eastAsia="宋体" w:cs="宋体"/>
          <w:b/>
          <w:bCs/>
          <w:snapToGrid w:val="0"/>
          <w:color w:val="000000"/>
          <w:kern w:val="0"/>
          <w:sz w:val="19"/>
          <w:szCs w:val="19"/>
          <w:lang w:val="en-US" w:eastAsia="zh-CN" w:bidi="ar"/>
        </w:rPr>
      </w:pPr>
    </w:p>
    <w:p w14:paraId="11FC37D9">
      <w:pPr>
        <w:rPr>
          <w:rFonts w:hint="eastAsia" w:ascii="宋体" w:hAnsi="宋体" w:eastAsia="宋体" w:cs="宋体"/>
          <w:b/>
          <w:bCs/>
          <w:snapToGrid w:val="0"/>
          <w:color w:val="000000"/>
          <w:kern w:val="0"/>
          <w:sz w:val="19"/>
          <w:szCs w:val="19"/>
          <w:lang w:val="en-US" w:eastAsia="zh-CN" w:bidi="ar"/>
        </w:rPr>
      </w:pPr>
    </w:p>
    <w:p w14:paraId="552626F9">
      <w:pPr>
        <w:rPr>
          <w:rFonts w:hint="eastAsia" w:ascii="宋体" w:hAnsi="宋体" w:eastAsia="宋体" w:cs="宋体"/>
          <w:b/>
          <w:bCs/>
          <w:snapToGrid w:val="0"/>
          <w:color w:val="000000"/>
          <w:kern w:val="0"/>
          <w:sz w:val="19"/>
          <w:szCs w:val="19"/>
          <w:lang w:val="en-US" w:eastAsia="zh-CN" w:bidi="ar"/>
        </w:rPr>
      </w:pPr>
    </w:p>
    <w:p w14:paraId="241D71F8">
      <w:pPr>
        <w:pStyle w:val="2"/>
        <w:pageBreakBefore w:val="0"/>
        <w:numPr>
          <w:ilvl w:val="0"/>
          <w:numId w:val="0"/>
        </w:numPr>
        <w:kinsoku/>
        <w:wordWrap/>
        <w:overflowPunct/>
        <w:topLinePunct w:val="0"/>
        <w:autoSpaceDE/>
        <w:autoSpaceDN/>
        <w:bidi w:val="0"/>
        <w:spacing w:line="360" w:lineRule="auto"/>
        <w:ind w:leftChars="0"/>
        <w:jc w:val="center"/>
        <w:rPr>
          <w:rFonts w:hint="eastAsia" w:ascii="宋体" w:hAnsi="宋体" w:eastAsia="宋体" w:cs="宋体"/>
          <w:color w:val="auto"/>
          <w:highlight w:val="none"/>
        </w:rPr>
      </w:pPr>
      <w:bookmarkStart w:id="104" w:name="_Toc19057"/>
      <w:r>
        <w:rPr>
          <w:rFonts w:hint="eastAsia" w:ascii="宋体" w:hAnsi="宋体" w:eastAsia="宋体" w:cs="宋体"/>
          <w:color w:val="auto"/>
          <w:highlight w:val="none"/>
          <w:lang w:val="en-US" w:eastAsia="zh-CN"/>
        </w:rPr>
        <w:t>第七章  配套工程</w:t>
      </w:r>
      <w:bookmarkEnd w:id="104"/>
    </w:p>
    <w:p w14:paraId="552FA3DB">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根据当地水文地质条件，</w:t>
      </w:r>
      <w:r>
        <w:rPr>
          <w:rFonts w:hint="eastAsia" w:ascii="仿宋" w:hAnsi="仿宋" w:eastAsia="仿宋" w:cs="仿宋"/>
          <w:color w:val="auto"/>
          <w:sz w:val="30"/>
          <w:szCs w:val="30"/>
          <w:highlight w:val="none"/>
          <w:lang w:val="en-US" w:eastAsia="zh-CN"/>
        </w:rPr>
        <w:t>本次设计新打深40m水源井3眼，井泵，发电机3组。</w:t>
      </w:r>
    </w:p>
    <w:p w14:paraId="75858FEB">
      <w:pPr>
        <w:pStyle w:val="3"/>
        <w:pageBreakBefore w:val="0"/>
        <w:numPr>
          <w:numId w:val="0"/>
        </w:numPr>
        <w:kinsoku/>
        <w:wordWrap/>
        <w:overflowPunct/>
        <w:topLinePunct w:val="0"/>
        <w:autoSpaceDE/>
        <w:autoSpaceDN/>
        <w:bidi w:val="0"/>
        <w:spacing w:line="360" w:lineRule="auto"/>
        <w:ind w:leftChars="0"/>
        <w:rPr>
          <w:rFonts w:hint="default" w:ascii="宋体" w:hAnsi="宋体" w:eastAsia="宋体" w:cs="宋体"/>
          <w:color w:val="auto"/>
          <w:highlight w:val="none"/>
          <w:lang w:val="en-US" w:eastAsia="zh-CN"/>
        </w:rPr>
      </w:pPr>
      <w:bookmarkStart w:id="105" w:name="_Toc20683"/>
      <w:r>
        <w:rPr>
          <w:rFonts w:hint="eastAsia" w:ascii="宋体" w:hAnsi="宋体" w:eastAsia="宋体" w:cs="宋体"/>
          <w:color w:val="auto"/>
          <w:highlight w:val="none"/>
          <w:lang w:val="en-US" w:eastAsia="zh-CN"/>
        </w:rPr>
        <w:t>7.1打井</w:t>
      </w:r>
      <w:bookmarkEnd w:id="105"/>
    </w:p>
    <w:p w14:paraId="57F3289C">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采用机械打井，井深40m。井内径300㎜，井壁管材料为壁厚6㎜钢管，单井出水量30m³/h。成井后按《地下水监测站建设技术规范 SL360-2006》洗井并进行抽水试验。</w:t>
      </w:r>
    </w:p>
    <w:p w14:paraId="52793A33">
      <w:pPr>
        <w:pStyle w:val="3"/>
        <w:pageBreakBefore w:val="0"/>
        <w:numPr>
          <w:numId w:val="0"/>
        </w:numPr>
        <w:kinsoku/>
        <w:wordWrap/>
        <w:overflowPunct/>
        <w:topLinePunct w:val="0"/>
        <w:autoSpaceDE/>
        <w:autoSpaceDN/>
        <w:bidi w:val="0"/>
        <w:spacing w:line="360" w:lineRule="auto"/>
        <w:ind w:leftChars="0"/>
        <w:rPr>
          <w:rFonts w:hint="default" w:ascii="宋体" w:hAnsi="宋体" w:eastAsia="宋体" w:cs="宋体"/>
          <w:color w:val="auto"/>
          <w:highlight w:val="none"/>
          <w:lang w:val="en-US" w:eastAsia="zh-CN"/>
        </w:rPr>
      </w:pPr>
      <w:bookmarkStart w:id="106" w:name="_Toc14394"/>
      <w:r>
        <w:rPr>
          <w:rFonts w:hint="eastAsia" w:ascii="宋体" w:hAnsi="宋体" w:eastAsia="宋体" w:cs="宋体"/>
          <w:color w:val="auto"/>
          <w:highlight w:val="none"/>
          <w:lang w:val="en-US" w:eastAsia="zh-CN"/>
        </w:rPr>
        <w:t>7.2滴灌系统</w:t>
      </w:r>
      <w:bookmarkEnd w:id="106"/>
    </w:p>
    <w:p w14:paraId="7E5ED017">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浇水</w:t>
      </w:r>
      <w:r>
        <w:rPr>
          <w:rFonts w:hint="eastAsia" w:ascii="仿宋" w:hAnsi="仿宋" w:eastAsia="仿宋" w:cs="仿宋"/>
          <w:color w:val="auto"/>
          <w:sz w:val="30"/>
          <w:szCs w:val="30"/>
          <w:highlight w:val="none"/>
        </w:rPr>
        <w:t>系统管材采用给水PE管材</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lang w:val="en-US" w:eastAsia="zh-CN"/>
        </w:rPr>
        <w:t>主管（硬管</w:t>
      </w:r>
      <w:r>
        <w:rPr>
          <w:rFonts w:hint="eastAsia" w:ascii="仿宋" w:hAnsi="仿宋" w:eastAsia="仿宋" w:cs="仿宋"/>
          <w:color w:val="auto"/>
          <w:sz w:val="30"/>
          <w:szCs w:val="30"/>
          <w:highlight w:val="none"/>
        </w:rPr>
        <w:t>De</w:t>
      </w:r>
      <w:r>
        <w:rPr>
          <w:rFonts w:hint="eastAsia" w:ascii="仿宋" w:hAnsi="仿宋" w:eastAsia="仿宋" w:cs="仿宋"/>
          <w:color w:val="auto"/>
          <w:sz w:val="30"/>
          <w:szCs w:val="30"/>
          <w:highlight w:val="none"/>
          <w:lang w:val="en-US" w:eastAsia="zh-CN"/>
        </w:rPr>
        <w:t>75）</w:t>
      </w:r>
      <w:r>
        <w:rPr>
          <w:rFonts w:hint="eastAsia" w:ascii="仿宋" w:hAnsi="仿宋" w:eastAsia="仿宋" w:cs="仿宋"/>
          <w:color w:val="auto"/>
          <w:sz w:val="30"/>
          <w:szCs w:val="30"/>
          <w:highlight w:val="none"/>
        </w:rPr>
        <w:t>走向</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长度根据</w:t>
      </w:r>
      <w:r>
        <w:rPr>
          <w:rFonts w:hint="eastAsia" w:ascii="仿宋" w:hAnsi="仿宋" w:eastAsia="仿宋" w:cs="仿宋"/>
          <w:color w:val="auto"/>
          <w:sz w:val="30"/>
          <w:szCs w:val="30"/>
          <w:highlight w:val="none"/>
          <w:lang w:val="en-US" w:eastAsia="zh-CN"/>
        </w:rPr>
        <w:t>地块</w:t>
      </w:r>
      <w:r>
        <w:rPr>
          <w:rFonts w:hint="eastAsia" w:ascii="仿宋" w:hAnsi="仿宋" w:eastAsia="仿宋" w:cs="仿宋"/>
          <w:color w:val="auto"/>
          <w:sz w:val="30"/>
          <w:szCs w:val="30"/>
          <w:highlight w:val="none"/>
        </w:rPr>
        <w:t>确定。</w:t>
      </w:r>
    </w:p>
    <w:p w14:paraId="05DAA838">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val="en-US" w:eastAsia="zh-CN"/>
        </w:rPr>
        <w:t>苗</w:t>
      </w:r>
      <w:r>
        <w:rPr>
          <w:rFonts w:hint="eastAsia" w:ascii="仿宋" w:hAnsi="仿宋" w:eastAsia="仿宋" w:cs="仿宋"/>
          <w:color w:val="auto"/>
          <w:sz w:val="30"/>
          <w:szCs w:val="30"/>
          <w:highlight w:val="none"/>
        </w:rPr>
        <w:t>木采用</w:t>
      </w:r>
      <w:r>
        <w:rPr>
          <w:rFonts w:hint="eastAsia" w:ascii="仿宋" w:hAnsi="仿宋" w:eastAsia="仿宋" w:cs="仿宋"/>
          <w:color w:val="auto"/>
          <w:sz w:val="30"/>
          <w:szCs w:val="30"/>
          <w:highlight w:val="none"/>
          <w:lang w:val="en-US" w:eastAsia="zh-CN"/>
        </w:rPr>
        <w:t>稳流器</w:t>
      </w:r>
      <w:r>
        <w:rPr>
          <w:rFonts w:hint="eastAsia" w:ascii="仿宋" w:hAnsi="仿宋" w:eastAsia="仿宋" w:cs="仿宋"/>
          <w:color w:val="auto"/>
          <w:sz w:val="30"/>
          <w:szCs w:val="30"/>
          <w:highlight w:val="none"/>
        </w:rPr>
        <w:t>的给水方式，</w:t>
      </w:r>
      <w:r>
        <w:rPr>
          <w:rFonts w:hint="eastAsia" w:ascii="仿宋" w:hAnsi="仿宋" w:eastAsia="仿宋" w:cs="仿宋"/>
          <w:color w:val="auto"/>
          <w:sz w:val="30"/>
          <w:szCs w:val="30"/>
          <w:highlight w:val="none"/>
          <w:lang w:val="en-US" w:eastAsia="zh-CN"/>
        </w:rPr>
        <w:t>按苗木行距安装旁通阀</w:t>
      </w:r>
      <w:r>
        <w:rPr>
          <w:rFonts w:hint="eastAsia" w:ascii="仿宋" w:hAnsi="仿宋" w:eastAsia="仿宋" w:cs="仿宋"/>
          <w:color w:val="auto"/>
          <w:sz w:val="30"/>
          <w:szCs w:val="30"/>
          <w:highlight w:val="none"/>
        </w:rPr>
        <w:t>铺设</w:t>
      </w:r>
      <w:r>
        <w:rPr>
          <w:rFonts w:hint="eastAsia" w:ascii="仿宋" w:hAnsi="仿宋" w:eastAsia="仿宋" w:cs="仿宋"/>
          <w:color w:val="auto"/>
          <w:sz w:val="30"/>
          <w:szCs w:val="30"/>
          <w:highlight w:val="none"/>
          <w:lang w:val="en-US" w:eastAsia="zh-CN"/>
        </w:rPr>
        <w:t>支管（硬管</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val="en-US" w:eastAsia="zh-CN"/>
        </w:rPr>
        <w:t>20mm）接稳流器</w:t>
      </w:r>
      <w:r>
        <w:rPr>
          <w:rFonts w:hint="eastAsia" w:ascii="仿宋" w:hAnsi="仿宋" w:eastAsia="仿宋" w:cs="仿宋"/>
          <w:color w:val="auto"/>
          <w:sz w:val="30"/>
          <w:szCs w:val="30"/>
          <w:highlight w:val="none"/>
        </w:rPr>
        <w:t>，并</w:t>
      </w:r>
      <w:r>
        <w:rPr>
          <w:rFonts w:hint="eastAsia" w:ascii="仿宋" w:hAnsi="仿宋" w:eastAsia="仿宋" w:cs="仿宋"/>
          <w:color w:val="auto"/>
          <w:sz w:val="30"/>
          <w:szCs w:val="30"/>
          <w:highlight w:val="none"/>
          <w:lang w:val="en-US" w:eastAsia="zh-CN"/>
        </w:rPr>
        <w:t>按株距铺设滴头</w:t>
      </w:r>
      <w:r>
        <w:rPr>
          <w:rFonts w:hint="eastAsia" w:ascii="仿宋" w:hAnsi="仿宋" w:eastAsia="仿宋" w:cs="仿宋"/>
          <w:color w:val="auto"/>
          <w:sz w:val="30"/>
          <w:szCs w:val="30"/>
          <w:highlight w:val="none"/>
        </w:rPr>
        <w:t>引入到树穴处，对每棵树进行精确灌水。</w:t>
      </w:r>
    </w:p>
    <w:p w14:paraId="227E3FA4">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p>
    <w:p w14:paraId="492CE0B5">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p>
    <w:p w14:paraId="24769090">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p>
    <w:p w14:paraId="3204A26D">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p>
    <w:p w14:paraId="22CE4A67">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p>
    <w:p w14:paraId="398EEBDE">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p>
    <w:p w14:paraId="412F42D8">
      <w:pPr>
        <w:pageBreakBefore w:val="0"/>
        <w:kinsoku/>
        <w:wordWrap/>
        <w:overflowPunct/>
        <w:topLinePunct w:val="0"/>
        <w:autoSpaceDE/>
        <w:autoSpaceDN/>
        <w:bidi w:val="0"/>
        <w:snapToGrid/>
        <w:spacing w:beforeAutospacing="0" w:afterAutospacing="0" w:line="360" w:lineRule="auto"/>
        <w:ind w:firstLine="560"/>
        <w:rPr>
          <w:rFonts w:hint="eastAsia" w:ascii="仿宋" w:hAnsi="仿宋" w:eastAsia="仿宋" w:cs="仿宋"/>
          <w:color w:val="auto"/>
          <w:sz w:val="30"/>
          <w:szCs w:val="30"/>
          <w:highlight w:val="none"/>
        </w:rPr>
      </w:pPr>
    </w:p>
    <w:p w14:paraId="16E393C2">
      <w:pPr>
        <w:rPr>
          <w:rFonts w:hint="eastAsia" w:ascii="宋体" w:hAnsi="宋体" w:eastAsia="宋体" w:cs="宋体"/>
          <w:b/>
          <w:bCs/>
          <w:snapToGrid w:val="0"/>
          <w:color w:val="000000"/>
          <w:kern w:val="0"/>
          <w:sz w:val="19"/>
          <w:szCs w:val="19"/>
          <w:lang w:val="en-US" w:eastAsia="zh-CN" w:bidi="ar"/>
        </w:rPr>
      </w:pPr>
    </w:p>
    <w:p w14:paraId="2BE66C72">
      <w:pPr>
        <w:rPr>
          <w:rFonts w:hint="eastAsia" w:ascii="宋体" w:hAnsi="宋体" w:eastAsia="宋体" w:cs="宋体"/>
          <w:b/>
          <w:bCs/>
          <w:snapToGrid w:val="0"/>
          <w:color w:val="000000"/>
          <w:kern w:val="0"/>
          <w:sz w:val="19"/>
          <w:szCs w:val="19"/>
          <w:lang w:val="en-US" w:eastAsia="zh-CN" w:bidi="ar"/>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6B8CF">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80D4C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B80D4C7">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BA191"/>
    <w:multiLevelType w:val="singleLevel"/>
    <w:tmpl w:val="B1CBA191"/>
    <w:lvl w:ilvl="0" w:tentative="0">
      <w:start w:val="1"/>
      <w:numFmt w:val="decimal"/>
      <w:lvlText w:val="(%1)"/>
      <w:lvlJc w:val="left"/>
      <w:pPr>
        <w:ind w:left="425" w:hanging="425"/>
      </w:pPr>
      <w:rPr>
        <w:rFonts w:hint="default"/>
      </w:rPr>
    </w:lvl>
  </w:abstractNum>
  <w:abstractNum w:abstractNumId="1">
    <w:nsid w:val="CD06695D"/>
    <w:multiLevelType w:val="singleLevel"/>
    <w:tmpl w:val="CD06695D"/>
    <w:lvl w:ilvl="0" w:tentative="0">
      <w:start w:val="1"/>
      <w:numFmt w:val="decimal"/>
      <w:lvlText w:val="(%1)"/>
      <w:lvlJc w:val="left"/>
      <w:pPr>
        <w:ind w:left="425" w:hanging="425"/>
      </w:pPr>
      <w:rPr>
        <w:rFonts w:hint="default"/>
      </w:rPr>
    </w:lvl>
  </w:abstractNum>
  <w:abstractNum w:abstractNumId="2">
    <w:nsid w:val="CE45C948"/>
    <w:multiLevelType w:val="singleLevel"/>
    <w:tmpl w:val="CE45C948"/>
    <w:lvl w:ilvl="0" w:tentative="0">
      <w:start w:val="1"/>
      <w:numFmt w:val="decimal"/>
      <w:lvlText w:val="(%1)"/>
      <w:lvlJc w:val="left"/>
      <w:pPr>
        <w:ind w:left="425" w:hanging="425"/>
      </w:pPr>
      <w:rPr>
        <w:rFonts w:hint="default"/>
        <w:color w:val="auto"/>
      </w:rPr>
    </w:lvl>
  </w:abstractNum>
  <w:abstractNum w:abstractNumId="3">
    <w:nsid w:val="E31F15B2"/>
    <w:multiLevelType w:val="multilevel"/>
    <w:tmpl w:val="E31F15B2"/>
    <w:lvl w:ilvl="0" w:tentative="0">
      <w:start w:val="1"/>
      <w:numFmt w:val="chineseCounting"/>
      <w:pStyle w:val="2"/>
      <w:suff w:val="nothing"/>
      <w:lvlText w:val="第%1章 "/>
      <w:lvlJc w:val="left"/>
      <w:pPr>
        <w:ind w:left="432" w:hanging="432"/>
      </w:pPr>
      <w:rPr>
        <w:rFonts w:hint="eastAsia"/>
      </w:rPr>
    </w:lvl>
    <w:lvl w:ilvl="1" w:tentative="0">
      <w:start w:val="1"/>
      <w:numFmt w:val="decimal"/>
      <w:pStyle w:val="3"/>
      <w:isLgl/>
      <w:lvlText w:val="%1.%2."/>
      <w:lvlJc w:val="left"/>
      <w:pPr>
        <w:ind w:left="575" w:hanging="575"/>
      </w:pPr>
      <w:rPr>
        <w:rFonts w:hint="eastAsia"/>
      </w:rPr>
    </w:lvl>
    <w:lvl w:ilvl="2" w:tentative="0">
      <w:start w:val="1"/>
      <w:numFmt w:val="decimal"/>
      <w:pStyle w:val="4"/>
      <w:isLgl/>
      <w:lvlText w:val="%1.%2.%3."/>
      <w:lvlJc w:val="left"/>
      <w:pPr>
        <w:ind w:left="720" w:hanging="720"/>
      </w:pPr>
      <w:rPr>
        <w:rFonts w:hint="eastAsia"/>
      </w:rPr>
    </w:lvl>
    <w:lvl w:ilvl="3" w:tentative="0">
      <w:start w:val="1"/>
      <w:numFmt w:val="decimal"/>
      <w:pStyle w:val="5"/>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pStyle w:val="6"/>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abstractNum w:abstractNumId="4">
    <w:nsid w:val="3761B03E"/>
    <w:multiLevelType w:val="singleLevel"/>
    <w:tmpl w:val="3761B03E"/>
    <w:lvl w:ilvl="0" w:tentative="0">
      <w:start w:val="1"/>
      <w:numFmt w:val="decimal"/>
      <w:lvlText w:val="(%1)"/>
      <w:lvlJc w:val="left"/>
      <w:pPr>
        <w:ind w:left="425" w:hanging="425"/>
      </w:pPr>
      <w:rPr>
        <w:rFonts w:hint="default"/>
      </w:rPr>
    </w:lvl>
  </w:abstractNum>
  <w:abstractNum w:abstractNumId="5">
    <w:nsid w:val="3D1415A4"/>
    <w:multiLevelType w:val="singleLevel"/>
    <w:tmpl w:val="3D1415A4"/>
    <w:lvl w:ilvl="0" w:tentative="0">
      <w:start w:val="1"/>
      <w:numFmt w:val="decimal"/>
      <w:lvlText w:val="(%1)"/>
      <w:lvlJc w:val="left"/>
      <w:pPr>
        <w:ind w:left="425" w:hanging="425"/>
      </w:pPr>
      <w:rPr>
        <w:rFonts w:hint="default"/>
      </w:rPr>
    </w:lvl>
  </w:abstractNum>
  <w:abstractNum w:abstractNumId="6">
    <w:nsid w:val="533BB8AB"/>
    <w:multiLevelType w:val="singleLevel"/>
    <w:tmpl w:val="533BB8AB"/>
    <w:lvl w:ilvl="0" w:tentative="0">
      <w:start w:val="1"/>
      <w:numFmt w:val="decimal"/>
      <w:lvlText w:val="(%1)"/>
      <w:lvlJc w:val="left"/>
      <w:pPr>
        <w:ind w:left="425" w:hanging="425"/>
      </w:pPr>
      <w:rPr>
        <w:rFonts w:hint="default"/>
      </w:rPr>
    </w:lvl>
  </w:abstractNum>
  <w:abstractNum w:abstractNumId="7">
    <w:nsid w:val="7D3A6F16"/>
    <w:multiLevelType w:val="singleLevel"/>
    <w:tmpl w:val="7D3A6F16"/>
    <w:lvl w:ilvl="0" w:tentative="0">
      <w:start w:val="1"/>
      <w:numFmt w:val="decimal"/>
      <w:lvlText w:val="(%1)"/>
      <w:lvlJc w:val="left"/>
      <w:pPr>
        <w:ind w:left="425" w:hanging="425"/>
      </w:pPr>
      <w:rPr>
        <w:rFonts w:hint="default"/>
      </w:rPr>
    </w:lvl>
  </w:abstractNum>
  <w:num w:numId="1">
    <w:abstractNumId w:val="3"/>
  </w:num>
  <w:num w:numId="2">
    <w:abstractNumId w:val="0"/>
  </w:num>
  <w:num w:numId="3">
    <w:abstractNumId w:val="5"/>
  </w:num>
  <w:num w:numId="4">
    <w:abstractNumId w:val="2"/>
  </w:num>
  <w:num w:numId="5">
    <w:abstractNumId w:val="6"/>
  </w:num>
  <w:num w:numId="6">
    <w:abstractNumId w:val="4"/>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31EE8"/>
    <w:rsid w:val="0B7112FC"/>
    <w:rsid w:val="131B6383"/>
    <w:rsid w:val="4CFF58F8"/>
    <w:rsid w:val="5DD865E2"/>
    <w:rsid w:val="7D501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9"/>
    <w:pPr>
      <w:keepNext/>
      <w:keepLines/>
      <w:numPr>
        <w:ilvl w:val="0"/>
        <w:numId w:val="1"/>
      </w:numPr>
      <w:tabs>
        <w:tab w:val="left" w:pos="-420"/>
        <w:tab w:val="left" w:pos="0"/>
      </w:tabs>
      <w:bidi w:val="0"/>
      <w:adjustRightInd w:val="0"/>
      <w:snapToGrid w:val="0"/>
      <w:spacing w:before="50" w:beforeLines="50" w:after="50" w:afterLines="50" w:line="288" w:lineRule="auto"/>
      <w:ind w:left="432" w:leftChars="0" w:hanging="432" w:firstLineChars="0"/>
      <w:outlineLvl w:val="0"/>
    </w:pPr>
    <w:rPr>
      <w:rFonts w:ascii="黑体" w:hAnsi="黑体" w:eastAsia="黑体" w:cs="Times New Roman"/>
      <w:b/>
      <w:bCs/>
      <w:color w:val="auto"/>
      <w:kern w:val="44"/>
      <w:sz w:val="32"/>
      <w:szCs w:val="32"/>
      <w:lang w:val="en-US" w:eastAsia="zh-CN" w:bidi="ar-SA"/>
    </w:rPr>
  </w:style>
  <w:style w:type="paragraph" w:styleId="3">
    <w:name w:val="heading 2"/>
    <w:basedOn w:val="1"/>
    <w:next w:val="1"/>
    <w:unhideWhenUsed/>
    <w:qFormat/>
    <w:uiPriority w:val="9"/>
    <w:pPr>
      <w:numPr>
        <w:ilvl w:val="1"/>
        <w:numId w:val="1"/>
      </w:numPr>
      <w:tabs>
        <w:tab w:val="left" w:pos="0"/>
      </w:tabs>
      <w:bidi w:val="0"/>
      <w:adjustRightInd w:val="0"/>
      <w:snapToGrid w:val="0"/>
      <w:spacing w:before="50" w:beforeLines="50" w:after="50" w:afterLines="50" w:line="288" w:lineRule="auto"/>
      <w:ind w:left="575" w:leftChars="0" w:hanging="575" w:firstLineChars="0"/>
      <w:outlineLvl w:val="1"/>
    </w:pPr>
    <w:rPr>
      <w:rFonts w:ascii="黑体" w:hAnsi="黑体" w:eastAsia="黑体" w:cs="Times New Roman"/>
      <w:b/>
      <w:bCs/>
      <w:color w:val="auto"/>
      <w:kern w:val="2"/>
      <w:sz w:val="30"/>
      <w:szCs w:val="30"/>
      <w:lang w:val="en-US" w:eastAsia="zh-CN" w:bidi="ar-SA"/>
    </w:rPr>
  </w:style>
  <w:style w:type="paragraph" w:styleId="4">
    <w:name w:val="heading 3"/>
    <w:basedOn w:val="1"/>
    <w:next w:val="1"/>
    <w:unhideWhenUsed/>
    <w:qFormat/>
    <w:uiPriority w:val="9"/>
    <w:pPr>
      <w:numPr>
        <w:ilvl w:val="2"/>
        <w:numId w:val="1"/>
      </w:numPr>
      <w:tabs>
        <w:tab w:val="left" w:pos="0"/>
      </w:tabs>
      <w:bidi w:val="0"/>
      <w:adjustRightInd w:val="0"/>
      <w:snapToGrid w:val="0"/>
      <w:spacing w:before="50" w:beforeLines="50" w:after="50" w:afterLines="50" w:line="288" w:lineRule="auto"/>
      <w:ind w:left="720" w:leftChars="0" w:hanging="720" w:firstLineChars="0"/>
      <w:outlineLvl w:val="2"/>
    </w:pPr>
    <w:rPr>
      <w:rFonts w:ascii="黑体" w:hAnsi="黑体" w:eastAsia="黑体" w:cs="Times New Roman"/>
      <w:b/>
      <w:bCs/>
      <w:color w:val="auto"/>
      <w:kern w:val="2"/>
      <w:sz w:val="30"/>
      <w:szCs w:val="28"/>
      <w:lang w:val="en-US" w:eastAsia="zh-CN" w:bidi="ar-SA"/>
    </w:rPr>
  </w:style>
  <w:style w:type="paragraph" w:styleId="5">
    <w:name w:val="heading 4"/>
    <w:next w:val="1"/>
    <w:unhideWhenUsed/>
    <w:qFormat/>
    <w:uiPriority w:val="9"/>
    <w:pPr>
      <w:numPr>
        <w:ilvl w:val="3"/>
        <w:numId w:val="1"/>
      </w:numPr>
      <w:tabs>
        <w:tab w:val="left" w:pos="0"/>
      </w:tabs>
      <w:bidi w:val="0"/>
      <w:adjustRightInd w:val="0"/>
      <w:snapToGrid w:val="0"/>
      <w:spacing w:before="50" w:beforeLines="50" w:after="50" w:afterLines="50" w:line="288" w:lineRule="auto"/>
      <w:ind w:left="864" w:leftChars="0" w:hanging="864" w:firstLineChars="0"/>
      <w:outlineLvl w:val="3"/>
    </w:pPr>
    <w:rPr>
      <w:rFonts w:ascii="黑体" w:hAnsi="黑体" w:eastAsia="黑体" w:cs="Times New Roman"/>
      <w:b/>
      <w:bCs/>
      <w:color w:val="auto"/>
      <w:sz w:val="28"/>
      <w:szCs w:val="28"/>
      <w:lang w:val="en-US" w:eastAsia="zh-CN" w:bidi="ar-SA"/>
    </w:rPr>
  </w:style>
  <w:style w:type="paragraph" w:styleId="6">
    <w:name w:val="heading 6"/>
    <w:basedOn w:val="1"/>
    <w:next w:val="1"/>
    <w:unhideWhenUsed/>
    <w:qFormat/>
    <w:uiPriority w:val="0"/>
    <w:pPr>
      <w:keepNext w:val="0"/>
      <w:keepLines w:val="0"/>
      <w:pageBreakBefore w:val="0"/>
      <w:widowControl/>
      <w:numPr>
        <w:ilvl w:val="5"/>
        <w:numId w:val="1"/>
      </w:numPr>
      <w:tabs>
        <w:tab w:val="left" w:pos="0"/>
      </w:tabs>
      <w:kinsoku/>
      <w:wordWrap/>
      <w:overflowPunct/>
      <w:topLinePunct w:val="0"/>
      <w:autoSpaceDE/>
      <w:autoSpaceDN/>
      <w:bidi w:val="0"/>
      <w:adjustRightInd w:val="0"/>
      <w:snapToGrid w:val="0"/>
      <w:spacing w:before="50" w:beforeLines="50" w:after="50" w:afterLines="50" w:line="288" w:lineRule="auto"/>
      <w:ind w:left="1151" w:leftChars="0" w:hanging="1151" w:firstLineChars="0"/>
      <w:textAlignment w:val="auto"/>
      <w:outlineLvl w:val="5"/>
    </w:pPr>
    <w:rPr>
      <w:rFonts w:ascii="黑体" w:hAnsi="黑体" w:eastAsia="黑体" w:cs="黑体"/>
      <w:b/>
      <w:bCs/>
      <w:color w:val="auto"/>
      <w:sz w:val="24"/>
      <w:szCs w:val="24"/>
      <w:lang w:val="en-US" w:eastAsia="zh-CN" w:bidi="ar-SA"/>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caption"/>
    <w:basedOn w:val="1"/>
    <w:next w:val="1"/>
    <w:unhideWhenUsed/>
    <w:qFormat/>
    <w:uiPriority w:val="0"/>
    <w:pPr>
      <w:ind w:firstLine="0" w:firstLineChars="0"/>
    </w:pPr>
    <w:rPr>
      <w:sz w:val="20"/>
      <w:szCs w:val="20"/>
    </w:rPr>
  </w:style>
  <w:style w:type="paragraph" w:styleId="9">
    <w:name w:val="annotation text"/>
    <w:basedOn w:val="1"/>
    <w:qFormat/>
    <w:uiPriority w:val="0"/>
    <w:pPr>
      <w:ind w:firstLine="0" w:firstLineChars="0"/>
      <w:jc w:val="left"/>
    </w:pPr>
  </w:style>
  <w:style w:type="paragraph" w:styleId="10">
    <w:name w:val="Body Text"/>
    <w:basedOn w:val="1"/>
    <w:qFormat/>
    <w:uiPriority w:val="0"/>
  </w:style>
  <w:style w:type="paragraph" w:styleId="11">
    <w:name w:val="Body Text Indent"/>
    <w:basedOn w:val="1"/>
    <w:qFormat/>
    <w:uiPriority w:val="0"/>
    <w:pPr>
      <w:spacing w:after="120"/>
      <w:ind w:left="420" w:leftChars="2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First Indent 2"/>
    <w:basedOn w:val="11"/>
    <w:qFormat/>
    <w:uiPriority w:val="0"/>
    <w:pPr>
      <w:ind w:firstLine="42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rFonts w:ascii="宋体" w:hAnsi="宋体" w:eastAsia="宋体" w:cs="Times New Roman"/>
      <w:b/>
      <w:bCs/>
      <w:color w:val="262626" w:themeColor="text1" w:themeTint="D9"/>
      <w:sz w:val="24"/>
      <w:szCs w:val="24"/>
      <w:u w:val="none"/>
      <w14:textFill>
        <w14:solidFill>
          <w14:schemeClr w14:val="tx1">
            <w14:lumMod w14:val="85000"/>
            <w14:lumOff w14:val="1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5771</Words>
  <Characters>6742</Characters>
  <Lines>0</Lines>
  <Paragraphs>0</Paragraphs>
  <TotalTime>2</TotalTime>
  <ScaleCrop>false</ScaleCrop>
  <LinksUpToDate>false</LinksUpToDate>
  <CharactersWithSpaces>6905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2026-03-24T10:50:00Z</dcterms:created>
  <dc:creator>Administrator</dc:creator>
  <cp:lastModifiedBy>建信-李春光</cp:lastModifiedBy>
  <cp:lastPrinted>2026-03-25T00:47:00Z</cp:lastPrinted>
  <dcterms:modified xsi:type="dcterms:W3CDTF">2026-04-03T09:09:52Z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eyJoZGlkIjoiOThhYzkwYmMzYmRlZDZmYmE3OGQzZGMyZTdjZGRjNDAiLCJ1c2VySWQiOiIxMDU5OTIxNTU5In0=</vt:lpwstr>
  </property>
  <property fmtid="{D5CDD505-2E9C-101B-9397-08002B2CF9AE}" pid="4" name="ICV">
    <vt:lpwstr>5383B1BD3A5D453F84F2784C10F7AF6F_12</vt:lpwstr>
  </property>
</Properties>
</file>