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8C1165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  <w:t>附件2作业设计（部分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19"/>
          <w:szCs w:val="19"/>
          <w:lang w:val="en-US" w:eastAsia="zh-CN" w:bidi="ar"/>
        </w:rPr>
        <w:t>）</w:t>
      </w: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  <w:t>：</w:t>
      </w:r>
    </w:p>
    <w:p w14:paraId="553AEEB6">
      <w:pPr>
        <w:jc w:val="center"/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2"/>
          <w:szCs w:val="32"/>
          <w:lang w:val="en-US" w:eastAsia="zh-CN" w:bidi="ar"/>
        </w:rPr>
        <w:t>第三章 设计原则和依据</w:t>
      </w:r>
    </w:p>
    <w:p w14:paraId="5FA0BBF4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8"/>
          <w:szCs w:val="28"/>
          <w:lang w:val="en-US" w:eastAsia="zh-CN" w:bidi="ar"/>
        </w:rPr>
        <w:t>3.1.项目设计原则</w:t>
      </w:r>
    </w:p>
    <w:p w14:paraId="6315CF73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(1)坚持生态优先。植被恢复活动不可对生态系统形成不可逆的不利影响。以恢复植被为准则，从实际出发，尊重自然规律，坚持以保护生态效益为主的原则；</w:t>
      </w:r>
    </w:p>
    <w:p w14:paraId="216EB8EB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(2)坚持因地制宜、适地适树。依据当地的气候、土壤、地形和水文条件，确定适宜发展的林种和树种。选择生物学特性与当地立地条件相适应的乡土树种或优良外来树种，确保树木能够正常生长、发育，并充分发挥其生态功能和经济价值；</w:t>
      </w:r>
    </w:p>
    <w:p w14:paraId="3CC1B368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(3)遵循植被生长的自然规律，根据造林目标和树种，选择造林方式、造林方法;</w:t>
      </w:r>
    </w:p>
    <w:p w14:paraId="0B17F711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(4)坚持合理布局，突出重点，分步实施。</w:t>
      </w:r>
    </w:p>
    <w:p w14:paraId="355C4EAE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8"/>
          <w:szCs w:val="28"/>
          <w:lang w:val="en-US" w:eastAsia="zh-CN" w:bidi="ar"/>
        </w:rPr>
        <w:t>3.2.法律法规</w:t>
      </w:r>
    </w:p>
    <w:p w14:paraId="14193EE6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(1)《中华人民共和国土地管理法》（ 2019 年修正）；</w:t>
      </w:r>
    </w:p>
    <w:p w14:paraId="67E60B6E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(2)《中华人民共和国森林法》（ 2019 修订）；</w:t>
      </w:r>
    </w:p>
    <w:p w14:paraId="6245B020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(3)《中华人民共和国草原法》（ 2021 修正）；</w:t>
      </w:r>
    </w:p>
    <w:p w14:paraId="392F863D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(4)《中华人民共和国环境保护法》（ 2014 修订）；</w:t>
      </w:r>
    </w:p>
    <w:p w14:paraId="282A4B23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(5)《中华人民共和国水土保持法》（ 2010 修订）；</w:t>
      </w:r>
    </w:p>
    <w:p w14:paraId="2BDC1145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(6)《中华人民共和国森林法实施条例》（ 2018 修订）；</w:t>
      </w:r>
    </w:p>
    <w:p w14:paraId="06C11AF1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(7)《内蒙古自治区基本草原保护条例》（ 2021 修订）；</w:t>
      </w:r>
    </w:p>
    <w:p w14:paraId="3F145F92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(8)《内蒙古自治区森林管理条例》（ 1986 年）；</w:t>
      </w:r>
    </w:p>
    <w:p w14:paraId="29D5C7C2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(9)《内蒙古自治区草原管理条例实施细则》（ 2023 年）。</w:t>
      </w:r>
      <w:bookmarkStart w:id="57" w:name="_GoBack"/>
      <w:bookmarkEnd w:id="57"/>
    </w:p>
    <w:p w14:paraId="6103903A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8"/>
          <w:szCs w:val="28"/>
          <w:lang w:val="en-US" w:eastAsia="zh-CN" w:bidi="ar"/>
        </w:rPr>
        <w:t>3.3.相关技术标准和规范</w:t>
      </w:r>
    </w:p>
    <w:p w14:paraId="3CBBB537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(1)《森林抚育规程》（GB/T15781-2015）；</w:t>
      </w:r>
    </w:p>
    <w:p w14:paraId="1149DDA0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(2)《森林资源规划设计调查技术规程》（GB/T26424-2010）；</w:t>
      </w:r>
    </w:p>
    <w:p w14:paraId="47D6777D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(3)《造林技术规程》（GB/T15776-2023）；</w:t>
      </w:r>
    </w:p>
    <w:p w14:paraId="5E0EC070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(4)《退化林修复技术规程》（GB/T44351-2024）；</w:t>
      </w:r>
    </w:p>
    <w:p w14:paraId="736051A7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(5)《造林作业设计规程》（LY/T1607-2024）；</w:t>
      </w:r>
    </w:p>
    <w:p w14:paraId="07949BCC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(6)《草地资源调查技术规程》（NYT2998-2016）；</w:t>
      </w:r>
    </w:p>
    <w:p w14:paraId="1EFD91DA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(7)《低效林改造技术规程》（LY/T1690-2017）；</w:t>
      </w:r>
    </w:p>
    <w:p w14:paraId="2602D64E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(8)《退化防护林修复技术规程》（LY/T3179-2020）；</w:t>
      </w:r>
    </w:p>
    <w:p w14:paraId="5CCBF1C7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(9)《防护林体系规划技术规程》（LY/T2827-2017）；</w:t>
      </w:r>
    </w:p>
    <w:p w14:paraId="15819C55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(10)《有机肥》（NY525-2021）；</w:t>
      </w:r>
    </w:p>
    <w:p w14:paraId="5E01BB2D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(11)《主要造林树种苗木质量分级》（DB15T374-2023）；</w:t>
      </w:r>
    </w:p>
    <w:p w14:paraId="166ABB03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(12)《内蒙古自治区造林技术规程》（DB15/T389-2021）。</w:t>
      </w:r>
    </w:p>
    <w:p w14:paraId="584160AF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8"/>
          <w:szCs w:val="28"/>
          <w:lang w:val="en-US" w:eastAsia="zh-CN" w:bidi="ar"/>
        </w:rPr>
        <w:t>3.4.相关专题研究成果、主要资料和数据来源等</w:t>
      </w:r>
    </w:p>
    <w:p w14:paraId="5962A75E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(1)《国务院办公厅关于科学绿化的指导意见》（国办发〔2021〕 19 号）；</w:t>
      </w:r>
    </w:p>
    <w:p w14:paraId="48626B4C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(2)《内蒙古自治区人民政府办公厅关于科学绿化的实施意见》 （内政办发〔2021〕83 号）；</w:t>
      </w:r>
    </w:p>
    <w:p w14:paraId="12DAE420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(3)《国家林业和草原局关于统筹国土绿化空间优化乔灌草配置的通知》（林生发〔2024〕77 号）；</w:t>
      </w:r>
    </w:p>
    <w:p w14:paraId="1AA6836C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(4)《黄河流域生态保护和修复廊道建设技术指南》（2024 年）</w:t>
      </w:r>
    </w:p>
    <w:p w14:paraId="449D7B1C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(5)《内蒙古自治区黄河流域生态保护和高质量发展规划》</w:t>
      </w:r>
    </w:p>
    <w:p w14:paraId="4007A462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(6)《关于下达2026年标志性工程建设任务的通知》；</w:t>
      </w:r>
    </w:p>
    <w:p w14:paraId="473EBAFD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(7)临河区2023 年度国土三调变更成果库；</w:t>
      </w:r>
    </w:p>
    <w:p w14:paraId="72ABBFF9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(8)临河区2023 年度森林草原湿地荒漠调查监测数据库。</w:t>
      </w:r>
    </w:p>
    <w:p w14:paraId="2CE4C4B2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</w:p>
    <w:p w14:paraId="0AB2203B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</w:p>
    <w:p w14:paraId="3B0B480E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</w:p>
    <w:p w14:paraId="56F5E3B6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</w:p>
    <w:p w14:paraId="10353EC6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</w:p>
    <w:p w14:paraId="4F8386D7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</w:p>
    <w:p w14:paraId="67B72431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</w:p>
    <w:p w14:paraId="22BACBD4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</w:p>
    <w:p w14:paraId="112ABCDC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</w:p>
    <w:p w14:paraId="4A6E393E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</w:p>
    <w:p w14:paraId="01ACC8A2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</w:p>
    <w:p w14:paraId="201E53F3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</w:p>
    <w:p w14:paraId="1861FF73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</w:p>
    <w:p w14:paraId="723F6AB7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</w:p>
    <w:p w14:paraId="3E31DD7B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</w:p>
    <w:p w14:paraId="416C78B7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</w:p>
    <w:p w14:paraId="4394D9D5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</w:p>
    <w:p w14:paraId="585447F0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</w:p>
    <w:p w14:paraId="3DA775A0">
      <w:pP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</w:p>
    <w:p w14:paraId="6E4DE938">
      <w:pPr>
        <w:jc w:val="center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2"/>
          <w:szCs w:val="32"/>
          <w:lang w:val="en-US" w:eastAsia="zh-CN" w:bidi="ar"/>
        </w:rPr>
        <w:t>第五章 建设布局及内容</w:t>
      </w:r>
    </w:p>
    <w:p w14:paraId="6BDBEEA9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8"/>
          <w:szCs w:val="28"/>
          <w:lang w:val="en-US" w:eastAsia="zh-CN" w:bidi="ar"/>
        </w:rPr>
        <w:t>5.1.项目建设布局</w:t>
      </w:r>
    </w:p>
    <w:p w14:paraId="08CAAB79">
      <w:pPr>
        <w:ind w:firstLine="560" w:firstLineChars="200"/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项目建设总面积为211.71亩，共涉及3个村，划分为7个小班。其中，富河村3个小班、128亩，新河村3个小班、69.29亩，黄河村1个小班、14.42亩。本项目乔木林新造林区域，现地为无立木林地，经实地勘查确认无现存树木，符合新造林地类要求。</w:t>
      </w:r>
    </w:p>
    <w:p w14:paraId="33E08936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8"/>
          <w:szCs w:val="28"/>
          <w:lang w:val="en-US" w:eastAsia="zh-CN" w:bidi="ar"/>
        </w:rPr>
        <w:t>5.2.项目建设内容</w:t>
      </w:r>
    </w:p>
    <w:p w14:paraId="07E51370">
      <w:pPr>
        <w:ind w:firstLine="560" w:firstLineChars="200"/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"/>
        </w:rPr>
        <w:t>项目建设总面积为211.71亩，根据项目区的地形地貌特征，全部为植苗造林。其中富河村128.00亩、黄河村14.42亩，全部营造杜梨砧木（嫁接早酥红梨）经济林。新河村69.29亩，全部营造沙枣防护林。详见表 5.2-1。</w:t>
      </w:r>
    </w:p>
    <w:p w14:paraId="3B457520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auto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</w:pPr>
      <w:bookmarkStart w:id="0" w:name="_Toc17528"/>
      <w:bookmarkStart w:id="1" w:name="_Toc5035"/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表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instrText xml:space="preserve"> STYLEREF 2 \s </w:instrTex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5.2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end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-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instrText xml:space="preserve"> SEQ 表 \* ARABIC \s 2 </w:instrTex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end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 xml:space="preserve">项目建设规模布局表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单位：亩</w:t>
      </w:r>
    </w:p>
    <w:tbl>
      <w:tblPr>
        <w:tblStyle w:val="14"/>
        <w:tblW w:w="873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3"/>
        <w:gridCol w:w="1067"/>
        <w:gridCol w:w="1071"/>
        <w:gridCol w:w="1154"/>
        <w:gridCol w:w="1215"/>
        <w:gridCol w:w="1586"/>
        <w:gridCol w:w="1323"/>
      </w:tblGrid>
      <w:tr w14:paraId="319CE8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13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982B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建设地点</w:t>
            </w:r>
          </w:p>
        </w:tc>
        <w:tc>
          <w:tcPr>
            <w:tcW w:w="10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2240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</w:t>
            </w:r>
          </w:p>
        </w:tc>
        <w:tc>
          <w:tcPr>
            <w:tcW w:w="10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2696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小班号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7AC6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沙枣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0A24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杜梨</w:t>
            </w:r>
          </w:p>
        </w:tc>
        <w:tc>
          <w:tcPr>
            <w:tcW w:w="15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37F0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合计（亩）</w:t>
            </w:r>
          </w:p>
        </w:tc>
        <w:tc>
          <w:tcPr>
            <w:tcW w:w="13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676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造林方式</w:t>
            </w:r>
          </w:p>
        </w:tc>
      </w:tr>
      <w:tr w14:paraId="406CB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13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4ABE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930C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B6E3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E44A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（亩）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86F4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（亩）</w:t>
            </w: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9CF7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8ECE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2D0D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CECA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临河区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1A44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总计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B366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69.29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B582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142.42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FF4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211.71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9841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3B6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3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9FAD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双河镇</w:t>
            </w:r>
          </w:p>
        </w:tc>
        <w:tc>
          <w:tcPr>
            <w:tcW w:w="10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DDD5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富河村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DEBC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FBE6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69.29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B07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128.00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E75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197.29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9959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604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3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38C2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715A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6F09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2282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4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BB1F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22.71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CF46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22.71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FD33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植苗</w:t>
            </w:r>
          </w:p>
        </w:tc>
      </w:tr>
      <w:tr w14:paraId="25699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3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3081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F334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D950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5479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4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78B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33.36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7C0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33.36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D68A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植苗</w:t>
            </w:r>
          </w:p>
        </w:tc>
      </w:tr>
      <w:tr w14:paraId="0A078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3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BFF6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9CA5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FC34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79F9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4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129C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71.93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25E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71.93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7213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植苗</w:t>
            </w:r>
          </w:p>
        </w:tc>
      </w:tr>
      <w:tr w14:paraId="4A26B9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3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896F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1DB8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新河村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723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D0E8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69.29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72C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14.42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6D6C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83.71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435D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3C0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3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B856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E380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C55A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D23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3D01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ACEE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1.88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FB18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植苗</w:t>
            </w:r>
          </w:p>
        </w:tc>
      </w:tr>
      <w:tr w14:paraId="7B6B4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3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794F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D5B8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A7AD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9A7D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49.87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CA3F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D28E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49.87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85E2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植苗</w:t>
            </w:r>
          </w:p>
        </w:tc>
      </w:tr>
      <w:tr w14:paraId="4D2206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3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838C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152C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7A1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1552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17.54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5D4B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182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17.54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30BA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植苗</w:t>
            </w:r>
          </w:p>
        </w:tc>
      </w:tr>
      <w:tr w14:paraId="7737E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3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9876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33EA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黄河村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FE58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F8B4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007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14.42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F64E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14.42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F84F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植苗</w:t>
            </w:r>
          </w:p>
        </w:tc>
      </w:tr>
      <w:bookmarkEnd w:id="0"/>
      <w:bookmarkEnd w:id="1"/>
    </w:tbl>
    <w:p w14:paraId="0ECB100F"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0" w:beforeLines="0" w:after="0" w:afterLines="0" w:line="240" w:lineRule="auto"/>
        <w:ind w:leftChars="0"/>
        <w:jc w:val="both"/>
        <w:rPr>
          <w:rFonts w:hint="eastAsia" w:ascii="宋体" w:hAnsi="宋体" w:eastAsia="宋体" w:cs="宋体"/>
          <w:color w:val="auto"/>
          <w:highlight w:val="none"/>
        </w:rPr>
      </w:pPr>
      <w:bookmarkStart w:id="2" w:name="_Toc12107"/>
      <w:bookmarkStart w:id="3" w:name="_Toc2406"/>
    </w:p>
    <w:p w14:paraId="1B5E8768">
      <w:pPr>
        <w:rPr>
          <w:rFonts w:hint="eastAsia" w:ascii="宋体" w:hAnsi="宋体" w:eastAsia="宋体" w:cs="宋体"/>
          <w:color w:val="auto"/>
          <w:highlight w:val="none"/>
        </w:rPr>
      </w:pPr>
    </w:p>
    <w:p w14:paraId="12DC0369">
      <w:pPr>
        <w:rPr>
          <w:rFonts w:hint="eastAsia" w:ascii="宋体" w:hAnsi="宋体" w:eastAsia="宋体" w:cs="宋体"/>
          <w:color w:val="auto"/>
          <w:highlight w:val="none"/>
        </w:rPr>
      </w:pPr>
    </w:p>
    <w:p w14:paraId="09B03B60">
      <w:pPr>
        <w:rPr>
          <w:rFonts w:hint="eastAsia" w:ascii="宋体" w:hAnsi="宋体" w:eastAsia="宋体" w:cs="宋体"/>
          <w:color w:val="auto"/>
          <w:highlight w:val="none"/>
        </w:rPr>
      </w:pPr>
    </w:p>
    <w:p w14:paraId="22C7AD9E">
      <w:pPr>
        <w:rPr>
          <w:rFonts w:hint="eastAsia" w:ascii="宋体" w:hAnsi="宋体" w:eastAsia="宋体" w:cs="宋体"/>
          <w:color w:val="auto"/>
          <w:highlight w:val="none"/>
        </w:rPr>
      </w:pPr>
    </w:p>
    <w:p w14:paraId="44B9117C">
      <w:pPr>
        <w:rPr>
          <w:rFonts w:hint="eastAsia" w:ascii="宋体" w:hAnsi="宋体" w:eastAsia="宋体" w:cs="宋体"/>
          <w:color w:val="auto"/>
          <w:highlight w:val="none"/>
        </w:rPr>
      </w:pPr>
    </w:p>
    <w:p w14:paraId="59F705F7"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0" w:beforeLines="0" w:after="0" w:afterLines="0" w:line="240" w:lineRule="auto"/>
        <w:ind w:leftChars="0"/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第六章 </w:t>
      </w:r>
      <w:r>
        <w:rPr>
          <w:rFonts w:hint="eastAsia" w:ascii="宋体" w:hAnsi="宋体" w:eastAsia="宋体" w:cs="宋体"/>
          <w:color w:val="auto"/>
          <w:highlight w:val="none"/>
        </w:rPr>
        <w:t>作业设计</w:t>
      </w:r>
      <w:bookmarkEnd w:id="2"/>
      <w:bookmarkEnd w:id="3"/>
    </w:p>
    <w:p w14:paraId="3EE8057F">
      <w:pPr>
        <w:pStyle w:val="3"/>
        <w:pageBreakBefore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bookmarkStart w:id="4" w:name="_Toc25514"/>
      <w:bookmarkStart w:id="5" w:name="_Toc31215"/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6.1立地类型划分</w:t>
      </w:r>
      <w:bookmarkEnd w:id="4"/>
      <w:bookmarkEnd w:id="5"/>
    </w:p>
    <w:p w14:paraId="64DE1379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auto"/>
        <w:ind w:firstLine="560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经过外业调查，根据项目区地形地势、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海拔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、坡度、坡向、坡位、土壤类型、土层厚度、主要植被等因子的特点，项目区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个作业小班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有1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个立地类型，具体立地特征详见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instrText xml:space="preserve"> REF _Ref13458 \h </w:instrTex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表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instrText xml:space="preserve"> STYLEREF 2 \s </w:instrTex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6.1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end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-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。</w:t>
      </w:r>
    </w:p>
    <w:p w14:paraId="64506FDF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auto"/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bookmarkStart w:id="6" w:name="_Ref13458"/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表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instrText xml:space="preserve"> STYLEREF 2 \s </w:instrTex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6.1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end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-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instrText xml:space="preserve"> SEQ 表 \* ARABIC \s 2 </w:instrTex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end"/>
      </w:r>
      <w:bookmarkEnd w:id="6"/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立地类型一览表</w:t>
      </w:r>
    </w:p>
    <w:tbl>
      <w:tblPr>
        <w:tblStyle w:val="15"/>
        <w:tblW w:w="96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6"/>
        <w:gridCol w:w="938"/>
        <w:gridCol w:w="1836"/>
        <w:gridCol w:w="1619"/>
        <w:gridCol w:w="3090"/>
      </w:tblGrid>
      <w:tr w14:paraId="5BAD7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2136" w:type="dxa"/>
            <w:vAlign w:val="center"/>
          </w:tcPr>
          <w:p w14:paraId="5BE52BAE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color w:val="auto"/>
                <w:kern w:val="0"/>
                <w:sz w:val="30"/>
                <w:szCs w:val="21"/>
                <w:highlight w:val="none"/>
              </w:rPr>
            </w:pPr>
            <w:bookmarkStart w:id="7" w:name="_Toc8154"/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0"/>
                <w:szCs w:val="30"/>
                <w:highlight w:val="none"/>
              </w:rPr>
              <w:t>立地类型</w:t>
            </w:r>
          </w:p>
        </w:tc>
        <w:tc>
          <w:tcPr>
            <w:tcW w:w="938" w:type="dxa"/>
            <w:vAlign w:val="center"/>
          </w:tcPr>
          <w:p w14:paraId="2C5787E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color w:val="auto"/>
                <w:kern w:val="0"/>
                <w:sz w:val="30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0"/>
                <w:szCs w:val="30"/>
                <w:highlight w:val="none"/>
              </w:rPr>
              <w:t>地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0"/>
                <w:szCs w:val="30"/>
                <w:highlight w:val="none"/>
                <w:lang w:eastAsia="zh-CN"/>
              </w:rPr>
              <w:t>貌</w:t>
            </w:r>
          </w:p>
        </w:tc>
        <w:tc>
          <w:tcPr>
            <w:tcW w:w="1836" w:type="dxa"/>
            <w:vAlign w:val="center"/>
          </w:tcPr>
          <w:p w14:paraId="48CFC231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color w:val="auto"/>
                <w:kern w:val="0"/>
                <w:sz w:val="30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0"/>
                <w:szCs w:val="30"/>
                <w:highlight w:val="none"/>
              </w:rPr>
              <w:t>土壤类型</w:t>
            </w:r>
          </w:p>
        </w:tc>
        <w:tc>
          <w:tcPr>
            <w:tcW w:w="1619" w:type="dxa"/>
            <w:vAlign w:val="center"/>
          </w:tcPr>
          <w:p w14:paraId="374F6ABC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color w:val="auto"/>
                <w:kern w:val="0"/>
                <w:sz w:val="3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0"/>
                <w:szCs w:val="30"/>
                <w:highlight w:val="none"/>
              </w:rPr>
              <w:t>土层厚度</w:t>
            </w:r>
          </w:p>
        </w:tc>
        <w:tc>
          <w:tcPr>
            <w:tcW w:w="3090" w:type="dxa"/>
            <w:vAlign w:val="center"/>
          </w:tcPr>
          <w:p w14:paraId="32C9A183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color w:val="auto"/>
                <w:kern w:val="0"/>
                <w:sz w:val="3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0"/>
                <w:szCs w:val="30"/>
                <w:highlight w:val="none"/>
              </w:rPr>
              <w:t>植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物</w:t>
            </w:r>
          </w:p>
        </w:tc>
      </w:tr>
      <w:tr w14:paraId="3EDF5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36" w:type="dxa"/>
            <w:vAlign w:val="center"/>
          </w:tcPr>
          <w:p w14:paraId="737FD35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color w:val="auto"/>
                <w:kern w:val="0"/>
                <w:sz w:val="3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低湿盐化滩地</w:t>
            </w:r>
          </w:p>
        </w:tc>
        <w:tc>
          <w:tcPr>
            <w:tcW w:w="938" w:type="dxa"/>
            <w:vAlign w:val="center"/>
          </w:tcPr>
          <w:p w14:paraId="05813905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color w:val="auto"/>
                <w:kern w:val="0"/>
                <w:sz w:val="30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highlight w:val="none"/>
                <w:lang w:eastAsia="zh-CN"/>
              </w:rPr>
              <w:t>平原</w:t>
            </w:r>
          </w:p>
        </w:tc>
        <w:tc>
          <w:tcPr>
            <w:tcW w:w="1836" w:type="dxa"/>
            <w:vAlign w:val="center"/>
          </w:tcPr>
          <w:p w14:paraId="0655744E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color w:val="auto"/>
                <w:kern w:val="0"/>
                <w:sz w:val="3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盐化草甸土</w:t>
            </w:r>
          </w:p>
        </w:tc>
        <w:tc>
          <w:tcPr>
            <w:tcW w:w="1619" w:type="dxa"/>
            <w:vAlign w:val="center"/>
          </w:tcPr>
          <w:p w14:paraId="5D15A8F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120-150㎝</w:t>
            </w:r>
          </w:p>
        </w:tc>
        <w:tc>
          <w:tcPr>
            <w:tcW w:w="3090" w:type="dxa"/>
            <w:vAlign w:val="center"/>
          </w:tcPr>
          <w:p w14:paraId="36C6D0EF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盐爪爪、猪毛蒿、芨芨草、虎尾草、红柳等</w:t>
            </w:r>
          </w:p>
        </w:tc>
      </w:tr>
    </w:tbl>
    <w:p w14:paraId="0D51D5C8">
      <w:pPr>
        <w:pStyle w:val="3"/>
        <w:pageBreakBefore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bookmarkStart w:id="8" w:name="_Toc16264"/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6.2树种、林种设计</w:t>
      </w:r>
      <w:bookmarkEnd w:id="7"/>
      <w:bookmarkEnd w:id="8"/>
    </w:p>
    <w:p w14:paraId="4B1885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1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项目区地处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河套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平原，生态区位重要，生态脆弱，林种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分为经济林和防护林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。根据造林地立地条件及树种的生态学特性，本着因地制宜、适地适树的原则，选择树种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沙枣、杜梨作为树种。</w:t>
      </w:r>
    </w:p>
    <w:p w14:paraId="79DEFED3">
      <w:pPr>
        <w:pStyle w:val="3"/>
        <w:pageBreakBefore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bookmarkStart w:id="9" w:name="_Toc4243"/>
      <w:bookmarkStart w:id="10" w:name="_Toc10130"/>
      <w:bookmarkStart w:id="11" w:name="_Toc1997"/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6.3种苗</w:t>
      </w:r>
      <w:bookmarkEnd w:id="9"/>
      <w:bookmarkEnd w:id="10"/>
      <w:bookmarkEnd w:id="11"/>
    </w:p>
    <w:p w14:paraId="4285E38F">
      <w:pPr>
        <w:pStyle w:val="4"/>
        <w:pageBreakBefore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6.3.1质量要求</w:t>
      </w:r>
    </w:p>
    <w:p w14:paraId="11FBB9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1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苗木等级二级以上。</w:t>
      </w:r>
    </w:p>
    <w:p w14:paraId="621108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1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工程所需种苗的生产和经营实行“三证一签”制度，必须具备：苗木生产许可证、质量检验合格证、植物检疫合格证和苗木产地标签。杜绝不合格种苗和来源不明的种苗。项目区所需苗木规格情况详见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instrText xml:space="preserve"> REF _Ref19781 \h </w:instrTex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fldChar w:fldCharType="separate"/>
      </w:r>
      <w:r>
        <w:rPr>
          <w:color w:val="auto"/>
          <w:sz w:val="30"/>
          <w:szCs w:val="30"/>
          <w:highlight w:val="none"/>
        </w:rPr>
        <w:t xml:space="preserve">表 </w:t>
      </w:r>
      <w:r>
        <w:rPr>
          <w:color w:val="auto"/>
          <w:sz w:val="30"/>
          <w:szCs w:val="30"/>
          <w:highlight w:val="none"/>
        </w:rPr>
        <w:fldChar w:fldCharType="begin"/>
      </w:r>
      <w:r>
        <w:rPr>
          <w:color w:val="auto"/>
          <w:sz w:val="30"/>
          <w:szCs w:val="30"/>
          <w:highlight w:val="none"/>
        </w:rPr>
        <w:instrText xml:space="preserve"> STYLEREF 2 \s </w:instrText>
      </w:r>
      <w:r>
        <w:rPr>
          <w:color w:val="auto"/>
          <w:sz w:val="30"/>
          <w:szCs w:val="30"/>
          <w:highlight w:val="none"/>
        </w:rPr>
        <w:fldChar w:fldCharType="separate"/>
      </w:r>
      <w:r>
        <w:rPr>
          <w:color w:val="auto"/>
          <w:sz w:val="30"/>
          <w:szCs w:val="30"/>
          <w:highlight w:val="none"/>
        </w:rPr>
        <w:t>6.3</w:t>
      </w:r>
      <w:r>
        <w:rPr>
          <w:color w:val="auto"/>
          <w:sz w:val="30"/>
          <w:szCs w:val="30"/>
          <w:highlight w:val="none"/>
        </w:rPr>
        <w:fldChar w:fldCharType="end"/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-</w:t>
      </w:r>
      <w:r>
        <w:rPr>
          <w:color w:val="auto"/>
          <w:sz w:val="30"/>
          <w:szCs w:val="30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。</w:t>
      </w:r>
    </w:p>
    <w:p w14:paraId="222551AC">
      <w:pP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br w:type="page"/>
      </w:r>
    </w:p>
    <w:p w14:paraId="56861B81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bookmarkStart w:id="12" w:name="_Ref19781"/>
      <w:r>
        <w:rPr>
          <w:color w:val="auto"/>
          <w:sz w:val="30"/>
          <w:szCs w:val="30"/>
          <w:highlight w:val="none"/>
        </w:rPr>
        <w:t xml:space="preserve">表 </w:t>
      </w:r>
      <w:r>
        <w:rPr>
          <w:color w:val="auto"/>
          <w:sz w:val="30"/>
          <w:szCs w:val="30"/>
          <w:highlight w:val="none"/>
        </w:rPr>
        <w:fldChar w:fldCharType="begin"/>
      </w:r>
      <w:r>
        <w:rPr>
          <w:color w:val="auto"/>
          <w:sz w:val="30"/>
          <w:szCs w:val="30"/>
          <w:highlight w:val="none"/>
        </w:rPr>
        <w:instrText xml:space="preserve"> STYLEREF 2 \s </w:instrText>
      </w:r>
      <w:r>
        <w:rPr>
          <w:color w:val="auto"/>
          <w:sz w:val="30"/>
          <w:szCs w:val="30"/>
          <w:highlight w:val="none"/>
        </w:rPr>
        <w:fldChar w:fldCharType="separate"/>
      </w:r>
      <w:r>
        <w:rPr>
          <w:color w:val="auto"/>
          <w:sz w:val="30"/>
          <w:szCs w:val="30"/>
          <w:highlight w:val="none"/>
        </w:rPr>
        <w:t>6.3</w:t>
      </w:r>
      <w:r>
        <w:rPr>
          <w:color w:val="auto"/>
          <w:sz w:val="30"/>
          <w:szCs w:val="30"/>
          <w:highlight w:val="none"/>
        </w:rPr>
        <w:fldChar w:fldCharType="end"/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-</w:t>
      </w:r>
      <w:r>
        <w:rPr>
          <w:color w:val="auto"/>
          <w:sz w:val="30"/>
          <w:szCs w:val="30"/>
          <w:highlight w:val="none"/>
        </w:rPr>
        <w:fldChar w:fldCharType="begin"/>
      </w:r>
      <w:r>
        <w:rPr>
          <w:color w:val="auto"/>
          <w:sz w:val="30"/>
          <w:szCs w:val="30"/>
          <w:highlight w:val="none"/>
        </w:rPr>
        <w:instrText xml:space="preserve"> SEQ 表 \* ARABIC \s 2 </w:instrText>
      </w:r>
      <w:r>
        <w:rPr>
          <w:color w:val="auto"/>
          <w:sz w:val="30"/>
          <w:szCs w:val="30"/>
          <w:highlight w:val="none"/>
        </w:rPr>
        <w:fldChar w:fldCharType="separate"/>
      </w:r>
      <w:r>
        <w:rPr>
          <w:color w:val="auto"/>
          <w:sz w:val="30"/>
          <w:szCs w:val="30"/>
          <w:highlight w:val="none"/>
        </w:rPr>
        <w:t>1</w:t>
      </w:r>
      <w:r>
        <w:rPr>
          <w:color w:val="auto"/>
          <w:sz w:val="30"/>
          <w:szCs w:val="30"/>
          <w:highlight w:val="none"/>
        </w:rPr>
        <w:fldChar w:fldCharType="end"/>
      </w:r>
      <w:bookmarkEnd w:id="12"/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苗木质量规格表</w:t>
      </w:r>
    </w:p>
    <w:tbl>
      <w:tblPr>
        <w:tblStyle w:val="14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0"/>
        <w:gridCol w:w="1800"/>
        <w:gridCol w:w="1759"/>
        <w:gridCol w:w="2710"/>
      </w:tblGrid>
      <w:tr w14:paraId="6D06F7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7F031B6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  <w:t>树种</w:t>
            </w:r>
          </w:p>
        </w:tc>
        <w:tc>
          <w:tcPr>
            <w:tcW w:w="10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4B71916F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  <w:t>苗木类型</w:t>
            </w:r>
          </w:p>
        </w:tc>
        <w:tc>
          <w:tcPr>
            <w:tcW w:w="10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57B7B773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  <w:t>等级</w:t>
            </w:r>
          </w:p>
        </w:tc>
        <w:tc>
          <w:tcPr>
            <w:tcW w:w="15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3B58568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  <w:t>规格</w:t>
            </w:r>
          </w:p>
        </w:tc>
      </w:tr>
      <w:tr w14:paraId="168173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2CC70B5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  <w:t>沙枣</w:t>
            </w:r>
          </w:p>
        </w:tc>
        <w:tc>
          <w:tcPr>
            <w:tcW w:w="10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1FBCBB1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  <w:t>杯苗</w:t>
            </w:r>
          </w:p>
        </w:tc>
        <w:tc>
          <w:tcPr>
            <w:tcW w:w="10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492F31B8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  <w:t>Ⅱ级以上</w:t>
            </w:r>
          </w:p>
        </w:tc>
        <w:tc>
          <w:tcPr>
            <w:tcW w:w="15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1A14DB1F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  <w:t>1-2年生，杯苗</w:t>
            </w:r>
          </w:p>
        </w:tc>
      </w:tr>
      <w:tr w14:paraId="47DC57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17E5A403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  <w:t>杜梨</w:t>
            </w:r>
          </w:p>
        </w:tc>
        <w:tc>
          <w:tcPr>
            <w:tcW w:w="10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16216276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  <w:t>土球苗</w:t>
            </w:r>
          </w:p>
        </w:tc>
        <w:tc>
          <w:tcPr>
            <w:tcW w:w="10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719AFD3E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  <w:t>Ⅱ级以上</w:t>
            </w:r>
          </w:p>
        </w:tc>
        <w:tc>
          <w:tcPr>
            <w:tcW w:w="15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36B73BC7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highlight w:val="none"/>
                <w:lang w:val="en-US" w:eastAsia="zh-CN"/>
              </w:rPr>
              <w:t>2年苗，地径2cm</w:t>
            </w:r>
          </w:p>
        </w:tc>
      </w:tr>
    </w:tbl>
    <w:p w14:paraId="198408BA">
      <w:pPr>
        <w:pStyle w:val="3"/>
        <w:numPr>
          <w:ilvl w:val="1"/>
          <w:numId w:val="0"/>
        </w:numPr>
        <w:bidi w:val="0"/>
        <w:ind w:leftChars="0"/>
        <w:rPr>
          <w:rFonts w:hint="eastAsia" w:cs="Times New Roman"/>
          <w:lang w:val="en-US" w:eastAsia="zh-CN"/>
        </w:rPr>
      </w:pPr>
      <w:bookmarkStart w:id="13" w:name="_Toc16798"/>
      <w:bookmarkStart w:id="14" w:name="_Toc3353"/>
      <w:bookmarkStart w:id="15" w:name="_Toc16669"/>
      <w:r>
        <w:rPr>
          <w:rFonts w:hint="eastAsia" w:cs="Times New Roman"/>
          <w:lang w:val="en-US" w:eastAsia="zh-CN"/>
        </w:rPr>
        <w:t>6.4盐碱地改良</w:t>
      </w:r>
      <w:bookmarkEnd w:id="13"/>
    </w:p>
    <w:p w14:paraId="5AD9BC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1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根据对项目区部分小班土壤进行土壤检测，检测结果显示，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临河区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项目区土壤检测含盐量为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8.1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-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8.3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g/kg ，PH 值为8.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-8.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。检测结果显示，项目区土壤盐碱化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为中度盐碱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，为确保造林成活率，植苗前需进行盐碱地改良作业。</w:t>
      </w:r>
    </w:p>
    <w:p w14:paraId="1BF3EA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1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本项目采取盐碱地改良方式为局部改良，根据项目区立地和植被现状，为确保原生植被不被破坏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“0.4kg / 穴石膏 + 3kg / 穴腐熟有机肥” 的局部脱盐方案，可使植树穴内土壤全盐量降至 5g/kg 以下，满足苗木生长需求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。</w:t>
      </w:r>
    </w:p>
    <w:p w14:paraId="0CCB4F5D">
      <w:pPr>
        <w:pStyle w:val="4"/>
        <w:pageBreakBefore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6.4.1施肥、脱盐种类及用量</w:t>
      </w:r>
    </w:p>
    <w:p w14:paraId="3DF5307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防护林施肥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lang w:val="en-US" w:eastAsia="zh-CN"/>
        </w:rPr>
        <w:t>采取按穴施有机肥及石膏，施肥 1 次，腐熟有机肥：3公斤/穴、石膏（农业用石膏）：0.4公斤/穴</w:t>
      </w:r>
    </w:p>
    <w:p w14:paraId="09AFB27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经济林施肥：采取按穴施有机肥及石膏，施肥 1 次，腐熟有机肥：5公斤/穴、石膏（农业用石膏）：1公斤/穴</w:t>
      </w:r>
    </w:p>
    <w:p w14:paraId="186410A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施肥技术（分层施入）</w:t>
      </w:r>
    </w:p>
    <w:p w14:paraId="1411DB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40" w:lineRule="exact"/>
        <w:ind w:leftChars="0" w:firstLine="420" w:firstLineChars="0"/>
        <w:textAlignment w:val="auto"/>
        <w:rPr>
          <w:rFonts w:hint="eastAsia" w:ascii="仿宋" w:hAnsi="仿宋" w:eastAsia="仿宋" w:cs="仿宋"/>
          <w:color w:val="000000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30"/>
          <w:szCs w:val="30"/>
          <w:highlight w:val="none"/>
          <w:lang w:val="en-US" w:eastAsia="zh-CN" w:bidi="ar-SA"/>
        </w:rPr>
        <w:t>底层（10cm深左右）：将一半有机肥与挖出的底土混合回填；中层（根区）：将石膏和剩余有机肥，与挖出表土充分混合拌匀，填入树穴中部；上层（覆盖层）：用素土回填。</w:t>
      </w:r>
    </w:p>
    <w:p w14:paraId="74950F03">
      <w:pPr>
        <w:rPr>
          <w:rFonts w:hint="eastAsia"/>
          <w:lang w:eastAsia="zh-CN"/>
        </w:rPr>
      </w:pPr>
    </w:p>
    <w:p w14:paraId="127E5A2E">
      <w:pPr>
        <w:pStyle w:val="3"/>
        <w:pageBreakBefore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bookmarkStart w:id="16" w:name="_Toc25831"/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6.5整地</w:t>
      </w:r>
      <w:bookmarkEnd w:id="14"/>
      <w:bookmarkEnd w:id="15"/>
      <w:bookmarkEnd w:id="16"/>
    </w:p>
    <w:p w14:paraId="771E052C">
      <w:pPr>
        <w:pStyle w:val="4"/>
        <w:pageBreakBefore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6.5.1防护林、经济林整地</w:t>
      </w:r>
    </w:p>
    <w:p w14:paraId="06CDE9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1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保证造林的成活率和林分的整体效果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。</w:t>
      </w:r>
    </w:p>
    <w:p w14:paraId="6BB3E510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防护林、经济林采取机械穴状整地。</w:t>
      </w:r>
    </w:p>
    <w:p w14:paraId="1886CA2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防护林、经济林整地规格为：直径80cm，深80cm。</w:t>
      </w:r>
    </w:p>
    <w:p w14:paraId="72206D3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整地时间：2026年4月。</w:t>
      </w:r>
    </w:p>
    <w:p w14:paraId="1353E958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整地方式：机械整地。</w:t>
      </w:r>
    </w:p>
    <w:p w14:paraId="546AE69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整地技术要求：植树穴呈品字形排列，挖掘时表土心土分放，栽植时表土回填穴底。</w:t>
      </w:r>
    </w:p>
    <w:p w14:paraId="7AB814E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整地图式：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乔木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穴状整地纵断面、平面图。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详见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instrText xml:space="preserve"> REF _Ref14026 \h </w:instrTex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图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instrText xml:space="preserve"> STYLEREF 2 \s </w:instrTex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6.4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end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-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：</w:t>
      </w:r>
    </w:p>
    <w:p w14:paraId="2E51C3E7">
      <w:pPr>
        <w:pStyle w:val="6"/>
        <w:pageBreakBefore w:val="0"/>
        <w:numPr>
          <w:ilvl w:val="5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jc w:val="center"/>
        <w:rPr>
          <w:rFonts w:hint="eastAsia" w:eastAsia="宋体"/>
          <w:color w:val="auto"/>
          <w:highlight w:val="none"/>
          <w:lang w:eastAsia="zh-CN"/>
        </w:rPr>
      </w:pPr>
      <w:r>
        <w:rPr>
          <w:rFonts w:hint="eastAsia" w:eastAsia="仿宋"/>
          <w:lang w:eastAsia="zh-CN"/>
        </w:rPr>
        <w:drawing>
          <wp:inline distT="0" distB="0" distL="114300" distR="114300">
            <wp:extent cx="2268855" cy="1791335"/>
            <wp:effectExtent l="0" t="0" r="17145" b="18415"/>
            <wp:docPr id="1" name="图片 1" descr="整地树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整地树穴"/>
                    <pic:cNvPicPr>
                      <a:picLocks noChangeAspect="1"/>
                    </pic:cNvPicPr>
                  </pic:nvPicPr>
                  <pic:blipFill>
                    <a:blip r:embed="rId5"/>
                    <a:srcRect t="21975" r="51102" b="23410"/>
                    <a:stretch>
                      <a:fillRect/>
                    </a:stretch>
                  </pic:blipFill>
                  <pic:spPr>
                    <a:xfrm>
                      <a:off x="0" y="0"/>
                      <a:ext cx="2268855" cy="179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0E3F21">
      <w:pPr>
        <w:pStyle w:val="13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2400" w:firstLineChars="800"/>
        <w:jc w:val="both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bookmarkStart w:id="17" w:name="_Ref14026"/>
      <w:r>
        <w:rPr>
          <w:color w:val="auto"/>
          <w:sz w:val="30"/>
          <w:szCs w:val="30"/>
          <w:highlight w:val="none"/>
        </w:rPr>
        <w:t xml:space="preserve">图 </w:t>
      </w:r>
      <w:r>
        <w:rPr>
          <w:color w:val="auto"/>
          <w:sz w:val="30"/>
          <w:szCs w:val="30"/>
          <w:highlight w:val="none"/>
        </w:rPr>
        <w:fldChar w:fldCharType="begin"/>
      </w:r>
      <w:r>
        <w:rPr>
          <w:color w:val="auto"/>
          <w:sz w:val="30"/>
          <w:szCs w:val="30"/>
          <w:highlight w:val="none"/>
        </w:rPr>
        <w:instrText xml:space="preserve"> STYLEREF 2 \s </w:instrText>
      </w:r>
      <w:r>
        <w:rPr>
          <w:color w:val="auto"/>
          <w:sz w:val="30"/>
          <w:szCs w:val="30"/>
          <w:highlight w:val="none"/>
        </w:rPr>
        <w:fldChar w:fldCharType="separate"/>
      </w:r>
      <w:r>
        <w:rPr>
          <w:color w:val="auto"/>
          <w:sz w:val="30"/>
          <w:szCs w:val="30"/>
          <w:highlight w:val="none"/>
        </w:rPr>
        <w:t>6.4</w:t>
      </w:r>
      <w:r>
        <w:rPr>
          <w:color w:val="auto"/>
          <w:sz w:val="30"/>
          <w:szCs w:val="30"/>
          <w:highlight w:val="none"/>
        </w:rPr>
        <w:fldChar w:fldCharType="end"/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-</w:t>
      </w:r>
      <w:r>
        <w:rPr>
          <w:color w:val="auto"/>
          <w:sz w:val="30"/>
          <w:szCs w:val="30"/>
          <w:highlight w:val="none"/>
        </w:rPr>
        <w:fldChar w:fldCharType="begin"/>
      </w:r>
      <w:r>
        <w:rPr>
          <w:color w:val="auto"/>
          <w:sz w:val="30"/>
          <w:szCs w:val="30"/>
          <w:highlight w:val="none"/>
        </w:rPr>
        <w:instrText xml:space="preserve"> SEQ 图 \* ARABIC \s 2 </w:instrText>
      </w:r>
      <w:r>
        <w:rPr>
          <w:color w:val="auto"/>
          <w:sz w:val="30"/>
          <w:szCs w:val="30"/>
          <w:highlight w:val="none"/>
        </w:rPr>
        <w:fldChar w:fldCharType="separate"/>
      </w:r>
      <w:r>
        <w:rPr>
          <w:color w:val="auto"/>
          <w:sz w:val="30"/>
          <w:szCs w:val="30"/>
          <w:highlight w:val="none"/>
        </w:rPr>
        <w:t>1</w:t>
      </w:r>
      <w:r>
        <w:rPr>
          <w:color w:val="auto"/>
          <w:sz w:val="30"/>
          <w:szCs w:val="30"/>
          <w:highlight w:val="none"/>
        </w:rPr>
        <w:fldChar w:fldCharType="end"/>
      </w:r>
      <w:bookmarkEnd w:id="17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穴状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整地模式图</w:t>
      </w:r>
    </w:p>
    <w:p w14:paraId="4505DE80">
      <w:pPr>
        <w:pStyle w:val="4"/>
        <w:pageBreakBefore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6.5.2林地清理</w:t>
      </w:r>
    </w:p>
    <w:p w14:paraId="6CF8B5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40" w:lineRule="exact"/>
        <w:ind w:firstLine="561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清理枯死木、濒死木、病腐木、风折木及1cm以上粗枝桠、胸径（树桩）20CM以内死木，装车外运处理。</w:t>
      </w:r>
    </w:p>
    <w:p w14:paraId="4DB3DC91">
      <w:pPr>
        <w:pStyle w:val="3"/>
        <w:pageBreakBefore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bookmarkStart w:id="18" w:name="_Toc12024"/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6.6栽植</w:t>
      </w:r>
      <w:bookmarkEnd w:id="18"/>
    </w:p>
    <w:p w14:paraId="4CEEF02B">
      <w:pPr>
        <w:pStyle w:val="4"/>
        <w:numPr>
          <w:ilvl w:val="2"/>
          <w:numId w:val="0"/>
        </w:numPr>
        <w:bidi w:val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6.6.1裸根苗栽植</w:t>
      </w:r>
    </w:p>
    <w:p w14:paraId="5F7CB70D">
      <w:pPr>
        <w:pageBreakBefore w:val="0"/>
        <w:tabs>
          <w:tab w:val="left" w:pos="348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600" w:firstLineChars="200"/>
        <w:jc w:val="left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裸根苗栽植时先回填种植土 20cm，将苗木直立于定植穴内，分层填土分层踏实，灌木裸根苗埋土深度高于原土痕 3－5cm，栽后立即浇水，待水渗透后覆土，并在基部培土保墒，未栽植苗木集中堆放在背风阴凉处，用遮荫网覆盖并定时喷水，防止日晒风吹使苗木过多损失水分而降低成活率。</w:t>
      </w:r>
    </w:p>
    <w:p w14:paraId="2D7004D9">
      <w:pPr>
        <w:pStyle w:val="4"/>
        <w:numPr>
          <w:ilvl w:val="2"/>
          <w:numId w:val="0"/>
        </w:numPr>
        <w:bidi w:val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6.6.2土球苗栽植</w:t>
      </w:r>
    </w:p>
    <w:p w14:paraId="7B9B8C3A">
      <w:pPr>
        <w:pageBreakBefore w:val="0"/>
        <w:tabs>
          <w:tab w:val="left" w:pos="348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600" w:firstLineChars="200"/>
        <w:jc w:val="left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苗木保护：栽植前保留土球完整性，避免土球松散、破损，若土球包扎物为非降解材料（如塑料布），需及时拆除，确保根系透气。</w:t>
      </w:r>
    </w:p>
    <w:p w14:paraId="103F0FB9">
      <w:pPr>
        <w:pageBreakBefore w:val="0"/>
        <w:tabs>
          <w:tab w:val="left" w:pos="348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600" w:firstLineChars="200"/>
        <w:jc w:val="left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定植操作：穴底先铺 10cm 厚改良土并整平，将带土球苗木放置于穴中心扶正，每穴 1 株，调整深浅（土球上表面与地表平齐）；分层填入改良土，围绕土球周边轻轻压实，避免直接按压土球导致散球。</w:t>
      </w:r>
    </w:p>
    <w:p w14:paraId="5584134C">
      <w:pPr>
        <w:pageBreakBefore w:val="0"/>
        <w:tabs>
          <w:tab w:val="left" w:pos="348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600" w:firstLineChars="200"/>
        <w:jc w:val="left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浇水缓苗：定植后立即浇足定根水，待水分下渗后补填少量土壤，确保土球与周边土壤无空隙；后续根据土壤墒情适时补水，促进根系恢复。</w:t>
      </w:r>
    </w:p>
    <w:p w14:paraId="3EDF56F1">
      <w:pPr>
        <w:pageBreakBefore w:val="0"/>
        <w:tabs>
          <w:tab w:val="left" w:pos="348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600" w:firstLineChars="200"/>
        <w:jc w:val="left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防反盐处理：同裸根苗栽植要求，植树沟低于原土面并覆盖沟面，以防反盐。</w:t>
      </w:r>
    </w:p>
    <w:p w14:paraId="43518D97">
      <w:pPr>
        <w:pageBreakBefore w:val="0"/>
        <w:tabs>
          <w:tab w:val="left" w:pos="348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600" w:firstLineChars="200"/>
        <w:jc w:val="left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杜梨砧木嫁接早酥红梨的时间在第二年春季3月下旬至4月上旬（枝接）。将杜梨砧木在距地面10至15厘米处剪断，选取健壮的红梨枝条削成1.5至2厘米长的楔形接穗，保留2至3个饱满芽；在砧木切面中心垂直劈开相应深度，将接穗插入并对准形成层，用塑料条绑紧封严，接穗顶端涂蜡防水分蒸发。嫁接成活后，及时抹除砧木上的萌蘖以集中养分，约15至20天，新梢长至20至30厘米时松绑解带，待新梢长至30厘米以上时立支柱防风折。</w:t>
      </w:r>
    </w:p>
    <w:p w14:paraId="5ECA62E8">
      <w:pPr>
        <w:pStyle w:val="3"/>
        <w:pageBreakBefore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bookmarkStart w:id="19" w:name="_Toc28530"/>
      <w:bookmarkStart w:id="20" w:name="_Toc11739"/>
      <w:bookmarkStart w:id="21" w:name="_Toc6903"/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6.7造林时间</w:t>
      </w:r>
      <w:bookmarkEnd w:id="19"/>
      <w:bookmarkEnd w:id="20"/>
      <w:bookmarkEnd w:id="21"/>
    </w:p>
    <w:p w14:paraId="5BA6DA3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06" w:firstLineChars="202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202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-6月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。</w:t>
      </w:r>
    </w:p>
    <w:p w14:paraId="73EFB72C">
      <w:pPr>
        <w:pStyle w:val="3"/>
        <w:pageBreakBefore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bookmarkStart w:id="22" w:name="_Toc25265"/>
      <w:bookmarkStart w:id="23" w:name="_Toc17075"/>
      <w:bookmarkStart w:id="24" w:name="_Toc1483"/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6.8造林模式</w:t>
      </w:r>
      <w:bookmarkEnd w:id="22"/>
      <w:bookmarkEnd w:id="23"/>
      <w:bookmarkEnd w:id="24"/>
    </w:p>
    <w:p w14:paraId="72F98647">
      <w:pPr>
        <w:pStyle w:val="4"/>
        <w:pageBreakBefore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6.8.1模式一</w:t>
      </w:r>
    </w:p>
    <w:p w14:paraId="4EEE3CBC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Lines="0" w:afterAutospacing="0" w:line="360" w:lineRule="auto"/>
        <w:ind w:leftChars="0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清理枯死木</w:t>
      </w: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  <w:t>+土壤改良+整地+栽植+灌溉+围封</w:t>
      </w:r>
    </w:p>
    <w:p w14:paraId="59BA7A95">
      <w:pPr>
        <w:pStyle w:val="1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Lines="0" w:afterAutospacing="0"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  <w:t>树种：杜梨</w:t>
      </w:r>
    </w:p>
    <w:p w14:paraId="17D0D6A5">
      <w:pPr>
        <w:pStyle w:val="1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Lines="0" w:afterAutospacing="0"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  <w:t>配置方式：2m×4m，按品字形排列</w:t>
      </w:r>
    </w:p>
    <w:p w14:paraId="6EDD1EF7">
      <w:pPr>
        <w:pStyle w:val="1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Lines="0" w:afterAutospacing="0"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  <w:t>整地方法：机械穴状</w:t>
      </w:r>
    </w:p>
    <w:p w14:paraId="52518D7B">
      <w:pPr>
        <w:pStyle w:val="1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Lines="0" w:afterAutospacing="0"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  <w:t>施肥：施肥 1 次，腐熟有机肥：5公斤/穴</w:t>
      </w:r>
    </w:p>
    <w:p w14:paraId="59AF5D37">
      <w:pPr>
        <w:pStyle w:val="1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Lines="0" w:afterAutospacing="0"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  <w:t>土地改良：石膏（农业用石膏）：1公斤/穴</w:t>
      </w:r>
    </w:p>
    <w:p w14:paraId="20A55E01">
      <w:pPr>
        <w:pStyle w:val="1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Lines="0" w:afterAutospacing="0"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  <w:t>栽植方式：坐水栽植</w:t>
      </w:r>
    </w:p>
    <w:p w14:paraId="562DD4C0">
      <w:pPr>
        <w:pStyle w:val="1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Lines="0" w:afterAutospacing="0"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  <w:t>初植密度：84穴/亩，1株/穴</w:t>
      </w:r>
    </w:p>
    <w:p w14:paraId="2CF4C4B1">
      <w:pPr>
        <w:pStyle w:val="1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Lines="0" w:afterAutospacing="0"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  <w:t>栽植季节：4-6月</w:t>
      </w:r>
    </w:p>
    <w:p w14:paraId="667A6A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该造林模式适用于双河镇富河村的1-3小班、黄河村的7小班，模式图详见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instrText xml:space="preserve"> REF _Ref14235 \h </w:instrTex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图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instrText xml:space="preserve"> STYLEREF 2 \s </w:instrTex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6.8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end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-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fldChar w:fldCharType="end"/>
      </w:r>
    </w:p>
    <w:p w14:paraId="38236D0E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drawing>
          <wp:inline distT="0" distB="0" distL="114300" distR="114300">
            <wp:extent cx="3487420" cy="4002405"/>
            <wp:effectExtent l="0" t="0" r="0" b="17145"/>
            <wp:docPr id="12" name="图片 12" descr="C:/Users/Administrator/Desktop/图片1.1 拷贝.png图片1.1 拷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:/Users/Administrator/Desktop/图片1.1 拷贝.png图片1.1 拷贝"/>
                    <pic:cNvPicPr>
                      <a:picLocks noChangeAspect="1"/>
                    </pic:cNvPicPr>
                  </pic:nvPicPr>
                  <pic:blipFill>
                    <a:blip r:embed="rId6"/>
                    <a:srcRect l="-435" r="-2000"/>
                    <a:stretch>
                      <a:fillRect/>
                    </a:stretch>
                  </pic:blipFill>
                  <pic:spPr>
                    <a:xfrm>
                      <a:off x="0" y="0"/>
                      <a:ext cx="3487420" cy="4002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F24461">
      <w:pPr>
        <w:pStyle w:val="13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2400" w:firstLineChars="800"/>
        <w:jc w:val="both"/>
        <w:rPr>
          <w:rFonts w:hint="eastAsia"/>
          <w:color w:val="auto"/>
          <w:sz w:val="30"/>
          <w:szCs w:val="30"/>
          <w:highlight w:val="none"/>
          <w:lang w:val="en-US" w:eastAsia="zh-CN"/>
        </w:rPr>
      </w:pPr>
      <w:bookmarkStart w:id="25" w:name="_Ref14235"/>
      <w:r>
        <w:rPr>
          <w:color w:val="auto"/>
          <w:sz w:val="30"/>
          <w:szCs w:val="30"/>
          <w:highlight w:val="none"/>
        </w:rPr>
        <w:t xml:space="preserve">图 </w:t>
      </w:r>
      <w:r>
        <w:rPr>
          <w:color w:val="auto"/>
          <w:sz w:val="30"/>
          <w:szCs w:val="30"/>
          <w:highlight w:val="none"/>
        </w:rPr>
        <w:fldChar w:fldCharType="begin"/>
      </w:r>
      <w:r>
        <w:rPr>
          <w:color w:val="auto"/>
          <w:sz w:val="30"/>
          <w:szCs w:val="30"/>
          <w:highlight w:val="none"/>
        </w:rPr>
        <w:instrText xml:space="preserve"> STYLEREF 2 \s </w:instrText>
      </w:r>
      <w:r>
        <w:rPr>
          <w:color w:val="auto"/>
          <w:sz w:val="30"/>
          <w:szCs w:val="30"/>
          <w:highlight w:val="none"/>
        </w:rPr>
        <w:fldChar w:fldCharType="separate"/>
      </w:r>
      <w:r>
        <w:rPr>
          <w:color w:val="auto"/>
          <w:sz w:val="30"/>
          <w:szCs w:val="30"/>
          <w:highlight w:val="none"/>
        </w:rPr>
        <w:t>6.8</w:t>
      </w:r>
      <w:r>
        <w:rPr>
          <w:color w:val="auto"/>
          <w:sz w:val="30"/>
          <w:szCs w:val="30"/>
          <w:highlight w:val="none"/>
        </w:rPr>
        <w:fldChar w:fldCharType="end"/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-</w:t>
      </w:r>
      <w:r>
        <w:rPr>
          <w:color w:val="auto"/>
          <w:sz w:val="30"/>
          <w:szCs w:val="30"/>
          <w:highlight w:val="none"/>
        </w:rPr>
        <w:fldChar w:fldCharType="begin"/>
      </w:r>
      <w:r>
        <w:rPr>
          <w:color w:val="auto"/>
          <w:sz w:val="30"/>
          <w:szCs w:val="30"/>
          <w:highlight w:val="none"/>
        </w:rPr>
        <w:instrText xml:space="preserve"> SEQ 图 \* ARABIC \s 2 </w:instrText>
      </w:r>
      <w:r>
        <w:rPr>
          <w:color w:val="auto"/>
          <w:sz w:val="30"/>
          <w:szCs w:val="30"/>
          <w:highlight w:val="none"/>
        </w:rPr>
        <w:fldChar w:fldCharType="separate"/>
      </w:r>
      <w:r>
        <w:rPr>
          <w:color w:val="auto"/>
          <w:sz w:val="30"/>
          <w:szCs w:val="30"/>
          <w:highlight w:val="none"/>
        </w:rPr>
        <w:t>1</w:t>
      </w:r>
      <w:r>
        <w:rPr>
          <w:color w:val="auto"/>
          <w:sz w:val="30"/>
          <w:szCs w:val="30"/>
          <w:highlight w:val="none"/>
        </w:rPr>
        <w:fldChar w:fldCharType="end"/>
      </w:r>
      <w:bookmarkEnd w:id="25"/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种植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模式图</w:t>
      </w:r>
    </w:p>
    <w:p w14:paraId="170BF5DA">
      <w:pPr>
        <w:pStyle w:val="4"/>
        <w:pageBreakBefore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6.8.2模式二</w:t>
      </w:r>
    </w:p>
    <w:p w14:paraId="3BC3A406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leftChars="0" w:firstLine="600" w:firstLineChars="200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  <w:t>整地+土壤改良+栽植+灌溉+围封</w:t>
      </w:r>
    </w:p>
    <w:p w14:paraId="2930DD57">
      <w:pPr>
        <w:pStyle w:val="13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Lines="0" w:afterAutospacing="0"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  <w:t>树种：沙枣</w:t>
      </w:r>
    </w:p>
    <w:p w14:paraId="1538A430">
      <w:pPr>
        <w:pStyle w:val="13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Lines="0" w:afterAutospacing="0"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  <w:t>配置方式：2m×4m，按品字形排列</w:t>
      </w:r>
    </w:p>
    <w:p w14:paraId="24B1108B">
      <w:pPr>
        <w:pStyle w:val="13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Lines="0" w:afterAutospacing="0"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  <w:t>整地方法：机械穴状</w:t>
      </w:r>
    </w:p>
    <w:p w14:paraId="16A7B3BE">
      <w:pPr>
        <w:pStyle w:val="13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Lines="0" w:afterAutospacing="0"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  <w:t>施肥：施肥 1 次，腐熟有机肥：3公斤/穴</w:t>
      </w:r>
    </w:p>
    <w:p w14:paraId="12359359">
      <w:pPr>
        <w:pStyle w:val="13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Lines="0" w:afterAutospacing="0"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  <w:t>土地改良：石膏（农业用石膏）：0.4公斤/穴</w:t>
      </w:r>
    </w:p>
    <w:p w14:paraId="01BCE26F">
      <w:pPr>
        <w:pStyle w:val="13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Lines="0" w:afterAutospacing="0"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  <w:t>栽植方式：坐水栽植</w:t>
      </w:r>
    </w:p>
    <w:p w14:paraId="4822D9F1">
      <w:pPr>
        <w:pStyle w:val="13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Lines="0" w:afterAutospacing="0"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  <w:t>初植密度：84穴/亩，1株/穴</w:t>
      </w:r>
    </w:p>
    <w:p w14:paraId="777FC689">
      <w:pPr>
        <w:pStyle w:val="13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Lines="0" w:afterAutospacing="0"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  <w:t>栽植季节：4-6月</w:t>
      </w:r>
    </w:p>
    <w:p w14:paraId="3BD3D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该造林模式适用于双河镇新河村的4-6小班；模式图详见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instrText xml:space="preserve"> REF _Ref14359 \h </w:instrTex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图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instrText xml:space="preserve"> STYLEREF 2 \s </w:instrTex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6.8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end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-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2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fldChar w:fldCharType="end"/>
      </w:r>
    </w:p>
    <w:p w14:paraId="7D825559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drawing>
          <wp:inline distT="0" distB="0" distL="114300" distR="114300">
            <wp:extent cx="2783840" cy="3395345"/>
            <wp:effectExtent l="0" t="0" r="16510" b="14605"/>
            <wp:docPr id="15" name="图片 15" descr="C:/Users/Administrator/Desktop/沙枣模式图.png沙枣模式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/Users/Administrator/Desktop/沙枣模式图.png沙枣模式图"/>
                    <pic:cNvPicPr>
                      <a:picLocks noChangeAspect="1"/>
                    </pic:cNvPicPr>
                  </pic:nvPicPr>
                  <pic:blipFill>
                    <a:blip r:embed="rId7"/>
                    <a:srcRect l="28" r="28"/>
                    <a:stretch>
                      <a:fillRect/>
                    </a:stretch>
                  </pic:blipFill>
                  <pic:spPr>
                    <a:xfrm>
                      <a:off x="0" y="0"/>
                      <a:ext cx="2783840" cy="3395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AE6CBD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firstLine="600" w:firstLineChars="200"/>
        <w:jc w:val="center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bookmarkStart w:id="26" w:name="_Ref14359"/>
      <w:r>
        <w:rPr>
          <w:color w:val="auto"/>
          <w:sz w:val="30"/>
          <w:szCs w:val="30"/>
          <w:highlight w:val="none"/>
        </w:rPr>
        <w:t xml:space="preserve">图 </w:t>
      </w:r>
      <w:r>
        <w:rPr>
          <w:color w:val="auto"/>
          <w:sz w:val="30"/>
          <w:szCs w:val="30"/>
          <w:highlight w:val="none"/>
        </w:rPr>
        <w:fldChar w:fldCharType="begin"/>
      </w:r>
      <w:r>
        <w:rPr>
          <w:color w:val="auto"/>
          <w:sz w:val="30"/>
          <w:szCs w:val="30"/>
          <w:highlight w:val="none"/>
        </w:rPr>
        <w:instrText xml:space="preserve"> STYLEREF 2 \s </w:instrText>
      </w:r>
      <w:r>
        <w:rPr>
          <w:color w:val="auto"/>
          <w:sz w:val="30"/>
          <w:szCs w:val="30"/>
          <w:highlight w:val="none"/>
        </w:rPr>
        <w:fldChar w:fldCharType="separate"/>
      </w:r>
      <w:r>
        <w:rPr>
          <w:color w:val="auto"/>
          <w:sz w:val="30"/>
          <w:szCs w:val="30"/>
          <w:highlight w:val="none"/>
        </w:rPr>
        <w:t>6.8</w:t>
      </w:r>
      <w:r>
        <w:rPr>
          <w:color w:val="auto"/>
          <w:sz w:val="30"/>
          <w:szCs w:val="30"/>
          <w:highlight w:val="none"/>
        </w:rPr>
        <w:fldChar w:fldCharType="end"/>
      </w:r>
      <w:r>
        <w:rPr>
          <w:rFonts w:hint="eastAsia"/>
          <w:color w:val="auto"/>
          <w:sz w:val="30"/>
          <w:szCs w:val="30"/>
          <w:highlight w:val="none"/>
          <w:lang w:eastAsia="zh-CN"/>
        </w:rPr>
        <w:t>-</w:t>
      </w:r>
      <w:r>
        <w:rPr>
          <w:color w:val="auto"/>
          <w:sz w:val="30"/>
          <w:szCs w:val="30"/>
          <w:highlight w:val="none"/>
        </w:rPr>
        <w:fldChar w:fldCharType="begin"/>
      </w:r>
      <w:r>
        <w:rPr>
          <w:color w:val="auto"/>
          <w:sz w:val="30"/>
          <w:szCs w:val="30"/>
          <w:highlight w:val="none"/>
        </w:rPr>
        <w:instrText xml:space="preserve"> SEQ 图 \* ARABIC \s 2 </w:instrText>
      </w:r>
      <w:r>
        <w:rPr>
          <w:color w:val="auto"/>
          <w:sz w:val="30"/>
          <w:szCs w:val="30"/>
          <w:highlight w:val="none"/>
        </w:rPr>
        <w:fldChar w:fldCharType="separate"/>
      </w:r>
      <w:r>
        <w:rPr>
          <w:color w:val="auto"/>
          <w:sz w:val="30"/>
          <w:szCs w:val="30"/>
          <w:highlight w:val="none"/>
        </w:rPr>
        <w:t>2</w:t>
      </w:r>
      <w:r>
        <w:rPr>
          <w:color w:val="auto"/>
          <w:sz w:val="30"/>
          <w:szCs w:val="30"/>
          <w:highlight w:val="none"/>
        </w:rPr>
        <w:fldChar w:fldCharType="end"/>
      </w:r>
      <w:bookmarkEnd w:id="26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种植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模式图</w:t>
      </w:r>
    </w:p>
    <w:p w14:paraId="21FD42BC">
      <w:pPr>
        <w:pStyle w:val="3"/>
        <w:pageBreakBefore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bookmarkStart w:id="27" w:name="_Toc30948"/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6.9补植</w:t>
      </w:r>
      <w:bookmarkEnd w:id="27"/>
    </w:p>
    <w:p w14:paraId="69F5CD0F">
      <w:pPr>
        <w:pStyle w:val="4"/>
        <w:pageBreakBefore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="宋体" w:hAnsi="宋体" w:eastAsia="宋体" w:cs="宋体"/>
          <w:color w:val="auto"/>
          <w:highlight w:val="none"/>
        </w:rPr>
      </w:pPr>
      <w:bookmarkStart w:id="28" w:name="_Toc8069"/>
      <w:bookmarkStart w:id="29" w:name="_Toc21540"/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6.9.1</w:t>
      </w:r>
      <w:r>
        <w:rPr>
          <w:rFonts w:hint="eastAsia" w:ascii="宋体" w:hAnsi="宋体" w:eastAsia="宋体" w:cs="宋体"/>
          <w:color w:val="auto"/>
          <w:highlight w:val="none"/>
        </w:rPr>
        <w:t>补植原则</w:t>
      </w:r>
    </w:p>
    <w:p w14:paraId="72148C4F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auto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在秋季或第二年早春对枯死苗木进行补植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。</w:t>
      </w:r>
    </w:p>
    <w:p w14:paraId="7569575C">
      <w:pPr>
        <w:pStyle w:val="4"/>
        <w:pageBreakBefore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6.9.2</w:t>
      </w:r>
      <w:r>
        <w:rPr>
          <w:rFonts w:hint="eastAsia" w:ascii="宋体" w:hAnsi="宋体" w:eastAsia="宋体" w:cs="宋体"/>
          <w:color w:val="auto"/>
          <w:highlight w:val="none"/>
        </w:rPr>
        <w:t>补植树种</w:t>
      </w:r>
    </w:p>
    <w:p w14:paraId="1E63B9BE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auto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补植树种为原造林树种，规格同</w:t>
      </w: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30"/>
          <w:szCs w:val="30"/>
          <w:highlight w:val="none"/>
          <w:lang w:val="en-US" w:eastAsia="zh-CN" w:bidi="ar-SA"/>
        </w:rPr>
        <w:t>原有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造林苗木规格。</w:t>
      </w:r>
    </w:p>
    <w:p w14:paraId="57D89DD6">
      <w:pPr>
        <w:pStyle w:val="4"/>
        <w:pageBreakBefore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6.9.3</w:t>
      </w:r>
      <w:r>
        <w:rPr>
          <w:rFonts w:hint="eastAsia" w:ascii="宋体" w:hAnsi="宋体" w:eastAsia="宋体" w:cs="宋体"/>
          <w:color w:val="auto"/>
          <w:highlight w:val="none"/>
        </w:rPr>
        <w:t>补植技术措施</w:t>
      </w:r>
    </w:p>
    <w:p w14:paraId="43737322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auto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补植技术措施同原有造林技术措施。</w:t>
      </w:r>
    </w:p>
    <w:p w14:paraId="2F9EE0B8">
      <w:pPr>
        <w:pStyle w:val="3"/>
        <w:pageBreakBefore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="宋体" w:hAnsi="宋体" w:eastAsia="宋体" w:cs="宋体"/>
          <w:color w:val="auto"/>
          <w:highlight w:val="none"/>
        </w:rPr>
      </w:pPr>
      <w:bookmarkStart w:id="30" w:name="_Toc31914"/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6.10抚育管理</w:t>
      </w:r>
      <w:bookmarkEnd w:id="28"/>
      <w:bookmarkEnd w:id="29"/>
      <w:bookmarkEnd w:id="30"/>
    </w:p>
    <w:p w14:paraId="26F0947B">
      <w:pPr>
        <w:pStyle w:val="4"/>
        <w:pageBreakBefore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6.10.1灌溉</w:t>
      </w:r>
    </w:p>
    <w:p w14:paraId="694DBFC1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auto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采用滴灌进行浇水，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苗木栽植，三年共浇水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15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次。</w:t>
      </w:r>
    </w:p>
    <w:p w14:paraId="3F80482F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auto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栽植当年（第1年）：共灌溉6次，其中包含坐水栽植1次，以保障苗木初期成活与根系稳固；</w:t>
      </w:r>
    </w:p>
    <w:p w14:paraId="7CAC023B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auto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栽植后（第2年）：共灌溉5次，重点满足苗木生长旺盛期的水分需求；</w:t>
      </w:r>
    </w:p>
    <w:p w14:paraId="52CA4B4E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auto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栽植后（第3年）：共灌溉4次，逐步优化灌溉频率，促进苗木木质化与抗性提升。</w:t>
      </w:r>
    </w:p>
    <w:p w14:paraId="5499B829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auto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实际灌溉时间需根据当年气候条件、土壤墒情及苗木生长状况动态调整，确保水分供给精准适配。</w:t>
      </w:r>
    </w:p>
    <w:p w14:paraId="768D357E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auto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灌溉</w:t>
      </w: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30"/>
          <w:szCs w:val="30"/>
          <w:highlight w:val="none"/>
          <w:lang w:val="en-US" w:eastAsia="zh-CN" w:bidi="ar-SA"/>
        </w:rPr>
        <w:t>水源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由建设单位牵头与地方水利部门沟通协调，完成灌溉用水的指标分配、取水许可及调度管理等相关事宜，保障项目灌溉水源稳定可靠。</w:t>
      </w:r>
    </w:p>
    <w:p w14:paraId="380AC019">
      <w:pPr>
        <w:pStyle w:val="4"/>
        <w:pageBreakBefore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6.10.2围封</w:t>
      </w:r>
    </w:p>
    <w:p w14:paraId="28FF1D2B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auto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为更好地实施草原生态保护修复治理项目，保障生态修复项目区建设成果，需对所有项目区进行围栏封育，以防止周边牲畜进入采食牧草，破坏项目区建设。</w:t>
      </w:r>
    </w:p>
    <w:p w14:paraId="569238B8">
      <w:pPr>
        <w:pStyle w:val="5"/>
        <w:numPr>
          <w:ilvl w:val="3"/>
          <w:numId w:val="0"/>
        </w:numPr>
        <w:bidi w:val="0"/>
        <w:ind w:leftChars="0"/>
        <w:rPr>
          <w:rFonts w:hint="eastAsia"/>
          <w:lang w:val="en-US" w:eastAsia="zh-CN"/>
        </w:rPr>
      </w:pPr>
      <w:bookmarkStart w:id="31" w:name="_Toc20856"/>
      <w:r>
        <w:rPr>
          <w:rFonts w:hint="eastAsia"/>
          <w:lang w:val="en-US" w:eastAsia="zh-CN"/>
        </w:rPr>
        <w:t>6.10.2.1规格要求</w:t>
      </w:r>
      <w:bookmarkEnd w:id="31"/>
    </w:p>
    <w:p w14:paraId="59440F77">
      <w:pPr>
        <w:spacing w:before="300" w:line="220" w:lineRule="auto"/>
        <w:rPr>
          <w:rFonts w:ascii="仿宋" w:hAnsi="仿宋" w:eastAsia="仿宋" w:cs="仿宋"/>
          <w:sz w:val="30"/>
          <w:szCs w:val="30"/>
          <w:highlight w:val="none"/>
        </w:rPr>
      </w:pPr>
      <w:r>
        <w:rPr>
          <w:rFonts w:ascii="仿宋" w:hAnsi="仿宋" w:eastAsia="仿宋" w:cs="仿宋"/>
          <w:spacing w:val="-4"/>
          <w:sz w:val="30"/>
          <w:szCs w:val="30"/>
          <w:highlight w:val="none"/>
        </w:rPr>
        <w:t>（</w:t>
      </w:r>
      <w:r>
        <w:rPr>
          <w:rFonts w:ascii="Times New Roman" w:hAnsi="Times New Roman" w:eastAsia="Times New Roman" w:cs="Times New Roman"/>
          <w:spacing w:val="-4"/>
          <w:sz w:val="30"/>
          <w:szCs w:val="30"/>
          <w:highlight w:val="none"/>
        </w:rPr>
        <w:t>1</w:t>
      </w:r>
      <w:r>
        <w:rPr>
          <w:rFonts w:ascii="仿宋" w:hAnsi="仿宋" w:eastAsia="仿宋" w:cs="仿宋"/>
          <w:spacing w:val="-4"/>
          <w:sz w:val="30"/>
          <w:szCs w:val="30"/>
          <w:highlight w:val="none"/>
        </w:rPr>
        <w:t>）材料及规格</w:t>
      </w:r>
    </w:p>
    <w:p w14:paraId="3AC2C10C">
      <w:pPr>
        <w:spacing w:before="235" w:line="369" w:lineRule="auto"/>
        <w:ind w:left="1" w:right="104" w:firstLine="587"/>
        <w:rPr>
          <w:rFonts w:hint="eastAsia" w:ascii="仿宋" w:hAnsi="仿宋" w:eastAsia="仿宋" w:cs="仿宋"/>
          <w:spacing w:val="3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spacing w:val="3"/>
          <w:sz w:val="30"/>
          <w:szCs w:val="30"/>
          <w:highlight w:val="none"/>
        </w:rPr>
        <w:t>网片选用镀锌钢丝网片，经线 ∮2.5 毫米，纬线上下 2 根为钢丝 ∮2.8 毫米、 中间为镀锌冷拔丝 ∮2.8 毫米，网片规格为 8 目 ×120cm 宽 ×30m 长，重 122.5 公斤。安装网片时网片绑紧崩实，做到坚固平稳、整齐，最上层用刺丝封顶，规格 2.5×2.0 毫米（主线×刺长）。立柱选用角钢立柱，规格为 50×50×5×2200 毫米，每隔 10 米设置一根立柱，埋深 70 厘米，每隔 100 米设中柱一根，埋深 70 厘米。 中柱用 6 毫米热轧等边角钢立柱，规格为70×70×6×2200 毫米和 6毫米的热轧等边角钢顶柱，规格为 70×70×6×2200 毫米。 中柱设立单顶，顶柱配地锚。拐角处设立双顶，地锚 50×50×5×400毫米，每根顶柱配 2 个地锚。 中柱、立柱、顶柱不得有焊接点。网围栏标准采用钢结构+ 网片+单层刺丝。</w:t>
      </w:r>
    </w:p>
    <w:p w14:paraId="0581EB9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</w:pPr>
      <w:r>
        <w:rPr>
          <w:position w:val="-56"/>
          <w:highlight w:val="none"/>
        </w:rPr>
        <w:drawing>
          <wp:inline distT="0" distB="0" distL="0" distR="0">
            <wp:extent cx="5269865" cy="1804035"/>
            <wp:effectExtent l="0" t="0" r="6985" b="5715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991" cy="1804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2D1081">
      <w:pPr>
        <w:pStyle w:val="7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hint="eastAsia" w:ascii="仿宋" w:hAnsi="仿宋" w:eastAsia="仿宋" w:cs="仿宋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  <w14:ligatures w14:val="none"/>
        </w:rPr>
      </w:pPr>
      <w:r>
        <w:rPr>
          <w:b w:val="0"/>
          <w:bCs w:val="0"/>
          <w:sz w:val="30"/>
          <w:szCs w:val="30"/>
          <w:highlight w:val="none"/>
        </w:rPr>
        <w:t xml:space="preserve">图 </w:t>
      </w:r>
      <w:r>
        <w:rPr>
          <w:b w:val="0"/>
          <w:bCs w:val="0"/>
          <w:sz w:val="30"/>
          <w:szCs w:val="30"/>
          <w:highlight w:val="none"/>
        </w:rPr>
        <w:fldChar w:fldCharType="begin"/>
      </w:r>
      <w:r>
        <w:rPr>
          <w:b w:val="0"/>
          <w:bCs w:val="0"/>
          <w:sz w:val="30"/>
          <w:szCs w:val="30"/>
          <w:highlight w:val="none"/>
        </w:rPr>
        <w:instrText xml:space="preserve"> STYLEREF 2 \s </w:instrText>
      </w:r>
      <w:r>
        <w:rPr>
          <w:b w:val="0"/>
          <w:bCs w:val="0"/>
          <w:sz w:val="30"/>
          <w:szCs w:val="30"/>
          <w:highlight w:val="none"/>
        </w:rPr>
        <w:fldChar w:fldCharType="separate"/>
      </w:r>
      <w:r>
        <w:rPr>
          <w:b w:val="0"/>
          <w:bCs w:val="0"/>
          <w:sz w:val="30"/>
          <w:szCs w:val="30"/>
          <w:highlight w:val="none"/>
        </w:rPr>
        <w:t>6.10</w:t>
      </w:r>
      <w:r>
        <w:rPr>
          <w:b w:val="0"/>
          <w:bCs w:val="0"/>
          <w:sz w:val="30"/>
          <w:szCs w:val="30"/>
          <w:highlight w:val="none"/>
        </w:rPr>
        <w:fldChar w:fldCharType="end"/>
      </w:r>
      <w:r>
        <w:rPr>
          <w:rFonts w:hint="eastAsia"/>
          <w:b w:val="0"/>
          <w:bCs w:val="0"/>
          <w:sz w:val="30"/>
          <w:szCs w:val="30"/>
          <w:highlight w:val="none"/>
          <w:lang w:eastAsia="zh-CN"/>
        </w:rPr>
        <w:t>-</w:t>
      </w:r>
      <w:r>
        <w:rPr>
          <w:b w:val="0"/>
          <w:bCs w:val="0"/>
          <w:sz w:val="30"/>
          <w:szCs w:val="30"/>
          <w:highlight w:val="none"/>
        </w:rPr>
        <w:fldChar w:fldCharType="begin"/>
      </w:r>
      <w:r>
        <w:rPr>
          <w:b w:val="0"/>
          <w:bCs w:val="0"/>
          <w:sz w:val="30"/>
          <w:szCs w:val="30"/>
          <w:highlight w:val="none"/>
        </w:rPr>
        <w:instrText xml:space="preserve"> SEQ 图 \* ARABIC \s 2 </w:instrText>
      </w:r>
      <w:r>
        <w:rPr>
          <w:b w:val="0"/>
          <w:bCs w:val="0"/>
          <w:sz w:val="30"/>
          <w:szCs w:val="30"/>
          <w:highlight w:val="none"/>
        </w:rPr>
        <w:fldChar w:fldCharType="separate"/>
      </w:r>
      <w:r>
        <w:rPr>
          <w:b w:val="0"/>
          <w:bCs w:val="0"/>
          <w:sz w:val="30"/>
          <w:szCs w:val="30"/>
          <w:highlight w:val="none"/>
        </w:rPr>
        <w:t>1</w:t>
      </w:r>
      <w:r>
        <w:rPr>
          <w:b w:val="0"/>
          <w:bCs w:val="0"/>
          <w:sz w:val="30"/>
          <w:szCs w:val="30"/>
          <w:highlight w:val="none"/>
        </w:rPr>
        <w:fldChar w:fldCharType="end"/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  <w14:ligatures w14:val="none"/>
        </w:rPr>
        <w:t xml:space="preserve"> 围栏架设示意图</w:t>
      </w:r>
    </w:p>
    <w:p w14:paraId="4E090898">
      <w:pPr>
        <w:spacing w:before="300" w:line="220" w:lineRule="auto"/>
        <w:rPr>
          <w:rFonts w:ascii="仿宋" w:hAnsi="仿宋" w:eastAsia="仿宋" w:cs="仿宋"/>
          <w:spacing w:val="-4"/>
          <w:sz w:val="30"/>
          <w:szCs w:val="30"/>
          <w:highlight w:val="none"/>
        </w:rPr>
      </w:pPr>
      <w:r>
        <w:rPr>
          <w:rFonts w:ascii="仿宋" w:hAnsi="仿宋" w:eastAsia="仿宋" w:cs="仿宋"/>
          <w:spacing w:val="-4"/>
          <w:sz w:val="30"/>
          <w:szCs w:val="30"/>
          <w:highlight w:val="none"/>
        </w:rPr>
        <w:t>（</w:t>
      </w:r>
      <w:r>
        <w:rPr>
          <w:rFonts w:hint="eastAsia" w:ascii="Times New Roman" w:hAnsi="Times New Roman" w:eastAsia="宋体" w:cs="Times New Roman"/>
          <w:spacing w:val="-4"/>
          <w:sz w:val="30"/>
          <w:szCs w:val="30"/>
          <w:highlight w:val="none"/>
          <w:lang w:val="en-US" w:eastAsia="zh-CN"/>
        </w:rPr>
        <w:t>2</w:t>
      </w:r>
      <w:r>
        <w:rPr>
          <w:rFonts w:ascii="仿宋" w:hAnsi="仿宋" w:eastAsia="仿宋" w:cs="仿宋"/>
          <w:spacing w:val="-4"/>
          <w:sz w:val="30"/>
          <w:szCs w:val="30"/>
          <w:highlight w:val="none"/>
        </w:rPr>
        <w:t>）施工流程</w:t>
      </w:r>
    </w:p>
    <w:p w14:paraId="4EEBED3D">
      <w:pPr>
        <w:spacing w:before="235" w:line="369" w:lineRule="auto"/>
        <w:ind w:left="1" w:right="104" w:firstLine="587"/>
        <w:rPr>
          <w:rFonts w:ascii="仿宋" w:hAnsi="仿宋" w:eastAsia="仿宋" w:cs="仿宋"/>
          <w:spacing w:val="3"/>
          <w:sz w:val="30"/>
          <w:szCs w:val="30"/>
        </w:rPr>
      </w:pPr>
      <w:r>
        <w:rPr>
          <w:rFonts w:ascii="仿宋" w:hAnsi="仿宋" w:eastAsia="仿宋" w:cs="仿宋"/>
          <w:spacing w:val="3"/>
          <w:sz w:val="30"/>
          <w:szCs w:val="30"/>
        </w:rPr>
        <w:t>围栏安装： 固定门柱、拐角柱和受力中立柱，展开网片→ 固定起始端→专用张紧器固定→夹紧纬线→实施张紧→绑扎固定网片→移至下一个网片段施工。</w:t>
      </w:r>
    </w:p>
    <w:p w14:paraId="7309FA90">
      <w:pPr>
        <w:spacing w:before="1" w:line="224" w:lineRule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（</w:t>
      </w:r>
      <w:r>
        <w:rPr>
          <w:rFonts w:ascii="Times New Roman" w:hAnsi="Times New Roman" w:eastAsia="Times New Roman" w:cs="Times New Roman"/>
          <w:spacing w:val="-4"/>
          <w:sz w:val="30"/>
          <w:szCs w:val="30"/>
        </w:rPr>
        <w:t>3</w:t>
      </w:r>
      <w:r>
        <w:rPr>
          <w:rFonts w:ascii="仿宋" w:hAnsi="仿宋" w:eastAsia="仿宋" w:cs="仿宋"/>
          <w:spacing w:val="-4"/>
          <w:sz w:val="30"/>
          <w:szCs w:val="30"/>
        </w:rPr>
        <w:t>）施工方法</w:t>
      </w:r>
    </w:p>
    <w:p w14:paraId="6F834420">
      <w:pPr>
        <w:spacing w:before="235" w:line="369" w:lineRule="auto"/>
        <w:ind w:left="1" w:right="104" w:firstLine="587"/>
        <w:rPr>
          <w:rFonts w:ascii="仿宋" w:hAnsi="仿宋" w:eastAsia="仿宋" w:cs="仿宋"/>
          <w:spacing w:val="3"/>
          <w:sz w:val="30"/>
          <w:szCs w:val="30"/>
        </w:rPr>
      </w:pPr>
      <w:r>
        <w:rPr>
          <w:rFonts w:ascii="仿宋" w:hAnsi="仿宋" w:eastAsia="仿宋" w:cs="仿宋"/>
          <w:spacing w:val="3"/>
          <w:sz w:val="30"/>
          <w:szCs w:val="30"/>
        </w:rPr>
        <w:t>——铺设网片：从中间柱的一端开始，沿围栏线路铺放编结网。将编结网铺在围栏内侧，将网格较紧的一端朝向立柱，起始端留 5 厘米-8 厘米编结网；编结网的一端剪去一根经线，将编结网竖起，把每一根纬线线端在起始中间柱上绑扎牢固；继续铺放围栏网，直到下一个中间柱，将编结网竖起并初步固定；若需将两部分编结网连接在一起，可使用围栏线绞结器接头。</w:t>
      </w:r>
    </w:p>
    <w:p w14:paraId="6305E460">
      <w:pPr>
        <w:spacing w:before="235" w:line="369" w:lineRule="auto"/>
        <w:ind w:left="1" w:right="104" w:firstLine="587"/>
        <w:rPr>
          <w:rFonts w:ascii="仿宋" w:hAnsi="仿宋" w:eastAsia="仿宋" w:cs="仿宋"/>
          <w:spacing w:val="3"/>
          <w:sz w:val="30"/>
          <w:szCs w:val="30"/>
        </w:rPr>
      </w:pPr>
      <w:r>
        <w:rPr>
          <w:rFonts w:ascii="仿宋" w:hAnsi="仿宋" w:eastAsia="仿宋" w:cs="仿宋"/>
          <w:spacing w:val="3"/>
          <w:sz w:val="30"/>
          <w:szCs w:val="30"/>
        </w:rPr>
        <w:t>——张紧器固定：埋设临时作业立柱，安装张紧器张紧围栏，各纬线张紧力为 700N-900N ，整片围栏受力要均匀。</w:t>
      </w:r>
    </w:p>
    <w:p w14:paraId="5391AF78">
      <w:pPr>
        <w:spacing w:before="235" w:line="369" w:lineRule="auto"/>
        <w:ind w:left="1" w:right="104" w:firstLine="587"/>
        <w:rPr>
          <w:rFonts w:ascii="仿宋" w:hAnsi="仿宋" w:eastAsia="仿宋" w:cs="仿宋"/>
          <w:spacing w:val="3"/>
          <w:sz w:val="30"/>
          <w:szCs w:val="30"/>
        </w:rPr>
      </w:pPr>
      <w:r>
        <w:rPr>
          <w:rFonts w:ascii="仿宋" w:hAnsi="仿宋" w:eastAsia="仿宋" w:cs="仿宋"/>
          <w:spacing w:val="3"/>
          <w:sz w:val="30"/>
          <w:szCs w:val="30"/>
        </w:rPr>
        <w:t>——实施张紧：将围栏另一端相对中间柱的位置除去一根经线， 自中纬线分别向上向下将每根纬线分别绕中间柱绞紧。</w:t>
      </w:r>
    </w:p>
    <w:p w14:paraId="73F27C2A">
      <w:pPr>
        <w:spacing w:before="235" w:line="369" w:lineRule="auto"/>
        <w:ind w:left="1" w:right="104" w:firstLine="587"/>
        <w:rPr>
          <w:rFonts w:hint="eastAsia" w:ascii="仿宋" w:hAnsi="仿宋" w:eastAsia="仿宋" w:cs="仿宋"/>
          <w:spacing w:val="3"/>
          <w:sz w:val="30"/>
          <w:szCs w:val="30"/>
          <w:lang w:val="en-US" w:eastAsia="zh-CN"/>
        </w:rPr>
      </w:pPr>
      <w:r>
        <w:rPr>
          <w:rFonts w:ascii="仿宋" w:hAnsi="仿宋" w:eastAsia="仿宋" w:cs="仿宋"/>
          <w:spacing w:val="3"/>
          <w:sz w:val="30"/>
          <w:szCs w:val="30"/>
        </w:rPr>
        <w:t>——固定网片：将编结网自边纬线向中间逐一绑扎在线上。 ——门的安装：预先将围栏门留好，门要用支撑杆予以加固</w:t>
      </w:r>
      <w:r>
        <w:rPr>
          <w:rFonts w:hint="eastAsia" w:ascii="仿宋" w:hAnsi="仿宋" w:eastAsia="仿宋" w:cs="仿宋"/>
          <w:spacing w:val="3"/>
          <w:sz w:val="30"/>
          <w:szCs w:val="30"/>
          <w:lang w:eastAsia="zh-CN"/>
        </w:rPr>
        <w:t>，</w:t>
      </w:r>
      <w:r>
        <w:rPr>
          <w:rFonts w:ascii="仿宋" w:hAnsi="仿宋" w:eastAsia="仿宋" w:cs="仿宋"/>
          <w:spacing w:val="3"/>
          <w:sz w:val="30"/>
          <w:szCs w:val="30"/>
        </w:rPr>
        <w:t>用门柱理入环与门连接，加网前将门柱及受力柱固定好。</w:t>
      </w:r>
    </w:p>
    <w:p w14:paraId="46B89122">
      <w:pPr>
        <w:pStyle w:val="4"/>
        <w:pageBreakBefore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6.10.3防治</w:t>
      </w:r>
    </w:p>
    <w:p w14:paraId="75197C8B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auto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定期检查苗木生长状况，一旦发现病虫害迹象，立即采取针对性措施进行防治，如喷洒生物农药或采用物理防治方法。同时，及时清理苗木周围的落叶、杂草等，减少病虫害滋生的环境。对于已发生病虫害的苗木，要进行隔离处理，防止病虫害扩散。</w:t>
      </w:r>
    </w:p>
    <w:p w14:paraId="17B506EF">
      <w:pPr>
        <w:pStyle w:val="4"/>
        <w:pageBreakBefore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6.10.4护林防火</w:t>
      </w:r>
    </w:p>
    <w:p w14:paraId="32DDFF28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auto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为切实做好我区护林防火工作，有效遏制森林火灾发生，保护生态环境和人民生命财产安全，结合实际情况，设立警示牌，制定如下实施方案：</w:t>
      </w:r>
    </w:p>
    <w:p w14:paraId="6A1F4D72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auto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重点防火期</w:t>
      </w:r>
    </w:p>
    <w:p w14:paraId="5E4AB300"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auto"/>
        <w:ind w:left="425" w:leftChars="0" w:hanging="425" w:firstLineChars="0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入冬季节（12月）为森林防火紧要期宣传发动培训阶段。</w:t>
      </w:r>
    </w:p>
    <w:p w14:paraId="745821B8"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auto"/>
        <w:ind w:left="425" w:leftChars="0" w:hanging="425" w:firstLineChars="0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春节前后（1-2月）为森林防火重点时期宣传防范教育阶段。</w:t>
      </w:r>
    </w:p>
    <w:p w14:paraId="47A0B491"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auto"/>
        <w:ind w:left="425" w:leftChars="0" w:hanging="425" w:firstLineChars="0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清明节前后（3-5月）为森林防火关键期警示宣传教育阶段，是传统上山祭祀、农事生产用火高发期。</w:t>
      </w:r>
    </w:p>
    <w:p w14:paraId="7D8719A7"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auto"/>
        <w:ind w:left="425" w:leftChars="0" w:hanging="425" w:firstLineChars="0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高温、干旱期：夏秋防火（6-11月）为森林防火特殊期预防教育阶段。高温、干旱期重点时段采取特殊措施加强安全用火、安全扑火的宣传。</w:t>
      </w:r>
    </w:p>
    <w:p w14:paraId="0E821477">
      <w:pPr>
        <w:pStyle w:val="4"/>
        <w:pageBreakBefore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6.10.5保障措施</w:t>
      </w:r>
    </w:p>
    <w:p w14:paraId="280F766A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auto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造林前预留防火隔离带，切断火源，护林员要负责防火瞭望。</w:t>
      </w:r>
    </w:p>
    <w:p w14:paraId="3F1BC3DE">
      <w:pPr>
        <w:pStyle w:val="3"/>
        <w:pageBreakBefore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bookmarkStart w:id="32" w:name="_Toc1911"/>
      <w:bookmarkStart w:id="33" w:name="_Toc5872"/>
      <w:bookmarkStart w:id="34" w:name="_Toc16432"/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6.11建立档案</w:t>
      </w:r>
      <w:bookmarkEnd w:id="32"/>
      <w:bookmarkEnd w:id="33"/>
      <w:bookmarkEnd w:id="34"/>
    </w:p>
    <w:p w14:paraId="65B8F991">
      <w:pPr>
        <w:spacing w:before="235" w:line="369" w:lineRule="auto"/>
        <w:ind w:left="1" w:right="104" w:firstLine="587"/>
        <w:rPr>
          <w:rFonts w:hint="eastAsia" w:ascii="仿宋" w:hAnsi="仿宋" w:eastAsia="仿宋" w:cs="仿宋"/>
          <w:spacing w:val="3"/>
          <w:sz w:val="30"/>
          <w:szCs w:val="30"/>
        </w:rPr>
      </w:pPr>
      <w:r>
        <w:rPr>
          <w:rFonts w:hint="eastAsia" w:ascii="仿宋" w:hAnsi="仿宋" w:eastAsia="仿宋" w:cs="仿宋"/>
          <w:spacing w:val="3"/>
          <w:sz w:val="30"/>
          <w:szCs w:val="30"/>
        </w:rPr>
        <w:t>人工造林按</w:t>
      </w:r>
      <w:r>
        <w:rPr>
          <w:rFonts w:hint="eastAsia" w:ascii="仿宋" w:hAnsi="仿宋" w:eastAsia="仿宋" w:cs="仿宋"/>
          <w:spacing w:val="3"/>
          <w:sz w:val="30"/>
          <w:szCs w:val="30"/>
          <w:lang w:eastAsia="zh-CN"/>
        </w:rPr>
        <w:t>照</w:t>
      </w:r>
      <w:r>
        <w:rPr>
          <w:rFonts w:hint="eastAsia" w:ascii="仿宋" w:hAnsi="仿宋" w:eastAsia="仿宋" w:cs="仿宋"/>
          <w:spacing w:val="3"/>
          <w:sz w:val="30"/>
          <w:szCs w:val="30"/>
        </w:rPr>
        <w:t>林地的最小单位（小班）建立档案，要连续记载经营管理活动的完整资料，从外业调查、作业设计、施工准备、整地、造林、抚育、管护、补植补播、林木生长情况、成活率、保存率调查统计等各个环节，边实施边整理归档，做到资料完善详细。</w:t>
      </w:r>
    </w:p>
    <w:p w14:paraId="071B3165">
      <w:pPr>
        <w:pStyle w:val="3"/>
        <w:pageBreakBefore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bookmarkStart w:id="35" w:name="_Toc21155"/>
      <w:bookmarkStart w:id="36" w:name="_Toc29991"/>
      <w:bookmarkStart w:id="37" w:name="_Toc16177"/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6.12检查验收</w:t>
      </w:r>
      <w:bookmarkEnd w:id="35"/>
      <w:bookmarkEnd w:id="36"/>
      <w:bookmarkEnd w:id="37"/>
    </w:p>
    <w:p w14:paraId="00B9F99B">
      <w:pPr>
        <w:spacing w:before="235" w:line="369" w:lineRule="auto"/>
        <w:ind w:left="1" w:right="104" w:firstLine="587"/>
        <w:rPr>
          <w:rFonts w:hint="eastAsia" w:ascii="仿宋" w:hAnsi="仿宋" w:eastAsia="仿宋" w:cs="仿宋"/>
          <w:spacing w:val="3"/>
          <w:sz w:val="30"/>
          <w:szCs w:val="30"/>
        </w:rPr>
      </w:pPr>
      <w:r>
        <w:rPr>
          <w:rFonts w:hint="eastAsia" w:ascii="仿宋" w:hAnsi="仿宋" w:eastAsia="仿宋" w:cs="仿宋"/>
          <w:spacing w:val="3"/>
          <w:sz w:val="30"/>
          <w:szCs w:val="30"/>
        </w:rPr>
        <w:t>202</w:t>
      </w:r>
      <w:r>
        <w:rPr>
          <w:rFonts w:hint="eastAsia" w:ascii="仿宋" w:hAnsi="仿宋" w:eastAsia="仿宋" w:cs="仿宋"/>
          <w:spacing w:val="3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spacing w:val="3"/>
          <w:sz w:val="30"/>
          <w:szCs w:val="30"/>
        </w:rPr>
        <w:t>年</w:t>
      </w:r>
      <w:r>
        <w:rPr>
          <w:rFonts w:hint="eastAsia" w:ascii="仿宋" w:hAnsi="仿宋" w:eastAsia="仿宋" w:cs="仿宋"/>
          <w:spacing w:val="3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spacing w:val="3"/>
          <w:sz w:val="30"/>
          <w:szCs w:val="30"/>
        </w:rPr>
        <w:t>月进行成活率自查验收，3年后进行各项指标验收。</w:t>
      </w:r>
    </w:p>
    <w:p w14:paraId="583864F0">
      <w:pPr>
        <w:spacing w:before="235" w:line="369" w:lineRule="auto"/>
        <w:ind w:left="1" w:right="104" w:firstLine="587"/>
        <w:rPr>
          <w:rFonts w:hint="eastAsia" w:ascii="仿宋" w:hAnsi="仿宋" w:eastAsia="仿宋" w:cs="仿宋"/>
          <w:spacing w:val="3"/>
          <w:sz w:val="30"/>
          <w:szCs w:val="30"/>
        </w:rPr>
      </w:pPr>
      <w:r>
        <w:rPr>
          <w:rFonts w:hint="eastAsia" w:ascii="仿宋" w:hAnsi="仿宋" w:eastAsia="仿宋" w:cs="仿宋"/>
          <w:spacing w:val="3"/>
          <w:sz w:val="30"/>
          <w:szCs w:val="30"/>
          <w:lang w:val="en-US" w:eastAsia="zh-CN"/>
        </w:rPr>
        <w:t>栽植</w:t>
      </w:r>
      <w:r>
        <w:rPr>
          <w:rFonts w:hint="eastAsia" w:ascii="仿宋" w:hAnsi="仿宋" w:eastAsia="仿宋" w:cs="仿宋"/>
          <w:spacing w:val="3"/>
          <w:sz w:val="30"/>
          <w:szCs w:val="30"/>
        </w:rPr>
        <w:t>：人工造</w:t>
      </w:r>
      <w:r>
        <w:rPr>
          <w:rFonts w:hint="eastAsia" w:ascii="仿宋" w:hAnsi="仿宋" w:eastAsia="仿宋" w:cs="仿宋"/>
          <w:spacing w:val="3"/>
          <w:sz w:val="30"/>
          <w:szCs w:val="30"/>
          <w:lang w:val="en-US" w:eastAsia="zh-CN"/>
        </w:rPr>
        <w:t>乔木</w:t>
      </w:r>
      <w:r>
        <w:rPr>
          <w:rFonts w:hint="eastAsia" w:ascii="仿宋" w:hAnsi="仿宋" w:eastAsia="仿宋" w:cs="仿宋"/>
          <w:spacing w:val="3"/>
          <w:sz w:val="30"/>
          <w:szCs w:val="30"/>
        </w:rPr>
        <w:t>当年苗木成活率达到 70%（含）以上为合格；成活率69%-41%时应进行补植；成活率＜40%时应重新造林。</w:t>
      </w:r>
    </w:p>
    <w:p w14:paraId="401FD1B5">
      <w:pPr>
        <w:spacing w:before="235" w:line="369" w:lineRule="auto"/>
        <w:ind w:left="1" w:right="104" w:firstLine="587"/>
        <w:rPr>
          <w:rFonts w:hint="eastAsia" w:ascii="仿宋" w:hAnsi="仿宋" w:eastAsia="仿宋" w:cs="仿宋"/>
          <w:spacing w:val="3"/>
          <w:sz w:val="30"/>
          <w:szCs w:val="30"/>
        </w:rPr>
      </w:pPr>
      <w:r>
        <w:rPr>
          <w:rFonts w:hint="eastAsia" w:ascii="仿宋" w:hAnsi="仿宋" w:eastAsia="仿宋" w:cs="仿宋"/>
          <w:spacing w:val="3"/>
          <w:sz w:val="30"/>
          <w:szCs w:val="30"/>
        </w:rPr>
        <w:t>验收标准：人工造乔木林三年成活率≥</w:t>
      </w:r>
      <w:r>
        <w:rPr>
          <w:rFonts w:hint="eastAsia" w:ascii="仿宋" w:hAnsi="仿宋" w:cs="仿宋"/>
          <w:color w:val="000000"/>
          <w:sz w:val="30"/>
          <w:szCs w:val="30"/>
          <w:highlight w:val="none"/>
          <w:lang w:val="en-US" w:eastAsia="zh-CN"/>
        </w:rPr>
        <w:t>85</w:t>
      </w: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</w:rPr>
        <w:t>%</w:t>
      </w:r>
      <w:r>
        <w:rPr>
          <w:rFonts w:hint="eastAsia" w:ascii="仿宋" w:hAnsi="仿宋" w:eastAsia="仿宋" w:cs="仿宋"/>
          <w:spacing w:val="3"/>
          <w:sz w:val="30"/>
          <w:szCs w:val="30"/>
        </w:rPr>
        <w:t>，三年保存率≥</w:t>
      </w:r>
      <w:r>
        <w:rPr>
          <w:rFonts w:hint="eastAsia" w:ascii="仿宋" w:hAnsi="仿宋" w:eastAsia="仿宋" w:cs="仿宋"/>
          <w:spacing w:val="3"/>
          <w:sz w:val="30"/>
          <w:szCs w:val="30"/>
          <w:lang w:val="en-US" w:eastAsia="zh-CN"/>
        </w:rPr>
        <w:t>80</w:t>
      </w:r>
      <w:r>
        <w:rPr>
          <w:rFonts w:hint="eastAsia" w:ascii="仿宋" w:hAnsi="仿宋" w:eastAsia="仿宋" w:cs="仿宋"/>
          <w:spacing w:val="3"/>
          <w:sz w:val="30"/>
          <w:szCs w:val="30"/>
        </w:rPr>
        <w:t>%。</w:t>
      </w:r>
    </w:p>
    <w:p w14:paraId="345E9E52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p w14:paraId="4D1C6C8D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p w14:paraId="48B0CF44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p w14:paraId="57948A77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p w14:paraId="793FBCB2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p w14:paraId="15DD4B6A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p w14:paraId="708B3553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p w14:paraId="592E6CAD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p w14:paraId="6BE68B98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p w14:paraId="39C159A3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p w14:paraId="7109E3A2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p w14:paraId="7EEEF2FF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p w14:paraId="391CCA53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p w14:paraId="496BB83F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p w14:paraId="49033E2B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p w14:paraId="1CA8AC2F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p w14:paraId="2B0FE961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p w14:paraId="36C50AA5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p w14:paraId="409E5BDA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p w14:paraId="106D0106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p w14:paraId="2563293B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p w14:paraId="702C8E20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p w14:paraId="5E83D44F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p w14:paraId="48F9294B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p w14:paraId="4ACE1787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p w14:paraId="19090E2A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p w14:paraId="745945D6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p w14:paraId="11FC37D9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p w14:paraId="552626F9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p w14:paraId="241D71F8"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jc w:val="center"/>
        <w:rPr>
          <w:rFonts w:hint="eastAsia" w:ascii="宋体" w:hAnsi="宋体" w:eastAsia="宋体" w:cs="宋体"/>
          <w:color w:val="auto"/>
          <w:highlight w:val="none"/>
        </w:rPr>
      </w:pPr>
      <w:bookmarkStart w:id="38" w:name="_Toc19057"/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第七章  配套工程</w:t>
      </w:r>
      <w:bookmarkEnd w:id="38"/>
    </w:p>
    <w:p w14:paraId="6D2FB1D2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auto"/>
        <w:ind w:firstLine="560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根据当地水文地质条件，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本次设计新打深40m水源井3眼，井泵，发电机3组。</w:t>
      </w:r>
    </w:p>
    <w:p w14:paraId="10037045">
      <w:pPr>
        <w:pStyle w:val="3"/>
        <w:pageBreakBefore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default" w:ascii="宋体" w:hAnsi="宋体" w:eastAsia="宋体" w:cs="宋体"/>
          <w:color w:val="auto"/>
          <w:highlight w:val="none"/>
          <w:lang w:val="en-US" w:eastAsia="zh-CN"/>
        </w:rPr>
      </w:pPr>
      <w:bookmarkStart w:id="39" w:name="_Toc1925"/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7.1打井</w:t>
      </w:r>
      <w:bookmarkEnd w:id="39"/>
    </w:p>
    <w:p w14:paraId="5087FAD5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auto"/>
        <w:ind w:firstLine="56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采用机械打井，井深40m。井内径300㎜，井壁管材料为壁厚6㎜钢管，单井出水量30m³/h。成井后按《地下水监测站建设技术规范 SL360-2006》洗井并进行抽水试验。成井后井管高出地面0.5米，筑1×1=1平方米的永久性井台保护井口并竖立警示标志。</w:t>
      </w:r>
    </w:p>
    <w:p w14:paraId="0184D589">
      <w:pPr>
        <w:pStyle w:val="3"/>
        <w:pageBreakBefore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default" w:ascii="宋体" w:hAnsi="宋体" w:eastAsia="宋体" w:cs="宋体"/>
          <w:color w:val="auto"/>
          <w:highlight w:val="none"/>
          <w:lang w:val="en-US" w:eastAsia="zh-CN"/>
        </w:rPr>
      </w:pPr>
      <w:bookmarkStart w:id="40" w:name="_Toc4484"/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7.2滴灌系统</w:t>
      </w:r>
      <w:bookmarkEnd w:id="40"/>
    </w:p>
    <w:p w14:paraId="1F68D79E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auto"/>
        <w:ind w:firstLine="56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浇水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系统管材采用给水PE管材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主管（硬管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De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75）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走向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长度根据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地块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确定。</w:t>
      </w:r>
    </w:p>
    <w:p w14:paraId="5F83218D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auto"/>
        <w:ind w:firstLine="56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苗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木采用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稳流器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的给水方式，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按苗木行距安装旁通阀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铺设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支管（硬管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∅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20mm）接稳流器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，并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按株距铺设滴头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引入到树穴处，对每棵树进行精确灌水。</w:t>
      </w:r>
    </w:p>
    <w:p w14:paraId="082BDF75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auto"/>
        <w:ind w:firstLine="56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24769090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auto"/>
        <w:ind w:firstLine="56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3204A26D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auto"/>
        <w:ind w:firstLine="56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22CE4A67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auto"/>
        <w:ind w:firstLine="56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398EEBDE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auto"/>
        <w:ind w:firstLine="56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412F42D8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auto"/>
        <w:ind w:firstLine="56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298CFC78"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jc w:val="center"/>
        <w:rPr>
          <w:rFonts w:hint="eastAsia" w:ascii="宋体" w:hAnsi="宋体" w:eastAsia="宋体" w:cs="宋体"/>
          <w:color w:val="auto"/>
          <w:highlight w:val="none"/>
        </w:rPr>
      </w:pPr>
      <w:bookmarkStart w:id="41" w:name="_Toc25537"/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第八章  </w:t>
      </w:r>
      <w:r>
        <w:rPr>
          <w:rFonts w:hint="eastAsia" w:ascii="宋体" w:hAnsi="宋体" w:eastAsia="宋体" w:cs="宋体"/>
          <w:color w:val="auto"/>
          <w:highlight w:val="none"/>
        </w:rPr>
        <w:t>工程量</w:t>
      </w:r>
      <w:bookmarkEnd w:id="41"/>
      <w:bookmarkStart w:id="42" w:name="_Toc133832690"/>
      <w:bookmarkStart w:id="43" w:name="_Toc140052630"/>
      <w:bookmarkStart w:id="44" w:name="_Toc376940052"/>
      <w:bookmarkStart w:id="45" w:name="_Toc376940191"/>
    </w:p>
    <w:p w14:paraId="6D7EF582">
      <w:pPr>
        <w:pStyle w:val="3"/>
        <w:pageBreakBefore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="宋体" w:hAnsi="宋体" w:eastAsia="宋体" w:cs="宋体"/>
          <w:color w:val="auto"/>
          <w:highlight w:val="none"/>
        </w:rPr>
      </w:pPr>
      <w:bookmarkStart w:id="46" w:name="_Toc16520"/>
      <w:bookmarkStart w:id="47" w:name="_Toc30916"/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8.1</w:t>
      </w:r>
      <w:r>
        <w:rPr>
          <w:rFonts w:hint="eastAsia" w:ascii="宋体" w:hAnsi="宋体" w:eastAsia="宋体" w:cs="宋体"/>
          <w:color w:val="auto"/>
          <w:highlight w:val="none"/>
        </w:rPr>
        <w:t>工程量测算</w:t>
      </w:r>
      <w:bookmarkEnd w:id="42"/>
      <w:bookmarkEnd w:id="43"/>
      <w:bookmarkEnd w:id="44"/>
      <w:bookmarkEnd w:id="45"/>
      <w:bookmarkEnd w:id="46"/>
      <w:bookmarkEnd w:id="47"/>
    </w:p>
    <w:p w14:paraId="1AED5CE6">
      <w:pPr>
        <w:keepNext w:val="0"/>
        <w:keepLines w:val="0"/>
        <w:pageBreakBefore w:val="0"/>
        <w:widowControl w:val="0"/>
        <w:tabs>
          <w:tab w:val="left" w:pos="34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bookmarkStart w:id="48" w:name="_Toc140052631"/>
      <w:bookmarkStart w:id="49" w:name="_Toc133832691"/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根据项目区现状及工程建设标准，确定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巴彦淖尔市临河区黄河北岸绿色生态廊道工程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项目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 xml:space="preserve">由造林总面积211.71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亩、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个作业小班组成。</w:t>
      </w:r>
      <w:bookmarkStart w:id="50" w:name="_Toc376940053"/>
      <w:bookmarkStart w:id="51" w:name="_Toc376940192"/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详见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instrText xml:space="preserve"> REF _Ref15551 \h </w:instrTex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表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instrText xml:space="preserve"> STYLEREF 2 \s </w:instrTex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8.1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end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-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fldChar w:fldCharType="end"/>
      </w:r>
      <w:bookmarkStart w:id="52" w:name="_Ref15551"/>
    </w:p>
    <w:bookmarkEnd w:id="52"/>
    <w:p w14:paraId="3A13A0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表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instrText xml:space="preserve"> STYLEREF 2 \s </w:instrTex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8.1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end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-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instrText xml:space="preserve"> SEQ 表 \* ARABIC \s 2 </w:instrTex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end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工程量清单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表</w:t>
      </w:r>
    </w:p>
    <w:tbl>
      <w:tblPr>
        <w:tblStyle w:val="14"/>
        <w:tblW w:w="871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2004"/>
        <w:gridCol w:w="615"/>
        <w:gridCol w:w="4089"/>
        <w:gridCol w:w="1169"/>
      </w:tblGrid>
      <w:tr w14:paraId="422BB4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7474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编号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0CF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5D93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A7AA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DA74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</w:tr>
      <w:tr w14:paraId="7B957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F9A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D959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整地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363F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279D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7A23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BF0D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6FF7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0D1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乔木机械穴状整地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B5F4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穴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92C7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直径80cm，深80cm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A0CD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17784</w:t>
            </w:r>
          </w:p>
        </w:tc>
      </w:tr>
      <w:tr w14:paraId="314DB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9C0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911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清理枯死木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C552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株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575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胸径20CM以内，外运运距 5km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5096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3500</w:t>
            </w:r>
          </w:p>
        </w:tc>
      </w:tr>
      <w:tr w14:paraId="58075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8B8F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B89D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肥料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8987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3E7E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DF79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</w:tr>
      <w:tr w14:paraId="39549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C8AA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D2B4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石膏（农业用石膏）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957E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B07B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经济林1kg/穴，防护林0.4kg/穴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4A89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14291</w:t>
            </w:r>
          </w:p>
        </w:tc>
      </w:tr>
      <w:tr w14:paraId="72A4FC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D564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25CB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商用腐熟有机肥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45AA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DBA3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防护林3kg/穴，经济林5kg/穴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C9DA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77277</w:t>
            </w:r>
          </w:p>
        </w:tc>
      </w:tr>
      <w:tr w14:paraId="3C1B2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3FC4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81C3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人工施肥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B155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穴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7843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BBB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17784</w:t>
            </w:r>
          </w:p>
        </w:tc>
      </w:tr>
      <w:tr w14:paraId="3E40C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C0AD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75A4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苗木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CF11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7F77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8C30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</w:tr>
      <w:tr w14:paraId="25BDA5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DA59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DABD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沙枣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BCBF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株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F56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1-2年杯苗，1株/穴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EC59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5820</w:t>
            </w:r>
          </w:p>
        </w:tc>
      </w:tr>
      <w:tr w14:paraId="77B31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5AA4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5DE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0C5E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株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09C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2年苗，地径2cm，带土球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C39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11963</w:t>
            </w:r>
          </w:p>
        </w:tc>
      </w:tr>
      <w:tr w14:paraId="3ED2A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21E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0105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  <w:t>早酥红梨接穗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024F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株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857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3芽/株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09C6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11963</w:t>
            </w:r>
          </w:p>
        </w:tc>
      </w:tr>
      <w:tr w14:paraId="72DAB9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3B5C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EE89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植苗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53A9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334C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8DB4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</w:tr>
      <w:tr w14:paraId="18F2E3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9FE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9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乔木栽植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2FDE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穴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B184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苗木栽植费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2E41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17784</w:t>
            </w:r>
          </w:p>
        </w:tc>
      </w:tr>
      <w:tr w14:paraId="3D2406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1725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41B1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  <w:t>早酥红梨接穗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7B5B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株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9259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3芽/株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0F75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11963</w:t>
            </w:r>
          </w:p>
        </w:tc>
      </w:tr>
      <w:tr w14:paraId="08CB0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4141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D8EE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抚育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78B1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亩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73FF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1、三年15次（不含水费）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2、病虫害防治3年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3、防火警示牌、防火巡护人员，3年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4、乔木补植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F5F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211.71</w:t>
            </w:r>
          </w:p>
        </w:tc>
      </w:tr>
      <w:tr w14:paraId="638CB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61D0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C1A8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滴灌系统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DEAA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亩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B841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1、单管井200PVC，潜水泵40米，3眼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2、柴油发电机，3组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3、防护林及经济林铺设，主管 De75，支管De20mm，接稳流器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BDC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211.71</w:t>
            </w:r>
          </w:p>
        </w:tc>
      </w:tr>
      <w:tr w14:paraId="239FC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F11E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B4F8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围封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6DDA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F756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F6D1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</w:tr>
      <w:tr w14:paraId="18FA4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27F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28FA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围栏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C03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323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网围栏，高1.4米，最上层用刺丝封顶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D028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5964</w:t>
            </w:r>
          </w:p>
        </w:tc>
      </w:tr>
      <w:tr w14:paraId="08C96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4E1F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870C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97F5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90B9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网围栏大门，每套2扇，高1.4米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C84E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10.00</w:t>
            </w:r>
          </w:p>
        </w:tc>
      </w:tr>
      <w:bookmarkEnd w:id="48"/>
      <w:bookmarkEnd w:id="49"/>
      <w:bookmarkEnd w:id="50"/>
      <w:bookmarkEnd w:id="51"/>
    </w:tbl>
    <w:p w14:paraId="2B4BA67F">
      <w:pPr>
        <w:pStyle w:val="3"/>
        <w:pageBreakBefore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="宋体" w:hAnsi="宋体" w:eastAsia="宋体" w:cs="宋体"/>
          <w:color w:val="auto"/>
          <w:highlight w:val="none"/>
        </w:rPr>
      </w:pPr>
      <w:bookmarkStart w:id="53" w:name="_Toc810"/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8.2苗木需求量</w:t>
      </w:r>
      <w:bookmarkEnd w:id="53"/>
    </w:p>
    <w:p w14:paraId="26D29984">
      <w:pPr>
        <w:pageBreakBefore w:val="0"/>
        <w:widowControl w:val="0"/>
        <w:tabs>
          <w:tab w:val="left" w:pos="348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根据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项目建设规模和相关造林标准，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乔木造林株行距为2m×4m，沙枣植苗一穴1株，杜梨植苗一穴1株，每亩植苗84穴，初植需苗量总计含损耗5%。</w:t>
      </w:r>
    </w:p>
    <w:p w14:paraId="01276047">
      <w:pPr>
        <w:keepNext w:val="0"/>
        <w:keepLines w:val="0"/>
        <w:pageBreakBefore w:val="0"/>
        <w:widowControl w:val="0"/>
        <w:tabs>
          <w:tab w:val="left" w:pos="34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沙枣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植苗一穴1株，每亩植苗84穴；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项目区初植共需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沙枣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 xml:space="preserve">苗木6309株，包括初植5820株、补植损耗489株（补植和损耗需苗量按初植的 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%）</w:t>
      </w:r>
      <w:r>
        <w:rPr>
          <w:rFonts w:hint="eastAsia" w:ascii="仿宋" w:hAnsi="仿宋" w:eastAsia="仿宋" w:cs="仿宋"/>
          <w:sz w:val="30"/>
          <w:szCs w:val="30"/>
          <w:highlight w:val="none"/>
          <w:lang w:eastAsia="zh-CN"/>
        </w:rPr>
        <w:t>。</w:t>
      </w:r>
    </w:p>
    <w:p w14:paraId="19A223B9">
      <w:pPr>
        <w:pageBreakBefore w:val="0"/>
        <w:widowControl w:val="0"/>
        <w:tabs>
          <w:tab w:val="left" w:pos="348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杜梨植苗一穴1株，每亩植苗84穴；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 xml:space="preserve">项目区初植共需杜梨苗木12968株，包括初植11963株、补植损耗1005株（补植和损耗需苗量按初植的 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%）</w:t>
      </w:r>
      <w:r>
        <w:rPr>
          <w:rFonts w:hint="eastAsia" w:ascii="仿宋" w:hAnsi="仿宋" w:eastAsia="仿宋" w:cs="仿宋"/>
          <w:sz w:val="30"/>
          <w:szCs w:val="30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详见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instrText xml:space="preserve"> REF _Ref15653 \h </w:instrTex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表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instrText xml:space="preserve"> STYLEREF 2 \s </w:instrTex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8.2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end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-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end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。</w:t>
      </w:r>
    </w:p>
    <w:p w14:paraId="1BE89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bookmarkStart w:id="54" w:name="_Ref15653"/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表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instrText xml:space="preserve"> STYLEREF 2 \s </w:instrTex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8.2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end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-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instrText xml:space="preserve"> SEQ 表 \* ARABIC \s 2 </w:instrTex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fldChar w:fldCharType="end"/>
      </w:r>
      <w:bookmarkEnd w:id="54"/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需苗木量表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 xml:space="preserve">                单位：株</w:t>
      </w:r>
    </w:p>
    <w:tbl>
      <w:tblPr>
        <w:tblStyle w:val="14"/>
        <w:tblW w:w="875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"/>
        <w:gridCol w:w="777"/>
        <w:gridCol w:w="1001"/>
        <w:gridCol w:w="1330"/>
        <w:gridCol w:w="1717"/>
        <w:gridCol w:w="1717"/>
        <w:gridCol w:w="1219"/>
      </w:tblGrid>
      <w:tr w14:paraId="037D8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7484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作业区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841F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树种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8E4D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面积</w:t>
            </w:r>
          </w:p>
          <w:p w14:paraId="39399A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（亩）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94C4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初植密度</w:t>
            </w:r>
          </w:p>
          <w:p w14:paraId="42500C2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（穴/亩）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9943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初植需苗量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B3C9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补植需苗量</w:t>
            </w:r>
          </w:p>
          <w:p w14:paraId="0EDB31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（含5%损耗）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21BA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总需苗量</w:t>
            </w:r>
          </w:p>
          <w:p w14:paraId="59CCA93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（株）</w:t>
            </w:r>
          </w:p>
        </w:tc>
      </w:tr>
      <w:tr w14:paraId="1BBF2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429A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临河区总计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FBFE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AB3B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211.71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7889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33B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17784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D15B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1494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0336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19277</w:t>
            </w:r>
          </w:p>
        </w:tc>
      </w:tr>
      <w:tr w14:paraId="6E2882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AED4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双河镇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C8A1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沙枣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3F27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69.29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550F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655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5820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8B47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489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BFEB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6309</w:t>
            </w:r>
          </w:p>
        </w:tc>
      </w:tr>
      <w:tr w14:paraId="54E5C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ADA6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ABDE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杜梨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B4FC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142.42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144F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CC0A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11963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72A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AF6D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12968</w:t>
            </w:r>
          </w:p>
        </w:tc>
      </w:tr>
    </w:tbl>
    <w:p w14:paraId="0353998D">
      <w:pPr>
        <w:pStyle w:val="3"/>
        <w:numPr>
          <w:ilvl w:val="1"/>
          <w:numId w:val="0"/>
        </w:numPr>
        <w:bidi w:val="0"/>
        <w:ind w:leftChars="0"/>
        <w:rPr>
          <w:rFonts w:hint="eastAsia" w:ascii="仿宋" w:hAnsi="仿宋" w:eastAsia="仿宋" w:cs="仿宋"/>
          <w:lang w:val="en-US" w:eastAsia="zh-CN"/>
        </w:rPr>
      </w:pPr>
      <w:bookmarkStart w:id="55" w:name="_Toc8757"/>
      <w:bookmarkStart w:id="56" w:name="_Toc30227"/>
      <w:r>
        <w:rPr>
          <w:rFonts w:hint="eastAsia" w:ascii="仿宋" w:hAnsi="仿宋" w:eastAsia="仿宋" w:cs="仿宋"/>
          <w:lang w:val="en-US" w:eastAsia="zh-CN"/>
        </w:rPr>
        <w:t>8.3施肥需求量</w:t>
      </w:r>
      <w:bookmarkEnd w:id="55"/>
      <w:bookmarkEnd w:id="56"/>
    </w:p>
    <w:p w14:paraId="24C33672">
      <w:pPr>
        <w:tabs>
          <w:tab w:val="left" w:pos="3486"/>
        </w:tabs>
        <w:spacing w:line="60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</w:rPr>
        <w:t>本项目针对不同植被类型实施</w:t>
      </w: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val="en-US" w:eastAsia="zh-CN"/>
        </w:rPr>
        <w:t>土壤改良</w:t>
      </w: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</w:rPr>
        <w:t>措施。</w:t>
      </w: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eastAsia="zh-CN"/>
        </w:rPr>
        <w:t>防护林</w:t>
      </w: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</w:rPr>
        <w:t>每穴施用有机肥3公斤、石膏0.4公斤；经济林每穴施用有机肥5公斤、石膏1公斤，均施肥一次。详见</w:t>
      </w: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eastAsia="zh-CN"/>
        </w:rPr>
        <w:fldChar w:fldCharType="begin"/>
      </w: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eastAsia="zh-CN"/>
        </w:rPr>
        <w:instrText xml:space="preserve"> REF _Ref26455 \h </w:instrText>
      </w: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eastAsia="zh-CN"/>
        </w:rPr>
        <w:fldChar w:fldCharType="separate"/>
      </w: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val="en-US" w:eastAsia="zh-CN"/>
        </w:rPr>
        <w:t xml:space="preserve">表 </w:t>
      </w: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val="en-US" w:eastAsia="zh-CN"/>
        </w:rPr>
        <w:fldChar w:fldCharType="begin"/>
      </w: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val="en-US" w:eastAsia="zh-CN"/>
        </w:rPr>
        <w:instrText xml:space="preserve"> STYLEREF 2 \s </w:instrText>
      </w: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val="en-US" w:eastAsia="zh-CN"/>
        </w:rPr>
        <w:t>8.3</w:t>
      </w: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val="en-US" w:eastAsia="zh-CN"/>
        </w:rPr>
        <w:fldChar w:fldCharType="end"/>
      </w: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val="en-US" w:eastAsia="zh-CN"/>
        </w:rPr>
        <w:t>-1</w:t>
      </w: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eastAsia="zh-CN"/>
        </w:rPr>
        <w:fldChar w:fldCharType="end"/>
      </w:r>
    </w:p>
    <w:p w14:paraId="29A0F7F4">
      <w:pP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tbl>
      <w:tblPr>
        <w:tblStyle w:val="14"/>
        <w:tblW w:w="1036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0"/>
        <w:gridCol w:w="2376"/>
        <w:gridCol w:w="999"/>
        <w:gridCol w:w="1056"/>
        <w:gridCol w:w="777"/>
        <w:gridCol w:w="1056"/>
        <w:gridCol w:w="1275"/>
        <w:gridCol w:w="1283"/>
      </w:tblGrid>
      <w:tr w14:paraId="3B0D6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DA0A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45C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肥料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2FF9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施肥量</w:t>
            </w:r>
          </w:p>
          <w:p w14:paraId="1E6C79B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（kg）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4834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7B7F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226C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需肥量</w:t>
            </w:r>
          </w:p>
          <w:p w14:paraId="7323F70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（kg）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01F3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总需肥量</w:t>
            </w:r>
          </w:p>
          <w:p w14:paraId="651401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（kg）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BB75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总石膏量</w:t>
            </w:r>
          </w:p>
          <w:p w14:paraId="1A8365F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（kg）</w:t>
            </w:r>
          </w:p>
        </w:tc>
      </w:tr>
      <w:tr w14:paraId="35155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919F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仿宋" w:eastAsia="宋体" w:cs="仿宋"/>
                <w:b/>
                <w:bCs/>
                <w:i w:val="0"/>
                <w:iCs w:val="0"/>
                <w:color w:val="000000"/>
                <w:sz w:val="24"/>
                <w:szCs w:val="22"/>
                <w:u w:val="none"/>
              </w:rPr>
            </w:pPr>
            <w:r>
              <w:rPr>
                <w:rFonts w:hint="eastAsia" w:hAnsi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2"/>
                <w:u w:val="none"/>
                <w:lang w:val="en-US" w:eastAsia="zh-CN" w:bidi="ar"/>
              </w:rPr>
              <w:t>乔木</w:t>
            </w:r>
            <w:r>
              <w:rPr>
                <w:rFonts w:hint="eastAsia" w:ascii="宋体" w:hAnsi="仿宋" w:eastAsia="宋体" w:cs="仿宋"/>
                <w:b/>
                <w:bCs/>
                <w:i w:val="0"/>
                <w:iCs w:val="0"/>
                <w:color w:val="000000"/>
                <w:kern w:val="0"/>
                <w:sz w:val="24"/>
                <w:szCs w:val="22"/>
                <w:u w:val="none"/>
                <w:lang w:val="en-US" w:eastAsia="zh-CN" w:bidi="ar"/>
              </w:rPr>
              <w:t>施肥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6A43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仿宋" w:eastAsia="宋体" w:cs="仿宋"/>
                <w:i w:val="0"/>
                <w:iCs w:val="0"/>
                <w:color w:val="000000"/>
                <w:sz w:val="24"/>
                <w:szCs w:val="22"/>
                <w:u w:val="none"/>
              </w:rPr>
            </w:pPr>
            <w:r>
              <w:rPr>
                <w:rFonts w:hint="eastAsia" w:ascii="宋体" w:hAnsi="仿宋" w:eastAsia="宋体" w:cs="仿宋"/>
                <w:i w:val="0"/>
                <w:iCs w:val="0"/>
                <w:color w:val="000000"/>
                <w:kern w:val="0"/>
                <w:sz w:val="24"/>
                <w:szCs w:val="22"/>
                <w:u w:val="none"/>
                <w:lang w:val="en-US" w:eastAsia="zh-CN" w:bidi="ar"/>
              </w:rPr>
              <w:t>石膏（农业用石膏）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383C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仿宋" w:eastAsia="宋体" w:cs="仿宋"/>
                <w:i w:val="0"/>
                <w:iCs w:val="0"/>
                <w:color w:val="000000"/>
                <w:sz w:val="24"/>
                <w:szCs w:val="22"/>
                <w:u w:val="none"/>
              </w:rPr>
            </w:pPr>
            <w:r>
              <w:rPr>
                <w:rFonts w:hint="eastAsia" w:ascii="宋体" w:hAnsi="仿宋" w:eastAsia="宋体" w:cs="仿宋"/>
                <w:i w:val="0"/>
                <w:iCs w:val="0"/>
                <w:color w:val="000000"/>
                <w:kern w:val="0"/>
                <w:sz w:val="24"/>
                <w:szCs w:val="22"/>
                <w:u w:val="none"/>
                <w:lang w:val="en-US" w:eastAsia="zh-CN" w:bidi="ar"/>
              </w:rPr>
              <w:t>0.4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616C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5820 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E114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穴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10C7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2328 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92CF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77277.48</w:t>
            </w:r>
          </w:p>
        </w:tc>
        <w:tc>
          <w:tcPr>
            <w:tcW w:w="12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D9CD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14291.42 </w:t>
            </w:r>
          </w:p>
        </w:tc>
      </w:tr>
      <w:tr w14:paraId="297A7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6737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仿宋" w:eastAsia="宋体" w:cs="仿宋"/>
                <w:b/>
                <w:bCs/>
                <w:i w:val="0"/>
                <w:iCs w:val="0"/>
                <w:color w:val="000000"/>
                <w:sz w:val="24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902B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仿宋" w:eastAsia="宋体" w:cs="仿宋"/>
                <w:i w:val="0"/>
                <w:iCs w:val="0"/>
                <w:color w:val="000000"/>
                <w:sz w:val="24"/>
                <w:szCs w:val="22"/>
                <w:u w:val="none"/>
              </w:rPr>
            </w:pPr>
            <w:r>
              <w:rPr>
                <w:rFonts w:hint="eastAsia" w:ascii="宋体" w:hAnsi="仿宋" w:eastAsia="宋体" w:cs="仿宋"/>
                <w:i w:val="0"/>
                <w:iCs w:val="0"/>
                <w:color w:val="000000"/>
                <w:kern w:val="0"/>
                <w:sz w:val="24"/>
                <w:szCs w:val="22"/>
                <w:u w:val="none"/>
                <w:lang w:val="en-US" w:eastAsia="zh-CN" w:bidi="ar"/>
              </w:rPr>
              <w:t>植苗商用腐熟有机肥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D98B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仿宋" w:eastAsia="宋体" w:cs="仿宋"/>
                <w:i w:val="0"/>
                <w:iCs w:val="0"/>
                <w:color w:val="000000"/>
                <w:sz w:val="24"/>
                <w:szCs w:val="22"/>
                <w:u w:val="none"/>
              </w:rPr>
            </w:pPr>
            <w:r>
              <w:rPr>
                <w:rFonts w:hint="eastAsia" w:ascii="宋体" w:hAnsi="仿宋" w:eastAsia="宋体" w:cs="仿宋"/>
                <w:i w:val="0"/>
                <w:iCs w:val="0"/>
                <w:color w:val="000000"/>
                <w:kern w:val="0"/>
                <w:sz w:val="24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854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5820 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3428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穴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374B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17461 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44B95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0B2E8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E667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47A6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仿宋" w:eastAsia="宋体" w:cs="仿宋"/>
                <w:b/>
                <w:bCs/>
                <w:i w:val="0"/>
                <w:iCs w:val="0"/>
                <w:color w:val="000000"/>
                <w:sz w:val="24"/>
                <w:szCs w:val="22"/>
                <w:u w:val="none"/>
              </w:rPr>
            </w:pPr>
            <w:r>
              <w:rPr>
                <w:rFonts w:hint="eastAsia" w:ascii="宋体" w:hAnsi="仿宋" w:eastAsia="宋体" w:cs="仿宋"/>
                <w:b/>
                <w:bCs/>
                <w:i w:val="0"/>
                <w:iCs w:val="0"/>
                <w:color w:val="000000"/>
                <w:kern w:val="0"/>
                <w:sz w:val="24"/>
                <w:szCs w:val="22"/>
                <w:u w:val="none"/>
                <w:lang w:val="en-US" w:eastAsia="zh-CN" w:bidi="ar"/>
              </w:rPr>
              <w:t>经济林施肥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E743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仿宋" w:eastAsia="宋体" w:cs="仿宋"/>
                <w:i w:val="0"/>
                <w:iCs w:val="0"/>
                <w:color w:val="000000"/>
                <w:sz w:val="24"/>
                <w:szCs w:val="22"/>
                <w:u w:val="none"/>
              </w:rPr>
            </w:pPr>
            <w:r>
              <w:rPr>
                <w:rFonts w:hint="eastAsia" w:ascii="宋体" w:hAnsi="仿宋" w:eastAsia="宋体" w:cs="仿宋"/>
                <w:i w:val="0"/>
                <w:iCs w:val="0"/>
                <w:color w:val="000000"/>
                <w:kern w:val="0"/>
                <w:sz w:val="24"/>
                <w:szCs w:val="22"/>
                <w:u w:val="none"/>
                <w:lang w:val="en-US" w:eastAsia="zh-CN" w:bidi="ar"/>
              </w:rPr>
              <w:t>石膏（农业用石膏）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50B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仿宋" w:eastAsia="宋体" w:cs="仿宋"/>
                <w:i w:val="0"/>
                <w:iCs w:val="0"/>
                <w:color w:val="000000"/>
                <w:sz w:val="24"/>
                <w:szCs w:val="22"/>
                <w:u w:val="none"/>
              </w:rPr>
            </w:pPr>
            <w:r>
              <w:rPr>
                <w:rFonts w:hint="eastAsia" w:ascii="宋体" w:hAnsi="仿宋" w:eastAsia="宋体" w:cs="仿宋"/>
                <w:i w:val="0"/>
                <w:iCs w:val="0"/>
                <w:color w:val="000000"/>
                <w:kern w:val="0"/>
                <w:sz w:val="24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3867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11963 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99C1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穴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9DD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11963 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583E8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BD70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C22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A43B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仿宋" w:eastAsia="宋体" w:cs="仿宋"/>
                <w:b/>
                <w:bCs/>
                <w:i w:val="0"/>
                <w:iCs w:val="0"/>
                <w:color w:val="000000"/>
                <w:sz w:val="24"/>
                <w:szCs w:val="22"/>
                <w:u w:val="none"/>
              </w:rPr>
            </w:pP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6091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仿宋" w:eastAsia="宋体" w:cs="仿宋"/>
                <w:i w:val="0"/>
                <w:iCs w:val="0"/>
                <w:color w:val="000000"/>
                <w:sz w:val="24"/>
                <w:szCs w:val="22"/>
                <w:u w:val="none"/>
              </w:rPr>
            </w:pPr>
            <w:r>
              <w:rPr>
                <w:rFonts w:hint="eastAsia" w:ascii="宋体" w:hAnsi="仿宋" w:eastAsia="宋体" w:cs="仿宋"/>
                <w:i w:val="0"/>
                <w:iCs w:val="0"/>
                <w:color w:val="000000"/>
                <w:kern w:val="0"/>
                <w:sz w:val="24"/>
                <w:szCs w:val="22"/>
                <w:u w:val="none"/>
                <w:lang w:val="en-US" w:eastAsia="zh-CN" w:bidi="ar"/>
              </w:rPr>
              <w:t>植苗商用腐熟有机肥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C5A5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仿宋" w:eastAsia="宋体" w:cs="仿宋"/>
                <w:i w:val="0"/>
                <w:iCs w:val="0"/>
                <w:color w:val="000000"/>
                <w:sz w:val="24"/>
                <w:szCs w:val="22"/>
                <w:u w:val="none"/>
              </w:rPr>
            </w:pPr>
            <w:r>
              <w:rPr>
                <w:rFonts w:hint="eastAsia" w:ascii="宋体" w:hAnsi="仿宋" w:eastAsia="宋体" w:cs="仿宋"/>
                <w:i w:val="0"/>
                <w:iCs w:val="0"/>
                <w:color w:val="000000"/>
                <w:kern w:val="0"/>
                <w:sz w:val="24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68DA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11963 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D5B5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穴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62FA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59816 </w:t>
            </w: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503C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B6A7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744686C0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p w14:paraId="05C9B67A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p w14:paraId="3A65B383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p w14:paraId="2BE66C72">
      <w:pP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D6B8CF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80D4C7"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80D4C7"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06695D"/>
    <w:multiLevelType w:val="singleLevel"/>
    <w:tmpl w:val="CD06695D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E31F15B2"/>
    <w:multiLevelType w:val="multilevel"/>
    <w:tmpl w:val="E31F15B2"/>
    <w:lvl w:ilvl="0" w:tentative="0">
      <w:start w:val="1"/>
      <w:numFmt w:val="chineseCounting"/>
      <w:pStyle w:val="2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pStyle w:val="4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6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abstractNum w:abstractNumId="2">
    <w:nsid w:val="F7F20DF8"/>
    <w:multiLevelType w:val="singleLevel"/>
    <w:tmpl w:val="F7F20DF8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3761B03E"/>
    <w:multiLevelType w:val="singleLevel"/>
    <w:tmpl w:val="3761B03E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533BB8AB"/>
    <w:multiLevelType w:val="singleLevel"/>
    <w:tmpl w:val="533BB8A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7D3A6F16"/>
    <w:multiLevelType w:val="singleLevel"/>
    <w:tmpl w:val="7D3A6F1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E31EE8"/>
    <w:rsid w:val="131B6383"/>
    <w:rsid w:val="4CFF58F8"/>
    <w:rsid w:val="5DD865E2"/>
    <w:rsid w:val="7D50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9"/>
    <w:pPr>
      <w:keepNext/>
      <w:keepLines/>
      <w:numPr>
        <w:ilvl w:val="0"/>
        <w:numId w:val="1"/>
      </w:numPr>
      <w:tabs>
        <w:tab w:val="left" w:pos="-420"/>
        <w:tab w:val="left" w:pos="0"/>
      </w:tabs>
      <w:bidi w:val="0"/>
      <w:adjustRightInd w:val="0"/>
      <w:snapToGrid w:val="0"/>
      <w:spacing w:before="50" w:beforeLines="50" w:after="50" w:afterLines="50" w:line="288" w:lineRule="auto"/>
      <w:ind w:left="432" w:leftChars="0" w:hanging="432" w:firstLineChars="0"/>
      <w:outlineLvl w:val="0"/>
    </w:pPr>
    <w:rPr>
      <w:rFonts w:ascii="黑体" w:hAnsi="黑体" w:eastAsia="黑体" w:cs="Times New Roman"/>
      <w:b/>
      <w:bCs/>
      <w:color w:val="auto"/>
      <w:kern w:val="44"/>
      <w:sz w:val="32"/>
      <w:szCs w:val="3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numPr>
        <w:ilvl w:val="1"/>
        <w:numId w:val="1"/>
      </w:numPr>
      <w:tabs>
        <w:tab w:val="left" w:pos="0"/>
      </w:tabs>
      <w:bidi w:val="0"/>
      <w:adjustRightInd w:val="0"/>
      <w:snapToGrid w:val="0"/>
      <w:spacing w:before="50" w:beforeLines="50" w:after="50" w:afterLines="50" w:line="288" w:lineRule="auto"/>
      <w:ind w:left="575" w:leftChars="0" w:hanging="575" w:firstLineChars="0"/>
      <w:outlineLvl w:val="1"/>
    </w:pPr>
    <w:rPr>
      <w:rFonts w:ascii="黑体" w:hAnsi="黑体" w:eastAsia="黑体" w:cs="Times New Roman"/>
      <w:b/>
      <w:bCs/>
      <w:color w:val="auto"/>
      <w:kern w:val="2"/>
      <w:sz w:val="30"/>
      <w:szCs w:val="30"/>
      <w:lang w:val="en-US" w:eastAsia="zh-CN" w:bidi="ar-SA"/>
    </w:rPr>
  </w:style>
  <w:style w:type="paragraph" w:styleId="4">
    <w:name w:val="heading 3"/>
    <w:basedOn w:val="1"/>
    <w:next w:val="1"/>
    <w:unhideWhenUsed/>
    <w:qFormat/>
    <w:uiPriority w:val="9"/>
    <w:pPr>
      <w:numPr>
        <w:ilvl w:val="2"/>
        <w:numId w:val="1"/>
      </w:numPr>
      <w:tabs>
        <w:tab w:val="left" w:pos="0"/>
      </w:tabs>
      <w:bidi w:val="0"/>
      <w:adjustRightInd w:val="0"/>
      <w:snapToGrid w:val="0"/>
      <w:spacing w:before="50" w:beforeLines="50" w:after="50" w:afterLines="50" w:line="288" w:lineRule="auto"/>
      <w:ind w:left="720" w:leftChars="0" w:hanging="720" w:firstLineChars="0"/>
      <w:outlineLvl w:val="2"/>
    </w:pPr>
    <w:rPr>
      <w:rFonts w:ascii="黑体" w:hAnsi="黑体" w:eastAsia="黑体" w:cs="Times New Roman"/>
      <w:b/>
      <w:bCs/>
      <w:color w:val="auto"/>
      <w:kern w:val="2"/>
      <w:sz w:val="30"/>
      <w:szCs w:val="28"/>
      <w:lang w:val="en-US" w:eastAsia="zh-CN" w:bidi="ar-SA"/>
    </w:rPr>
  </w:style>
  <w:style w:type="paragraph" w:styleId="5">
    <w:name w:val="heading 4"/>
    <w:next w:val="1"/>
    <w:unhideWhenUsed/>
    <w:qFormat/>
    <w:uiPriority w:val="9"/>
    <w:pPr>
      <w:numPr>
        <w:ilvl w:val="3"/>
        <w:numId w:val="1"/>
      </w:numPr>
      <w:tabs>
        <w:tab w:val="left" w:pos="0"/>
      </w:tabs>
      <w:bidi w:val="0"/>
      <w:adjustRightInd w:val="0"/>
      <w:snapToGrid w:val="0"/>
      <w:spacing w:before="50" w:beforeLines="50" w:after="50" w:afterLines="50" w:line="288" w:lineRule="auto"/>
      <w:ind w:left="864" w:leftChars="0" w:hanging="864" w:firstLineChars="0"/>
      <w:outlineLvl w:val="3"/>
    </w:pPr>
    <w:rPr>
      <w:rFonts w:ascii="黑体" w:hAnsi="黑体" w:eastAsia="黑体" w:cs="Times New Roman"/>
      <w:b/>
      <w:bCs/>
      <w:color w:val="auto"/>
      <w:sz w:val="28"/>
      <w:szCs w:val="28"/>
      <w:lang w:val="en-US" w:eastAsia="zh-CN" w:bidi="ar-SA"/>
    </w:rPr>
  </w:style>
  <w:style w:type="paragraph" w:styleId="6">
    <w:name w:val="heading 6"/>
    <w:basedOn w:val="1"/>
    <w:next w:val="1"/>
    <w:unhideWhenUsed/>
    <w:qFormat/>
    <w:uiPriority w:val="0"/>
    <w:pPr>
      <w:keepNext w:val="0"/>
      <w:keepLines w:val="0"/>
      <w:pageBreakBefore w:val="0"/>
      <w:widowControl/>
      <w:numPr>
        <w:ilvl w:val="5"/>
        <w:numId w:val="1"/>
      </w:numPr>
      <w:tabs>
        <w:tab w:val="left" w:pos="0"/>
      </w:tabs>
      <w:kinsoku/>
      <w:wordWrap/>
      <w:overflowPunct/>
      <w:topLinePunct w:val="0"/>
      <w:autoSpaceDE/>
      <w:autoSpaceDN/>
      <w:bidi w:val="0"/>
      <w:adjustRightInd w:val="0"/>
      <w:snapToGrid w:val="0"/>
      <w:spacing w:before="50" w:beforeLines="50" w:after="50" w:afterLines="50" w:line="288" w:lineRule="auto"/>
      <w:ind w:left="1151" w:leftChars="0" w:hanging="1151" w:firstLineChars="0"/>
      <w:textAlignment w:val="auto"/>
      <w:outlineLvl w:val="5"/>
    </w:pPr>
    <w:rPr>
      <w:rFonts w:ascii="黑体" w:hAnsi="黑体" w:eastAsia="黑体" w:cs="黑体"/>
      <w:b/>
      <w:bCs/>
      <w:color w:val="auto"/>
      <w:sz w:val="24"/>
      <w:szCs w:val="24"/>
      <w:lang w:val="en-US" w:eastAsia="zh-CN" w:bidi="ar-SA"/>
    </w:rPr>
  </w:style>
  <w:style w:type="character" w:default="1" w:styleId="16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unhideWhenUsed/>
    <w:qFormat/>
    <w:uiPriority w:val="0"/>
    <w:pPr>
      <w:ind w:firstLine="0" w:firstLineChars="0"/>
    </w:pPr>
    <w:rPr>
      <w:sz w:val="20"/>
      <w:szCs w:val="20"/>
    </w:rPr>
  </w:style>
  <w:style w:type="paragraph" w:styleId="8">
    <w:name w:val="annotation text"/>
    <w:basedOn w:val="1"/>
    <w:qFormat/>
    <w:uiPriority w:val="0"/>
    <w:pPr>
      <w:ind w:firstLine="0" w:firstLineChars="0"/>
      <w:jc w:val="left"/>
    </w:pPr>
  </w:style>
  <w:style w:type="paragraph" w:styleId="9">
    <w:name w:val="Body Text"/>
    <w:basedOn w:val="1"/>
    <w:qFormat/>
    <w:uiPriority w:val="0"/>
  </w:style>
  <w:style w:type="paragraph" w:styleId="10">
    <w:name w:val="Body Text Indent"/>
    <w:basedOn w:val="1"/>
    <w:qFormat/>
    <w:uiPriority w:val="0"/>
    <w:pPr>
      <w:spacing w:after="120"/>
      <w:ind w:left="420" w:leftChars="200"/>
    </w:pPr>
  </w:style>
  <w:style w:type="paragraph" w:styleId="11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Body Text First Indent 2"/>
    <w:basedOn w:val="10"/>
    <w:qFormat/>
    <w:uiPriority w:val="0"/>
    <w:pPr>
      <w:ind w:firstLine="420"/>
    </w:p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5771</Words>
  <Characters>6742</Characters>
  <Lines>0</Lines>
  <Paragraphs>0</Paragraphs>
  <TotalTime>11</TotalTime>
  <ScaleCrop>false</ScaleCrop>
  <LinksUpToDate>false</LinksUpToDate>
  <CharactersWithSpaces>6905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2026-03-24T10:50:00Z</dcterms:created>
  <dc:creator>Administrator</dc:creator>
  <cp:lastModifiedBy>建信-李春光</cp:lastModifiedBy>
  <cp:lastPrinted>2026-03-25T00:47:01Z</cp:lastPrinted>
  <dcterms:modified xsi:type="dcterms:W3CDTF">2026-03-25T01:14:18Z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eyJoZGlkIjoiOThhYzkwYmMzYmRlZDZmYmE3OGQzZGMyZTdjZGRjNDAiLCJ1c2VySWQiOiIxMDU5OTIxNTU5In0=</vt:lpwstr>
  </property>
  <property fmtid="{D5CDD505-2E9C-101B-9397-08002B2CF9AE}" pid="4" name="ICV">
    <vt:lpwstr>5383B1BD3A5D453F84F2784C10F7AF6F_12</vt:lpwstr>
  </property>
</Properties>
</file>