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826297">
      <w:pPr>
        <w:keepNext w:val="0"/>
        <w:keepLines w:val="0"/>
        <w:pageBreakBefore w:val="0"/>
        <w:widowControl w:val="0"/>
        <w:kinsoku/>
        <w:wordWrap/>
        <w:overflowPunct/>
        <w:topLinePunct w:val="0"/>
        <w:autoSpaceDE/>
        <w:autoSpaceDN/>
        <w:bidi w:val="0"/>
        <w:adjustRightInd/>
        <w:snapToGrid/>
        <w:spacing w:line="264" w:lineRule="auto"/>
        <w:jc w:val="center"/>
        <w:textAlignment w:val="auto"/>
        <w:rPr>
          <w:rFonts w:hint="eastAsia" w:ascii="仿宋" w:hAnsi="仿宋" w:eastAsia="仿宋"/>
          <w:b/>
          <w:bCs/>
          <w:sz w:val="24"/>
        </w:rPr>
      </w:pPr>
      <w:r>
        <w:rPr>
          <w:rFonts w:hint="eastAsia" w:ascii="仿宋" w:hAnsi="仿宋" w:eastAsia="仿宋"/>
          <w:b/>
          <w:bCs/>
          <w:sz w:val="24"/>
        </w:rPr>
        <w:t>迎宾大街周边道路补植补种及义务植树项目</w:t>
      </w:r>
    </w:p>
    <w:p w14:paraId="608DE4D1">
      <w:pPr>
        <w:keepNext w:val="0"/>
        <w:keepLines w:val="0"/>
        <w:pageBreakBefore w:val="0"/>
        <w:widowControl w:val="0"/>
        <w:kinsoku/>
        <w:wordWrap/>
        <w:overflowPunct/>
        <w:topLinePunct w:val="0"/>
        <w:autoSpaceDE/>
        <w:autoSpaceDN/>
        <w:bidi w:val="0"/>
        <w:adjustRightInd/>
        <w:snapToGrid/>
        <w:spacing w:line="264" w:lineRule="auto"/>
        <w:jc w:val="center"/>
        <w:textAlignment w:val="auto"/>
        <w:rPr>
          <w:rFonts w:hint="eastAsia" w:ascii="仿宋" w:hAnsi="仿宋" w:eastAsia="仿宋"/>
        </w:rPr>
      </w:pPr>
      <w:r>
        <w:rPr>
          <w:rFonts w:hint="eastAsia" w:ascii="仿宋" w:hAnsi="仿宋" w:eastAsia="仿宋"/>
          <w:b/>
          <w:bCs/>
          <w:sz w:val="24"/>
        </w:rPr>
        <w:t>工程量清单编制说明</w:t>
      </w:r>
    </w:p>
    <w:p w14:paraId="3A7B3884">
      <w:pPr>
        <w:keepNext w:val="0"/>
        <w:keepLines w:val="0"/>
        <w:pageBreakBefore w:val="0"/>
        <w:widowControl w:val="0"/>
        <w:kinsoku/>
        <w:wordWrap/>
        <w:overflowPunct/>
        <w:topLinePunct w:val="0"/>
        <w:autoSpaceDE/>
        <w:autoSpaceDN/>
        <w:bidi w:val="0"/>
        <w:adjustRightInd/>
        <w:snapToGrid/>
        <w:spacing w:line="264" w:lineRule="auto"/>
        <w:textAlignment w:val="auto"/>
        <w:rPr>
          <w:rFonts w:hint="eastAsia" w:ascii="仿宋" w:hAnsi="仿宋" w:eastAsia="仿宋"/>
          <w:b/>
          <w:bCs/>
        </w:rPr>
      </w:pPr>
      <w:r>
        <w:rPr>
          <w:rFonts w:hint="eastAsia" w:ascii="仿宋" w:hAnsi="仿宋" w:eastAsia="仿宋"/>
          <w:b/>
          <w:bCs/>
        </w:rPr>
        <w:t>一、编制依据</w:t>
      </w:r>
    </w:p>
    <w:p w14:paraId="50B58E7C">
      <w:pPr>
        <w:keepNext w:val="0"/>
        <w:keepLines w:val="0"/>
        <w:pageBreakBefore w:val="0"/>
        <w:widowControl w:val="0"/>
        <w:kinsoku/>
        <w:wordWrap/>
        <w:overflowPunct/>
        <w:topLinePunct w:val="0"/>
        <w:autoSpaceDE/>
        <w:autoSpaceDN/>
        <w:bidi w:val="0"/>
        <w:adjustRightInd/>
        <w:snapToGrid/>
        <w:spacing w:line="264" w:lineRule="auto"/>
        <w:ind w:firstLine="220" w:firstLineChars="100"/>
        <w:textAlignment w:val="auto"/>
        <w:rPr>
          <w:rFonts w:hint="eastAsia" w:ascii="仿宋" w:hAnsi="仿宋" w:eastAsia="仿宋"/>
        </w:rPr>
      </w:pPr>
      <w:r>
        <w:rPr>
          <w:rFonts w:hint="eastAsia" w:ascii="仿宋" w:hAnsi="仿宋" w:eastAsia="仿宋"/>
        </w:rPr>
        <w:t>1. 本工程清单依据建设单位提供的苗木做法及工程量清单表进行编制；</w:t>
      </w:r>
      <w:bookmarkStart w:id="0" w:name="OLE_LINK5"/>
      <w:r>
        <w:rPr>
          <w:rFonts w:hint="eastAsia" w:ascii="仿宋" w:hAnsi="仿宋" w:eastAsia="仿宋"/>
        </w:rPr>
        <w:t>;</w:t>
      </w:r>
      <w:bookmarkEnd w:id="0"/>
    </w:p>
    <w:p w14:paraId="798CD2ED">
      <w:pPr>
        <w:keepNext w:val="0"/>
        <w:keepLines w:val="0"/>
        <w:pageBreakBefore w:val="0"/>
        <w:widowControl w:val="0"/>
        <w:kinsoku/>
        <w:wordWrap/>
        <w:overflowPunct/>
        <w:topLinePunct w:val="0"/>
        <w:autoSpaceDE/>
        <w:autoSpaceDN/>
        <w:bidi w:val="0"/>
        <w:adjustRightInd/>
        <w:snapToGrid/>
        <w:spacing w:line="264" w:lineRule="auto"/>
        <w:ind w:firstLine="220" w:firstLineChars="100"/>
        <w:textAlignment w:val="auto"/>
        <w:rPr>
          <w:rFonts w:hint="eastAsia" w:ascii="仿宋" w:hAnsi="仿宋" w:eastAsia="仿宋"/>
        </w:rPr>
      </w:pPr>
      <w:r>
        <w:rPr>
          <w:rFonts w:hint="eastAsia" w:ascii="仿宋" w:hAnsi="仿宋" w:eastAsia="仿宋"/>
        </w:rPr>
        <w:t>2. 本</w:t>
      </w:r>
      <w:r>
        <w:rPr>
          <w:rFonts w:hint="eastAsia" w:ascii="仿宋" w:hAnsi="仿宋" w:eastAsia="仿宋"/>
          <w:lang w:val="en-US" w:eastAsia="zh-CN"/>
        </w:rPr>
        <w:t>工程</w:t>
      </w:r>
      <w:r>
        <w:rPr>
          <w:rFonts w:hint="eastAsia" w:ascii="仿宋" w:hAnsi="仿宋" w:eastAsia="仿宋"/>
        </w:rPr>
        <w:t>执行《建设工程工程量清单计价标准》GBT50500-2024，内蒙古自治区建设工程造价管理总站颁布的2017届《内蒙古自治区园林绿化工程预算定额》、《内蒙古自治区园林养护工程预算定额》</w:t>
      </w:r>
      <w:r>
        <w:rPr>
          <w:rFonts w:hint="eastAsia" w:ascii="仿宋" w:hAnsi="仿宋" w:eastAsia="仿宋"/>
          <w:lang w:eastAsia="zh-CN"/>
        </w:rPr>
        <w:t>、</w:t>
      </w:r>
      <w:r>
        <w:rPr>
          <w:rFonts w:hint="eastAsia" w:ascii="仿宋" w:hAnsi="仿宋" w:eastAsia="仿宋"/>
        </w:rPr>
        <w:t>《内蒙古自治区建设工程费用定额》及有关文件编制;</w:t>
      </w:r>
    </w:p>
    <w:p w14:paraId="2A84D98A">
      <w:pPr>
        <w:keepNext w:val="0"/>
        <w:keepLines w:val="0"/>
        <w:pageBreakBefore w:val="0"/>
        <w:widowControl w:val="0"/>
        <w:kinsoku/>
        <w:wordWrap/>
        <w:overflowPunct/>
        <w:topLinePunct w:val="0"/>
        <w:autoSpaceDE/>
        <w:autoSpaceDN/>
        <w:bidi w:val="0"/>
        <w:adjustRightInd/>
        <w:snapToGrid/>
        <w:spacing w:line="264" w:lineRule="auto"/>
        <w:ind w:firstLine="220" w:firstLineChars="100"/>
        <w:textAlignment w:val="auto"/>
        <w:rPr>
          <w:rFonts w:hint="eastAsia" w:ascii="仿宋" w:hAnsi="仿宋" w:eastAsia="仿宋"/>
        </w:rPr>
      </w:pPr>
      <w:r>
        <w:rPr>
          <w:rFonts w:hint="eastAsia" w:ascii="仿宋" w:hAnsi="仿宋" w:eastAsia="仿宋"/>
        </w:rPr>
        <w:t>3.税金按内建标(2019)113号文件9%计取;</w:t>
      </w:r>
    </w:p>
    <w:p w14:paraId="40AE2015">
      <w:pPr>
        <w:keepNext w:val="0"/>
        <w:keepLines w:val="0"/>
        <w:pageBreakBefore w:val="0"/>
        <w:widowControl w:val="0"/>
        <w:kinsoku/>
        <w:wordWrap/>
        <w:overflowPunct/>
        <w:topLinePunct w:val="0"/>
        <w:autoSpaceDE/>
        <w:autoSpaceDN/>
        <w:bidi w:val="0"/>
        <w:adjustRightInd/>
        <w:snapToGrid/>
        <w:spacing w:line="264" w:lineRule="auto"/>
        <w:ind w:firstLine="220" w:firstLineChars="100"/>
        <w:textAlignment w:val="auto"/>
        <w:rPr>
          <w:rFonts w:hint="eastAsia" w:ascii="仿宋" w:hAnsi="仿宋" w:eastAsia="仿宋"/>
        </w:rPr>
      </w:pPr>
      <w:r>
        <w:rPr>
          <w:rFonts w:hint="eastAsia" w:ascii="仿宋" w:hAnsi="仿宋" w:eastAsia="仿宋"/>
        </w:rPr>
        <w:t>4.</w:t>
      </w:r>
      <w:r>
        <w:rPr>
          <w:rFonts w:hint="eastAsia" w:ascii="仿宋" w:hAnsi="仿宋" w:eastAsia="仿宋"/>
          <w:lang w:val="en-US" w:eastAsia="zh-CN"/>
        </w:rPr>
        <w:t>规</w:t>
      </w:r>
      <w:r>
        <w:rPr>
          <w:rFonts w:hint="eastAsia" w:ascii="仿宋" w:hAnsi="仿宋" w:eastAsia="仿宋"/>
        </w:rPr>
        <w:t>费调整按内建标(2021)148号文件计取;</w:t>
      </w:r>
    </w:p>
    <w:p w14:paraId="22BA640B">
      <w:pPr>
        <w:keepNext w:val="0"/>
        <w:keepLines w:val="0"/>
        <w:pageBreakBefore w:val="0"/>
        <w:widowControl w:val="0"/>
        <w:kinsoku/>
        <w:wordWrap/>
        <w:overflowPunct/>
        <w:topLinePunct w:val="0"/>
        <w:autoSpaceDE/>
        <w:autoSpaceDN/>
        <w:bidi w:val="0"/>
        <w:adjustRightInd/>
        <w:snapToGrid/>
        <w:spacing w:line="264" w:lineRule="auto"/>
        <w:ind w:firstLine="220" w:firstLineChars="100"/>
        <w:textAlignment w:val="auto"/>
        <w:rPr>
          <w:rFonts w:hint="eastAsia" w:ascii="仿宋" w:hAnsi="仿宋" w:eastAsia="仿宋"/>
        </w:rPr>
      </w:pPr>
      <w:r>
        <w:rPr>
          <w:rFonts w:hint="eastAsia" w:ascii="仿宋" w:hAnsi="仿宋" w:eastAsia="仿宋"/>
        </w:rPr>
        <w:t>5.现行国家、行业及工程所在地（如内蒙古自治区、鄂尔多斯市）相关园林绿化工程施工质量验收规范、安全技术标准；</w:t>
      </w:r>
    </w:p>
    <w:p w14:paraId="0E4FFA45">
      <w:pPr>
        <w:keepNext w:val="0"/>
        <w:keepLines w:val="0"/>
        <w:pageBreakBefore w:val="0"/>
        <w:widowControl w:val="0"/>
        <w:kinsoku/>
        <w:wordWrap/>
        <w:overflowPunct/>
        <w:topLinePunct w:val="0"/>
        <w:autoSpaceDE/>
        <w:autoSpaceDN/>
        <w:bidi w:val="0"/>
        <w:adjustRightInd/>
        <w:snapToGrid/>
        <w:spacing w:line="264" w:lineRule="auto"/>
        <w:textAlignment w:val="auto"/>
        <w:rPr>
          <w:rFonts w:hint="eastAsia" w:ascii="仿宋" w:hAnsi="仿宋" w:eastAsia="仿宋"/>
          <w:b/>
          <w:bCs/>
        </w:rPr>
      </w:pPr>
      <w:r>
        <w:rPr>
          <w:rFonts w:hint="eastAsia" w:ascii="仿宋" w:hAnsi="仿宋" w:eastAsia="仿宋"/>
          <w:b/>
          <w:bCs/>
        </w:rPr>
        <w:t>二、工程概况</w:t>
      </w:r>
    </w:p>
    <w:p w14:paraId="2D40D25A">
      <w:pPr>
        <w:keepNext w:val="0"/>
        <w:keepLines w:val="0"/>
        <w:pageBreakBefore w:val="0"/>
        <w:widowControl w:val="0"/>
        <w:kinsoku/>
        <w:wordWrap/>
        <w:overflowPunct/>
        <w:topLinePunct w:val="0"/>
        <w:autoSpaceDE/>
        <w:autoSpaceDN/>
        <w:bidi w:val="0"/>
        <w:adjustRightInd/>
        <w:snapToGrid/>
        <w:spacing w:line="264" w:lineRule="auto"/>
        <w:ind w:firstLine="220" w:firstLineChars="100"/>
        <w:textAlignment w:val="auto"/>
        <w:rPr>
          <w:rFonts w:hint="eastAsia" w:ascii="仿宋" w:hAnsi="仿宋" w:eastAsia="仿宋"/>
        </w:rPr>
      </w:pPr>
      <w:r>
        <w:rPr>
          <w:rFonts w:hint="eastAsia" w:ascii="仿宋" w:hAnsi="仿宋" w:eastAsia="仿宋"/>
        </w:rPr>
        <w:t>1.工程名称：迎宾大街周边道路补植补种及义务植树项目</w:t>
      </w:r>
    </w:p>
    <w:p w14:paraId="2AD2A3C2">
      <w:pPr>
        <w:keepNext w:val="0"/>
        <w:keepLines w:val="0"/>
        <w:pageBreakBefore w:val="0"/>
        <w:widowControl w:val="0"/>
        <w:kinsoku/>
        <w:wordWrap/>
        <w:overflowPunct/>
        <w:topLinePunct w:val="0"/>
        <w:autoSpaceDE/>
        <w:autoSpaceDN/>
        <w:bidi w:val="0"/>
        <w:adjustRightInd/>
        <w:snapToGrid/>
        <w:spacing w:line="264" w:lineRule="auto"/>
        <w:ind w:firstLine="220" w:firstLineChars="100"/>
        <w:textAlignment w:val="auto"/>
        <w:rPr>
          <w:rFonts w:hint="eastAsia" w:ascii="仿宋" w:hAnsi="仿宋" w:eastAsia="仿宋"/>
        </w:rPr>
      </w:pPr>
      <w:r>
        <w:rPr>
          <w:rFonts w:hint="eastAsia" w:ascii="仿宋" w:hAnsi="仿宋" w:eastAsia="仿宋"/>
        </w:rPr>
        <w:t>2.工程地点：</w:t>
      </w:r>
      <w:bookmarkStart w:id="1" w:name="OLE_LINK1"/>
      <w:r>
        <w:rPr>
          <w:rFonts w:hint="eastAsia" w:ascii="仿宋" w:hAnsi="仿宋" w:eastAsia="仿宋"/>
        </w:rPr>
        <w:t>高新园区</w:t>
      </w:r>
      <w:bookmarkEnd w:id="1"/>
    </w:p>
    <w:p w14:paraId="6EC486BC">
      <w:pPr>
        <w:keepNext w:val="0"/>
        <w:keepLines w:val="0"/>
        <w:pageBreakBefore w:val="0"/>
        <w:widowControl w:val="0"/>
        <w:kinsoku/>
        <w:wordWrap/>
        <w:overflowPunct/>
        <w:topLinePunct w:val="0"/>
        <w:autoSpaceDE/>
        <w:autoSpaceDN/>
        <w:bidi w:val="0"/>
        <w:adjustRightInd/>
        <w:snapToGrid/>
        <w:spacing w:line="264" w:lineRule="auto"/>
        <w:ind w:firstLine="220" w:firstLineChars="100"/>
        <w:textAlignment w:val="auto"/>
        <w:rPr>
          <w:rFonts w:hint="eastAsia" w:ascii="仿宋" w:hAnsi="仿宋" w:eastAsia="仿宋"/>
        </w:rPr>
      </w:pPr>
      <w:r>
        <w:rPr>
          <w:rFonts w:hint="eastAsia" w:ascii="仿宋" w:hAnsi="仿宋" w:eastAsia="仿宋"/>
        </w:rPr>
        <w:t>3.工程性质：新建园林绿化工程。</w:t>
      </w:r>
    </w:p>
    <w:p w14:paraId="77B005D7">
      <w:pPr>
        <w:keepNext w:val="0"/>
        <w:keepLines w:val="0"/>
        <w:pageBreakBefore w:val="0"/>
        <w:widowControl w:val="0"/>
        <w:kinsoku/>
        <w:wordWrap/>
        <w:overflowPunct/>
        <w:topLinePunct w:val="0"/>
        <w:autoSpaceDE/>
        <w:autoSpaceDN/>
        <w:bidi w:val="0"/>
        <w:adjustRightInd/>
        <w:snapToGrid/>
        <w:spacing w:line="264" w:lineRule="auto"/>
        <w:textAlignment w:val="auto"/>
        <w:rPr>
          <w:rFonts w:hint="eastAsia" w:ascii="仿宋" w:hAnsi="仿宋" w:eastAsia="仿宋"/>
          <w:b/>
          <w:bCs/>
        </w:rPr>
      </w:pPr>
      <w:r>
        <w:rPr>
          <w:rFonts w:hint="eastAsia" w:ascii="仿宋" w:hAnsi="仿宋" w:eastAsia="仿宋"/>
          <w:b/>
          <w:bCs/>
        </w:rPr>
        <w:t>三、苗木材料价及其他材料价</w:t>
      </w:r>
    </w:p>
    <w:p w14:paraId="38A86B32">
      <w:pPr>
        <w:keepNext w:val="0"/>
        <w:keepLines w:val="0"/>
        <w:pageBreakBefore w:val="0"/>
        <w:widowControl w:val="0"/>
        <w:kinsoku/>
        <w:wordWrap/>
        <w:overflowPunct/>
        <w:topLinePunct w:val="0"/>
        <w:autoSpaceDE/>
        <w:autoSpaceDN/>
        <w:bidi w:val="0"/>
        <w:adjustRightInd/>
        <w:snapToGrid/>
        <w:spacing w:line="264" w:lineRule="auto"/>
        <w:textAlignment w:val="auto"/>
        <w:rPr>
          <w:rFonts w:hint="eastAsia" w:ascii="仿宋" w:hAnsi="仿宋" w:eastAsia="仿宋"/>
        </w:rPr>
      </w:pPr>
      <w:r>
        <w:rPr>
          <w:rFonts w:hint="eastAsia" w:ascii="仿宋" w:hAnsi="仿宋" w:eastAsia="仿宋"/>
          <w:b/>
          <w:bCs/>
        </w:rPr>
        <w:t xml:space="preserve">  </w:t>
      </w:r>
      <w:r>
        <w:rPr>
          <w:rFonts w:hint="eastAsia" w:ascii="仿宋" w:hAnsi="仿宋" w:eastAsia="仿宋"/>
        </w:rPr>
        <w:t xml:space="preserve"> 本工程材料价格参照鄂尔多斯市东胜区、康巴什、伊金霍洛旗2025年信息价及周边市场价格。</w:t>
      </w:r>
    </w:p>
    <w:p w14:paraId="39765A80">
      <w:pPr>
        <w:keepNext w:val="0"/>
        <w:keepLines w:val="0"/>
        <w:pageBreakBefore w:val="0"/>
        <w:widowControl w:val="0"/>
        <w:kinsoku/>
        <w:wordWrap/>
        <w:overflowPunct/>
        <w:topLinePunct w:val="0"/>
        <w:autoSpaceDE/>
        <w:autoSpaceDN/>
        <w:bidi w:val="0"/>
        <w:adjustRightInd/>
        <w:snapToGrid/>
        <w:spacing w:line="264" w:lineRule="auto"/>
        <w:textAlignment w:val="auto"/>
        <w:rPr>
          <w:rFonts w:hint="eastAsia" w:ascii="仿宋" w:hAnsi="仿宋" w:eastAsia="仿宋"/>
          <w:b/>
          <w:bCs/>
        </w:rPr>
      </w:pPr>
      <w:r>
        <w:rPr>
          <w:rFonts w:hint="eastAsia" w:ascii="仿宋" w:hAnsi="仿宋" w:eastAsia="仿宋"/>
          <w:b/>
          <w:bCs/>
        </w:rPr>
        <w:t>四、暂列金</w:t>
      </w:r>
    </w:p>
    <w:p w14:paraId="38B3E34C">
      <w:pPr>
        <w:keepNext w:val="0"/>
        <w:keepLines w:val="0"/>
        <w:pageBreakBefore w:val="0"/>
        <w:widowControl w:val="0"/>
        <w:kinsoku/>
        <w:wordWrap/>
        <w:overflowPunct/>
        <w:topLinePunct w:val="0"/>
        <w:autoSpaceDE/>
        <w:autoSpaceDN/>
        <w:bidi w:val="0"/>
        <w:adjustRightInd/>
        <w:snapToGrid/>
        <w:spacing w:line="264" w:lineRule="auto"/>
        <w:textAlignment w:val="auto"/>
        <w:rPr>
          <w:rFonts w:hint="eastAsia" w:ascii="仿宋" w:hAnsi="仿宋" w:eastAsia="仿宋"/>
        </w:rPr>
      </w:pPr>
      <w:r>
        <w:rPr>
          <w:rFonts w:hint="eastAsia" w:ascii="仿宋" w:hAnsi="仿宋" w:eastAsia="仿宋"/>
          <w:b/>
          <w:bCs/>
        </w:rPr>
        <w:t xml:space="preserve">    </w:t>
      </w:r>
      <w:r>
        <w:rPr>
          <w:rFonts w:hint="eastAsia" w:ascii="仿宋" w:hAnsi="仿宋" w:eastAsia="仿宋"/>
        </w:rPr>
        <w:t>暂列金：</w:t>
      </w:r>
      <w:r>
        <w:rPr>
          <w:rFonts w:hint="eastAsia" w:ascii="仿宋" w:hAnsi="仿宋" w:eastAsia="仿宋"/>
          <w:lang w:val="en-US" w:eastAsia="zh-CN"/>
        </w:rPr>
        <w:t>163500</w:t>
      </w:r>
      <w:r>
        <w:rPr>
          <w:rFonts w:hint="eastAsia" w:ascii="仿宋" w:hAnsi="仿宋" w:eastAsia="仿宋"/>
        </w:rPr>
        <w:t>元（含税）。</w:t>
      </w:r>
    </w:p>
    <w:p w14:paraId="2AC3B629">
      <w:pPr>
        <w:keepNext w:val="0"/>
        <w:keepLines w:val="0"/>
        <w:pageBreakBefore w:val="0"/>
        <w:widowControl w:val="0"/>
        <w:kinsoku/>
        <w:wordWrap/>
        <w:overflowPunct/>
        <w:topLinePunct w:val="0"/>
        <w:autoSpaceDE/>
        <w:autoSpaceDN/>
        <w:bidi w:val="0"/>
        <w:adjustRightInd/>
        <w:snapToGrid/>
        <w:spacing w:line="264" w:lineRule="auto"/>
        <w:textAlignment w:val="auto"/>
        <w:rPr>
          <w:rFonts w:hint="eastAsia" w:ascii="仿宋" w:hAnsi="仿宋" w:eastAsia="仿宋"/>
        </w:rPr>
      </w:pPr>
      <w:r>
        <w:rPr>
          <w:rFonts w:hint="eastAsia" w:ascii="仿宋" w:hAnsi="仿宋" w:eastAsia="仿宋"/>
          <w:b/>
          <w:bCs/>
          <w:lang w:val="en-US" w:eastAsia="zh-CN"/>
        </w:rPr>
        <w:t>五</w:t>
      </w:r>
      <w:r>
        <w:rPr>
          <w:rFonts w:hint="eastAsia" w:ascii="仿宋" w:hAnsi="仿宋" w:eastAsia="仿宋"/>
          <w:b/>
          <w:bCs/>
        </w:rPr>
        <w:t>、</w:t>
      </w:r>
      <w:r>
        <w:rPr>
          <w:rFonts w:hint="eastAsia" w:ascii="仿宋" w:hAnsi="仿宋" w:eastAsia="仿宋"/>
        </w:rPr>
        <w:t xml:space="preserve"> </w:t>
      </w:r>
      <w:r>
        <w:rPr>
          <w:rFonts w:hint="eastAsia" w:ascii="仿宋" w:hAnsi="仿宋" w:eastAsia="仿宋"/>
          <w:b/>
          <w:bCs/>
        </w:rPr>
        <w:t>清单编制范围</w:t>
      </w:r>
    </w:p>
    <w:p w14:paraId="312FFB8B">
      <w:pPr>
        <w:keepNext w:val="0"/>
        <w:keepLines w:val="0"/>
        <w:pageBreakBefore w:val="0"/>
        <w:widowControl w:val="0"/>
        <w:kinsoku/>
        <w:wordWrap/>
        <w:overflowPunct/>
        <w:topLinePunct w:val="0"/>
        <w:autoSpaceDE/>
        <w:autoSpaceDN/>
        <w:bidi w:val="0"/>
        <w:adjustRightInd/>
        <w:snapToGrid/>
        <w:spacing w:line="264" w:lineRule="auto"/>
        <w:ind w:firstLine="220" w:firstLineChars="100"/>
        <w:textAlignment w:val="auto"/>
        <w:rPr>
          <w:rFonts w:hint="eastAsia" w:ascii="仿宋" w:hAnsi="仿宋" w:eastAsia="仿宋"/>
        </w:rPr>
      </w:pPr>
      <w:r>
        <w:rPr>
          <w:rFonts w:hint="eastAsia" w:ascii="仿宋" w:hAnsi="仿宋" w:eastAsia="仿宋"/>
        </w:rPr>
        <w:t>1.</w:t>
      </w:r>
      <w:r>
        <w:rPr>
          <w:rFonts w:ascii="Calibri" w:hAnsi="Calibri" w:eastAsia="仿宋" w:cs="Calibri"/>
        </w:rPr>
        <w:t> </w:t>
      </w:r>
      <w:r>
        <w:rPr>
          <w:rFonts w:hint="eastAsia" w:ascii="仿宋" w:hAnsi="仿宋" w:eastAsia="仿宋"/>
        </w:rPr>
        <w:t>土方工程：包括绿化用地平整、土方开挖、土方回填、种植土换填、土方运输等；</w:t>
      </w:r>
    </w:p>
    <w:p w14:paraId="18D1C343">
      <w:pPr>
        <w:keepNext w:val="0"/>
        <w:keepLines w:val="0"/>
        <w:pageBreakBefore w:val="0"/>
        <w:widowControl w:val="0"/>
        <w:kinsoku/>
        <w:wordWrap/>
        <w:overflowPunct/>
        <w:topLinePunct w:val="0"/>
        <w:autoSpaceDE/>
        <w:autoSpaceDN/>
        <w:bidi w:val="0"/>
        <w:adjustRightInd/>
        <w:snapToGrid/>
        <w:spacing w:line="264" w:lineRule="auto"/>
        <w:ind w:firstLine="220" w:firstLineChars="100"/>
        <w:textAlignment w:val="auto"/>
        <w:rPr>
          <w:rFonts w:hint="eastAsia" w:ascii="仿宋" w:hAnsi="仿宋" w:eastAsia="仿宋"/>
        </w:rPr>
      </w:pPr>
      <w:r>
        <w:rPr>
          <w:rFonts w:hint="eastAsia" w:ascii="仿宋" w:hAnsi="仿宋" w:eastAsia="仿宋"/>
        </w:rPr>
        <w:t>2.</w:t>
      </w:r>
      <w:r>
        <w:rPr>
          <w:rFonts w:ascii="Calibri" w:hAnsi="Calibri" w:eastAsia="仿宋" w:cs="Calibri"/>
        </w:rPr>
        <w:t> </w:t>
      </w:r>
      <w:r>
        <w:rPr>
          <w:rFonts w:hint="eastAsia" w:ascii="仿宋" w:hAnsi="仿宋" w:eastAsia="仿宋"/>
        </w:rPr>
        <w:t>苗木种植工程：涵盖乔木、灌木、地被植物、花卉、草坪等各类苗木的栽植，含苗木起挖、运输、定植、支撑固定等相关工序；</w:t>
      </w:r>
    </w:p>
    <w:p w14:paraId="36D2D780">
      <w:pPr>
        <w:keepNext w:val="0"/>
        <w:keepLines w:val="0"/>
        <w:pageBreakBefore w:val="0"/>
        <w:widowControl w:val="0"/>
        <w:kinsoku/>
        <w:wordWrap/>
        <w:overflowPunct/>
        <w:topLinePunct w:val="0"/>
        <w:autoSpaceDE/>
        <w:autoSpaceDN/>
        <w:bidi w:val="0"/>
        <w:adjustRightInd/>
        <w:snapToGrid/>
        <w:spacing w:line="264" w:lineRule="auto"/>
        <w:ind w:firstLine="220" w:firstLineChars="100"/>
        <w:textAlignment w:val="auto"/>
        <w:rPr>
          <w:rFonts w:ascii="仿宋" w:hAnsi="仿宋" w:eastAsia="仿宋"/>
        </w:rPr>
      </w:pPr>
      <w:r>
        <w:rPr>
          <w:rFonts w:hint="eastAsia" w:ascii="仿宋" w:hAnsi="仿宋" w:eastAsia="仿宋"/>
        </w:rPr>
        <w:t>3.</w:t>
      </w:r>
      <w:r>
        <w:rPr>
          <w:rFonts w:ascii="Calibri" w:hAnsi="Calibri" w:eastAsia="仿宋" w:cs="Calibri"/>
        </w:rPr>
        <w:t> </w:t>
      </w:r>
      <w:r>
        <w:rPr>
          <w:rFonts w:hint="eastAsia" w:ascii="仿宋" w:hAnsi="仿宋" w:eastAsia="仿宋"/>
        </w:rPr>
        <w:t>绿化养护工程：苗木种植后的养护期内的浇水、施肥、修剪、病虫害防治、除草、补植等。</w:t>
      </w:r>
    </w:p>
    <w:p w14:paraId="51A04FE4">
      <w:pPr>
        <w:keepNext w:val="0"/>
        <w:keepLines w:val="0"/>
        <w:pageBreakBefore w:val="0"/>
        <w:widowControl w:val="0"/>
        <w:kinsoku/>
        <w:wordWrap/>
        <w:overflowPunct/>
        <w:topLinePunct w:val="0"/>
        <w:autoSpaceDE/>
        <w:autoSpaceDN/>
        <w:bidi w:val="0"/>
        <w:adjustRightInd/>
        <w:snapToGrid/>
        <w:spacing w:line="264" w:lineRule="auto"/>
        <w:textAlignment w:val="auto"/>
        <w:rPr>
          <w:rFonts w:hint="eastAsia" w:ascii="仿宋" w:hAnsi="仿宋" w:eastAsia="仿宋"/>
          <w:b/>
          <w:bCs/>
        </w:rPr>
      </w:pPr>
      <w:r>
        <w:rPr>
          <w:rFonts w:hint="eastAsia" w:ascii="仿宋" w:hAnsi="仿宋" w:eastAsia="仿宋"/>
          <w:b/>
          <w:bCs/>
          <w:lang w:val="en-US" w:eastAsia="zh-CN"/>
        </w:rPr>
        <w:t>六</w:t>
      </w:r>
      <w:r>
        <w:rPr>
          <w:rFonts w:hint="eastAsia" w:ascii="仿宋" w:hAnsi="仿宋" w:eastAsia="仿宋"/>
          <w:b/>
          <w:bCs/>
        </w:rPr>
        <w:t>、计量规则说明</w:t>
      </w:r>
    </w:p>
    <w:p w14:paraId="0E25CE39">
      <w:pPr>
        <w:keepNext w:val="0"/>
        <w:keepLines w:val="0"/>
        <w:pageBreakBefore w:val="0"/>
        <w:widowControl w:val="0"/>
        <w:kinsoku/>
        <w:wordWrap/>
        <w:overflowPunct/>
        <w:topLinePunct w:val="0"/>
        <w:autoSpaceDE/>
        <w:autoSpaceDN/>
        <w:bidi w:val="0"/>
        <w:adjustRightInd/>
        <w:snapToGrid/>
        <w:spacing w:line="264" w:lineRule="auto"/>
        <w:ind w:firstLine="220" w:firstLineChars="100"/>
        <w:textAlignment w:val="auto"/>
        <w:rPr>
          <w:rFonts w:hint="eastAsia" w:ascii="仿宋" w:hAnsi="仿宋" w:eastAsia="仿宋"/>
        </w:rPr>
      </w:pPr>
      <w:r>
        <w:rPr>
          <w:rFonts w:hint="eastAsia" w:ascii="仿宋" w:hAnsi="仿宋" w:eastAsia="仿宋"/>
        </w:rPr>
        <w:t>1.</w:t>
      </w:r>
      <w:r>
        <w:rPr>
          <w:rFonts w:ascii="Calibri" w:hAnsi="Calibri" w:eastAsia="仿宋" w:cs="Calibri"/>
        </w:rPr>
        <w:t> </w:t>
      </w:r>
      <w:r>
        <w:rPr>
          <w:rFonts w:hint="eastAsia" w:ascii="仿宋" w:hAnsi="仿宋" w:eastAsia="仿宋"/>
        </w:rPr>
        <w:t>苗木计量：</w:t>
      </w:r>
    </w:p>
    <w:p w14:paraId="5B6525DD">
      <w:pPr>
        <w:keepNext w:val="0"/>
        <w:keepLines w:val="0"/>
        <w:pageBreakBefore w:val="0"/>
        <w:widowControl w:val="0"/>
        <w:kinsoku/>
        <w:wordWrap/>
        <w:overflowPunct/>
        <w:topLinePunct w:val="0"/>
        <w:autoSpaceDE/>
        <w:autoSpaceDN/>
        <w:bidi w:val="0"/>
        <w:adjustRightInd/>
        <w:snapToGrid/>
        <w:spacing w:line="264" w:lineRule="auto"/>
        <w:ind w:firstLine="220" w:firstLineChars="100"/>
        <w:textAlignment w:val="auto"/>
        <w:rPr>
          <w:rFonts w:hint="eastAsia" w:ascii="仿宋" w:hAnsi="仿宋" w:eastAsia="仿宋"/>
        </w:rPr>
      </w:pPr>
      <w:r>
        <w:rPr>
          <w:rFonts w:hint="eastAsia" w:ascii="仿宋" w:hAnsi="仿宋" w:eastAsia="仿宋"/>
        </w:rPr>
        <w:t>（1）乔木按“株”计量，区分胸径、地径、高度、冠幅等规格，以设计图纸标注尺寸为准；</w:t>
      </w:r>
    </w:p>
    <w:p w14:paraId="526A8239">
      <w:pPr>
        <w:keepNext w:val="0"/>
        <w:keepLines w:val="0"/>
        <w:pageBreakBefore w:val="0"/>
        <w:widowControl w:val="0"/>
        <w:kinsoku/>
        <w:wordWrap/>
        <w:overflowPunct/>
        <w:topLinePunct w:val="0"/>
        <w:autoSpaceDE/>
        <w:autoSpaceDN/>
        <w:bidi w:val="0"/>
        <w:adjustRightInd/>
        <w:snapToGrid/>
        <w:spacing w:line="264" w:lineRule="auto"/>
        <w:ind w:firstLine="220" w:firstLineChars="100"/>
        <w:textAlignment w:val="auto"/>
        <w:rPr>
          <w:rFonts w:hint="eastAsia" w:ascii="仿宋" w:hAnsi="仿宋" w:eastAsia="仿宋"/>
        </w:rPr>
      </w:pPr>
      <w:r>
        <w:rPr>
          <w:rFonts w:hint="eastAsia" w:ascii="仿宋" w:hAnsi="仿宋" w:eastAsia="仿宋"/>
        </w:rPr>
        <w:t>（2）灌木按“株”或“平方米”计量，丛生灌木按“丛”计量，均按设计规格（高度、冠幅、蓬径等）划分档次；</w:t>
      </w:r>
    </w:p>
    <w:p w14:paraId="5B12B6F9">
      <w:pPr>
        <w:keepNext w:val="0"/>
        <w:keepLines w:val="0"/>
        <w:pageBreakBefore w:val="0"/>
        <w:widowControl w:val="0"/>
        <w:kinsoku/>
        <w:wordWrap/>
        <w:overflowPunct/>
        <w:topLinePunct w:val="0"/>
        <w:autoSpaceDE/>
        <w:autoSpaceDN/>
        <w:bidi w:val="0"/>
        <w:adjustRightInd/>
        <w:snapToGrid/>
        <w:spacing w:line="264" w:lineRule="auto"/>
        <w:ind w:firstLine="220" w:firstLineChars="100"/>
        <w:textAlignment w:val="auto"/>
        <w:rPr>
          <w:rFonts w:hint="eastAsia" w:ascii="仿宋" w:hAnsi="仿宋" w:eastAsia="仿宋"/>
        </w:rPr>
      </w:pPr>
      <w:r>
        <w:rPr>
          <w:rFonts w:hint="eastAsia" w:ascii="仿宋" w:hAnsi="仿宋" w:eastAsia="仿宋"/>
        </w:rPr>
        <w:t>（3）地被植物、花卉按“平方米”计量，草坪按“平方米”计量，工程量按实际种植面积计算，扣除大于0.3平方米的坑穴、构筑物所占面积。</w:t>
      </w:r>
    </w:p>
    <w:p w14:paraId="0A9F3D28">
      <w:pPr>
        <w:keepNext w:val="0"/>
        <w:keepLines w:val="0"/>
        <w:pageBreakBefore w:val="0"/>
        <w:widowControl w:val="0"/>
        <w:kinsoku/>
        <w:wordWrap/>
        <w:overflowPunct/>
        <w:topLinePunct w:val="0"/>
        <w:autoSpaceDE/>
        <w:autoSpaceDN/>
        <w:bidi w:val="0"/>
        <w:adjustRightInd/>
        <w:snapToGrid/>
        <w:spacing w:line="264" w:lineRule="auto"/>
        <w:textAlignment w:val="auto"/>
        <w:rPr>
          <w:rFonts w:hint="eastAsia" w:ascii="仿宋" w:hAnsi="仿宋" w:eastAsia="仿宋"/>
        </w:rPr>
      </w:pPr>
      <w:r>
        <w:rPr>
          <w:rFonts w:hint="eastAsia" w:ascii="仿宋" w:hAnsi="仿宋" w:eastAsia="仿宋"/>
        </w:rPr>
        <w:t>2.</w:t>
      </w:r>
      <w:r>
        <w:rPr>
          <w:rFonts w:ascii="Calibri" w:hAnsi="Calibri" w:eastAsia="仿宋" w:cs="Calibri"/>
        </w:rPr>
        <w:t> </w:t>
      </w:r>
      <w:r>
        <w:rPr>
          <w:rFonts w:hint="eastAsia" w:ascii="仿宋" w:hAnsi="仿宋" w:eastAsia="仿宋"/>
        </w:rPr>
        <w:t>土方工程计量：</w:t>
      </w:r>
    </w:p>
    <w:p w14:paraId="19F9D684">
      <w:pPr>
        <w:keepNext w:val="0"/>
        <w:keepLines w:val="0"/>
        <w:pageBreakBefore w:val="0"/>
        <w:widowControl w:val="0"/>
        <w:kinsoku/>
        <w:wordWrap/>
        <w:overflowPunct/>
        <w:topLinePunct w:val="0"/>
        <w:autoSpaceDE/>
        <w:autoSpaceDN/>
        <w:bidi w:val="0"/>
        <w:adjustRightInd/>
        <w:snapToGrid/>
        <w:spacing w:line="264" w:lineRule="auto"/>
        <w:ind w:firstLine="220" w:firstLineChars="100"/>
        <w:textAlignment w:val="auto"/>
        <w:rPr>
          <w:rFonts w:hint="eastAsia" w:ascii="仿宋" w:hAnsi="仿宋" w:eastAsia="仿宋"/>
        </w:rPr>
      </w:pPr>
      <w:r>
        <w:rPr>
          <w:rFonts w:hint="eastAsia" w:ascii="仿宋" w:hAnsi="仿宋" w:eastAsia="仿宋"/>
        </w:rPr>
        <w:t>（1）土方开挖、回填按“立方米”计量，按设计图示尺寸以体积计算，考虑土壤松散系数（按当地定额规定或现场实测确定）；</w:t>
      </w:r>
    </w:p>
    <w:p w14:paraId="20A73529">
      <w:pPr>
        <w:keepNext w:val="0"/>
        <w:keepLines w:val="0"/>
        <w:pageBreakBefore w:val="0"/>
        <w:widowControl w:val="0"/>
        <w:kinsoku/>
        <w:wordWrap/>
        <w:overflowPunct/>
        <w:topLinePunct w:val="0"/>
        <w:autoSpaceDE/>
        <w:autoSpaceDN/>
        <w:bidi w:val="0"/>
        <w:adjustRightInd/>
        <w:snapToGrid/>
        <w:spacing w:line="264" w:lineRule="auto"/>
        <w:ind w:firstLine="220" w:firstLineChars="100"/>
        <w:textAlignment w:val="auto"/>
        <w:rPr>
          <w:rFonts w:hint="eastAsia" w:ascii="仿宋" w:hAnsi="仿宋" w:eastAsia="仿宋"/>
        </w:rPr>
      </w:pPr>
      <w:r>
        <w:rPr>
          <w:rFonts w:hint="eastAsia" w:ascii="仿宋" w:hAnsi="仿宋" w:eastAsia="仿宋"/>
        </w:rPr>
        <w:t>（2）种植土换填按“立方米”计量，按实际换填体积计算，含种植土采购、运输、铺设、找平工序。</w:t>
      </w:r>
    </w:p>
    <w:p w14:paraId="51583B2F">
      <w:pPr>
        <w:keepNext w:val="0"/>
        <w:keepLines w:val="0"/>
        <w:pageBreakBefore w:val="0"/>
        <w:widowControl w:val="0"/>
        <w:kinsoku/>
        <w:wordWrap/>
        <w:overflowPunct/>
        <w:topLinePunct w:val="0"/>
        <w:autoSpaceDE/>
        <w:autoSpaceDN/>
        <w:bidi w:val="0"/>
        <w:adjustRightInd/>
        <w:snapToGrid/>
        <w:spacing w:line="264" w:lineRule="auto"/>
        <w:textAlignment w:val="auto"/>
        <w:rPr>
          <w:rFonts w:hint="eastAsia" w:ascii="仿宋" w:hAnsi="仿宋" w:eastAsia="仿宋"/>
        </w:rPr>
      </w:pPr>
      <w:r>
        <w:rPr>
          <w:rFonts w:hint="eastAsia" w:ascii="仿宋" w:hAnsi="仿宋" w:eastAsia="仿宋"/>
        </w:rPr>
        <w:t>3.</w:t>
      </w:r>
      <w:r>
        <w:rPr>
          <w:rFonts w:ascii="Calibri" w:hAnsi="Calibri" w:eastAsia="仿宋" w:cs="Calibri"/>
        </w:rPr>
        <w:t> </w:t>
      </w:r>
      <w:r>
        <w:rPr>
          <w:rFonts w:hint="eastAsia" w:ascii="仿宋" w:hAnsi="仿宋" w:eastAsia="仿宋"/>
        </w:rPr>
        <w:t>养护工程计量：按养护面积（平方米）或养护苗木数量（株/丛）计量，养护期按招标文件约定执行，分阶段（如前期养护、后期养护）计价的，明确各阶段养护范围及要求。</w:t>
      </w:r>
    </w:p>
    <w:p w14:paraId="04D82AB8">
      <w:pPr>
        <w:keepNext w:val="0"/>
        <w:keepLines w:val="0"/>
        <w:pageBreakBefore w:val="0"/>
        <w:widowControl w:val="0"/>
        <w:kinsoku/>
        <w:wordWrap/>
        <w:overflowPunct/>
        <w:topLinePunct w:val="0"/>
        <w:autoSpaceDE/>
        <w:autoSpaceDN/>
        <w:bidi w:val="0"/>
        <w:adjustRightInd/>
        <w:snapToGrid/>
        <w:spacing w:line="264" w:lineRule="auto"/>
        <w:textAlignment w:val="auto"/>
        <w:rPr>
          <w:rFonts w:hint="eastAsia" w:ascii="仿宋" w:hAnsi="仿宋" w:eastAsia="仿宋"/>
          <w:b/>
          <w:bCs/>
        </w:rPr>
      </w:pPr>
      <w:r>
        <w:rPr>
          <w:rFonts w:hint="eastAsia" w:ascii="仿宋" w:hAnsi="仿宋" w:eastAsia="仿宋"/>
          <w:b/>
          <w:bCs/>
          <w:lang w:eastAsia="zh-CN"/>
        </w:rPr>
        <w:t>七</w:t>
      </w:r>
      <w:r>
        <w:rPr>
          <w:rFonts w:hint="eastAsia" w:ascii="仿宋" w:hAnsi="仿宋" w:eastAsia="仿宋"/>
          <w:b/>
          <w:bCs/>
        </w:rPr>
        <w:t>、其他重要说明</w:t>
      </w:r>
    </w:p>
    <w:p w14:paraId="529E9AD2">
      <w:pPr>
        <w:keepNext w:val="0"/>
        <w:keepLines w:val="0"/>
        <w:pageBreakBefore w:val="0"/>
        <w:widowControl w:val="0"/>
        <w:kinsoku/>
        <w:wordWrap/>
        <w:overflowPunct/>
        <w:topLinePunct w:val="0"/>
        <w:autoSpaceDE/>
        <w:autoSpaceDN/>
        <w:bidi w:val="0"/>
        <w:adjustRightInd/>
        <w:snapToGrid/>
        <w:spacing w:line="264" w:lineRule="auto"/>
        <w:ind w:firstLine="220" w:firstLineChars="100"/>
        <w:textAlignment w:val="auto"/>
        <w:rPr>
          <w:rFonts w:ascii="Calibri" w:hAnsi="Calibri" w:eastAsia="仿宋" w:cs="Calibri"/>
        </w:rPr>
      </w:pPr>
      <w:r>
        <w:rPr>
          <w:rFonts w:hint="eastAsia" w:ascii="仿宋" w:hAnsi="仿宋" w:eastAsia="仿宋"/>
        </w:rPr>
        <w:t>1.</w:t>
      </w:r>
      <w:r>
        <w:rPr>
          <w:rFonts w:ascii="Calibri" w:hAnsi="Calibri" w:eastAsia="仿宋" w:cs="Calibri"/>
        </w:rPr>
        <w:t> </w:t>
      </w:r>
      <w:r>
        <w:rPr>
          <w:rFonts w:hint="eastAsia" w:ascii="Calibri" w:hAnsi="Calibri" w:eastAsia="仿宋" w:cs="Calibri"/>
        </w:rPr>
        <w:t>本工程控制价绿化苗木移植依据土球大小进行编制核算；</w:t>
      </w:r>
    </w:p>
    <w:p w14:paraId="73EB8DF0">
      <w:pPr>
        <w:keepNext w:val="0"/>
        <w:keepLines w:val="0"/>
        <w:pageBreakBefore w:val="0"/>
        <w:widowControl w:val="0"/>
        <w:kinsoku/>
        <w:wordWrap/>
        <w:overflowPunct/>
        <w:topLinePunct w:val="0"/>
        <w:autoSpaceDE/>
        <w:autoSpaceDN/>
        <w:bidi w:val="0"/>
        <w:adjustRightInd/>
        <w:snapToGrid/>
        <w:spacing w:line="264" w:lineRule="auto"/>
        <w:ind w:firstLine="220" w:firstLineChars="100"/>
        <w:textAlignment w:val="auto"/>
        <w:rPr>
          <w:rFonts w:hint="eastAsia" w:ascii="仿宋" w:hAnsi="仿宋" w:eastAsia="仿宋"/>
        </w:rPr>
      </w:pPr>
      <w:r>
        <w:rPr>
          <w:rFonts w:hint="eastAsia" w:ascii="仿宋" w:hAnsi="仿宋" w:eastAsia="仿宋"/>
        </w:rPr>
        <w:t>2.清单项目中未单独列项但为完成该项目所必需的辅助工序（如苗木种植前的断根处理、土壤消毒、坑穴开挖后的基肥铺设等），均包含在对应项目报价内，投标人投标时应综合考虑，清单不再单独计价；</w:t>
      </w:r>
    </w:p>
    <w:p w14:paraId="2EB119C3">
      <w:pPr>
        <w:keepNext w:val="0"/>
        <w:keepLines w:val="0"/>
        <w:pageBreakBefore w:val="0"/>
        <w:widowControl w:val="0"/>
        <w:kinsoku/>
        <w:wordWrap/>
        <w:overflowPunct/>
        <w:topLinePunct w:val="0"/>
        <w:autoSpaceDE/>
        <w:autoSpaceDN/>
        <w:bidi w:val="0"/>
        <w:adjustRightInd/>
        <w:snapToGrid/>
        <w:spacing w:line="264" w:lineRule="auto"/>
        <w:ind w:firstLine="220" w:firstLineChars="100"/>
        <w:textAlignment w:val="auto"/>
        <w:rPr>
          <w:rFonts w:hint="eastAsia" w:ascii="仿宋" w:hAnsi="仿宋" w:eastAsia="仿宋"/>
        </w:rPr>
      </w:pPr>
      <w:r>
        <w:rPr>
          <w:rFonts w:hint="eastAsia" w:ascii="仿宋" w:hAnsi="仿宋" w:eastAsia="仿宋"/>
        </w:rPr>
        <w:t>3.</w:t>
      </w:r>
      <w:r>
        <w:rPr>
          <w:rFonts w:ascii="Calibri" w:hAnsi="Calibri" w:eastAsia="仿宋" w:cs="Calibri"/>
        </w:rPr>
        <w:t> </w:t>
      </w:r>
      <w:r>
        <w:rPr>
          <w:rFonts w:hint="eastAsia" w:ascii="仿宋" w:hAnsi="仿宋" w:eastAsia="仿宋"/>
        </w:rPr>
        <w:t>苗木成活率约定：明确苗木种植后成活率要求（如乔木成活率100%、灌木及地被成活率≥95%），成活率不足部分的补植责任及费用承担方式按招标文件或合同约定执行；</w:t>
      </w:r>
    </w:p>
    <w:p w14:paraId="473B5448">
      <w:pPr>
        <w:keepNext w:val="0"/>
        <w:keepLines w:val="0"/>
        <w:pageBreakBefore w:val="0"/>
        <w:widowControl w:val="0"/>
        <w:kinsoku/>
        <w:wordWrap/>
        <w:overflowPunct/>
        <w:topLinePunct w:val="0"/>
        <w:autoSpaceDE/>
        <w:autoSpaceDN/>
        <w:bidi w:val="0"/>
        <w:adjustRightInd/>
        <w:snapToGrid/>
        <w:spacing w:line="264" w:lineRule="auto"/>
        <w:ind w:firstLine="220" w:firstLineChars="100"/>
        <w:textAlignment w:val="auto"/>
        <w:rPr>
          <w:rFonts w:hint="eastAsia" w:ascii="仿宋" w:hAnsi="仿宋" w:eastAsia="仿宋"/>
        </w:rPr>
      </w:pPr>
      <w:r>
        <w:rPr>
          <w:rFonts w:hint="eastAsia" w:ascii="仿宋" w:hAnsi="仿宋" w:eastAsia="仿宋"/>
        </w:rPr>
        <w:t>4.</w:t>
      </w:r>
      <w:r>
        <w:rPr>
          <w:rFonts w:ascii="Calibri" w:hAnsi="Calibri" w:eastAsia="仿宋" w:cs="Calibri"/>
        </w:rPr>
        <w:t> </w:t>
      </w:r>
      <w:r>
        <w:rPr>
          <w:rFonts w:hint="eastAsia" w:ascii="仿宋" w:hAnsi="仿宋" w:eastAsia="仿宋"/>
        </w:rPr>
        <w:t>运输与保管：说明苗木、材料、设备的运输责任方、运输方式及保管责任，运输过程中的损耗风险承担方式按相关规定或约定执行；</w:t>
      </w:r>
    </w:p>
    <w:p w14:paraId="4A1D1A35">
      <w:pPr>
        <w:keepNext w:val="0"/>
        <w:keepLines w:val="0"/>
        <w:pageBreakBefore w:val="0"/>
        <w:widowControl w:val="0"/>
        <w:kinsoku/>
        <w:wordWrap/>
        <w:overflowPunct/>
        <w:topLinePunct w:val="0"/>
        <w:autoSpaceDE/>
        <w:autoSpaceDN/>
        <w:bidi w:val="0"/>
        <w:adjustRightInd/>
        <w:snapToGrid/>
        <w:spacing w:line="264" w:lineRule="auto"/>
        <w:ind w:firstLine="220" w:firstLineChars="100"/>
        <w:textAlignment w:val="auto"/>
        <w:rPr>
          <w:rFonts w:hint="eastAsia" w:ascii="仿宋" w:hAnsi="仿宋" w:eastAsia="仿宋"/>
        </w:rPr>
      </w:pPr>
      <w:r>
        <w:rPr>
          <w:rFonts w:hint="eastAsia" w:ascii="仿宋" w:hAnsi="仿宋" w:eastAsia="仿宋"/>
        </w:rPr>
        <w:t>5.</w:t>
      </w:r>
      <w:r>
        <w:rPr>
          <w:rFonts w:ascii="Calibri" w:hAnsi="Calibri" w:eastAsia="仿宋" w:cs="Calibri"/>
        </w:rPr>
        <w:t> </w:t>
      </w:r>
      <w:r>
        <w:rPr>
          <w:rFonts w:hint="eastAsia" w:ascii="仿宋" w:hAnsi="仿宋" w:eastAsia="仿宋"/>
        </w:rPr>
        <w:t>工程量调整：清单工程量为依据设计图纸计算的预计工程量，实际施工中因设计变更、现场签证导致工程量增减的，按合同约定的计量规则及计价方式调整；</w:t>
      </w:r>
    </w:p>
    <w:p w14:paraId="59834B1A">
      <w:pPr>
        <w:keepNext w:val="0"/>
        <w:keepLines w:val="0"/>
        <w:pageBreakBefore w:val="0"/>
        <w:widowControl w:val="0"/>
        <w:kinsoku/>
        <w:wordWrap/>
        <w:overflowPunct/>
        <w:topLinePunct w:val="0"/>
        <w:autoSpaceDE/>
        <w:autoSpaceDN/>
        <w:bidi w:val="0"/>
        <w:adjustRightInd/>
        <w:snapToGrid/>
        <w:spacing w:line="264" w:lineRule="auto"/>
        <w:ind w:firstLine="220" w:firstLineChars="100"/>
        <w:textAlignment w:val="auto"/>
        <w:rPr>
          <w:rFonts w:hint="eastAsia" w:ascii="仿宋" w:hAnsi="仿宋" w:eastAsia="仿宋"/>
        </w:rPr>
      </w:pPr>
      <w:r>
        <w:rPr>
          <w:rFonts w:hint="eastAsia" w:ascii="仿宋" w:hAnsi="仿宋" w:eastAsia="仿宋"/>
        </w:rPr>
        <w:t>6.</w:t>
      </w:r>
      <w:r>
        <w:rPr>
          <w:rFonts w:ascii="Calibri" w:hAnsi="Calibri" w:eastAsia="仿宋" w:cs="Calibri"/>
        </w:rPr>
        <w:t> </w:t>
      </w:r>
      <w:r>
        <w:rPr>
          <w:rFonts w:hint="eastAsia" w:ascii="仿宋" w:hAnsi="仿宋" w:eastAsia="仿宋"/>
        </w:rPr>
        <w:t>报价要求：投标人应按</w:t>
      </w:r>
      <w:bookmarkStart w:id="2" w:name="_GoBack"/>
      <w:bookmarkEnd w:id="2"/>
      <w:r>
        <w:rPr>
          <w:rFonts w:hint="eastAsia" w:ascii="仿宋" w:hAnsi="仿宋" w:eastAsia="仿宋"/>
        </w:rPr>
        <w:t>清单项目特征及工作内容报价，报价包含人工、材料、机械、运输、保管、利润、税金及所有风险费用（如苗木价格波动、天气影响、现场协调等）；清单中未明确的但施工必需的工序，投标人应在投标报价中综合考虑，竣工结算时不再追加；</w:t>
      </w:r>
    </w:p>
    <w:p w14:paraId="1C519646">
      <w:pPr>
        <w:keepNext w:val="0"/>
        <w:keepLines w:val="0"/>
        <w:pageBreakBefore w:val="0"/>
        <w:widowControl w:val="0"/>
        <w:kinsoku/>
        <w:wordWrap/>
        <w:overflowPunct/>
        <w:topLinePunct w:val="0"/>
        <w:autoSpaceDE/>
        <w:autoSpaceDN/>
        <w:bidi w:val="0"/>
        <w:adjustRightInd/>
        <w:snapToGrid/>
        <w:spacing w:line="264" w:lineRule="auto"/>
        <w:ind w:firstLine="220" w:firstLineChars="100"/>
        <w:textAlignment w:val="auto"/>
        <w:rPr>
          <w:rFonts w:hint="eastAsia" w:ascii="仿宋" w:hAnsi="仿宋" w:eastAsia="仿宋"/>
        </w:rPr>
      </w:pPr>
      <w:r>
        <w:rPr>
          <w:rFonts w:hint="eastAsia" w:ascii="仿宋" w:hAnsi="仿宋" w:eastAsia="仿宋"/>
        </w:rPr>
        <w:t>7.</w:t>
      </w:r>
      <w:r>
        <w:rPr>
          <w:rFonts w:ascii="Calibri" w:hAnsi="Calibri" w:eastAsia="仿宋" w:cs="Calibri"/>
        </w:rPr>
        <w:t> </w:t>
      </w:r>
      <w:r>
        <w:rPr>
          <w:rFonts w:hint="eastAsia" w:ascii="仿宋" w:hAnsi="仿宋" w:eastAsia="仿宋"/>
        </w:rPr>
        <w:t>特殊情况说明：如施工现场存在地下管线、障碍物清理，古树名木保护，临时设施搭建等特殊要求的，明确责任方及费用计取方式；涉及冬季、雨季施工的，说明相关防护措施及费用考虑方式。</w:t>
      </w:r>
    </w:p>
    <w:p w14:paraId="488B294B">
      <w:pPr>
        <w:keepNext w:val="0"/>
        <w:keepLines w:val="0"/>
        <w:pageBreakBefore w:val="0"/>
        <w:widowControl w:val="0"/>
        <w:kinsoku/>
        <w:wordWrap/>
        <w:overflowPunct/>
        <w:topLinePunct w:val="0"/>
        <w:autoSpaceDE/>
        <w:autoSpaceDN/>
        <w:bidi w:val="0"/>
        <w:adjustRightInd/>
        <w:snapToGrid/>
        <w:spacing w:line="264" w:lineRule="auto"/>
        <w:textAlignment w:val="auto"/>
        <w:rPr>
          <w:rFonts w:hint="eastAsia" w:ascii="仿宋" w:hAnsi="仿宋" w:eastAsia="仿宋"/>
          <w:b/>
          <w:bCs/>
        </w:rPr>
      </w:pPr>
      <w:r>
        <w:rPr>
          <w:rFonts w:hint="eastAsia" w:ascii="仿宋" w:hAnsi="仿宋" w:eastAsia="仿宋"/>
          <w:b/>
          <w:bCs/>
          <w:lang w:val="en-US" w:eastAsia="zh-CN"/>
        </w:rPr>
        <w:t>八</w:t>
      </w:r>
      <w:r>
        <w:rPr>
          <w:rFonts w:hint="eastAsia" w:ascii="仿宋" w:hAnsi="仿宋" w:eastAsia="仿宋"/>
          <w:b/>
          <w:bCs/>
        </w:rPr>
        <w:t>、编制单位</w:t>
      </w:r>
    </w:p>
    <w:p w14:paraId="1DBC03BB">
      <w:pPr>
        <w:keepNext w:val="0"/>
        <w:keepLines w:val="0"/>
        <w:pageBreakBefore w:val="0"/>
        <w:widowControl w:val="0"/>
        <w:kinsoku/>
        <w:wordWrap/>
        <w:overflowPunct/>
        <w:topLinePunct w:val="0"/>
        <w:autoSpaceDE/>
        <w:autoSpaceDN/>
        <w:bidi w:val="0"/>
        <w:adjustRightInd/>
        <w:snapToGrid/>
        <w:spacing w:line="264" w:lineRule="auto"/>
        <w:ind w:firstLine="220" w:firstLineChars="100"/>
        <w:textAlignment w:val="auto"/>
        <w:rPr>
          <w:rFonts w:hint="eastAsia" w:ascii="仿宋" w:hAnsi="仿宋" w:eastAsia="仿宋"/>
        </w:rPr>
      </w:pPr>
      <w:r>
        <w:rPr>
          <w:rFonts w:hint="eastAsia" w:ascii="仿宋" w:hAnsi="仿宋" w:eastAsia="仿宋"/>
        </w:rPr>
        <w:t xml:space="preserve">1.编制单位：内蒙古景昱昇项目管理有限公司 </w:t>
      </w:r>
    </w:p>
    <w:p w14:paraId="53CF69CF">
      <w:pPr>
        <w:keepNext w:val="0"/>
        <w:keepLines w:val="0"/>
        <w:pageBreakBefore w:val="0"/>
        <w:widowControl w:val="0"/>
        <w:kinsoku/>
        <w:wordWrap/>
        <w:overflowPunct/>
        <w:topLinePunct w:val="0"/>
        <w:autoSpaceDE/>
        <w:autoSpaceDN/>
        <w:bidi w:val="0"/>
        <w:adjustRightInd/>
        <w:snapToGrid/>
        <w:spacing w:line="264" w:lineRule="auto"/>
        <w:ind w:firstLine="220" w:firstLineChars="100"/>
        <w:textAlignment w:val="auto"/>
        <w:rPr>
          <w:rFonts w:hint="eastAsia" w:ascii="Calibri" w:hAnsi="Calibri" w:eastAsia="仿宋" w:cs="Calibri"/>
        </w:rPr>
      </w:pPr>
      <w:r>
        <w:rPr>
          <w:rFonts w:hint="eastAsia" w:ascii="仿宋" w:hAnsi="仿宋" w:eastAsia="仿宋"/>
        </w:rPr>
        <w:t>2.编制日期：2026年2月9日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2367"/>
    <w:rsid w:val="000179D3"/>
    <w:rsid w:val="00122D5D"/>
    <w:rsid w:val="001A4445"/>
    <w:rsid w:val="00227C95"/>
    <w:rsid w:val="002669B7"/>
    <w:rsid w:val="00302CD1"/>
    <w:rsid w:val="003249BF"/>
    <w:rsid w:val="003740E0"/>
    <w:rsid w:val="00562367"/>
    <w:rsid w:val="00620178"/>
    <w:rsid w:val="007C0EE8"/>
    <w:rsid w:val="008013E0"/>
    <w:rsid w:val="00802A43"/>
    <w:rsid w:val="00812149"/>
    <w:rsid w:val="008E3978"/>
    <w:rsid w:val="0093021A"/>
    <w:rsid w:val="009C6D61"/>
    <w:rsid w:val="00A302A8"/>
    <w:rsid w:val="00AA66F5"/>
    <w:rsid w:val="00B10409"/>
    <w:rsid w:val="00B163F0"/>
    <w:rsid w:val="00B71DC5"/>
    <w:rsid w:val="00C76890"/>
    <w:rsid w:val="00CE6C07"/>
    <w:rsid w:val="00CF7D53"/>
    <w:rsid w:val="00D23B1E"/>
    <w:rsid w:val="00DC7062"/>
    <w:rsid w:val="00DE5FEF"/>
    <w:rsid w:val="0C1822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styleId="2">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2F5597" w:themeColor="accent1" w:themeShade="BF"/>
      <w:sz w:val="48"/>
      <w:szCs w:val="48"/>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4">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2F5597"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2F5597"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2F5597" w:themeColor="accent1" w:themeShade="BF"/>
      <w:sz w:val="24"/>
    </w:rPr>
  </w:style>
  <w:style w:type="paragraph" w:styleId="7">
    <w:name w:val="heading 6"/>
    <w:basedOn w:val="1"/>
    <w:next w:val="1"/>
    <w:link w:val="22"/>
    <w:semiHidden/>
    <w:unhideWhenUsed/>
    <w:qFormat/>
    <w:uiPriority w:val="9"/>
    <w:pPr>
      <w:keepNext/>
      <w:keepLines/>
      <w:spacing w:before="40" w:after="0"/>
      <w:outlineLvl w:val="5"/>
    </w:pPr>
    <w:rPr>
      <w:rFonts w:cstheme="majorBidi"/>
      <w:b/>
      <w:bCs/>
      <w:color w:val="2F5597" w:themeColor="accent1" w:themeShade="BF"/>
    </w:rPr>
  </w:style>
  <w:style w:type="paragraph" w:styleId="8">
    <w:name w:val="heading 7"/>
    <w:basedOn w:val="1"/>
    <w:next w:val="1"/>
    <w:link w:val="23"/>
    <w:semiHidden/>
    <w:unhideWhenUsed/>
    <w:qFormat/>
    <w:uiPriority w:val="9"/>
    <w:pPr>
      <w:keepNext/>
      <w:keepLines/>
      <w:spacing w:before="40" w:after="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4"/>
    <w:semiHidden/>
    <w:unhideWhenUsed/>
    <w:qFormat/>
    <w:uiPriority w:val="9"/>
    <w:pPr>
      <w:keepNext/>
      <w:keepLines/>
      <w:spacing w:after="0"/>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5"/>
    <w:semiHidden/>
    <w:unhideWhenUsed/>
    <w:qFormat/>
    <w:uiPriority w:val="9"/>
    <w:pPr>
      <w:keepNext/>
      <w:keepLines/>
      <w:spacing w:after="0"/>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6">
    <w:name w:val="Default Paragraph Font"/>
    <w:semiHidden/>
    <w:unhideWhenUsed/>
    <w:uiPriority w:val="1"/>
  </w:style>
  <w:style w:type="table" w:default="1" w:styleId="15">
    <w:name w:val="Normal Table"/>
    <w:semiHidden/>
    <w:unhideWhenUsed/>
    <w:uiPriority w:val="99"/>
    <w:tblPr>
      <w:tblCellMar>
        <w:top w:w="0" w:type="dxa"/>
        <w:left w:w="108" w:type="dxa"/>
        <w:bottom w:w="0" w:type="dxa"/>
        <w:right w:w="108" w:type="dxa"/>
      </w:tblCellMar>
    </w:tblPr>
  </w:style>
  <w:style w:type="paragraph" w:styleId="11">
    <w:name w:val="footer"/>
    <w:basedOn w:val="1"/>
    <w:link w:val="36"/>
    <w:unhideWhenUsed/>
    <w:uiPriority w:val="99"/>
    <w:pPr>
      <w:tabs>
        <w:tab w:val="center" w:pos="4153"/>
        <w:tab w:val="right" w:pos="8306"/>
      </w:tabs>
      <w:snapToGrid w:val="0"/>
      <w:spacing w:line="240" w:lineRule="auto"/>
    </w:pPr>
    <w:rPr>
      <w:sz w:val="18"/>
      <w:szCs w:val="18"/>
    </w:rPr>
  </w:style>
  <w:style w:type="paragraph" w:styleId="12">
    <w:name w:val="header"/>
    <w:basedOn w:val="1"/>
    <w:link w:val="35"/>
    <w:unhideWhenUsed/>
    <w:uiPriority w:val="99"/>
    <w:pPr>
      <w:tabs>
        <w:tab w:val="center" w:pos="4153"/>
        <w:tab w:val="right" w:pos="8306"/>
      </w:tabs>
      <w:snapToGrid w:val="0"/>
      <w:spacing w:line="240" w:lineRule="auto"/>
      <w:jc w:val="center"/>
    </w:pPr>
    <w:rPr>
      <w:sz w:val="18"/>
      <w:szCs w:val="18"/>
    </w:rPr>
  </w:style>
  <w:style w:type="paragraph" w:styleId="13">
    <w:name w:val="Subtitle"/>
    <w:basedOn w:val="1"/>
    <w:next w:val="1"/>
    <w:link w:val="27"/>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6"/>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6"/>
    <w:link w:val="2"/>
    <w:qFormat/>
    <w:uiPriority w:val="9"/>
    <w:rPr>
      <w:rFonts w:asciiTheme="majorHAnsi" w:hAnsiTheme="majorHAnsi" w:eastAsiaTheme="majorEastAsia" w:cstheme="majorBidi"/>
      <w:color w:val="2F5597" w:themeColor="accent1" w:themeShade="BF"/>
      <w:sz w:val="48"/>
      <w:szCs w:val="48"/>
    </w:rPr>
  </w:style>
  <w:style w:type="character" w:customStyle="1" w:styleId="18">
    <w:name w:val="标题 2 字符"/>
    <w:basedOn w:val="16"/>
    <w:link w:val="3"/>
    <w:semiHidden/>
    <w:qFormat/>
    <w:uiPriority w:val="9"/>
    <w:rPr>
      <w:rFonts w:asciiTheme="majorHAnsi" w:hAnsiTheme="majorHAnsi" w:eastAsiaTheme="majorEastAsia" w:cstheme="majorBidi"/>
      <w:color w:val="2F5597" w:themeColor="accent1" w:themeShade="BF"/>
      <w:sz w:val="40"/>
      <w:szCs w:val="40"/>
    </w:rPr>
  </w:style>
  <w:style w:type="character" w:customStyle="1" w:styleId="19">
    <w:name w:val="标题 3 字符"/>
    <w:basedOn w:val="16"/>
    <w:link w:val="4"/>
    <w:semiHidden/>
    <w:uiPriority w:val="9"/>
    <w:rPr>
      <w:rFonts w:asciiTheme="majorHAnsi" w:hAnsiTheme="majorHAnsi" w:eastAsiaTheme="majorEastAsia" w:cstheme="majorBidi"/>
      <w:color w:val="2F5597" w:themeColor="accent1" w:themeShade="BF"/>
      <w:sz w:val="32"/>
      <w:szCs w:val="32"/>
    </w:rPr>
  </w:style>
  <w:style w:type="character" w:customStyle="1" w:styleId="20">
    <w:name w:val="标题 4 字符"/>
    <w:basedOn w:val="16"/>
    <w:link w:val="5"/>
    <w:semiHidden/>
    <w:uiPriority w:val="9"/>
    <w:rPr>
      <w:rFonts w:cstheme="majorBidi"/>
      <w:color w:val="2F5597" w:themeColor="accent1" w:themeShade="BF"/>
      <w:sz w:val="28"/>
      <w:szCs w:val="28"/>
    </w:rPr>
  </w:style>
  <w:style w:type="character" w:customStyle="1" w:styleId="21">
    <w:name w:val="标题 5 字符"/>
    <w:basedOn w:val="16"/>
    <w:link w:val="6"/>
    <w:semiHidden/>
    <w:uiPriority w:val="9"/>
    <w:rPr>
      <w:rFonts w:cstheme="majorBidi"/>
      <w:color w:val="2F5597" w:themeColor="accent1" w:themeShade="BF"/>
      <w:sz w:val="24"/>
    </w:rPr>
  </w:style>
  <w:style w:type="character" w:customStyle="1" w:styleId="22">
    <w:name w:val="标题 6 字符"/>
    <w:basedOn w:val="16"/>
    <w:link w:val="7"/>
    <w:semiHidden/>
    <w:uiPriority w:val="9"/>
    <w:rPr>
      <w:rFonts w:cstheme="majorBidi"/>
      <w:b/>
      <w:bCs/>
      <w:color w:val="2F5597" w:themeColor="accent1" w:themeShade="BF"/>
    </w:rPr>
  </w:style>
  <w:style w:type="character" w:customStyle="1" w:styleId="23">
    <w:name w:val="标题 7 字符"/>
    <w:basedOn w:val="16"/>
    <w:link w:val="8"/>
    <w:semiHidden/>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4">
    <w:name w:val="标题 8 字符"/>
    <w:basedOn w:val="16"/>
    <w:link w:val="9"/>
    <w:semiHidden/>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5">
    <w:name w:val="标题 9 字符"/>
    <w:basedOn w:val="16"/>
    <w:link w:val="10"/>
    <w:semiHidden/>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6">
    <w:name w:val="标题 字符"/>
    <w:basedOn w:val="16"/>
    <w:link w:val="14"/>
    <w:uiPriority w:val="10"/>
    <w:rPr>
      <w:rFonts w:asciiTheme="majorHAnsi" w:hAnsiTheme="majorHAnsi" w:eastAsiaTheme="majorEastAsia" w:cstheme="majorBidi"/>
      <w:spacing w:val="-10"/>
      <w:kern w:val="28"/>
      <w:sz w:val="56"/>
      <w:szCs w:val="56"/>
    </w:rPr>
  </w:style>
  <w:style w:type="character" w:customStyle="1" w:styleId="27">
    <w:name w:val="副标题 字符"/>
    <w:basedOn w:val="16"/>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29">
    <w:name w:val="引用 字符"/>
    <w:basedOn w:val="16"/>
    <w:link w:val="28"/>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qFormat/>
    <w:uiPriority w:val="34"/>
    <w:pPr>
      <w:ind w:left="720"/>
      <w:contextualSpacing/>
    </w:pPr>
  </w:style>
  <w:style w:type="character" w:customStyle="1" w:styleId="31">
    <w:name w:val="Intense Emphasis"/>
    <w:basedOn w:val="16"/>
    <w:qFormat/>
    <w:uiPriority w:val="21"/>
    <w:rPr>
      <w:i/>
      <w:iCs/>
      <w:color w:val="2F5597" w:themeColor="accent1" w:themeShade="BF"/>
    </w:rPr>
  </w:style>
  <w:style w:type="paragraph" w:styleId="32">
    <w:name w:val="Intense Quote"/>
    <w:basedOn w:val="1"/>
    <w:next w:val="1"/>
    <w:link w:val="33"/>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33">
    <w:name w:val="明显引用 字符"/>
    <w:basedOn w:val="16"/>
    <w:link w:val="32"/>
    <w:qFormat/>
    <w:uiPriority w:val="30"/>
    <w:rPr>
      <w:i/>
      <w:iCs/>
      <w:color w:val="2F5597" w:themeColor="accent1" w:themeShade="BF"/>
    </w:rPr>
  </w:style>
  <w:style w:type="character" w:customStyle="1" w:styleId="34">
    <w:name w:val="Intense Reference"/>
    <w:basedOn w:val="16"/>
    <w:qFormat/>
    <w:uiPriority w:val="32"/>
    <w:rPr>
      <w:b/>
      <w:bCs/>
      <w:smallCaps/>
      <w:color w:val="2F5597" w:themeColor="accent1" w:themeShade="BF"/>
      <w:spacing w:val="5"/>
    </w:rPr>
  </w:style>
  <w:style w:type="character" w:customStyle="1" w:styleId="35">
    <w:name w:val="页眉 字符"/>
    <w:basedOn w:val="16"/>
    <w:link w:val="12"/>
    <w:uiPriority w:val="99"/>
    <w:rPr>
      <w:sz w:val="18"/>
      <w:szCs w:val="18"/>
    </w:rPr>
  </w:style>
  <w:style w:type="character" w:customStyle="1" w:styleId="36">
    <w:name w:val="页脚 字符"/>
    <w:basedOn w:val="16"/>
    <w:link w:val="11"/>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1435</Words>
  <Characters>1503</Characters>
  <Lines>53</Lines>
  <Paragraphs>52</Paragraphs>
  <TotalTime>1</TotalTime>
  <ScaleCrop>false</ScaleCrop>
  <LinksUpToDate>false</LinksUpToDate>
  <CharactersWithSpaces>1522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2026-02-05T03:58:00Z</dcterms:created>
  <dc:creator>595633701@qq.com</dc:creator>
  <cp:lastModifiedBy>遥远</cp:lastModifiedBy>
  <dcterms:modified xsi:type="dcterms:W3CDTF">2026-03-06T02:30:31Z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eyJoZGlkIjoiNzJjOThmNzk4MDgwNjkzNTkyNGFmM2IwOTFmODZhZGQiLCJ1c2VySWQiOiIyNTE2OTA0MDkifQ==</vt:lpwstr>
  </property>
  <property fmtid="{D5CDD505-2E9C-101B-9397-08002B2CF9AE}" pid="3" name="KSOProductBuildVer">
    <vt:lpwstr>2052-12.1.0.24657</vt:lpwstr>
  </property>
  <property fmtid="{D5CDD505-2E9C-101B-9397-08002B2CF9AE}" pid="4" name="ICV">
    <vt:lpwstr>80FE3AED0B5B454E8ECBFFEFFAF2A024_12</vt:lpwstr>
  </property>
</Properties>
</file>