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F44B1">
      <w:pPr>
        <w:numPr>
          <w:numId w:val="0"/>
        </w:numPr>
        <w:rPr>
          <w:rFonts w:hint="eastAsia" w:asciiTheme="majorEastAsia" w:hAnsiTheme="majorEastAsia" w:eastAsiaTheme="majorEastAsia" w:cstheme="majorEastAsia"/>
          <w:color w:val="000000"/>
          <w:kern w:val="0"/>
          <w:sz w:val="28"/>
          <w:szCs w:val="28"/>
          <w:lang w:val="en-US" w:eastAsia="zh-CN"/>
        </w:rPr>
      </w:pPr>
      <w:r>
        <w:rPr>
          <w:rFonts w:hint="eastAsia" w:asciiTheme="majorEastAsia" w:hAnsiTheme="majorEastAsia" w:eastAsiaTheme="majorEastAsia" w:cstheme="majorEastAsia"/>
          <w:color w:val="000000"/>
          <w:kern w:val="0"/>
          <w:sz w:val="28"/>
          <w:szCs w:val="28"/>
          <w:lang w:val="en-US" w:eastAsia="zh-CN"/>
        </w:rPr>
        <w:t>一、工程概况</w:t>
      </w:r>
    </w:p>
    <w:p w14:paraId="1994196F">
      <w:pPr>
        <w:keepNext w:val="0"/>
        <w:keepLines w:val="0"/>
        <w:pageBreakBefore w:val="0"/>
        <w:widowControl w:val="0"/>
        <w:numPr>
          <w:numId w:val="0"/>
        </w:numPr>
        <w:kinsoku/>
        <w:wordWrap/>
        <w:overflowPunct/>
        <w:topLinePunct w:val="0"/>
        <w:autoSpaceDE/>
        <w:autoSpaceDN/>
        <w:bidi w:val="0"/>
        <w:adjustRightInd/>
        <w:snapToGrid/>
        <w:ind w:firstLine="560" w:firstLineChars="200"/>
        <w:textAlignment w:val="auto"/>
        <w:rPr>
          <w:rFonts w:hint="eastAsia" w:ascii="宋体" w:hAnsi="宋体" w:cs="宋体"/>
          <w:color w:val="000000"/>
          <w:kern w:val="0"/>
          <w:sz w:val="28"/>
          <w:szCs w:val="28"/>
          <w:lang w:val="en-US" w:eastAsia="zh-CN"/>
        </w:rPr>
      </w:pPr>
      <w:r>
        <w:rPr>
          <w:rFonts w:hint="eastAsia"/>
          <w:sz w:val="28"/>
          <w:szCs w:val="28"/>
          <w:lang w:val="en-US" w:eastAsia="zh-CN"/>
        </w:rPr>
        <w:t>1.项目名称：</w:t>
      </w:r>
      <w:r>
        <w:rPr>
          <w:rFonts w:hint="eastAsia" w:ascii="宋体" w:hAnsi="宋体" w:cs="宋体"/>
          <w:color w:val="000000"/>
          <w:kern w:val="0"/>
          <w:sz w:val="28"/>
          <w:szCs w:val="28"/>
          <w:lang w:eastAsia="zh-CN"/>
        </w:rPr>
        <w:t>武川县</w:t>
      </w:r>
      <w:r>
        <w:rPr>
          <w:rFonts w:hint="eastAsia" w:ascii="宋体" w:hAnsi="宋体" w:cs="宋体"/>
          <w:color w:val="000000"/>
          <w:kern w:val="0"/>
          <w:sz w:val="28"/>
          <w:szCs w:val="28"/>
          <w:lang w:val="en-US" w:eastAsia="zh-CN"/>
        </w:rPr>
        <w:t>上秃亥乡</w:t>
      </w:r>
      <w:r>
        <w:rPr>
          <w:rFonts w:hint="eastAsia" w:ascii="宋体" w:hAnsi="宋体" w:cs="宋体"/>
          <w:color w:val="000000"/>
          <w:kern w:val="0"/>
          <w:sz w:val="28"/>
          <w:szCs w:val="28"/>
          <w:lang w:eastAsia="zh-CN"/>
        </w:rPr>
        <w:t>红崖</w:t>
      </w:r>
      <w:r>
        <w:rPr>
          <w:rFonts w:hint="eastAsia" w:ascii="宋体" w:hAnsi="宋体" w:cs="宋体"/>
          <w:color w:val="000000"/>
          <w:kern w:val="0"/>
          <w:sz w:val="28"/>
          <w:szCs w:val="28"/>
          <w:lang w:val="en-US" w:eastAsia="zh-CN"/>
        </w:rPr>
        <w:t>口</w:t>
      </w:r>
      <w:r>
        <w:rPr>
          <w:rFonts w:hint="eastAsia" w:ascii="宋体" w:hAnsi="宋体" w:cs="宋体"/>
          <w:color w:val="000000"/>
          <w:kern w:val="0"/>
          <w:sz w:val="28"/>
          <w:szCs w:val="28"/>
          <w:lang w:eastAsia="zh-CN"/>
        </w:rPr>
        <w:t>村土方</w:t>
      </w:r>
      <w:r>
        <w:rPr>
          <w:rFonts w:hint="eastAsia" w:ascii="宋体" w:hAnsi="宋体" w:cs="宋体"/>
          <w:color w:val="000000"/>
          <w:kern w:val="0"/>
          <w:sz w:val="28"/>
          <w:szCs w:val="28"/>
          <w:lang w:val="en-US" w:eastAsia="zh-CN"/>
        </w:rPr>
        <w:t>回填项目</w:t>
      </w:r>
    </w:p>
    <w:p w14:paraId="358DFA08">
      <w:pPr>
        <w:keepNext w:val="0"/>
        <w:keepLines w:val="0"/>
        <w:pageBreakBefore w:val="0"/>
        <w:widowControl w:val="0"/>
        <w:numPr>
          <w:numId w:val="0"/>
        </w:numPr>
        <w:kinsoku/>
        <w:wordWrap/>
        <w:overflowPunct/>
        <w:topLinePunct w:val="0"/>
        <w:autoSpaceDE/>
        <w:autoSpaceDN/>
        <w:bidi w:val="0"/>
        <w:adjustRightInd/>
        <w:snapToGrid/>
        <w:ind w:firstLine="560" w:firstLineChars="200"/>
        <w:textAlignment w:val="auto"/>
        <w:rPr>
          <w:rFonts w:hint="default"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2.项目地点：</w:t>
      </w:r>
      <w:r>
        <w:rPr>
          <w:rFonts w:hint="eastAsia" w:ascii="宋体" w:hAnsi="宋体" w:cs="宋体"/>
          <w:color w:val="000000"/>
          <w:kern w:val="0"/>
          <w:sz w:val="28"/>
          <w:szCs w:val="28"/>
          <w:lang w:val="en-US" w:eastAsia="zh-CN"/>
        </w:rPr>
        <w:t>呼和浩特市武川县</w:t>
      </w:r>
      <w:r>
        <w:rPr>
          <w:rFonts w:hint="eastAsia" w:ascii="宋体" w:hAnsi="宋体" w:cs="宋体"/>
          <w:b w:val="0"/>
          <w:bCs w:val="0"/>
          <w:color w:val="000000"/>
          <w:kern w:val="10"/>
          <w:sz w:val="28"/>
          <w:szCs w:val="28"/>
          <w:lang w:val="en-US" w:eastAsia="zh-CN"/>
        </w:rPr>
        <w:t>上秃亥乡</w:t>
      </w:r>
      <w:r>
        <w:rPr>
          <w:rFonts w:hint="eastAsia" w:ascii="宋体" w:hAnsi="宋体" w:cs="宋体"/>
          <w:b w:val="0"/>
          <w:bCs w:val="0"/>
          <w:color w:val="000000"/>
          <w:kern w:val="10"/>
          <w:sz w:val="28"/>
          <w:szCs w:val="28"/>
          <w:lang w:eastAsia="zh-CN"/>
        </w:rPr>
        <w:t>红崖</w:t>
      </w:r>
      <w:r>
        <w:rPr>
          <w:rFonts w:hint="eastAsia" w:ascii="宋体" w:hAnsi="宋体" w:cs="宋体"/>
          <w:b w:val="0"/>
          <w:bCs w:val="0"/>
          <w:color w:val="000000"/>
          <w:kern w:val="10"/>
          <w:sz w:val="28"/>
          <w:szCs w:val="28"/>
          <w:lang w:val="en-US" w:eastAsia="zh-CN"/>
        </w:rPr>
        <w:t>头</w:t>
      </w:r>
      <w:r>
        <w:rPr>
          <w:rFonts w:hint="eastAsia" w:ascii="宋体" w:hAnsi="宋体" w:cs="宋体"/>
          <w:color w:val="000000"/>
          <w:kern w:val="0"/>
          <w:sz w:val="28"/>
          <w:szCs w:val="28"/>
          <w:lang w:val="en-US" w:eastAsia="zh-CN"/>
        </w:rPr>
        <w:t>村</w:t>
      </w:r>
    </w:p>
    <w:p w14:paraId="0C0AE629">
      <w:pPr>
        <w:numPr>
          <w:ilvl w:val="0"/>
          <w:numId w:val="1"/>
        </w:numPr>
        <w:rPr>
          <w:rFonts w:hint="eastAsia" w:ascii="宋体" w:hAnsi="宋体" w:eastAsia="宋体" w:cs="宋体"/>
          <w:sz w:val="28"/>
          <w:szCs w:val="28"/>
        </w:rPr>
      </w:pPr>
      <w:r>
        <w:rPr>
          <w:rFonts w:hint="eastAsia" w:ascii="宋体" w:hAnsi="宋体" w:eastAsia="宋体" w:cs="宋体"/>
          <w:sz w:val="28"/>
          <w:szCs w:val="28"/>
        </w:rPr>
        <w:t>编制范围</w:t>
      </w:r>
    </w:p>
    <w:p w14:paraId="068F80B1">
      <w:pPr>
        <w:keepNext w:val="0"/>
        <w:keepLines w:val="0"/>
        <w:pageBreakBefore w:val="0"/>
        <w:widowControl w:val="0"/>
        <w:numPr>
          <w:numId w:val="0"/>
        </w:numPr>
        <w:kinsoku/>
        <w:wordWrap/>
        <w:overflowPunct/>
        <w:topLinePunct w:val="0"/>
        <w:autoSpaceDE/>
        <w:autoSpaceDN/>
        <w:bidi w:val="0"/>
        <w:adjustRightInd/>
        <w:snapToGrid/>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1.</w:t>
      </w:r>
      <w:r>
        <w:rPr>
          <w:rFonts w:hint="eastAsia" w:ascii="宋体" w:hAnsi="宋体" w:cs="宋体"/>
          <w:color w:val="000000"/>
          <w:kern w:val="0"/>
          <w:sz w:val="28"/>
          <w:szCs w:val="28"/>
          <w:lang w:eastAsia="zh-CN"/>
        </w:rPr>
        <w:t>武川县</w:t>
      </w:r>
      <w:r>
        <w:rPr>
          <w:rFonts w:hint="eastAsia" w:ascii="宋体" w:hAnsi="宋体" w:cs="宋体"/>
          <w:color w:val="000000"/>
          <w:kern w:val="0"/>
          <w:sz w:val="28"/>
          <w:szCs w:val="28"/>
          <w:lang w:val="en-US" w:eastAsia="zh-CN"/>
        </w:rPr>
        <w:t>上秃亥乡</w:t>
      </w:r>
      <w:r>
        <w:rPr>
          <w:rFonts w:hint="eastAsia" w:ascii="宋体" w:hAnsi="宋体" w:cs="宋体"/>
          <w:color w:val="000000"/>
          <w:kern w:val="0"/>
          <w:sz w:val="28"/>
          <w:szCs w:val="28"/>
          <w:lang w:eastAsia="zh-CN"/>
        </w:rPr>
        <w:t>红崖</w:t>
      </w:r>
      <w:r>
        <w:rPr>
          <w:rFonts w:hint="eastAsia" w:ascii="宋体" w:hAnsi="宋体" w:cs="宋体"/>
          <w:color w:val="000000"/>
          <w:kern w:val="0"/>
          <w:sz w:val="28"/>
          <w:szCs w:val="28"/>
          <w:lang w:val="en-US" w:eastAsia="zh-CN"/>
        </w:rPr>
        <w:t>口</w:t>
      </w:r>
      <w:r>
        <w:rPr>
          <w:rFonts w:hint="eastAsia" w:ascii="宋体" w:hAnsi="宋体" w:cs="宋体"/>
          <w:color w:val="000000"/>
          <w:kern w:val="0"/>
          <w:sz w:val="28"/>
          <w:szCs w:val="28"/>
          <w:lang w:eastAsia="zh-CN"/>
        </w:rPr>
        <w:t>村土方</w:t>
      </w:r>
      <w:r>
        <w:rPr>
          <w:rFonts w:hint="eastAsia" w:ascii="宋体" w:hAnsi="宋体" w:cs="宋体"/>
          <w:color w:val="000000"/>
          <w:kern w:val="0"/>
          <w:sz w:val="28"/>
          <w:szCs w:val="28"/>
          <w:lang w:val="en-US" w:eastAsia="zh-CN"/>
        </w:rPr>
        <w:t>回填项目的土方取土、土方运输、土方回填、回填区草籽喷种。</w:t>
      </w:r>
    </w:p>
    <w:p w14:paraId="17A2FC9B">
      <w:pPr>
        <w:widowControl w:val="0"/>
        <w:numPr>
          <w:ilvl w:val="0"/>
          <w:numId w:val="1"/>
        </w:numPr>
        <w:ind w:left="0" w:leftChars="0" w:firstLine="0" w:firstLineChars="0"/>
        <w:jc w:val="both"/>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编制依据</w:t>
      </w:r>
    </w:p>
    <w:p w14:paraId="2FC81346">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w:t>
      </w:r>
      <w:r>
        <w:rPr>
          <w:rFonts w:hint="eastAsia" w:ascii="宋体" w:hAnsi="宋体" w:eastAsia="宋体" w:cs="宋体"/>
          <w:color w:val="000000"/>
          <w:kern w:val="0"/>
          <w:sz w:val="28"/>
          <w:szCs w:val="28"/>
          <w:lang w:val="en-US" w:eastAsia="zh-CN" w:bidi="ar"/>
        </w:rPr>
        <w:t>《建设工程工程量清单计价规范》（GB/T50500-2013）及配套计量规范；</w:t>
      </w:r>
    </w:p>
    <w:p w14:paraId="24F1F92F">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kern w:val="2"/>
          <w:sz w:val="28"/>
          <w:szCs w:val="28"/>
          <w:lang w:val="en-US" w:eastAsia="zh-CN" w:bidi="ar-SA"/>
        </w:rPr>
        <w:t>2.</w:t>
      </w:r>
      <w:r>
        <w:rPr>
          <w:rFonts w:hint="eastAsia" w:ascii="宋体" w:hAnsi="宋体" w:eastAsia="宋体" w:cs="宋体"/>
          <w:sz w:val="28"/>
          <w:szCs w:val="28"/>
        </w:rPr>
        <w:t>《内蒙古自治区建设工程计价依据(2017届)》等相关费用标准及相关行政主管部门颁发的文件</w:t>
      </w:r>
      <w:r>
        <w:rPr>
          <w:rFonts w:hint="eastAsia" w:ascii="宋体" w:hAnsi="宋体" w:eastAsia="宋体" w:cs="宋体"/>
          <w:sz w:val="28"/>
          <w:szCs w:val="28"/>
          <w:lang w:eastAsia="zh-CN"/>
        </w:rPr>
        <w:t>；</w:t>
      </w:r>
    </w:p>
    <w:p w14:paraId="034C4845">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kern w:val="2"/>
          <w:sz w:val="28"/>
          <w:szCs w:val="28"/>
          <w:lang w:val="en-US" w:eastAsia="zh-CN" w:bidi="ar-SA"/>
        </w:rPr>
        <w:t>3.</w:t>
      </w:r>
      <w:r>
        <w:rPr>
          <w:rFonts w:hint="eastAsia" w:ascii="宋体" w:hAnsi="宋体" w:eastAsia="宋体" w:cs="宋体"/>
          <w:sz w:val="28"/>
          <w:szCs w:val="28"/>
        </w:rPr>
        <w:t>《关于调整内蒙古自治区建设工程计价依据增值税税率的通知》内建标〔2019〕113号</w:t>
      </w:r>
      <w:r>
        <w:rPr>
          <w:rFonts w:hint="eastAsia" w:ascii="宋体" w:hAnsi="宋体" w:eastAsia="宋体" w:cs="宋体"/>
          <w:sz w:val="28"/>
          <w:szCs w:val="28"/>
          <w:lang w:eastAsia="zh-CN"/>
        </w:rPr>
        <w:t>；</w:t>
      </w:r>
    </w:p>
    <w:p w14:paraId="4D69C8C9">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jc w:val="both"/>
        <w:textAlignment w:val="auto"/>
        <w:rPr>
          <w:rFonts w:hint="default" w:ascii="宋体" w:hAnsi="宋体" w:eastAsia="宋体" w:cs="宋体"/>
          <w:sz w:val="28"/>
          <w:szCs w:val="28"/>
          <w:lang w:val="en-US" w:eastAsia="zh-CN"/>
        </w:rPr>
      </w:pPr>
      <w:r>
        <w:rPr>
          <w:rFonts w:hint="default" w:ascii="宋体" w:hAnsi="宋体" w:eastAsia="宋体" w:cs="宋体"/>
          <w:kern w:val="2"/>
          <w:sz w:val="28"/>
          <w:szCs w:val="28"/>
          <w:lang w:val="en-US" w:eastAsia="zh-CN" w:bidi="ar-SA"/>
        </w:rPr>
        <w:t>4.</w:t>
      </w:r>
      <w:r>
        <w:rPr>
          <w:rFonts w:hint="eastAsia" w:ascii="宋体" w:hAnsi="宋体" w:eastAsia="宋体" w:cs="宋体"/>
          <w:sz w:val="28"/>
          <w:szCs w:val="28"/>
        </w:rPr>
        <w:t>《关于调整内蒙古自治区建设工程计价依据规费中养老保险费率的通知》（内建标函〔2019〕468号）</w:t>
      </w:r>
      <w:r>
        <w:rPr>
          <w:rFonts w:hint="eastAsia" w:ascii="宋体" w:hAnsi="宋体" w:eastAsia="宋体" w:cs="宋体"/>
          <w:sz w:val="28"/>
          <w:szCs w:val="28"/>
          <w:lang w:eastAsia="zh-CN"/>
        </w:rPr>
        <w:t>；</w:t>
      </w:r>
    </w:p>
    <w:p w14:paraId="1068E43F">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kern w:val="2"/>
          <w:sz w:val="28"/>
          <w:szCs w:val="28"/>
          <w:lang w:val="en-US" w:eastAsia="zh-CN" w:bidi="ar-SA"/>
        </w:rPr>
        <w:t>5.</w:t>
      </w:r>
      <w:r>
        <w:rPr>
          <w:rFonts w:hint="eastAsia" w:ascii="宋体" w:hAnsi="宋体" w:eastAsia="宋体" w:cs="宋体"/>
          <w:sz w:val="28"/>
          <w:szCs w:val="28"/>
          <w:lang w:val="en-US" w:eastAsia="zh-CN"/>
        </w:rPr>
        <w:t>《关于调整内蒙古自治区建设工程现行预算定额人工费》内建标【2021】148号；</w:t>
      </w:r>
    </w:p>
    <w:p w14:paraId="4E4BC708">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kern w:val="2"/>
          <w:sz w:val="28"/>
          <w:szCs w:val="28"/>
          <w:lang w:val="en-US" w:eastAsia="zh-CN" w:bidi="ar-SA"/>
        </w:rPr>
        <w:t>6.</w:t>
      </w:r>
      <w:r>
        <w:rPr>
          <w:rFonts w:hint="eastAsia" w:ascii="宋体" w:hAnsi="宋体" w:eastAsia="宋体" w:cs="宋体"/>
          <w:sz w:val="28"/>
          <w:szCs w:val="28"/>
        </w:rPr>
        <w:t>与建设项目相关的标准、规范、技术资料</w:t>
      </w:r>
      <w:r>
        <w:rPr>
          <w:rFonts w:hint="eastAsia" w:ascii="宋体" w:hAnsi="宋体" w:eastAsia="宋体" w:cs="宋体"/>
          <w:sz w:val="28"/>
          <w:szCs w:val="28"/>
          <w:lang w:eastAsia="zh-CN"/>
        </w:rPr>
        <w:t>；</w:t>
      </w:r>
    </w:p>
    <w:p w14:paraId="058A9AFF">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kern w:val="2"/>
          <w:sz w:val="28"/>
          <w:szCs w:val="28"/>
          <w:lang w:val="en-US" w:eastAsia="zh-CN" w:bidi="ar-SA"/>
        </w:rPr>
        <w:t>7.</w:t>
      </w:r>
      <w:r>
        <w:rPr>
          <w:rFonts w:hint="eastAsia" w:ascii="宋体" w:hAnsi="宋体" w:eastAsia="宋体" w:cs="宋体"/>
          <w:sz w:val="28"/>
          <w:szCs w:val="28"/>
          <w:lang w:val="en-US" w:eastAsia="zh-CN"/>
        </w:rPr>
        <w:t>国家及内蒙古自治区的其它有关工程造价的法律、法规文件。</w:t>
      </w:r>
    </w:p>
    <w:p w14:paraId="6D120013">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jc w:val="both"/>
        <w:textAlignment w:val="auto"/>
        <w:rPr>
          <w:rFonts w:hint="default" w:ascii="宋体" w:hAnsi="宋体" w:eastAsia="宋体" w:cs="宋体"/>
          <w:sz w:val="28"/>
          <w:szCs w:val="28"/>
          <w:lang w:val="en-US" w:eastAsia="zh-CN"/>
        </w:rPr>
      </w:pPr>
      <w:r>
        <w:rPr>
          <w:rFonts w:hint="default" w:ascii="宋体" w:hAnsi="宋体" w:eastAsia="宋体" w:cs="宋体"/>
          <w:kern w:val="2"/>
          <w:sz w:val="28"/>
          <w:szCs w:val="28"/>
          <w:lang w:val="en-US" w:eastAsia="zh-CN" w:bidi="ar-SA"/>
        </w:rPr>
        <w:t>8.</w:t>
      </w:r>
      <w:r>
        <w:rPr>
          <w:rFonts w:hint="eastAsia" w:ascii="宋体" w:hAnsi="宋体" w:eastAsia="宋体" w:cs="宋体"/>
          <w:sz w:val="28"/>
          <w:szCs w:val="28"/>
          <w:lang w:val="en-US" w:eastAsia="zh-CN"/>
        </w:rPr>
        <w:t>其他相关文件。</w:t>
      </w:r>
    </w:p>
    <w:p w14:paraId="6F27C6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四</w:t>
      </w:r>
      <w:r>
        <w:rPr>
          <w:rFonts w:hint="eastAsia" w:ascii="宋体" w:hAnsi="宋体" w:eastAsia="宋体" w:cs="宋体"/>
          <w:sz w:val="28"/>
          <w:szCs w:val="28"/>
        </w:rPr>
        <w:t>、其他相关说明</w:t>
      </w:r>
    </w:p>
    <w:p w14:paraId="1CF107D6">
      <w:pPr>
        <w:ind w:firstLine="560" w:firstLineChars="200"/>
        <w:rPr>
          <w:rFonts w:hint="eastAsia" w:ascii="宋体" w:hAnsi="宋体" w:eastAsia="宋体" w:cs="宋体"/>
          <w:sz w:val="28"/>
          <w:szCs w:val="28"/>
        </w:rPr>
      </w:pPr>
      <w:r>
        <w:rPr>
          <w:rFonts w:hint="eastAsia" w:ascii="宋体" w:hAnsi="宋体" w:eastAsia="宋体" w:cs="宋体"/>
          <w:sz w:val="28"/>
          <w:szCs w:val="28"/>
        </w:rPr>
        <w:t>1.投标人依据工程量清单、招标文件的有关要求、施工现场的实际情况并结合投标人自身技术和管理水平、经营状况、机械配备以及拟采用的施工组织设计或施工方案及相关规定和材料市场信息价格自主确定报价。</w:t>
      </w:r>
    </w:p>
    <w:p w14:paraId="1A1CC989">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2.投标人依据工程量清单报价时，工程量清单中所报的综合单价和合价均应包括人工费、材料费、机械使用费、管理费、利润，并考虑风险等因素，考虑为满足设计、验收规范规定施工所需的一切工序及费用。</w:t>
      </w:r>
    </w:p>
    <w:p w14:paraId="741AAAB7">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.工程量清单中各项目名称不应看作是该项工程项目工作所需的每一项作业和每一种材料、设备的定义与描述。</w:t>
      </w:r>
    </w:p>
    <w:p w14:paraId="7262B2BD">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.本工程量清单应与投标人须知、合同条件、主要技术条件及工程规范和图纸一起使用。</w:t>
      </w:r>
    </w:p>
    <w:p w14:paraId="4D4EC753">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.投标人应充分阅读招标文件中的相关技术条款，满足文件中约定的技术标准要求后进行报价。</w:t>
      </w:r>
    </w:p>
    <w:p w14:paraId="6696AB55">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.工程量清单中对应的项目特征已包括图纸所要求的全部工作内容和按现行《建设工程工程量清单计价规范》中相应项目编码、项目名称所对应的全部工作内容，以及为完成该工作内容而发生的各种辅助工作。</w:t>
      </w:r>
    </w:p>
    <w:p w14:paraId="48D399AA">
      <w:pPr>
        <w:ind w:firstLine="560" w:firstLineChars="200"/>
        <w:rPr>
          <w:rFonts w:hint="eastAsia" w:ascii="宋体" w:hAnsi="宋体" w:eastAsia="宋体" w:cs="宋体"/>
          <w:color w:val="000000"/>
          <w:kern w:val="0"/>
          <w:sz w:val="28"/>
          <w:szCs w:val="28"/>
          <w:lang w:val="en-US" w:eastAsia="zh-CN" w:bidi="ar"/>
        </w:rPr>
      </w:pPr>
      <w:r>
        <w:rPr>
          <w:rFonts w:hint="eastAsia" w:ascii="宋体" w:hAnsi="宋体" w:eastAsia="宋体" w:cs="宋体"/>
          <w:sz w:val="28"/>
          <w:szCs w:val="28"/>
          <w:lang w:val="en-US" w:eastAsia="zh-CN"/>
        </w:rPr>
        <w:t>7</w:t>
      </w:r>
      <w:r>
        <w:rPr>
          <w:rFonts w:hint="eastAsia" w:ascii="宋体" w:hAnsi="宋体" w:eastAsia="宋体" w:cs="宋体"/>
          <w:sz w:val="28"/>
          <w:szCs w:val="28"/>
        </w:rPr>
        <w:t>.工程量清单项目特征描述未详尽之处，详见图纸、招标文件技术标准和要求相关章节、现行《建设工程工程量清单计价规范》及其配套的计算规范。</w:t>
      </w:r>
      <w:bookmarkStart w:id="0" w:name="_GoBack"/>
      <w:bookmarkEnd w:id="0"/>
    </w:p>
    <w:p w14:paraId="45241E9C">
      <w:pPr>
        <w:widowControl w:val="0"/>
        <w:numPr>
          <w:numId w:val="0"/>
        </w:numPr>
        <w:ind w:leftChars="0"/>
        <w:jc w:val="both"/>
        <w:rPr>
          <w:rFonts w:hint="default"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3B238A"/>
    <w:multiLevelType w:val="singleLevel"/>
    <w:tmpl w:val="6B3B238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F97FFA"/>
    <w:rsid w:val="67F9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24</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2026-03-10T07:26:00Z</dcterms:created>
  <dc:creator>。。。</dc:creator>
  <cp:lastModifiedBy>。。。</cp:lastModifiedBy>
  <dcterms:modified xsi:type="dcterms:W3CDTF">2026-03-10T08:07:27Z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56BFDE38253742B18644FBA686AF9467_11</vt:lpwstr>
  </property>
  <property fmtid="{D5CDD505-2E9C-101B-9397-08002B2CF9AE}" pid="4" name="KSOTemplateDocerSaveRecord">
    <vt:lpwstr>eyJoZGlkIjoiMWVmNDVmYjM5NTg5ODBkM2MwZWI0MDE5NzdkMzY4ZmEiLCJ1c2VySWQiOiI1NzQ2OTU4NzIifQ==</vt:lpwstr>
  </property>
</Properties>
</file>