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F3C78">
      <w:pPr>
        <w:pStyle w:val="2"/>
        <w:rPr>
          <w:rFonts w:hint="eastAsia"/>
          <w:highlight w:val="none"/>
        </w:rPr>
      </w:pPr>
      <w:bookmarkStart w:id="0" w:name="_Toc18929354"/>
      <w:bookmarkStart w:id="1" w:name="_Toc57304341"/>
      <w:r>
        <w:rPr>
          <w:rFonts w:hint="eastAsia"/>
          <w:highlight w:val="none"/>
          <w:lang w:val="en-US" w:eastAsia="zh-CN"/>
        </w:rPr>
        <w:t xml:space="preserve"> </w:t>
      </w:r>
      <w:r>
        <w:rPr>
          <w:rFonts w:hint="eastAsia"/>
          <w:highlight w:val="none"/>
        </w:rPr>
        <w:t>项目背景</w:t>
      </w:r>
      <w:bookmarkEnd w:id="0"/>
    </w:p>
    <w:p w14:paraId="532C66A7">
      <w:pPr>
        <w:pStyle w:val="12"/>
        <w:shd w:val="clear" w:color="auto" w:fill="auto"/>
        <w:ind w:firstLine="480"/>
        <w:rPr>
          <w:rFonts w:hint="eastAsia"/>
          <w:highlight w:val="none"/>
        </w:rPr>
      </w:pPr>
      <w:r>
        <w:rPr>
          <w:rFonts w:hint="eastAsia"/>
          <w:highlight w:val="none"/>
        </w:rPr>
        <w:t>2018年8月国家卫健委下发了《关于进一步推进以电子病历为核心的医疗机构信息化建设工作的通知》（国卫办医发「2018」20号），《通知》要求，地方各级卫生健康行政部门应当根据《电子病历应用管理规范（试行）》、《电子病历系统功能规范（试行）》，指导辖区内医疗机构加强电子病历信息化建设与管理，并按照《电子病历系统功能应用水平分级评价方法及标准（试行）》开展电子病历信息化建设评价，持续提高本区域电子病历信息化整体水平。到2019年，辖区内所有三级医院要达到电子病历应用水平分级评价3级以上，即实现医院内不同部门间数据交换；到2020年，要达到分级评价4级以上，即医院内实现全院信息共享，并具备医疗决策支持功能。</w:t>
      </w:r>
    </w:p>
    <w:p w14:paraId="73308895">
      <w:pPr>
        <w:pStyle w:val="12"/>
        <w:shd w:val="clear" w:color="auto" w:fill="auto"/>
        <w:ind w:firstLine="480"/>
        <w:rPr>
          <w:rFonts w:hint="eastAsia"/>
          <w:highlight w:val="none"/>
        </w:rPr>
      </w:pPr>
      <w:r>
        <w:rPr>
          <w:rFonts w:hint="eastAsia"/>
          <w:highlight w:val="none"/>
        </w:rPr>
        <w:t>《电子病历系统功能应用水平分级评价方法及标准（试行）》是医院整体实力的体现，体现了一家医院的临床工作效率和医疗质量管理水平。</w:t>
      </w:r>
    </w:p>
    <w:p w14:paraId="6AD687E7">
      <w:pPr>
        <w:pStyle w:val="12"/>
        <w:shd w:val="clear" w:color="auto" w:fill="auto"/>
        <w:ind w:firstLine="480"/>
        <w:rPr>
          <w:rFonts w:hint="eastAsia"/>
          <w:highlight w:val="none"/>
        </w:rPr>
      </w:pPr>
      <w:r>
        <w:rPr>
          <w:rFonts w:hint="eastAsia"/>
          <w:highlight w:val="none"/>
        </w:rPr>
        <w:t>2021年，国家卫健委提出“三位一体”的智慧医院建设框架，即以流程便捷、精细化管理、精准医疗、高效协同、资源共享为原则，通过互联网、物联网、人工智能、大数据、云计算等技术手段，最终实现智慧服务、智慧医疗、智慧管理三个领域的智能化建设和应用。</w:t>
      </w:r>
    </w:p>
    <w:p w14:paraId="001F12B9">
      <w:pPr>
        <w:pStyle w:val="12"/>
        <w:shd w:val="clear" w:color="auto" w:fill="auto"/>
        <w:ind w:firstLine="480"/>
        <w:rPr>
          <w:rFonts w:hint="eastAsia"/>
          <w:highlight w:val="none"/>
        </w:rPr>
      </w:pPr>
      <w:r>
        <w:rPr>
          <w:rFonts w:hint="eastAsia"/>
          <w:highlight w:val="none"/>
        </w:rPr>
        <w:t>智慧医院整体解决方案从国家对智慧医院建设的相关要求出发，以服务患者为核心，围绕临床服务和运营管理两条主线，结合云计算、物联网、大数据、互联网和人工智能等新型信息化技术，创新患者服务和临床应用模式，提升临床工作效率和医疗质量安全，促进医疗服务模式创新，精益现代化医院管理，通过信息技术打造集医疗、服务、管理“三位一体”的现代化智慧型医院。</w:t>
      </w:r>
    </w:p>
    <w:p w14:paraId="3954FE37">
      <w:pPr>
        <w:pStyle w:val="12"/>
        <w:shd w:val="clear" w:color="auto" w:fill="auto"/>
        <w:ind w:firstLine="480"/>
        <w:rPr>
          <w:rFonts w:hint="eastAsia"/>
          <w:highlight w:val="none"/>
        </w:rPr>
      </w:pPr>
      <w:r>
        <w:rPr>
          <w:rFonts w:hint="eastAsia"/>
          <w:highlight w:val="none"/>
        </w:rPr>
        <w:t>因此，我院将以三级医院信息化水平为参照，借助评级评审体系的要求，以评促建、以评促改，提高医疗管理水平，推进信息化建设进程。</w:t>
      </w:r>
    </w:p>
    <w:p w14:paraId="508691C1">
      <w:pPr>
        <w:pStyle w:val="2"/>
        <w:rPr>
          <w:rFonts w:hint="eastAsia"/>
          <w:highlight w:val="none"/>
        </w:rPr>
      </w:pPr>
      <w:bookmarkStart w:id="2" w:name="_Toc18929357"/>
      <w:r>
        <w:rPr>
          <w:rFonts w:hint="eastAsia"/>
          <w:highlight w:val="none"/>
        </w:rPr>
        <w:t>建设目标</w:t>
      </w:r>
      <w:bookmarkEnd w:id="2"/>
    </w:p>
    <w:p w14:paraId="3DF1ED4B">
      <w:pPr>
        <w:pStyle w:val="12"/>
        <w:shd w:val="clear" w:color="auto" w:fill="auto"/>
        <w:ind w:firstLine="480"/>
        <w:rPr>
          <w:rFonts w:hint="eastAsia"/>
          <w:highlight w:val="none"/>
        </w:rPr>
      </w:pPr>
      <w:r>
        <w:rPr>
          <w:rFonts w:hint="eastAsia"/>
          <w:highlight w:val="none"/>
        </w:rPr>
        <w:t>本次医院信息化工程建设将始终坚持以患者为中心，通过深入分析医院发展战略，遵循国家政策及行业标准的指引，构建一个全面覆盖医疗、人事、财务、物资、行政及后勤运营的智慧医院信息服务体系。通过充分融合包头市中心医院的特色，优化资源配置，提升信息利用效率，实现高效且智能的医疗信息系统，全面提高医院服务水平、技术水平及管理水平，提高医院的整体经营效益；全面优化整合医院内部的资源以及医院外部全社会的信息资源，积极探索“互联网+”背景下各种新技术、新理念的运用，致力于为患者带来更加高效、便捷、人性化以及智能化的医疗服务体验，显著提高患者满意度。</w:t>
      </w:r>
    </w:p>
    <w:p w14:paraId="483EDDB4">
      <w:pPr>
        <w:pStyle w:val="12"/>
        <w:shd w:val="clear" w:color="auto" w:fill="auto"/>
        <w:ind w:firstLine="480"/>
        <w:rPr>
          <w:rFonts w:hint="eastAsia"/>
          <w:highlight w:val="none"/>
        </w:rPr>
      </w:pPr>
      <w:r>
        <w:rPr>
          <w:rFonts w:hint="eastAsia"/>
          <w:highlight w:val="none"/>
        </w:rPr>
        <w:t>通过本项目的信息化建设，将医院建设成为数据标准、信息共享、应用整合、互联互通、应用智能、安全可靠的智慧医院。以电子病历为核心、以现代化医院建设为建设目标，为患者提供优质、便捷的医疗服务，为医护工作者提供高效、连续的协同服务，为医院临床和运营管理提供精细化、科学化的决策服务，实现医院信息系统的互联互通和数据共享，支持医疗监测与管理数据上传，为卫生行政部门提供及时、准确的监管数据和医疗信息区域共享打下夯实基础。</w:t>
      </w:r>
    </w:p>
    <w:p w14:paraId="18972A14">
      <w:pPr>
        <w:pStyle w:val="12"/>
        <w:shd w:val="clear" w:color="auto" w:fill="auto"/>
        <w:ind w:firstLine="480"/>
        <w:rPr>
          <w:rFonts w:hint="eastAsia"/>
          <w:highlight w:val="none"/>
        </w:rPr>
      </w:pPr>
      <w:r>
        <w:rPr>
          <w:rFonts w:hint="eastAsia"/>
          <w:highlight w:val="none"/>
        </w:rPr>
        <w:t>在核心业务系统升级后，包头市中心医院在一期建设后达到电子病历五级水平、通过互联互通四甲复审；二期建设后实现电子病历六级水平、智慧服务三级水平。</w:t>
      </w:r>
    </w:p>
    <w:p w14:paraId="5FABF7D4">
      <w:pPr>
        <w:pStyle w:val="12"/>
        <w:shd w:val="clear" w:color="auto" w:fill="auto"/>
        <w:ind w:firstLine="480"/>
        <w:rPr>
          <w:rFonts w:hint="eastAsia"/>
          <w:highlight w:val="none"/>
        </w:rPr>
      </w:pPr>
      <w:r>
        <w:rPr>
          <w:rFonts w:hint="eastAsia"/>
          <w:highlight w:val="none"/>
        </w:rPr>
        <w:t>以包头市中心医院为核心，构建城市级紧密型医疗集团，通过一套核心系统（包含HIS、EMR、LIS、PACS）、一体化建设，实现集团内部同质化管理，依托互联网医院实现会诊、转诊、医疗资源共享管理，业务高效协同，达成紧密型医疗集团的建设目标。</w:t>
      </w:r>
    </w:p>
    <w:p w14:paraId="086188FE">
      <w:pPr>
        <w:pStyle w:val="2"/>
        <w:rPr>
          <w:rFonts w:hint="eastAsia"/>
          <w:highlight w:val="none"/>
        </w:rPr>
      </w:pPr>
      <w:bookmarkStart w:id="3" w:name="_Toc18929358"/>
      <w:r>
        <w:rPr>
          <w:rFonts w:hint="eastAsia"/>
          <w:highlight w:val="none"/>
        </w:rPr>
        <w:t>建设原则</w:t>
      </w:r>
      <w:bookmarkEnd w:id="3"/>
    </w:p>
    <w:p w14:paraId="11BA0639">
      <w:pPr>
        <w:pStyle w:val="12"/>
        <w:shd w:val="clear" w:color="auto" w:fill="auto"/>
        <w:ind w:firstLine="480"/>
        <w:rPr>
          <w:rFonts w:hint="eastAsia"/>
          <w:highlight w:val="none"/>
        </w:rPr>
      </w:pPr>
      <w:r>
        <w:rPr>
          <w:rFonts w:hint="eastAsia"/>
          <w:highlight w:val="none"/>
        </w:rPr>
        <w:t>数字化医院建设是目前医院基本建设和发展的一项基础工程，但并不是简单地将手工流程计算机化，应能优化业务流程，提高工作效率，充分体现医院管理思想和业务思想。应“以病人（客户）为中心”，在提高医院经济和社会效益及科学管理水平的总体目标下，采取“总体规划、分步实施”原则。</w:t>
      </w:r>
    </w:p>
    <w:p w14:paraId="6803E2C1">
      <w:pPr>
        <w:pStyle w:val="12"/>
        <w:shd w:val="clear" w:color="auto" w:fill="auto"/>
        <w:ind w:firstLine="480"/>
        <w:rPr>
          <w:rFonts w:hint="eastAsia"/>
          <w:highlight w:val="none"/>
        </w:rPr>
      </w:pPr>
      <w:r>
        <w:rPr>
          <w:rFonts w:hint="eastAsia"/>
          <w:highlight w:val="none"/>
        </w:rPr>
        <w:t>1.整体规划、分步实施</w:t>
      </w:r>
    </w:p>
    <w:p w14:paraId="0A50FEB5">
      <w:pPr>
        <w:pStyle w:val="12"/>
        <w:shd w:val="clear" w:color="auto" w:fill="auto"/>
        <w:ind w:firstLine="480"/>
        <w:rPr>
          <w:rFonts w:hint="eastAsia"/>
          <w:highlight w:val="none"/>
        </w:rPr>
      </w:pPr>
      <w:r>
        <w:rPr>
          <w:rFonts w:hint="eastAsia"/>
          <w:highlight w:val="none"/>
        </w:rPr>
        <w:t>任何一个信息系统的建设都不可能是一蹴而就，我院信息系统就是这样一个庞大的、复杂的、长期的系统工程，更需要先做一个整体规划，无论从战略上或从战术上，从硬件上或从软件上都必须先进行整体的调研和规划，才能为后续的建设指明道路和打下基础。</w:t>
      </w:r>
    </w:p>
    <w:p w14:paraId="63F6610B">
      <w:pPr>
        <w:pStyle w:val="12"/>
        <w:shd w:val="clear" w:color="auto" w:fill="auto"/>
        <w:ind w:firstLine="480"/>
        <w:rPr>
          <w:rFonts w:hint="eastAsia"/>
          <w:highlight w:val="none"/>
        </w:rPr>
      </w:pPr>
      <w:r>
        <w:rPr>
          <w:rFonts w:hint="eastAsia"/>
          <w:highlight w:val="none"/>
        </w:rPr>
        <w:t>我院信息系统的建设过程是一个长期的过程，必须分成多个阶段来完成，以保证系统建设的可行性和可控性，因此我们必须在总体规划的指导下，分阶段逐步完成医院信息系统各项工程的建设。</w:t>
      </w:r>
    </w:p>
    <w:p w14:paraId="62B7EAA0">
      <w:pPr>
        <w:pStyle w:val="12"/>
        <w:shd w:val="clear" w:color="auto" w:fill="auto"/>
        <w:ind w:firstLine="480"/>
        <w:rPr>
          <w:rFonts w:hint="eastAsia"/>
          <w:highlight w:val="none"/>
        </w:rPr>
      </w:pPr>
      <w:r>
        <w:rPr>
          <w:rFonts w:hint="eastAsia"/>
          <w:highlight w:val="none"/>
        </w:rPr>
        <w:t>2.标准规范、功能全面</w:t>
      </w:r>
    </w:p>
    <w:p w14:paraId="2C5808BF">
      <w:pPr>
        <w:pStyle w:val="12"/>
        <w:shd w:val="clear" w:color="auto" w:fill="auto"/>
        <w:ind w:firstLine="480"/>
        <w:rPr>
          <w:rFonts w:hint="eastAsia"/>
          <w:highlight w:val="none"/>
        </w:rPr>
      </w:pPr>
      <w:r>
        <w:rPr>
          <w:rFonts w:hint="eastAsia"/>
          <w:highlight w:val="none"/>
        </w:rPr>
        <w:t>我院信息系统的项目建设要符合医疗行业的法律法规要求，系统功能范围和要求遵循卫生部医院信息系统功能规范（2002年版）要求，支持国际、国内的医疗相关标准，包括HL7、XML、DICOM3.0、ICD-10、SNOMED等相关标准。</w:t>
      </w:r>
    </w:p>
    <w:p w14:paraId="46F8D560">
      <w:pPr>
        <w:pStyle w:val="12"/>
        <w:shd w:val="clear" w:color="auto" w:fill="auto"/>
        <w:ind w:firstLine="480"/>
        <w:rPr>
          <w:rFonts w:hint="eastAsia"/>
          <w:highlight w:val="none"/>
        </w:rPr>
      </w:pPr>
      <w:r>
        <w:rPr>
          <w:rFonts w:hint="eastAsia"/>
          <w:highlight w:val="none"/>
        </w:rPr>
        <w:t>我院信息系统架构必须全面、完整，以支撑医院所有业务的开发实施、集成，保证系统内、外系统的顺利整合。业务应用应覆盖全院的所有业务科室及相关的业务流程。</w:t>
      </w:r>
    </w:p>
    <w:p w14:paraId="24958328">
      <w:pPr>
        <w:pStyle w:val="12"/>
        <w:shd w:val="clear" w:color="auto" w:fill="auto"/>
        <w:ind w:firstLine="480"/>
        <w:rPr>
          <w:rFonts w:hint="eastAsia"/>
          <w:highlight w:val="none"/>
        </w:rPr>
      </w:pPr>
      <w:r>
        <w:rPr>
          <w:highlight w:val="none"/>
        </w:rPr>
        <w:t>3</w:t>
      </w:r>
      <w:r>
        <w:rPr>
          <w:rFonts w:hint="eastAsia"/>
          <w:highlight w:val="none"/>
        </w:rPr>
        <w:t>.先进可靠、经济实用</w:t>
      </w:r>
    </w:p>
    <w:p w14:paraId="0735B5FD">
      <w:pPr>
        <w:pStyle w:val="12"/>
        <w:shd w:val="clear" w:color="auto" w:fill="auto"/>
        <w:ind w:firstLine="480"/>
        <w:rPr>
          <w:rFonts w:hint="eastAsia"/>
          <w:highlight w:val="none"/>
        </w:rPr>
      </w:pPr>
      <w:r>
        <w:rPr>
          <w:rFonts w:hint="eastAsia"/>
          <w:highlight w:val="none"/>
        </w:rPr>
        <w:t>计算机信息处理技术的发展日新月异，系统设计时采用当代先进技术和主流技术，既考虑应用平台和工具的先进，同时更要考虑系统结构和应用设计的先进性，以适应我院信息系统建设需求。</w:t>
      </w:r>
    </w:p>
    <w:p w14:paraId="2D14BB63">
      <w:pPr>
        <w:pStyle w:val="12"/>
        <w:shd w:val="clear" w:color="auto" w:fill="auto"/>
        <w:ind w:firstLine="480"/>
        <w:rPr>
          <w:rFonts w:hint="eastAsia"/>
          <w:highlight w:val="none"/>
        </w:rPr>
      </w:pPr>
      <w:r>
        <w:rPr>
          <w:rFonts w:hint="eastAsia"/>
          <w:highlight w:val="none"/>
        </w:rPr>
        <w:t>我院信息系统是关系到消费者健康以致生命的系统，从社会层面来看，是一个关系到社会稳定、国计民生的系统。只有确保系统具有足够的可靠性，才能保证整个整体医疗工程的正常运行。</w:t>
      </w:r>
    </w:p>
    <w:p w14:paraId="34C164D8">
      <w:pPr>
        <w:pStyle w:val="12"/>
        <w:shd w:val="clear" w:color="auto" w:fill="auto"/>
        <w:ind w:firstLine="480"/>
        <w:rPr>
          <w:rFonts w:hint="eastAsia"/>
          <w:highlight w:val="none"/>
        </w:rPr>
      </w:pPr>
      <w:r>
        <w:rPr>
          <w:rFonts w:hint="eastAsia"/>
          <w:highlight w:val="none"/>
        </w:rPr>
        <w:t>同时应用系统要充分体现易用性的特点：其一是应用界面的简捷、直观，使用户在使用时一目了然；其二是应提供联机的或脱机的帮助手段。</w:t>
      </w:r>
    </w:p>
    <w:p w14:paraId="13261193">
      <w:pPr>
        <w:pStyle w:val="12"/>
        <w:shd w:val="clear" w:color="auto" w:fill="auto"/>
        <w:ind w:firstLine="480"/>
        <w:rPr>
          <w:rFonts w:hint="eastAsia"/>
          <w:highlight w:val="none"/>
        </w:rPr>
      </w:pPr>
      <w:r>
        <w:rPr>
          <w:highlight w:val="none"/>
        </w:rPr>
        <w:t>4</w:t>
      </w:r>
      <w:r>
        <w:rPr>
          <w:rFonts w:hint="eastAsia"/>
          <w:highlight w:val="none"/>
        </w:rPr>
        <w:t>项目化管理</w:t>
      </w:r>
    </w:p>
    <w:p w14:paraId="1E98D523">
      <w:pPr>
        <w:pStyle w:val="12"/>
        <w:shd w:val="clear" w:color="auto" w:fill="auto"/>
        <w:ind w:firstLine="480"/>
        <w:rPr>
          <w:rFonts w:hint="eastAsia"/>
          <w:highlight w:val="none"/>
        </w:rPr>
      </w:pPr>
      <w:r>
        <w:rPr>
          <w:rFonts w:hint="eastAsia"/>
          <w:highlight w:val="none"/>
        </w:rPr>
        <w:t>我院信息系统的建设应按照软件工程项目化管理来开发和建设，在医院更换信息系统的过程中，要有统一的规范，涉及各院区的变动、需求等需要软件投标人密切配合定制，并接受用户的监管。</w:t>
      </w:r>
    </w:p>
    <w:p w14:paraId="642CCBF1">
      <w:pPr>
        <w:pStyle w:val="2"/>
        <w:rPr>
          <w:rFonts w:hint="eastAsia"/>
          <w:highlight w:val="none"/>
        </w:rPr>
      </w:pPr>
      <w:bookmarkStart w:id="4" w:name="_Toc18929359"/>
      <w:r>
        <w:rPr>
          <w:rFonts w:hint="eastAsia"/>
          <w:highlight w:val="none"/>
        </w:rPr>
        <w:t>规范依据</w:t>
      </w:r>
      <w:bookmarkEnd w:id="4"/>
    </w:p>
    <w:p w14:paraId="7F545A6F">
      <w:pPr>
        <w:pStyle w:val="12"/>
        <w:shd w:val="clear" w:color="auto" w:fill="auto"/>
        <w:ind w:firstLine="480"/>
        <w:rPr>
          <w:rFonts w:hint="eastAsia"/>
          <w:highlight w:val="none"/>
        </w:rPr>
      </w:pPr>
      <w:r>
        <w:rPr>
          <w:rFonts w:hint="eastAsia"/>
          <w:highlight w:val="none"/>
        </w:rPr>
        <w:t>系统应符合并遵循相关标准，包括但不限于：</w:t>
      </w:r>
    </w:p>
    <w:p w14:paraId="32D5CE6D">
      <w:pPr>
        <w:pStyle w:val="12"/>
        <w:shd w:val="clear" w:color="auto" w:fill="auto"/>
        <w:ind w:firstLine="480"/>
        <w:rPr>
          <w:rFonts w:hint="eastAsia"/>
          <w:highlight w:val="none"/>
        </w:rPr>
      </w:pPr>
      <w:r>
        <w:rPr>
          <w:rFonts w:hint="eastAsia"/>
          <w:highlight w:val="none"/>
        </w:rPr>
        <w:t>《中共中央国务院关于深化医药卫生体制改革的意见》</w:t>
      </w:r>
    </w:p>
    <w:p w14:paraId="0D733AC5">
      <w:pPr>
        <w:pStyle w:val="12"/>
        <w:shd w:val="clear" w:color="auto" w:fill="auto"/>
        <w:ind w:firstLine="480"/>
        <w:rPr>
          <w:rFonts w:hint="eastAsia"/>
          <w:highlight w:val="none"/>
        </w:rPr>
      </w:pPr>
      <w:r>
        <w:rPr>
          <w:rFonts w:hint="eastAsia"/>
          <w:highlight w:val="none"/>
        </w:rPr>
        <w:t>《电子病历系统功能应用水平分级评价方法及标准（修订征求意见稿）》</w:t>
      </w:r>
    </w:p>
    <w:p w14:paraId="10A7103F">
      <w:pPr>
        <w:pStyle w:val="12"/>
        <w:shd w:val="clear" w:color="auto" w:fill="auto"/>
        <w:ind w:firstLine="480"/>
        <w:rPr>
          <w:rFonts w:hint="eastAsia"/>
          <w:highlight w:val="none"/>
        </w:rPr>
      </w:pPr>
      <w:r>
        <w:rPr>
          <w:rFonts w:hint="eastAsia"/>
          <w:highlight w:val="none"/>
        </w:rPr>
        <w:t>《医院信息互联互通标准化成熟度测评方案》（2</w:t>
      </w:r>
      <w:r>
        <w:rPr>
          <w:highlight w:val="none"/>
        </w:rPr>
        <w:t>020</w:t>
      </w:r>
      <w:r>
        <w:rPr>
          <w:rFonts w:hint="eastAsia"/>
          <w:highlight w:val="none"/>
        </w:rPr>
        <w:t>版）</w:t>
      </w:r>
    </w:p>
    <w:p w14:paraId="0E709F52">
      <w:pPr>
        <w:pStyle w:val="12"/>
        <w:shd w:val="clear" w:color="auto" w:fill="auto"/>
        <w:ind w:firstLine="480"/>
        <w:rPr>
          <w:rFonts w:hint="eastAsia"/>
          <w:highlight w:val="none"/>
        </w:rPr>
      </w:pPr>
      <w:r>
        <w:rPr>
          <w:rFonts w:hint="eastAsia"/>
          <w:highlight w:val="none"/>
        </w:rPr>
        <w:t>《电子病历系统应用水平分级评价管理办法（试行）》（2</w:t>
      </w:r>
      <w:r>
        <w:rPr>
          <w:highlight w:val="none"/>
        </w:rPr>
        <w:t>018</w:t>
      </w:r>
      <w:r>
        <w:rPr>
          <w:rFonts w:hint="eastAsia"/>
          <w:highlight w:val="none"/>
        </w:rPr>
        <w:t>版）</w:t>
      </w:r>
    </w:p>
    <w:p w14:paraId="2BB60F35">
      <w:pPr>
        <w:pStyle w:val="12"/>
        <w:shd w:val="clear" w:color="auto" w:fill="auto"/>
        <w:ind w:firstLine="480"/>
        <w:rPr>
          <w:rFonts w:hint="eastAsia"/>
          <w:highlight w:val="none"/>
        </w:rPr>
      </w:pPr>
      <w:r>
        <w:rPr>
          <w:rFonts w:hint="eastAsia"/>
          <w:highlight w:val="none"/>
        </w:rPr>
        <w:t>《全国医院信息化建设标准（试行）》</w:t>
      </w:r>
    </w:p>
    <w:p w14:paraId="69CE5FF8">
      <w:pPr>
        <w:pStyle w:val="12"/>
        <w:shd w:val="clear" w:color="auto" w:fill="auto"/>
        <w:ind w:firstLine="480"/>
        <w:rPr>
          <w:rFonts w:hint="eastAsia"/>
          <w:highlight w:val="none"/>
        </w:rPr>
      </w:pPr>
      <w:r>
        <w:rPr>
          <w:rFonts w:hint="eastAsia"/>
          <w:highlight w:val="none"/>
        </w:rPr>
        <w:t>《医院信息平台功能指引》</w:t>
      </w:r>
    </w:p>
    <w:p w14:paraId="68E18F6D">
      <w:pPr>
        <w:pStyle w:val="12"/>
        <w:shd w:val="clear" w:color="auto" w:fill="auto"/>
        <w:ind w:firstLine="480"/>
        <w:rPr>
          <w:rFonts w:hint="eastAsia"/>
          <w:highlight w:val="none"/>
        </w:rPr>
      </w:pPr>
      <w:r>
        <w:rPr>
          <w:rFonts w:hint="eastAsia"/>
          <w:highlight w:val="none"/>
        </w:rPr>
        <w:t>《医院信息化建设应用技术指引（2017）》</w:t>
      </w:r>
    </w:p>
    <w:p w14:paraId="0491951B">
      <w:pPr>
        <w:pStyle w:val="12"/>
        <w:shd w:val="clear" w:color="auto" w:fill="auto"/>
        <w:ind w:firstLine="480"/>
        <w:rPr>
          <w:rFonts w:hint="eastAsia"/>
          <w:highlight w:val="none"/>
        </w:rPr>
      </w:pPr>
      <w:r>
        <w:rPr>
          <w:rFonts w:hint="eastAsia"/>
          <w:highlight w:val="none"/>
        </w:rPr>
        <w:t>《医院信息系统基本功能规范》</w:t>
      </w:r>
    </w:p>
    <w:p w14:paraId="55BA891F">
      <w:pPr>
        <w:pStyle w:val="12"/>
        <w:shd w:val="clear" w:color="auto" w:fill="auto"/>
        <w:ind w:firstLine="480"/>
        <w:rPr>
          <w:rFonts w:hint="eastAsia"/>
          <w:highlight w:val="none"/>
        </w:rPr>
      </w:pPr>
      <w:r>
        <w:rPr>
          <w:rFonts w:hint="eastAsia"/>
          <w:highlight w:val="none"/>
        </w:rPr>
        <w:t>《基于电子病历的医院信息平台建设技术解决方案》</w:t>
      </w:r>
    </w:p>
    <w:p w14:paraId="5384E1F2">
      <w:pPr>
        <w:pStyle w:val="12"/>
        <w:shd w:val="clear" w:color="auto" w:fill="auto"/>
        <w:ind w:firstLine="480"/>
        <w:rPr>
          <w:rFonts w:hint="eastAsia"/>
          <w:highlight w:val="none"/>
        </w:rPr>
      </w:pPr>
      <w:r>
        <w:rPr>
          <w:rFonts w:hint="eastAsia"/>
          <w:highlight w:val="none"/>
        </w:rPr>
        <w:t>《电子病历功能规范标准》</w:t>
      </w:r>
    </w:p>
    <w:p w14:paraId="2AAA49E3">
      <w:pPr>
        <w:pStyle w:val="12"/>
        <w:shd w:val="clear" w:color="auto" w:fill="auto"/>
        <w:ind w:firstLine="480"/>
        <w:rPr>
          <w:rFonts w:hint="eastAsia"/>
          <w:highlight w:val="none"/>
        </w:rPr>
      </w:pPr>
      <w:r>
        <w:rPr>
          <w:rFonts w:hint="eastAsia"/>
          <w:highlight w:val="none"/>
        </w:rPr>
        <w:t>《病历书写基本规范》</w:t>
      </w:r>
    </w:p>
    <w:p w14:paraId="050915B9">
      <w:pPr>
        <w:pStyle w:val="12"/>
        <w:shd w:val="clear" w:color="auto" w:fill="auto"/>
        <w:ind w:firstLine="480"/>
        <w:rPr>
          <w:rFonts w:hint="eastAsia"/>
          <w:highlight w:val="none"/>
        </w:rPr>
      </w:pPr>
      <w:r>
        <w:rPr>
          <w:rFonts w:hint="eastAsia"/>
          <w:highlight w:val="none"/>
        </w:rPr>
        <w:t>《电子病历基本规范（试行）》</w:t>
      </w:r>
    </w:p>
    <w:p w14:paraId="1351D424">
      <w:pPr>
        <w:pStyle w:val="12"/>
        <w:shd w:val="clear" w:color="auto" w:fill="auto"/>
        <w:ind w:firstLine="480"/>
        <w:rPr>
          <w:rFonts w:hint="eastAsia"/>
          <w:highlight w:val="none"/>
        </w:rPr>
      </w:pPr>
      <w:r>
        <w:rPr>
          <w:rFonts w:hint="eastAsia"/>
          <w:highlight w:val="none"/>
        </w:rPr>
        <w:t>《电子病历基本架构与数据标准（试行）》</w:t>
      </w:r>
    </w:p>
    <w:p w14:paraId="27E142D5">
      <w:pPr>
        <w:pStyle w:val="12"/>
        <w:shd w:val="clear" w:color="auto" w:fill="auto"/>
        <w:ind w:firstLine="480"/>
        <w:rPr>
          <w:rFonts w:hint="eastAsia"/>
          <w:highlight w:val="none"/>
        </w:rPr>
      </w:pPr>
      <w:r>
        <w:rPr>
          <w:rFonts w:hint="eastAsia"/>
          <w:highlight w:val="none"/>
        </w:rPr>
        <w:t>《临床路径管理指导原则（试行）》</w:t>
      </w:r>
    </w:p>
    <w:p w14:paraId="1751B83C">
      <w:pPr>
        <w:pStyle w:val="12"/>
        <w:shd w:val="clear" w:color="auto" w:fill="auto"/>
        <w:ind w:firstLine="480"/>
        <w:rPr>
          <w:rFonts w:hint="eastAsia"/>
          <w:highlight w:val="none"/>
        </w:rPr>
      </w:pPr>
      <w:r>
        <w:rPr>
          <w:rFonts w:hint="eastAsia"/>
          <w:highlight w:val="none"/>
        </w:rPr>
        <w:t>《电子病历临床文档数据组与数据元标准（试行）》</w:t>
      </w:r>
    </w:p>
    <w:p w14:paraId="6DA66B8F">
      <w:pPr>
        <w:pStyle w:val="12"/>
        <w:shd w:val="clear" w:color="auto" w:fill="auto"/>
        <w:ind w:firstLine="480"/>
        <w:rPr>
          <w:rFonts w:hint="eastAsia"/>
          <w:highlight w:val="none"/>
        </w:rPr>
      </w:pPr>
      <w:r>
        <w:rPr>
          <w:rFonts w:hint="eastAsia"/>
          <w:highlight w:val="none"/>
        </w:rPr>
        <w:t>《电子病历临床文档基础模板数据集标准（试行）》</w:t>
      </w:r>
    </w:p>
    <w:p w14:paraId="257BBFC9">
      <w:pPr>
        <w:pStyle w:val="12"/>
        <w:shd w:val="clear" w:color="auto" w:fill="auto"/>
        <w:ind w:firstLine="480"/>
        <w:rPr>
          <w:rFonts w:hint="eastAsia"/>
          <w:highlight w:val="none"/>
        </w:rPr>
      </w:pPr>
      <w:r>
        <w:rPr>
          <w:rFonts w:hint="eastAsia"/>
          <w:highlight w:val="none"/>
        </w:rPr>
        <w:t>《处方管理办法》</w:t>
      </w:r>
    </w:p>
    <w:p w14:paraId="02420634">
      <w:pPr>
        <w:pStyle w:val="12"/>
        <w:shd w:val="clear" w:color="auto" w:fill="auto"/>
        <w:ind w:firstLine="480"/>
        <w:rPr>
          <w:rFonts w:hint="eastAsia"/>
          <w:highlight w:val="none"/>
        </w:rPr>
      </w:pPr>
      <w:r>
        <w:rPr>
          <w:rFonts w:hint="eastAsia"/>
          <w:highlight w:val="none"/>
        </w:rPr>
        <w:t>《电子病历共享文档规范》</w:t>
      </w:r>
    </w:p>
    <w:p w14:paraId="6692E82D">
      <w:pPr>
        <w:pStyle w:val="12"/>
        <w:shd w:val="clear" w:color="auto" w:fill="auto"/>
        <w:ind w:firstLine="480"/>
        <w:rPr>
          <w:rFonts w:hint="eastAsia"/>
          <w:highlight w:val="none"/>
        </w:rPr>
      </w:pPr>
      <w:r>
        <w:rPr>
          <w:rFonts w:hint="eastAsia"/>
          <w:highlight w:val="none"/>
        </w:rPr>
        <w:t>《基于健康档案的区域卫生信息平台建设指南（试行）》</w:t>
      </w:r>
    </w:p>
    <w:p w14:paraId="55CFA351">
      <w:pPr>
        <w:pStyle w:val="12"/>
        <w:shd w:val="clear" w:color="auto" w:fill="auto"/>
        <w:ind w:firstLine="480"/>
        <w:rPr>
          <w:rFonts w:hint="eastAsia"/>
          <w:highlight w:val="none"/>
        </w:rPr>
      </w:pPr>
      <w:r>
        <w:rPr>
          <w:rFonts w:hint="eastAsia"/>
          <w:highlight w:val="none"/>
        </w:rPr>
        <w:t>《国家卫生计生委属（管）医院信息服务与监管系统数据采集规范》</w:t>
      </w:r>
    </w:p>
    <w:p w14:paraId="67A0F6E6">
      <w:pPr>
        <w:pStyle w:val="12"/>
        <w:shd w:val="clear" w:color="auto" w:fill="auto"/>
        <w:ind w:firstLine="480"/>
        <w:rPr>
          <w:rFonts w:hint="eastAsia"/>
          <w:highlight w:val="none"/>
        </w:rPr>
      </w:pPr>
      <w:r>
        <w:rPr>
          <w:rFonts w:hint="eastAsia"/>
          <w:highlight w:val="none"/>
        </w:rPr>
        <w:t>《健康档案基本架构与数据标准（试行）》</w:t>
      </w:r>
    </w:p>
    <w:p w14:paraId="18B93DE2">
      <w:pPr>
        <w:pStyle w:val="12"/>
        <w:shd w:val="clear" w:color="auto" w:fill="auto"/>
        <w:ind w:firstLine="480"/>
        <w:rPr>
          <w:rFonts w:hint="eastAsia"/>
          <w:highlight w:val="none"/>
        </w:rPr>
      </w:pPr>
      <w:r>
        <w:rPr>
          <w:rFonts w:hint="eastAsia"/>
          <w:highlight w:val="none"/>
        </w:rPr>
        <w:t>《国家基本公共卫生服务规范（2011年版）》</w:t>
      </w:r>
    </w:p>
    <w:p w14:paraId="72037AF2">
      <w:pPr>
        <w:pStyle w:val="12"/>
        <w:shd w:val="clear" w:color="auto" w:fill="auto"/>
        <w:ind w:firstLine="480"/>
        <w:rPr>
          <w:rFonts w:hint="eastAsia"/>
          <w:highlight w:val="none"/>
        </w:rPr>
      </w:pPr>
      <w:r>
        <w:rPr>
          <w:rFonts w:hint="eastAsia"/>
          <w:highlight w:val="none"/>
        </w:rPr>
        <w:t>《加快推进人口健康信息化建设的指导意见》</w:t>
      </w:r>
    </w:p>
    <w:p w14:paraId="567D2ABB">
      <w:pPr>
        <w:pStyle w:val="12"/>
        <w:shd w:val="clear" w:color="auto" w:fill="auto"/>
        <w:ind w:firstLine="480"/>
        <w:rPr>
          <w:rFonts w:hint="eastAsia"/>
          <w:highlight w:val="none"/>
        </w:rPr>
      </w:pPr>
      <w:r>
        <w:rPr>
          <w:rFonts w:hint="eastAsia"/>
          <w:highlight w:val="none"/>
        </w:rPr>
        <w:t>《中华人民共和国计算机信息系统安全保护条例》</w:t>
      </w:r>
    </w:p>
    <w:p w14:paraId="53F30941">
      <w:pPr>
        <w:pStyle w:val="12"/>
        <w:shd w:val="clear" w:color="auto" w:fill="auto"/>
        <w:ind w:firstLine="480"/>
        <w:rPr>
          <w:rFonts w:hint="eastAsia"/>
          <w:highlight w:val="none"/>
        </w:rPr>
      </w:pPr>
      <w:r>
        <w:rPr>
          <w:rFonts w:hint="eastAsia"/>
          <w:highlight w:val="none"/>
        </w:rPr>
        <w:t>《计算机信息系统保密管理暂行规定》（国保发[1998]1号）</w:t>
      </w:r>
    </w:p>
    <w:p w14:paraId="09713E2E">
      <w:pPr>
        <w:pStyle w:val="12"/>
        <w:shd w:val="clear" w:color="auto" w:fill="auto"/>
        <w:ind w:firstLine="480"/>
        <w:rPr>
          <w:rFonts w:hint="eastAsia"/>
          <w:highlight w:val="none"/>
        </w:rPr>
      </w:pPr>
      <w:r>
        <w:rPr>
          <w:rFonts w:hint="eastAsia"/>
          <w:highlight w:val="none"/>
        </w:rPr>
        <w:t>《信息安全技术 网络安全等级保护基本要求》（GB/T 22239-2019）</w:t>
      </w:r>
    </w:p>
    <w:p w14:paraId="7E80BA5F">
      <w:pPr>
        <w:pStyle w:val="12"/>
        <w:shd w:val="clear" w:color="auto" w:fill="auto"/>
        <w:ind w:firstLine="480"/>
        <w:rPr>
          <w:rFonts w:hint="eastAsia"/>
          <w:highlight w:val="none"/>
        </w:rPr>
      </w:pPr>
      <w:r>
        <w:rPr>
          <w:rFonts w:hint="eastAsia"/>
          <w:highlight w:val="none"/>
        </w:rPr>
        <w:t>《医院信息系统基本功能规范》（卫生部，2010年）</w:t>
      </w:r>
    </w:p>
    <w:p w14:paraId="28508172">
      <w:pPr>
        <w:pStyle w:val="12"/>
        <w:shd w:val="clear" w:color="auto" w:fill="auto"/>
        <w:ind w:firstLine="480"/>
        <w:rPr>
          <w:rFonts w:hint="eastAsia"/>
          <w:highlight w:val="none"/>
        </w:rPr>
      </w:pPr>
      <w:r>
        <w:rPr>
          <w:rFonts w:hint="eastAsia"/>
          <w:highlight w:val="none"/>
        </w:rPr>
        <w:t>《医院医疗行为管理系统建设方案》（卫生部，2010年）</w:t>
      </w:r>
    </w:p>
    <w:p w14:paraId="3A949535">
      <w:pPr>
        <w:pStyle w:val="12"/>
        <w:shd w:val="clear" w:color="auto" w:fill="auto"/>
        <w:ind w:firstLine="480"/>
        <w:rPr>
          <w:rFonts w:hint="eastAsia"/>
          <w:highlight w:val="none"/>
        </w:rPr>
      </w:pPr>
      <w:r>
        <w:rPr>
          <w:rFonts w:hint="eastAsia"/>
          <w:highlight w:val="none"/>
        </w:rPr>
        <w:t>《健康档案信息标准符合性测评方案》（卫生部，2012年）</w:t>
      </w:r>
    </w:p>
    <w:p w14:paraId="5CC7B230">
      <w:pPr>
        <w:pStyle w:val="12"/>
        <w:shd w:val="clear" w:color="auto" w:fill="auto"/>
        <w:ind w:firstLine="480"/>
        <w:rPr>
          <w:rFonts w:hint="eastAsia"/>
          <w:highlight w:val="none"/>
        </w:rPr>
      </w:pPr>
      <w:r>
        <w:rPr>
          <w:rFonts w:hint="eastAsia"/>
          <w:highlight w:val="none"/>
        </w:rPr>
        <w:t>《医院感染管理信息系统基本功能规范》（卫生部，2012年）</w:t>
      </w:r>
    </w:p>
    <w:p w14:paraId="68493DD2">
      <w:pPr>
        <w:pStyle w:val="12"/>
        <w:shd w:val="clear" w:color="auto" w:fill="auto"/>
        <w:ind w:firstLine="480"/>
        <w:rPr>
          <w:rFonts w:hint="eastAsia"/>
          <w:highlight w:val="none"/>
        </w:rPr>
      </w:pPr>
      <w:r>
        <w:rPr>
          <w:rFonts w:hint="eastAsia"/>
          <w:highlight w:val="none"/>
        </w:rPr>
        <w:t>《基本信息基本数据集》（卫生部，2012年）</w:t>
      </w:r>
    </w:p>
    <w:p w14:paraId="5CDF7B0E">
      <w:pPr>
        <w:pStyle w:val="12"/>
        <w:shd w:val="clear" w:color="auto" w:fill="auto"/>
        <w:ind w:firstLine="480"/>
        <w:rPr>
          <w:rFonts w:hint="eastAsia"/>
          <w:highlight w:val="none"/>
        </w:rPr>
      </w:pPr>
      <w:r>
        <w:rPr>
          <w:rFonts w:hint="eastAsia"/>
          <w:highlight w:val="none"/>
        </w:rPr>
        <w:t>《电子病历基本架构与数据标准》（卫办发〔2009〕130号）</w:t>
      </w:r>
    </w:p>
    <w:p w14:paraId="17110868">
      <w:pPr>
        <w:pStyle w:val="12"/>
        <w:shd w:val="clear" w:color="auto" w:fill="auto"/>
        <w:ind w:firstLine="480"/>
        <w:rPr>
          <w:rFonts w:hint="eastAsia"/>
          <w:highlight w:val="none"/>
        </w:rPr>
      </w:pPr>
      <w:r>
        <w:rPr>
          <w:rFonts w:hint="eastAsia"/>
          <w:highlight w:val="none"/>
        </w:rPr>
        <w:t>《卫生信息互联互通标准化成熟度测评工作管理办法》</w:t>
      </w:r>
    </w:p>
    <w:p w14:paraId="4D857193">
      <w:pPr>
        <w:pStyle w:val="12"/>
        <w:shd w:val="clear" w:color="auto" w:fill="auto"/>
        <w:ind w:firstLine="480"/>
        <w:rPr>
          <w:rFonts w:hint="eastAsia"/>
          <w:highlight w:val="none"/>
        </w:rPr>
      </w:pPr>
      <w:r>
        <w:rPr>
          <w:rFonts w:hint="eastAsia"/>
          <w:highlight w:val="none"/>
        </w:rPr>
        <w:t>《国家电子政务工程建设项目管理暂行办法》（中华人民共和国国家发展和改革委员会令第55号）</w:t>
      </w:r>
    </w:p>
    <w:p w14:paraId="65EC32AE">
      <w:pPr>
        <w:pStyle w:val="12"/>
        <w:shd w:val="clear" w:color="auto" w:fill="auto"/>
        <w:ind w:firstLine="480"/>
        <w:rPr>
          <w:rFonts w:hint="eastAsia"/>
          <w:highlight w:val="none"/>
        </w:rPr>
      </w:pPr>
      <w:r>
        <w:rPr>
          <w:rFonts w:hint="eastAsia"/>
          <w:highlight w:val="none"/>
        </w:rPr>
        <w:t>《计算机软件产品开发文件编制指南》（GB/T 8567-1988）</w:t>
      </w:r>
    </w:p>
    <w:p w14:paraId="0EABE665">
      <w:pPr>
        <w:pStyle w:val="12"/>
        <w:shd w:val="clear" w:color="auto" w:fill="auto"/>
        <w:ind w:firstLine="480"/>
        <w:rPr>
          <w:rFonts w:hint="eastAsia"/>
          <w:highlight w:val="none"/>
        </w:rPr>
      </w:pPr>
      <w:r>
        <w:rPr>
          <w:rFonts w:hint="eastAsia"/>
          <w:highlight w:val="none"/>
        </w:rPr>
        <w:t>《计算机信息系统安全保护等级划分准则》（GB/T 17859-1999）</w:t>
      </w:r>
    </w:p>
    <w:p w14:paraId="0CBEC040">
      <w:pPr>
        <w:pStyle w:val="12"/>
        <w:shd w:val="clear" w:color="auto" w:fill="auto"/>
        <w:ind w:firstLine="480"/>
        <w:rPr>
          <w:rFonts w:hint="eastAsia"/>
          <w:highlight w:val="none"/>
        </w:rPr>
      </w:pPr>
      <w:r>
        <w:rPr>
          <w:rFonts w:hint="eastAsia"/>
          <w:highlight w:val="none"/>
        </w:rPr>
        <w:t>《信息系统安全等级保护基本要求》（GB/T22239-2008）</w:t>
      </w:r>
    </w:p>
    <w:p w14:paraId="10ED8014">
      <w:pPr>
        <w:pStyle w:val="12"/>
        <w:shd w:val="clear" w:color="auto" w:fill="auto"/>
        <w:ind w:firstLine="480"/>
        <w:rPr>
          <w:rFonts w:hint="eastAsia"/>
          <w:highlight w:val="none"/>
        </w:rPr>
      </w:pPr>
      <w:r>
        <w:rPr>
          <w:rFonts w:hint="eastAsia"/>
          <w:highlight w:val="none"/>
        </w:rPr>
        <w:t>《信息技术安全技术信息技术安全性评估准则》（GB/T 18336-2001）</w:t>
      </w:r>
    </w:p>
    <w:p w14:paraId="78CCD4DA">
      <w:pPr>
        <w:pStyle w:val="12"/>
        <w:shd w:val="clear" w:color="auto" w:fill="auto"/>
        <w:ind w:firstLine="480"/>
        <w:rPr>
          <w:rFonts w:hint="eastAsia"/>
          <w:highlight w:val="none"/>
        </w:rPr>
      </w:pPr>
      <w:r>
        <w:rPr>
          <w:rFonts w:hint="eastAsia"/>
          <w:highlight w:val="none"/>
        </w:rPr>
        <w:t>《计算机场地通用规范》（GB/T 2887-2000）</w:t>
      </w:r>
    </w:p>
    <w:p w14:paraId="500F2FE2">
      <w:pPr>
        <w:pStyle w:val="12"/>
        <w:shd w:val="clear" w:color="auto" w:fill="auto"/>
        <w:ind w:firstLine="480"/>
        <w:rPr>
          <w:rFonts w:hint="eastAsia"/>
          <w:highlight w:val="none"/>
        </w:rPr>
      </w:pPr>
      <w:r>
        <w:rPr>
          <w:rFonts w:hint="eastAsia"/>
          <w:highlight w:val="none"/>
        </w:rPr>
        <w:t>《计算机场地安全要求》（GB9361-1988）</w:t>
      </w:r>
    </w:p>
    <w:p w14:paraId="71BB2464">
      <w:pPr>
        <w:pStyle w:val="12"/>
        <w:shd w:val="clear" w:color="auto" w:fill="auto"/>
        <w:ind w:firstLine="480"/>
        <w:rPr>
          <w:rFonts w:hint="eastAsia"/>
          <w:highlight w:val="none"/>
        </w:rPr>
      </w:pPr>
      <w:r>
        <w:rPr>
          <w:rFonts w:hint="eastAsia"/>
          <w:highlight w:val="none"/>
        </w:rPr>
        <w:t>《WS 445</w:t>
      </w:r>
      <w:r>
        <w:rPr>
          <w:b/>
          <w:bCs/>
          <w:highlight w:val="none"/>
        </w:rPr>
        <w:t>—</w:t>
      </w:r>
      <w:r>
        <w:rPr>
          <w:rFonts w:hint="eastAsia"/>
          <w:highlight w:val="none"/>
        </w:rPr>
        <w:t xml:space="preserve">2014电子病历基本数据集》； </w:t>
      </w:r>
    </w:p>
    <w:p w14:paraId="1A1C80B8">
      <w:pPr>
        <w:pStyle w:val="12"/>
        <w:shd w:val="clear" w:color="auto" w:fill="auto"/>
        <w:ind w:firstLine="480"/>
        <w:rPr>
          <w:rFonts w:hint="eastAsia"/>
          <w:highlight w:val="none"/>
        </w:rPr>
      </w:pPr>
      <w:r>
        <w:rPr>
          <w:rFonts w:hint="eastAsia"/>
          <w:highlight w:val="none"/>
        </w:rPr>
        <w:t>《WS/T 447</w:t>
      </w:r>
      <w:r>
        <w:rPr>
          <w:b/>
          <w:bCs/>
          <w:highlight w:val="none"/>
        </w:rPr>
        <w:t>—</w:t>
      </w:r>
      <w:r>
        <w:rPr>
          <w:rFonts w:hint="eastAsia"/>
          <w:highlight w:val="none"/>
        </w:rPr>
        <w:t>2014基于电子病历的医院信息平台技术规范》</w:t>
      </w:r>
    </w:p>
    <w:p w14:paraId="64420B61">
      <w:pPr>
        <w:pStyle w:val="12"/>
        <w:shd w:val="clear" w:color="auto" w:fill="auto"/>
        <w:ind w:firstLine="480"/>
        <w:rPr>
          <w:rFonts w:hint="eastAsia"/>
          <w:highlight w:val="none"/>
        </w:rPr>
      </w:pPr>
      <w:r>
        <w:rPr>
          <w:rFonts w:hint="eastAsia"/>
          <w:highlight w:val="none"/>
        </w:rPr>
        <w:t>《医院智慧服务分级评估标准体系》（试行）</w:t>
      </w:r>
    </w:p>
    <w:p w14:paraId="7C60399A">
      <w:pPr>
        <w:pStyle w:val="2"/>
        <w:rPr>
          <w:rFonts w:hint="eastAsia"/>
          <w:highlight w:val="none"/>
        </w:rPr>
      </w:pPr>
      <w:bookmarkStart w:id="5" w:name="_Toc18929360"/>
      <w:r>
        <w:rPr>
          <w:rFonts w:hint="eastAsia"/>
          <w:highlight w:val="none"/>
        </w:rPr>
        <w:t>建设内容</w:t>
      </w:r>
      <w:bookmarkEnd w:id="5"/>
    </w:p>
    <w:p w14:paraId="6AF3A878">
      <w:pPr>
        <w:pStyle w:val="3"/>
        <w:rPr>
          <w:rFonts w:hint="eastAsia"/>
          <w:highlight w:val="none"/>
        </w:rPr>
      </w:pPr>
      <w:r>
        <w:rPr>
          <w:rFonts w:hint="eastAsia"/>
          <w:highlight w:val="none"/>
        </w:rPr>
        <w:t>建设清单</w:t>
      </w:r>
    </w:p>
    <w:p w14:paraId="67B9FE2D">
      <w:pPr>
        <w:pStyle w:val="12"/>
        <w:shd w:val="clear" w:color="auto" w:fill="auto"/>
        <w:ind w:firstLine="480"/>
        <w:rPr>
          <w:rFonts w:hint="eastAsia"/>
          <w:highlight w:val="none"/>
        </w:rPr>
      </w:pPr>
      <w:r>
        <w:rPr>
          <w:rFonts w:hint="eastAsia"/>
          <w:highlight w:val="none"/>
        </w:rPr>
        <w:t>本次建设内容如下：</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846"/>
        <w:gridCol w:w="2980"/>
        <w:gridCol w:w="3000"/>
      </w:tblGrid>
      <w:tr w14:paraId="0679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B1D6B29">
            <w:pPr>
              <w:pStyle w:val="38"/>
              <w:jc w:val="center"/>
              <w:rPr>
                <w:rFonts w:hint="eastAsia"/>
                <w:highlight w:val="none"/>
              </w:rPr>
            </w:pPr>
            <w:r>
              <w:rPr>
                <w:rFonts w:hint="eastAsia"/>
                <w:highlight w:val="none"/>
              </w:rPr>
              <w:t>序号</w:t>
            </w:r>
          </w:p>
        </w:tc>
        <w:tc>
          <w:tcPr>
            <w:tcW w:w="1846" w:type="dxa"/>
            <w:noWrap/>
            <w:vAlign w:val="center"/>
          </w:tcPr>
          <w:p w14:paraId="44734A08">
            <w:pPr>
              <w:pStyle w:val="38"/>
              <w:jc w:val="center"/>
              <w:rPr>
                <w:rFonts w:hint="eastAsia"/>
                <w:highlight w:val="none"/>
              </w:rPr>
            </w:pPr>
            <w:r>
              <w:rPr>
                <w:rFonts w:hint="eastAsia"/>
                <w:highlight w:val="none"/>
              </w:rPr>
              <w:t>分类</w:t>
            </w:r>
          </w:p>
        </w:tc>
        <w:tc>
          <w:tcPr>
            <w:tcW w:w="2980" w:type="dxa"/>
            <w:noWrap/>
            <w:vAlign w:val="center"/>
          </w:tcPr>
          <w:p w14:paraId="30CDC74F">
            <w:pPr>
              <w:pStyle w:val="38"/>
              <w:jc w:val="center"/>
              <w:rPr>
                <w:rFonts w:hint="eastAsia"/>
                <w:highlight w:val="none"/>
              </w:rPr>
            </w:pPr>
            <w:r>
              <w:rPr>
                <w:rFonts w:hint="eastAsia"/>
                <w:highlight w:val="none"/>
              </w:rPr>
              <w:t>系统</w:t>
            </w:r>
          </w:p>
        </w:tc>
        <w:tc>
          <w:tcPr>
            <w:tcW w:w="3000" w:type="dxa"/>
            <w:noWrap/>
            <w:vAlign w:val="center"/>
          </w:tcPr>
          <w:p w14:paraId="38B595F6">
            <w:pPr>
              <w:pStyle w:val="38"/>
              <w:jc w:val="center"/>
              <w:rPr>
                <w:rFonts w:hint="eastAsia"/>
                <w:highlight w:val="none"/>
              </w:rPr>
            </w:pPr>
            <w:r>
              <w:rPr>
                <w:rFonts w:hint="eastAsia"/>
                <w:highlight w:val="none"/>
              </w:rPr>
              <w:t>子系统</w:t>
            </w:r>
          </w:p>
        </w:tc>
      </w:tr>
      <w:tr w14:paraId="69C3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7A437B8">
            <w:pPr>
              <w:pStyle w:val="38"/>
              <w:jc w:val="center"/>
              <w:rPr>
                <w:rFonts w:hint="eastAsia"/>
                <w:highlight w:val="none"/>
              </w:rPr>
            </w:pPr>
            <w:r>
              <w:rPr>
                <w:rFonts w:hint="eastAsia"/>
                <w:highlight w:val="none"/>
              </w:rPr>
              <w:t>1</w:t>
            </w:r>
          </w:p>
        </w:tc>
        <w:tc>
          <w:tcPr>
            <w:tcW w:w="1846" w:type="dxa"/>
            <w:vMerge w:val="restart"/>
            <w:noWrap/>
            <w:vAlign w:val="center"/>
          </w:tcPr>
          <w:p w14:paraId="680B51A6">
            <w:pPr>
              <w:pStyle w:val="38"/>
              <w:jc w:val="center"/>
              <w:rPr>
                <w:rFonts w:hint="eastAsia"/>
                <w:highlight w:val="none"/>
              </w:rPr>
            </w:pPr>
            <w:r>
              <w:rPr>
                <w:rFonts w:hint="eastAsia"/>
                <w:highlight w:val="none"/>
              </w:rPr>
              <w:t>智慧医疗</w:t>
            </w:r>
          </w:p>
        </w:tc>
        <w:tc>
          <w:tcPr>
            <w:tcW w:w="2980" w:type="dxa"/>
            <w:vMerge w:val="restart"/>
            <w:vAlign w:val="center"/>
          </w:tcPr>
          <w:p w14:paraId="3EBCE1B4">
            <w:pPr>
              <w:pStyle w:val="38"/>
              <w:jc w:val="center"/>
              <w:rPr>
                <w:rFonts w:hint="eastAsia"/>
                <w:highlight w:val="none"/>
              </w:rPr>
            </w:pPr>
            <w:r>
              <w:rPr>
                <w:rFonts w:hint="eastAsia"/>
                <w:highlight w:val="none"/>
              </w:rPr>
              <w:t>医院信息管理系统（HIS)</w:t>
            </w:r>
          </w:p>
        </w:tc>
        <w:tc>
          <w:tcPr>
            <w:tcW w:w="3000" w:type="dxa"/>
            <w:vAlign w:val="center"/>
          </w:tcPr>
          <w:p w14:paraId="5EAF952E">
            <w:pPr>
              <w:pStyle w:val="38"/>
              <w:rPr>
                <w:rFonts w:hint="eastAsia"/>
                <w:highlight w:val="none"/>
              </w:rPr>
            </w:pPr>
            <w:r>
              <w:rPr>
                <w:rFonts w:hint="eastAsia"/>
                <w:highlight w:val="none"/>
              </w:rPr>
              <w:t>物价管理子系统</w:t>
            </w:r>
          </w:p>
        </w:tc>
      </w:tr>
      <w:tr w14:paraId="1419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F2EB140">
            <w:pPr>
              <w:pStyle w:val="38"/>
              <w:jc w:val="center"/>
              <w:rPr>
                <w:rFonts w:hint="eastAsia"/>
                <w:highlight w:val="none"/>
              </w:rPr>
            </w:pPr>
            <w:r>
              <w:rPr>
                <w:rFonts w:hint="eastAsia"/>
                <w:highlight w:val="none"/>
              </w:rPr>
              <w:t>2</w:t>
            </w:r>
          </w:p>
        </w:tc>
        <w:tc>
          <w:tcPr>
            <w:tcW w:w="1846" w:type="dxa"/>
            <w:vMerge w:val="continue"/>
            <w:vAlign w:val="center"/>
          </w:tcPr>
          <w:p w14:paraId="08183A0B">
            <w:pPr>
              <w:pStyle w:val="38"/>
              <w:jc w:val="center"/>
              <w:rPr>
                <w:rFonts w:hint="eastAsia"/>
                <w:highlight w:val="none"/>
              </w:rPr>
            </w:pPr>
          </w:p>
        </w:tc>
        <w:tc>
          <w:tcPr>
            <w:tcW w:w="2980" w:type="dxa"/>
            <w:vMerge w:val="continue"/>
            <w:vAlign w:val="center"/>
          </w:tcPr>
          <w:p w14:paraId="4DAA12B8">
            <w:pPr>
              <w:pStyle w:val="38"/>
              <w:jc w:val="center"/>
              <w:rPr>
                <w:rFonts w:hint="eastAsia"/>
                <w:highlight w:val="none"/>
              </w:rPr>
            </w:pPr>
          </w:p>
        </w:tc>
        <w:tc>
          <w:tcPr>
            <w:tcW w:w="3000" w:type="dxa"/>
            <w:vAlign w:val="center"/>
          </w:tcPr>
          <w:p w14:paraId="49FCD3A0">
            <w:pPr>
              <w:pStyle w:val="38"/>
              <w:rPr>
                <w:rFonts w:hint="eastAsia"/>
                <w:highlight w:val="none"/>
              </w:rPr>
            </w:pPr>
            <w:r>
              <w:rPr>
                <w:rFonts w:hint="eastAsia"/>
                <w:highlight w:val="none"/>
              </w:rPr>
              <w:t>门急诊挂号子系统</w:t>
            </w:r>
          </w:p>
        </w:tc>
      </w:tr>
      <w:tr w14:paraId="53A0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EE5E500">
            <w:pPr>
              <w:pStyle w:val="38"/>
              <w:jc w:val="center"/>
              <w:rPr>
                <w:rFonts w:hint="eastAsia"/>
                <w:highlight w:val="none"/>
              </w:rPr>
            </w:pPr>
            <w:r>
              <w:rPr>
                <w:rFonts w:hint="eastAsia"/>
                <w:highlight w:val="none"/>
              </w:rPr>
              <w:t>3</w:t>
            </w:r>
          </w:p>
        </w:tc>
        <w:tc>
          <w:tcPr>
            <w:tcW w:w="1846" w:type="dxa"/>
            <w:vMerge w:val="continue"/>
            <w:vAlign w:val="center"/>
          </w:tcPr>
          <w:p w14:paraId="2D87CFCC">
            <w:pPr>
              <w:pStyle w:val="38"/>
              <w:jc w:val="center"/>
              <w:rPr>
                <w:rFonts w:hint="eastAsia"/>
                <w:highlight w:val="none"/>
              </w:rPr>
            </w:pPr>
          </w:p>
        </w:tc>
        <w:tc>
          <w:tcPr>
            <w:tcW w:w="2980" w:type="dxa"/>
            <w:vMerge w:val="continue"/>
            <w:vAlign w:val="center"/>
          </w:tcPr>
          <w:p w14:paraId="70319A4B">
            <w:pPr>
              <w:pStyle w:val="38"/>
              <w:jc w:val="center"/>
              <w:rPr>
                <w:rFonts w:hint="eastAsia"/>
                <w:highlight w:val="none"/>
              </w:rPr>
            </w:pPr>
          </w:p>
        </w:tc>
        <w:tc>
          <w:tcPr>
            <w:tcW w:w="3000" w:type="dxa"/>
            <w:vAlign w:val="center"/>
          </w:tcPr>
          <w:p w14:paraId="28E82959">
            <w:pPr>
              <w:pStyle w:val="38"/>
              <w:rPr>
                <w:rFonts w:hint="eastAsia"/>
                <w:highlight w:val="none"/>
              </w:rPr>
            </w:pPr>
            <w:r>
              <w:rPr>
                <w:rFonts w:hint="eastAsia"/>
                <w:highlight w:val="none"/>
              </w:rPr>
              <w:t>门急诊收费子系统</w:t>
            </w:r>
          </w:p>
        </w:tc>
      </w:tr>
      <w:tr w14:paraId="4CC6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EBD5011">
            <w:pPr>
              <w:pStyle w:val="38"/>
              <w:jc w:val="center"/>
              <w:rPr>
                <w:rFonts w:hint="eastAsia"/>
                <w:highlight w:val="none"/>
              </w:rPr>
            </w:pPr>
            <w:r>
              <w:rPr>
                <w:rFonts w:hint="eastAsia"/>
                <w:highlight w:val="none"/>
              </w:rPr>
              <w:t>4</w:t>
            </w:r>
          </w:p>
        </w:tc>
        <w:tc>
          <w:tcPr>
            <w:tcW w:w="1846" w:type="dxa"/>
            <w:vMerge w:val="continue"/>
            <w:vAlign w:val="center"/>
          </w:tcPr>
          <w:p w14:paraId="1FCDA4F5">
            <w:pPr>
              <w:pStyle w:val="38"/>
              <w:jc w:val="center"/>
              <w:rPr>
                <w:rFonts w:hint="eastAsia"/>
                <w:highlight w:val="none"/>
              </w:rPr>
            </w:pPr>
          </w:p>
        </w:tc>
        <w:tc>
          <w:tcPr>
            <w:tcW w:w="2980" w:type="dxa"/>
            <w:vMerge w:val="continue"/>
            <w:vAlign w:val="center"/>
          </w:tcPr>
          <w:p w14:paraId="482DE458">
            <w:pPr>
              <w:pStyle w:val="38"/>
              <w:jc w:val="center"/>
              <w:rPr>
                <w:rFonts w:hint="eastAsia"/>
                <w:highlight w:val="none"/>
              </w:rPr>
            </w:pPr>
          </w:p>
        </w:tc>
        <w:tc>
          <w:tcPr>
            <w:tcW w:w="3000" w:type="dxa"/>
            <w:vAlign w:val="center"/>
          </w:tcPr>
          <w:p w14:paraId="4820458E">
            <w:pPr>
              <w:pStyle w:val="38"/>
              <w:rPr>
                <w:rFonts w:hint="eastAsia"/>
                <w:highlight w:val="none"/>
              </w:rPr>
            </w:pPr>
            <w:r>
              <w:rPr>
                <w:rFonts w:hint="eastAsia"/>
                <w:highlight w:val="none"/>
              </w:rPr>
              <w:t>住院登记子系统</w:t>
            </w:r>
          </w:p>
        </w:tc>
      </w:tr>
      <w:tr w14:paraId="5491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A9CD813">
            <w:pPr>
              <w:pStyle w:val="38"/>
              <w:jc w:val="center"/>
              <w:rPr>
                <w:rFonts w:hint="eastAsia"/>
                <w:highlight w:val="none"/>
              </w:rPr>
            </w:pPr>
            <w:r>
              <w:rPr>
                <w:rFonts w:hint="eastAsia"/>
                <w:highlight w:val="none"/>
              </w:rPr>
              <w:t>5</w:t>
            </w:r>
          </w:p>
        </w:tc>
        <w:tc>
          <w:tcPr>
            <w:tcW w:w="1846" w:type="dxa"/>
            <w:vMerge w:val="continue"/>
            <w:vAlign w:val="center"/>
          </w:tcPr>
          <w:p w14:paraId="19033C2D">
            <w:pPr>
              <w:pStyle w:val="38"/>
              <w:jc w:val="center"/>
              <w:rPr>
                <w:rFonts w:hint="eastAsia"/>
                <w:highlight w:val="none"/>
              </w:rPr>
            </w:pPr>
          </w:p>
        </w:tc>
        <w:tc>
          <w:tcPr>
            <w:tcW w:w="2980" w:type="dxa"/>
            <w:vMerge w:val="continue"/>
            <w:vAlign w:val="center"/>
          </w:tcPr>
          <w:p w14:paraId="3EC23F1F">
            <w:pPr>
              <w:pStyle w:val="38"/>
              <w:jc w:val="center"/>
              <w:rPr>
                <w:rFonts w:hint="eastAsia"/>
                <w:highlight w:val="none"/>
              </w:rPr>
            </w:pPr>
          </w:p>
        </w:tc>
        <w:tc>
          <w:tcPr>
            <w:tcW w:w="3000" w:type="dxa"/>
            <w:vAlign w:val="center"/>
          </w:tcPr>
          <w:p w14:paraId="331D2E29">
            <w:pPr>
              <w:pStyle w:val="38"/>
              <w:rPr>
                <w:rFonts w:hint="eastAsia"/>
                <w:highlight w:val="none"/>
              </w:rPr>
            </w:pPr>
            <w:r>
              <w:rPr>
                <w:rFonts w:hint="eastAsia"/>
                <w:highlight w:val="none"/>
              </w:rPr>
              <w:t>住院收费子系统</w:t>
            </w:r>
          </w:p>
        </w:tc>
      </w:tr>
      <w:tr w14:paraId="0C6B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592E469">
            <w:pPr>
              <w:pStyle w:val="38"/>
              <w:jc w:val="center"/>
              <w:rPr>
                <w:rFonts w:hint="eastAsia"/>
                <w:highlight w:val="none"/>
              </w:rPr>
            </w:pPr>
            <w:r>
              <w:rPr>
                <w:rFonts w:hint="eastAsia"/>
                <w:highlight w:val="none"/>
              </w:rPr>
              <w:t>6</w:t>
            </w:r>
          </w:p>
        </w:tc>
        <w:tc>
          <w:tcPr>
            <w:tcW w:w="1846" w:type="dxa"/>
            <w:vMerge w:val="continue"/>
            <w:vAlign w:val="center"/>
          </w:tcPr>
          <w:p w14:paraId="208C290B">
            <w:pPr>
              <w:pStyle w:val="38"/>
              <w:jc w:val="center"/>
              <w:rPr>
                <w:rFonts w:hint="eastAsia"/>
                <w:highlight w:val="none"/>
              </w:rPr>
            </w:pPr>
          </w:p>
        </w:tc>
        <w:tc>
          <w:tcPr>
            <w:tcW w:w="2980" w:type="dxa"/>
            <w:vMerge w:val="continue"/>
            <w:vAlign w:val="center"/>
          </w:tcPr>
          <w:p w14:paraId="4B0D74DB">
            <w:pPr>
              <w:pStyle w:val="38"/>
              <w:jc w:val="center"/>
              <w:rPr>
                <w:rFonts w:hint="eastAsia"/>
                <w:highlight w:val="none"/>
              </w:rPr>
            </w:pPr>
          </w:p>
        </w:tc>
        <w:tc>
          <w:tcPr>
            <w:tcW w:w="3000" w:type="dxa"/>
            <w:vAlign w:val="center"/>
          </w:tcPr>
          <w:p w14:paraId="427E0BDB">
            <w:pPr>
              <w:pStyle w:val="38"/>
              <w:rPr>
                <w:rFonts w:hint="eastAsia"/>
                <w:highlight w:val="none"/>
              </w:rPr>
            </w:pPr>
            <w:r>
              <w:rPr>
                <w:rFonts w:hint="eastAsia"/>
                <w:highlight w:val="none"/>
              </w:rPr>
              <w:t>财务结算子系统</w:t>
            </w:r>
          </w:p>
        </w:tc>
      </w:tr>
      <w:tr w14:paraId="2D93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45E965F">
            <w:pPr>
              <w:pStyle w:val="38"/>
              <w:jc w:val="center"/>
              <w:rPr>
                <w:rFonts w:hint="eastAsia"/>
                <w:highlight w:val="none"/>
              </w:rPr>
            </w:pPr>
            <w:r>
              <w:rPr>
                <w:rFonts w:hint="eastAsia"/>
                <w:highlight w:val="none"/>
              </w:rPr>
              <w:t>7</w:t>
            </w:r>
          </w:p>
        </w:tc>
        <w:tc>
          <w:tcPr>
            <w:tcW w:w="1846" w:type="dxa"/>
            <w:vMerge w:val="continue"/>
            <w:vAlign w:val="center"/>
          </w:tcPr>
          <w:p w14:paraId="6F44A5B2">
            <w:pPr>
              <w:pStyle w:val="38"/>
              <w:jc w:val="center"/>
              <w:rPr>
                <w:rFonts w:hint="eastAsia"/>
                <w:highlight w:val="none"/>
              </w:rPr>
            </w:pPr>
          </w:p>
        </w:tc>
        <w:tc>
          <w:tcPr>
            <w:tcW w:w="2980" w:type="dxa"/>
            <w:vMerge w:val="continue"/>
            <w:vAlign w:val="center"/>
          </w:tcPr>
          <w:p w14:paraId="2680C758">
            <w:pPr>
              <w:pStyle w:val="38"/>
              <w:jc w:val="center"/>
              <w:rPr>
                <w:rFonts w:hint="eastAsia"/>
                <w:highlight w:val="none"/>
              </w:rPr>
            </w:pPr>
          </w:p>
        </w:tc>
        <w:tc>
          <w:tcPr>
            <w:tcW w:w="3000" w:type="dxa"/>
            <w:vAlign w:val="center"/>
          </w:tcPr>
          <w:p w14:paraId="7F55D6AE">
            <w:pPr>
              <w:pStyle w:val="38"/>
              <w:rPr>
                <w:rFonts w:hint="eastAsia"/>
                <w:highlight w:val="none"/>
              </w:rPr>
            </w:pPr>
            <w:r>
              <w:rPr>
                <w:rFonts w:hint="eastAsia"/>
                <w:highlight w:val="none"/>
              </w:rPr>
              <w:t>住院结算子系统</w:t>
            </w:r>
          </w:p>
        </w:tc>
      </w:tr>
      <w:tr w14:paraId="5355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238CDE4">
            <w:pPr>
              <w:pStyle w:val="38"/>
              <w:jc w:val="center"/>
              <w:rPr>
                <w:rFonts w:hint="eastAsia"/>
                <w:highlight w:val="none"/>
              </w:rPr>
            </w:pPr>
            <w:r>
              <w:rPr>
                <w:rFonts w:hint="eastAsia"/>
                <w:highlight w:val="none"/>
              </w:rPr>
              <w:t>8</w:t>
            </w:r>
          </w:p>
        </w:tc>
        <w:tc>
          <w:tcPr>
            <w:tcW w:w="1846" w:type="dxa"/>
            <w:vMerge w:val="continue"/>
            <w:vAlign w:val="center"/>
          </w:tcPr>
          <w:p w14:paraId="41B6DFED">
            <w:pPr>
              <w:pStyle w:val="38"/>
              <w:jc w:val="center"/>
              <w:rPr>
                <w:rFonts w:hint="eastAsia"/>
                <w:highlight w:val="none"/>
              </w:rPr>
            </w:pPr>
          </w:p>
        </w:tc>
        <w:tc>
          <w:tcPr>
            <w:tcW w:w="2980" w:type="dxa"/>
            <w:vMerge w:val="continue"/>
            <w:vAlign w:val="center"/>
          </w:tcPr>
          <w:p w14:paraId="1849E622">
            <w:pPr>
              <w:pStyle w:val="38"/>
              <w:jc w:val="center"/>
              <w:rPr>
                <w:rFonts w:hint="eastAsia"/>
                <w:highlight w:val="none"/>
              </w:rPr>
            </w:pPr>
          </w:p>
        </w:tc>
        <w:tc>
          <w:tcPr>
            <w:tcW w:w="3000" w:type="dxa"/>
            <w:vAlign w:val="center"/>
          </w:tcPr>
          <w:p w14:paraId="4CB5300E">
            <w:pPr>
              <w:pStyle w:val="38"/>
              <w:rPr>
                <w:rFonts w:hint="eastAsia"/>
                <w:highlight w:val="none"/>
              </w:rPr>
            </w:pPr>
            <w:r>
              <w:rPr>
                <w:rFonts w:hint="eastAsia"/>
                <w:highlight w:val="none"/>
              </w:rPr>
              <w:t>药库管理子系统</w:t>
            </w:r>
          </w:p>
        </w:tc>
      </w:tr>
      <w:tr w14:paraId="40C7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F178D04">
            <w:pPr>
              <w:pStyle w:val="38"/>
              <w:jc w:val="center"/>
              <w:rPr>
                <w:rFonts w:hint="eastAsia"/>
                <w:highlight w:val="none"/>
              </w:rPr>
            </w:pPr>
            <w:r>
              <w:rPr>
                <w:rFonts w:hint="eastAsia"/>
                <w:highlight w:val="none"/>
              </w:rPr>
              <w:t>9</w:t>
            </w:r>
          </w:p>
        </w:tc>
        <w:tc>
          <w:tcPr>
            <w:tcW w:w="1846" w:type="dxa"/>
            <w:vMerge w:val="continue"/>
            <w:vAlign w:val="center"/>
          </w:tcPr>
          <w:p w14:paraId="5E4B5AF9">
            <w:pPr>
              <w:pStyle w:val="38"/>
              <w:jc w:val="center"/>
              <w:rPr>
                <w:rFonts w:hint="eastAsia"/>
                <w:highlight w:val="none"/>
              </w:rPr>
            </w:pPr>
          </w:p>
        </w:tc>
        <w:tc>
          <w:tcPr>
            <w:tcW w:w="2980" w:type="dxa"/>
            <w:vMerge w:val="continue"/>
            <w:vAlign w:val="center"/>
          </w:tcPr>
          <w:p w14:paraId="4439CA85">
            <w:pPr>
              <w:pStyle w:val="38"/>
              <w:jc w:val="center"/>
              <w:rPr>
                <w:rFonts w:hint="eastAsia"/>
                <w:highlight w:val="none"/>
              </w:rPr>
            </w:pPr>
          </w:p>
        </w:tc>
        <w:tc>
          <w:tcPr>
            <w:tcW w:w="3000" w:type="dxa"/>
            <w:vAlign w:val="center"/>
          </w:tcPr>
          <w:p w14:paraId="0FE83427">
            <w:pPr>
              <w:pStyle w:val="38"/>
              <w:rPr>
                <w:rFonts w:hint="eastAsia"/>
                <w:highlight w:val="none"/>
              </w:rPr>
            </w:pPr>
            <w:r>
              <w:rPr>
                <w:rFonts w:hint="eastAsia"/>
                <w:highlight w:val="none"/>
              </w:rPr>
              <w:t>门诊药房管理子系统</w:t>
            </w:r>
          </w:p>
        </w:tc>
      </w:tr>
      <w:tr w14:paraId="1669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AFCA17D">
            <w:pPr>
              <w:pStyle w:val="38"/>
              <w:jc w:val="center"/>
              <w:rPr>
                <w:rFonts w:hint="eastAsia"/>
                <w:highlight w:val="none"/>
              </w:rPr>
            </w:pPr>
            <w:r>
              <w:rPr>
                <w:rFonts w:hint="eastAsia"/>
                <w:highlight w:val="none"/>
              </w:rPr>
              <w:t>10</w:t>
            </w:r>
          </w:p>
        </w:tc>
        <w:tc>
          <w:tcPr>
            <w:tcW w:w="1846" w:type="dxa"/>
            <w:vMerge w:val="continue"/>
            <w:vAlign w:val="center"/>
          </w:tcPr>
          <w:p w14:paraId="22B89F33">
            <w:pPr>
              <w:pStyle w:val="38"/>
              <w:jc w:val="center"/>
              <w:rPr>
                <w:rFonts w:hint="eastAsia"/>
                <w:highlight w:val="none"/>
              </w:rPr>
            </w:pPr>
          </w:p>
        </w:tc>
        <w:tc>
          <w:tcPr>
            <w:tcW w:w="2980" w:type="dxa"/>
            <w:vMerge w:val="continue"/>
            <w:vAlign w:val="center"/>
          </w:tcPr>
          <w:p w14:paraId="50B87ADF">
            <w:pPr>
              <w:pStyle w:val="38"/>
              <w:jc w:val="center"/>
              <w:rPr>
                <w:rFonts w:hint="eastAsia"/>
                <w:highlight w:val="none"/>
              </w:rPr>
            </w:pPr>
          </w:p>
        </w:tc>
        <w:tc>
          <w:tcPr>
            <w:tcW w:w="3000" w:type="dxa"/>
            <w:vAlign w:val="center"/>
          </w:tcPr>
          <w:p w14:paraId="7A38246E">
            <w:pPr>
              <w:pStyle w:val="38"/>
              <w:rPr>
                <w:rFonts w:hint="eastAsia"/>
                <w:highlight w:val="none"/>
              </w:rPr>
            </w:pPr>
            <w:r>
              <w:rPr>
                <w:rFonts w:hint="eastAsia"/>
                <w:highlight w:val="none"/>
              </w:rPr>
              <w:t>住院药房管理子系统</w:t>
            </w:r>
          </w:p>
        </w:tc>
      </w:tr>
      <w:tr w14:paraId="2546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D284333">
            <w:pPr>
              <w:pStyle w:val="38"/>
              <w:jc w:val="center"/>
              <w:rPr>
                <w:rFonts w:hint="eastAsia"/>
                <w:highlight w:val="none"/>
              </w:rPr>
            </w:pPr>
            <w:r>
              <w:rPr>
                <w:rFonts w:hint="eastAsia"/>
                <w:highlight w:val="none"/>
              </w:rPr>
              <w:t>11</w:t>
            </w:r>
          </w:p>
        </w:tc>
        <w:tc>
          <w:tcPr>
            <w:tcW w:w="1846" w:type="dxa"/>
            <w:vMerge w:val="continue"/>
            <w:vAlign w:val="center"/>
          </w:tcPr>
          <w:p w14:paraId="6DE97830">
            <w:pPr>
              <w:pStyle w:val="38"/>
              <w:jc w:val="center"/>
              <w:rPr>
                <w:rFonts w:hint="eastAsia"/>
                <w:highlight w:val="none"/>
              </w:rPr>
            </w:pPr>
          </w:p>
        </w:tc>
        <w:tc>
          <w:tcPr>
            <w:tcW w:w="2980" w:type="dxa"/>
            <w:vMerge w:val="continue"/>
            <w:vAlign w:val="center"/>
          </w:tcPr>
          <w:p w14:paraId="09CBED8B">
            <w:pPr>
              <w:pStyle w:val="38"/>
              <w:jc w:val="center"/>
              <w:rPr>
                <w:rFonts w:hint="eastAsia"/>
                <w:highlight w:val="none"/>
              </w:rPr>
            </w:pPr>
          </w:p>
        </w:tc>
        <w:tc>
          <w:tcPr>
            <w:tcW w:w="3000" w:type="dxa"/>
            <w:vAlign w:val="center"/>
          </w:tcPr>
          <w:p w14:paraId="16EBD803">
            <w:pPr>
              <w:pStyle w:val="38"/>
              <w:rPr>
                <w:rFonts w:hint="eastAsia"/>
                <w:highlight w:val="none"/>
              </w:rPr>
            </w:pPr>
            <w:r>
              <w:rPr>
                <w:rFonts w:hint="eastAsia"/>
                <w:highlight w:val="none"/>
              </w:rPr>
              <w:t>执行确认管理子系统</w:t>
            </w:r>
          </w:p>
        </w:tc>
      </w:tr>
      <w:tr w14:paraId="399F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87538D4">
            <w:pPr>
              <w:pStyle w:val="38"/>
              <w:jc w:val="center"/>
              <w:rPr>
                <w:rFonts w:hint="eastAsia"/>
                <w:highlight w:val="none"/>
              </w:rPr>
            </w:pPr>
            <w:r>
              <w:rPr>
                <w:rFonts w:hint="eastAsia"/>
                <w:highlight w:val="none"/>
              </w:rPr>
              <w:t>12</w:t>
            </w:r>
          </w:p>
        </w:tc>
        <w:tc>
          <w:tcPr>
            <w:tcW w:w="1846" w:type="dxa"/>
            <w:vMerge w:val="continue"/>
            <w:vAlign w:val="center"/>
          </w:tcPr>
          <w:p w14:paraId="21CBFAC4">
            <w:pPr>
              <w:pStyle w:val="38"/>
              <w:jc w:val="center"/>
              <w:rPr>
                <w:rFonts w:hint="eastAsia"/>
                <w:highlight w:val="none"/>
              </w:rPr>
            </w:pPr>
          </w:p>
        </w:tc>
        <w:tc>
          <w:tcPr>
            <w:tcW w:w="2980" w:type="dxa"/>
            <w:vMerge w:val="continue"/>
            <w:vAlign w:val="center"/>
          </w:tcPr>
          <w:p w14:paraId="70619523">
            <w:pPr>
              <w:pStyle w:val="38"/>
              <w:jc w:val="center"/>
              <w:rPr>
                <w:rFonts w:hint="eastAsia"/>
                <w:highlight w:val="none"/>
              </w:rPr>
            </w:pPr>
          </w:p>
        </w:tc>
        <w:tc>
          <w:tcPr>
            <w:tcW w:w="3000" w:type="dxa"/>
            <w:vAlign w:val="center"/>
          </w:tcPr>
          <w:p w14:paraId="6F33B794">
            <w:pPr>
              <w:pStyle w:val="38"/>
              <w:rPr>
                <w:rFonts w:hint="eastAsia"/>
                <w:highlight w:val="none"/>
              </w:rPr>
            </w:pPr>
            <w:r>
              <w:rPr>
                <w:rFonts w:hint="eastAsia"/>
                <w:highlight w:val="none"/>
              </w:rPr>
              <w:t>系统管理子系统</w:t>
            </w:r>
          </w:p>
        </w:tc>
      </w:tr>
      <w:tr w14:paraId="5422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8BC75FB">
            <w:pPr>
              <w:pStyle w:val="38"/>
              <w:jc w:val="center"/>
              <w:rPr>
                <w:rFonts w:hint="eastAsia"/>
                <w:highlight w:val="none"/>
              </w:rPr>
            </w:pPr>
            <w:r>
              <w:rPr>
                <w:rFonts w:hint="eastAsia"/>
                <w:highlight w:val="none"/>
              </w:rPr>
              <w:t>13</w:t>
            </w:r>
          </w:p>
        </w:tc>
        <w:tc>
          <w:tcPr>
            <w:tcW w:w="1846" w:type="dxa"/>
            <w:vMerge w:val="continue"/>
            <w:vAlign w:val="center"/>
          </w:tcPr>
          <w:p w14:paraId="0D5032DF">
            <w:pPr>
              <w:pStyle w:val="38"/>
              <w:jc w:val="center"/>
              <w:rPr>
                <w:rFonts w:hint="eastAsia"/>
                <w:highlight w:val="none"/>
              </w:rPr>
            </w:pPr>
          </w:p>
        </w:tc>
        <w:tc>
          <w:tcPr>
            <w:tcW w:w="2980" w:type="dxa"/>
            <w:vMerge w:val="continue"/>
            <w:vAlign w:val="center"/>
          </w:tcPr>
          <w:p w14:paraId="61074263">
            <w:pPr>
              <w:pStyle w:val="38"/>
              <w:jc w:val="center"/>
              <w:rPr>
                <w:rFonts w:hint="eastAsia"/>
                <w:highlight w:val="none"/>
              </w:rPr>
            </w:pPr>
          </w:p>
        </w:tc>
        <w:tc>
          <w:tcPr>
            <w:tcW w:w="3000" w:type="dxa"/>
            <w:vAlign w:val="center"/>
          </w:tcPr>
          <w:p w14:paraId="1C7BD5B5">
            <w:pPr>
              <w:pStyle w:val="38"/>
              <w:rPr>
                <w:rFonts w:hint="eastAsia"/>
                <w:highlight w:val="none"/>
              </w:rPr>
            </w:pPr>
            <w:r>
              <w:rPr>
                <w:rFonts w:hint="eastAsia"/>
                <w:highlight w:val="none"/>
              </w:rPr>
              <w:t>基本信息维护子系统</w:t>
            </w:r>
          </w:p>
        </w:tc>
      </w:tr>
      <w:tr w14:paraId="248A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C84D709">
            <w:pPr>
              <w:pStyle w:val="38"/>
              <w:jc w:val="center"/>
              <w:rPr>
                <w:rFonts w:hint="eastAsia"/>
                <w:highlight w:val="none"/>
              </w:rPr>
            </w:pPr>
            <w:r>
              <w:rPr>
                <w:rFonts w:hint="eastAsia"/>
                <w:highlight w:val="none"/>
              </w:rPr>
              <w:t>14</w:t>
            </w:r>
          </w:p>
        </w:tc>
        <w:tc>
          <w:tcPr>
            <w:tcW w:w="1846" w:type="dxa"/>
            <w:vMerge w:val="continue"/>
            <w:vAlign w:val="center"/>
          </w:tcPr>
          <w:p w14:paraId="37A4532B">
            <w:pPr>
              <w:pStyle w:val="38"/>
              <w:jc w:val="center"/>
              <w:rPr>
                <w:rFonts w:hint="eastAsia"/>
                <w:highlight w:val="none"/>
              </w:rPr>
            </w:pPr>
          </w:p>
        </w:tc>
        <w:tc>
          <w:tcPr>
            <w:tcW w:w="2980" w:type="dxa"/>
            <w:vMerge w:val="continue"/>
            <w:vAlign w:val="center"/>
          </w:tcPr>
          <w:p w14:paraId="2DB9964F">
            <w:pPr>
              <w:pStyle w:val="38"/>
              <w:jc w:val="center"/>
              <w:rPr>
                <w:rFonts w:hint="eastAsia"/>
                <w:highlight w:val="none"/>
              </w:rPr>
            </w:pPr>
          </w:p>
        </w:tc>
        <w:tc>
          <w:tcPr>
            <w:tcW w:w="3000" w:type="dxa"/>
            <w:vAlign w:val="center"/>
          </w:tcPr>
          <w:p w14:paraId="36D48EC3">
            <w:pPr>
              <w:pStyle w:val="38"/>
              <w:rPr>
                <w:rFonts w:hint="eastAsia"/>
                <w:highlight w:val="none"/>
              </w:rPr>
            </w:pPr>
            <w:r>
              <w:rPr>
                <w:rFonts w:hint="eastAsia"/>
                <w:highlight w:val="none"/>
              </w:rPr>
              <w:t>物资耗材管理子系统</w:t>
            </w:r>
          </w:p>
        </w:tc>
      </w:tr>
      <w:tr w14:paraId="66B4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448F9C6">
            <w:pPr>
              <w:pStyle w:val="38"/>
              <w:jc w:val="center"/>
              <w:rPr>
                <w:rFonts w:hint="eastAsia"/>
                <w:highlight w:val="none"/>
              </w:rPr>
            </w:pPr>
            <w:r>
              <w:rPr>
                <w:rFonts w:hint="eastAsia"/>
                <w:highlight w:val="none"/>
              </w:rPr>
              <w:t>15</w:t>
            </w:r>
          </w:p>
        </w:tc>
        <w:tc>
          <w:tcPr>
            <w:tcW w:w="1846" w:type="dxa"/>
            <w:vMerge w:val="continue"/>
            <w:vAlign w:val="center"/>
          </w:tcPr>
          <w:p w14:paraId="0A1D6A46">
            <w:pPr>
              <w:pStyle w:val="38"/>
              <w:jc w:val="center"/>
              <w:rPr>
                <w:rFonts w:hint="eastAsia"/>
                <w:highlight w:val="none"/>
              </w:rPr>
            </w:pPr>
          </w:p>
        </w:tc>
        <w:tc>
          <w:tcPr>
            <w:tcW w:w="2980" w:type="dxa"/>
            <w:vMerge w:val="continue"/>
            <w:vAlign w:val="center"/>
          </w:tcPr>
          <w:p w14:paraId="01B6F89E">
            <w:pPr>
              <w:pStyle w:val="38"/>
              <w:jc w:val="center"/>
              <w:rPr>
                <w:rFonts w:hint="eastAsia"/>
                <w:highlight w:val="none"/>
              </w:rPr>
            </w:pPr>
          </w:p>
        </w:tc>
        <w:tc>
          <w:tcPr>
            <w:tcW w:w="3000" w:type="dxa"/>
            <w:vAlign w:val="center"/>
          </w:tcPr>
          <w:p w14:paraId="58EACAEA">
            <w:pPr>
              <w:pStyle w:val="38"/>
              <w:rPr>
                <w:rFonts w:hint="eastAsia"/>
                <w:highlight w:val="none"/>
              </w:rPr>
            </w:pPr>
            <w:r>
              <w:rPr>
                <w:rFonts w:hint="eastAsia"/>
                <w:highlight w:val="none"/>
              </w:rPr>
              <w:t>业务配置中心子系统</w:t>
            </w:r>
          </w:p>
        </w:tc>
      </w:tr>
      <w:tr w14:paraId="2663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F3954E6">
            <w:pPr>
              <w:pStyle w:val="38"/>
              <w:jc w:val="center"/>
              <w:rPr>
                <w:rFonts w:hint="eastAsia"/>
                <w:highlight w:val="none"/>
              </w:rPr>
            </w:pPr>
            <w:r>
              <w:rPr>
                <w:rFonts w:hint="eastAsia"/>
                <w:highlight w:val="none"/>
              </w:rPr>
              <w:t>16</w:t>
            </w:r>
          </w:p>
        </w:tc>
        <w:tc>
          <w:tcPr>
            <w:tcW w:w="1846" w:type="dxa"/>
            <w:vMerge w:val="continue"/>
            <w:vAlign w:val="center"/>
          </w:tcPr>
          <w:p w14:paraId="0548F476">
            <w:pPr>
              <w:pStyle w:val="38"/>
              <w:jc w:val="center"/>
              <w:rPr>
                <w:rFonts w:hint="eastAsia"/>
                <w:highlight w:val="none"/>
              </w:rPr>
            </w:pPr>
          </w:p>
        </w:tc>
        <w:tc>
          <w:tcPr>
            <w:tcW w:w="2980" w:type="dxa"/>
            <w:vMerge w:val="continue"/>
            <w:vAlign w:val="center"/>
          </w:tcPr>
          <w:p w14:paraId="3E5DF05F">
            <w:pPr>
              <w:pStyle w:val="38"/>
              <w:jc w:val="center"/>
              <w:rPr>
                <w:rFonts w:hint="eastAsia"/>
                <w:highlight w:val="none"/>
              </w:rPr>
            </w:pPr>
          </w:p>
        </w:tc>
        <w:tc>
          <w:tcPr>
            <w:tcW w:w="3000" w:type="dxa"/>
            <w:vAlign w:val="center"/>
          </w:tcPr>
          <w:p w14:paraId="230DD9B2">
            <w:pPr>
              <w:pStyle w:val="38"/>
              <w:rPr>
                <w:rFonts w:hint="eastAsia"/>
                <w:highlight w:val="none"/>
              </w:rPr>
            </w:pPr>
            <w:r>
              <w:rPr>
                <w:rFonts w:hint="eastAsia"/>
                <w:highlight w:val="none"/>
              </w:rPr>
              <w:t>院内就诊卡管理子系统</w:t>
            </w:r>
          </w:p>
        </w:tc>
      </w:tr>
      <w:tr w14:paraId="5573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3B51E3E">
            <w:pPr>
              <w:pStyle w:val="38"/>
              <w:jc w:val="center"/>
              <w:rPr>
                <w:rFonts w:hint="eastAsia"/>
                <w:highlight w:val="none"/>
              </w:rPr>
            </w:pPr>
            <w:r>
              <w:rPr>
                <w:rFonts w:hint="eastAsia"/>
                <w:highlight w:val="none"/>
              </w:rPr>
              <w:t>17</w:t>
            </w:r>
          </w:p>
        </w:tc>
        <w:tc>
          <w:tcPr>
            <w:tcW w:w="1846" w:type="dxa"/>
            <w:vMerge w:val="continue"/>
            <w:vAlign w:val="center"/>
          </w:tcPr>
          <w:p w14:paraId="6787DA7E">
            <w:pPr>
              <w:pStyle w:val="38"/>
              <w:jc w:val="center"/>
              <w:rPr>
                <w:rFonts w:hint="eastAsia"/>
                <w:highlight w:val="none"/>
              </w:rPr>
            </w:pPr>
          </w:p>
        </w:tc>
        <w:tc>
          <w:tcPr>
            <w:tcW w:w="2980" w:type="dxa"/>
            <w:vMerge w:val="continue"/>
            <w:vAlign w:val="center"/>
          </w:tcPr>
          <w:p w14:paraId="104062B3">
            <w:pPr>
              <w:pStyle w:val="38"/>
              <w:jc w:val="center"/>
              <w:rPr>
                <w:rFonts w:hint="eastAsia"/>
                <w:highlight w:val="none"/>
              </w:rPr>
            </w:pPr>
          </w:p>
        </w:tc>
        <w:tc>
          <w:tcPr>
            <w:tcW w:w="3000" w:type="dxa"/>
            <w:vAlign w:val="center"/>
          </w:tcPr>
          <w:p w14:paraId="5CD26F3C">
            <w:pPr>
              <w:pStyle w:val="38"/>
              <w:rPr>
                <w:rFonts w:hint="eastAsia"/>
                <w:highlight w:val="none"/>
              </w:rPr>
            </w:pPr>
            <w:r>
              <w:rPr>
                <w:rFonts w:hint="eastAsia"/>
                <w:highlight w:val="none"/>
              </w:rPr>
              <w:t>住院护士站子系统</w:t>
            </w:r>
          </w:p>
        </w:tc>
      </w:tr>
      <w:tr w14:paraId="2952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F1EF4E7">
            <w:pPr>
              <w:pStyle w:val="38"/>
              <w:jc w:val="center"/>
              <w:rPr>
                <w:rFonts w:hint="eastAsia"/>
                <w:highlight w:val="none"/>
              </w:rPr>
            </w:pPr>
            <w:r>
              <w:rPr>
                <w:rFonts w:hint="eastAsia"/>
                <w:highlight w:val="none"/>
              </w:rPr>
              <w:t>18</w:t>
            </w:r>
          </w:p>
        </w:tc>
        <w:tc>
          <w:tcPr>
            <w:tcW w:w="1846" w:type="dxa"/>
            <w:vMerge w:val="continue"/>
            <w:vAlign w:val="center"/>
          </w:tcPr>
          <w:p w14:paraId="3BF21AC8">
            <w:pPr>
              <w:pStyle w:val="38"/>
              <w:jc w:val="center"/>
              <w:rPr>
                <w:rFonts w:hint="eastAsia"/>
                <w:highlight w:val="none"/>
              </w:rPr>
            </w:pPr>
          </w:p>
        </w:tc>
        <w:tc>
          <w:tcPr>
            <w:tcW w:w="2980" w:type="dxa"/>
            <w:vMerge w:val="continue"/>
            <w:vAlign w:val="center"/>
          </w:tcPr>
          <w:p w14:paraId="69CA8227">
            <w:pPr>
              <w:pStyle w:val="38"/>
              <w:jc w:val="center"/>
              <w:rPr>
                <w:rFonts w:hint="eastAsia"/>
                <w:highlight w:val="none"/>
              </w:rPr>
            </w:pPr>
          </w:p>
        </w:tc>
        <w:tc>
          <w:tcPr>
            <w:tcW w:w="3000" w:type="dxa"/>
            <w:vAlign w:val="center"/>
          </w:tcPr>
          <w:p w14:paraId="4DE44329">
            <w:pPr>
              <w:pStyle w:val="38"/>
              <w:rPr>
                <w:rFonts w:hint="eastAsia"/>
                <w:highlight w:val="none"/>
              </w:rPr>
            </w:pPr>
            <w:r>
              <w:rPr>
                <w:rFonts w:hint="eastAsia"/>
                <w:highlight w:val="none"/>
              </w:rPr>
              <w:t>预住院子系统</w:t>
            </w:r>
          </w:p>
        </w:tc>
      </w:tr>
      <w:tr w14:paraId="6AEB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8136B78">
            <w:pPr>
              <w:pStyle w:val="38"/>
              <w:jc w:val="center"/>
              <w:rPr>
                <w:rFonts w:hint="eastAsia"/>
                <w:highlight w:val="none"/>
              </w:rPr>
            </w:pPr>
            <w:r>
              <w:rPr>
                <w:rFonts w:hint="eastAsia"/>
                <w:highlight w:val="none"/>
              </w:rPr>
              <w:t>19</w:t>
            </w:r>
          </w:p>
        </w:tc>
        <w:tc>
          <w:tcPr>
            <w:tcW w:w="1846" w:type="dxa"/>
            <w:vMerge w:val="continue"/>
            <w:vAlign w:val="center"/>
          </w:tcPr>
          <w:p w14:paraId="3937DBAD">
            <w:pPr>
              <w:pStyle w:val="38"/>
              <w:jc w:val="center"/>
              <w:rPr>
                <w:rFonts w:hint="eastAsia"/>
                <w:highlight w:val="none"/>
              </w:rPr>
            </w:pPr>
          </w:p>
        </w:tc>
        <w:tc>
          <w:tcPr>
            <w:tcW w:w="2980" w:type="dxa"/>
            <w:vMerge w:val="continue"/>
            <w:vAlign w:val="center"/>
          </w:tcPr>
          <w:p w14:paraId="06E17EB2">
            <w:pPr>
              <w:pStyle w:val="38"/>
              <w:jc w:val="center"/>
              <w:rPr>
                <w:rFonts w:hint="eastAsia"/>
                <w:highlight w:val="none"/>
              </w:rPr>
            </w:pPr>
          </w:p>
        </w:tc>
        <w:tc>
          <w:tcPr>
            <w:tcW w:w="3000" w:type="dxa"/>
            <w:noWrap/>
            <w:vAlign w:val="center"/>
          </w:tcPr>
          <w:p w14:paraId="23573FD1">
            <w:pPr>
              <w:pStyle w:val="38"/>
              <w:rPr>
                <w:rFonts w:hint="eastAsia"/>
                <w:highlight w:val="none"/>
              </w:rPr>
            </w:pPr>
            <w:r>
              <w:rPr>
                <w:rFonts w:hint="eastAsia"/>
                <w:highlight w:val="none"/>
              </w:rPr>
              <w:t>医保接口</w:t>
            </w:r>
          </w:p>
        </w:tc>
      </w:tr>
      <w:tr w14:paraId="57EA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66A786D">
            <w:pPr>
              <w:pStyle w:val="38"/>
              <w:jc w:val="center"/>
              <w:rPr>
                <w:rFonts w:hint="eastAsia"/>
                <w:highlight w:val="none"/>
              </w:rPr>
            </w:pPr>
            <w:r>
              <w:rPr>
                <w:rFonts w:hint="eastAsia"/>
                <w:highlight w:val="none"/>
              </w:rPr>
              <w:t>20</w:t>
            </w:r>
          </w:p>
        </w:tc>
        <w:tc>
          <w:tcPr>
            <w:tcW w:w="1846" w:type="dxa"/>
            <w:vMerge w:val="continue"/>
            <w:vAlign w:val="center"/>
          </w:tcPr>
          <w:p w14:paraId="0D220723">
            <w:pPr>
              <w:pStyle w:val="38"/>
              <w:jc w:val="center"/>
              <w:rPr>
                <w:rFonts w:hint="eastAsia"/>
                <w:highlight w:val="none"/>
              </w:rPr>
            </w:pPr>
          </w:p>
        </w:tc>
        <w:tc>
          <w:tcPr>
            <w:tcW w:w="2980" w:type="dxa"/>
            <w:vMerge w:val="continue"/>
            <w:vAlign w:val="center"/>
          </w:tcPr>
          <w:p w14:paraId="4240D05B">
            <w:pPr>
              <w:pStyle w:val="38"/>
              <w:jc w:val="center"/>
              <w:rPr>
                <w:rFonts w:hint="eastAsia"/>
                <w:highlight w:val="none"/>
              </w:rPr>
            </w:pPr>
          </w:p>
        </w:tc>
        <w:tc>
          <w:tcPr>
            <w:tcW w:w="3000" w:type="dxa"/>
            <w:noWrap/>
            <w:vAlign w:val="center"/>
          </w:tcPr>
          <w:p w14:paraId="6923EA6D">
            <w:pPr>
              <w:pStyle w:val="38"/>
              <w:rPr>
                <w:rFonts w:hint="eastAsia"/>
                <w:highlight w:val="none"/>
              </w:rPr>
            </w:pPr>
            <w:r>
              <w:rPr>
                <w:rFonts w:hint="eastAsia"/>
                <w:highlight w:val="none"/>
              </w:rPr>
              <w:t>其他接口</w:t>
            </w:r>
          </w:p>
        </w:tc>
      </w:tr>
      <w:tr w14:paraId="4F53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5F00AC2">
            <w:pPr>
              <w:pStyle w:val="38"/>
              <w:jc w:val="center"/>
              <w:rPr>
                <w:rFonts w:hint="eastAsia"/>
                <w:highlight w:val="none"/>
              </w:rPr>
            </w:pPr>
            <w:r>
              <w:rPr>
                <w:rFonts w:hint="eastAsia"/>
                <w:highlight w:val="none"/>
              </w:rPr>
              <w:t>21</w:t>
            </w:r>
          </w:p>
        </w:tc>
        <w:tc>
          <w:tcPr>
            <w:tcW w:w="1846" w:type="dxa"/>
            <w:vMerge w:val="continue"/>
            <w:vAlign w:val="center"/>
          </w:tcPr>
          <w:p w14:paraId="613C69FF">
            <w:pPr>
              <w:pStyle w:val="38"/>
              <w:jc w:val="center"/>
              <w:rPr>
                <w:rFonts w:hint="eastAsia"/>
                <w:highlight w:val="none"/>
              </w:rPr>
            </w:pPr>
          </w:p>
        </w:tc>
        <w:tc>
          <w:tcPr>
            <w:tcW w:w="2980" w:type="dxa"/>
            <w:vMerge w:val="restart"/>
            <w:vAlign w:val="center"/>
          </w:tcPr>
          <w:p w14:paraId="0AA819B3">
            <w:pPr>
              <w:pStyle w:val="38"/>
              <w:jc w:val="center"/>
              <w:rPr>
                <w:rFonts w:hint="eastAsia"/>
                <w:highlight w:val="none"/>
              </w:rPr>
            </w:pPr>
            <w:r>
              <w:rPr>
                <w:rFonts w:hint="eastAsia"/>
                <w:highlight w:val="none"/>
              </w:rPr>
              <w:t>医生工作站系统</w:t>
            </w:r>
          </w:p>
        </w:tc>
        <w:tc>
          <w:tcPr>
            <w:tcW w:w="3000" w:type="dxa"/>
            <w:vAlign w:val="center"/>
          </w:tcPr>
          <w:p w14:paraId="760C5D30">
            <w:pPr>
              <w:pStyle w:val="38"/>
              <w:rPr>
                <w:rFonts w:hint="eastAsia"/>
                <w:highlight w:val="none"/>
              </w:rPr>
            </w:pPr>
            <w:r>
              <w:rPr>
                <w:rFonts w:hint="eastAsia"/>
                <w:highlight w:val="none"/>
              </w:rPr>
              <w:t>门诊医生工作站（病历＋医嘱）</w:t>
            </w:r>
          </w:p>
        </w:tc>
      </w:tr>
      <w:tr w14:paraId="13E9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4AF318A">
            <w:pPr>
              <w:pStyle w:val="38"/>
              <w:jc w:val="center"/>
              <w:rPr>
                <w:rFonts w:hint="eastAsia"/>
                <w:highlight w:val="none"/>
              </w:rPr>
            </w:pPr>
            <w:r>
              <w:rPr>
                <w:rFonts w:hint="eastAsia"/>
                <w:highlight w:val="none"/>
              </w:rPr>
              <w:t>22</w:t>
            </w:r>
          </w:p>
        </w:tc>
        <w:tc>
          <w:tcPr>
            <w:tcW w:w="1846" w:type="dxa"/>
            <w:vMerge w:val="continue"/>
            <w:vAlign w:val="center"/>
          </w:tcPr>
          <w:p w14:paraId="42DF954D">
            <w:pPr>
              <w:pStyle w:val="38"/>
              <w:jc w:val="center"/>
              <w:rPr>
                <w:rFonts w:hint="eastAsia"/>
                <w:highlight w:val="none"/>
              </w:rPr>
            </w:pPr>
          </w:p>
        </w:tc>
        <w:tc>
          <w:tcPr>
            <w:tcW w:w="2980" w:type="dxa"/>
            <w:vMerge w:val="continue"/>
            <w:vAlign w:val="center"/>
          </w:tcPr>
          <w:p w14:paraId="4162EC1B">
            <w:pPr>
              <w:pStyle w:val="38"/>
              <w:jc w:val="center"/>
              <w:rPr>
                <w:rFonts w:hint="eastAsia"/>
                <w:highlight w:val="none"/>
              </w:rPr>
            </w:pPr>
          </w:p>
        </w:tc>
        <w:tc>
          <w:tcPr>
            <w:tcW w:w="3000" w:type="dxa"/>
            <w:vAlign w:val="center"/>
          </w:tcPr>
          <w:p w14:paraId="3A525EFB">
            <w:pPr>
              <w:pStyle w:val="38"/>
              <w:rPr>
                <w:rFonts w:hint="eastAsia"/>
                <w:highlight w:val="none"/>
              </w:rPr>
            </w:pPr>
            <w:r>
              <w:rPr>
                <w:rFonts w:hint="eastAsia"/>
                <w:highlight w:val="none"/>
              </w:rPr>
              <w:t>住院医生工作站（病历＋医嘱）</w:t>
            </w:r>
          </w:p>
        </w:tc>
      </w:tr>
      <w:tr w14:paraId="59C6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F544EE0">
            <w:pPr>
              <w:pStyle w:val="38"/>
              <w:jc w:val="center"/>
              <w:rPr>
                <w:rFonts w:hint="eastAsia"/>
                <w:highlight w:val="none"/>
              </w:rPr>
            </w:pPr>
            <w:r>
              <w:rPr>
                <w:rFonts w:hint="eastAsia"/>
                <w:highlight w:val="none"/>
              </w:rPr>
              <w:t>23</w:t>
            </w:r>
          </w:p>
        </w:tc>
        <w:tc>
          <w:tcPr>
            <w:tcW w:w="1846" w:type="dxa"/>
            <w:vMerge w:val="continue"/>
            <w:vAlign w:val="center"/>
          </w:tcPr>
          <w:p w14:paraId="226DECEB">
            <w:pPr>
              <w:pStyle w:val="38"/>
              <w:jc w:val="center"/>
              <w:rPr>
                <w:rFonts w:hint="eastAsia"/>
                <w:highlight w:val="none"/>
              </w:rPr>
            </w:pPr>
          </w:p>
        </w:tc>
        <w:tc>
          <w:tcPr>
            <w:tcW w:w="2980" w:type="dxa"/>
            <w:vMerge w:val="continue"/>
            <w:vAlign w:val="center"/>
          </w:tcPr>
          <w:p w14:paraId="0342B1DD">
            <w:pPr>
              <w:pStyle w:val="38"/>
              <w:jc w:val="center"/>
              <w:rPr>
                <w:rFonts w:hint="eastAsia"/>
                <w:highlight w:val="none"/>
              </w:rPr>
            </w:pPr>
          </w:p>
        </w:tc>
        <w:tc>
          <w:tcPr>
            <w:tcW w:w="3000" w:type="dxa"/>
            <w:vAlign w:val="center"/>
          </w:tcPr>
          <w:p w14:paraId="214759C4">
            <w:pPr>
              <w:pStyle w:val="38"/>
              <w:rPr>
                <w:rFonts w:hint="eastAsia"/>
                <w:highlight w:val="none"/>
              </w:rPr>
            </w:pPr>
            <w:r>
              <w:rPr>
                <w:rFonts w:hint="eastAsia"/>
                <w:highlight w:val="none"/>
              </w:rPr>
              <w:t>病历模板管理</w:t>
            </w:r>
          </w:p>
        </w:tc>
      </w:tr>
      <w:tr w14:paraId="5B1B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72D7C5D">
            <w:pPr>
              <w:pStyle w:val="38"/>
              <w:jc w:val="center"/>
              <w:rPr>
                <w:rFonts w:hint="eastAsia"/>
                <w:highlight w:val="none"/>
              </w:rPr>
            </w:pPr>
            <w:r>
              <w:rPr>
                <w:rFonts w:hint="eastAsia"/>
                <w:highlight w:val="none"/>
              </w:rPr>
              <w:t>24</w:t>
            </w:r>
          </w:p>
        </w:tc>
        <w:tc>
          <w:tcPr>
            <w:tcW w:w="1846" w:type="dxa"/>
            <w:vMerge w:val="continue"/>
            <w:vAlign w:val="center"/>
          </w:tcPr>
          <w:p w14:paraId="47BFF60B">
            <w:pPr>
              <w:pStyle w:val="38"/>
              <w:jc w:val="center"/>
              <w:rPr>
                <w:rFonts w:hint="eastAsia"/>
                <w:highlight w:val="none"/>
              </w:rPr>
            </w:pPr>
          </w:p>
        </w:tc>
        <w:tc>
          <w:tcPr>
            <w:tcW w:w="2980" w:type="dxa"/>
            <w:vMerge w:val="continue"/>
            <w:vAlign w:val="center"/>
          </w:tcPr>
          <w:p w14:paraId="7EE58B91">
            <w:pPr>
              <w:pStyle w:val="38"/>
              <w:jc w:val="center"/>
              <w:rPr>
                <w:rFonts w:hint="eastAsia"/>
                <w:highlight w:val="none"/>
              </w:rPr>
            </w:pPr>
          </w:p>
        </w:tc>
        <w:tc>
          <w:tcPr>
            <w:tcW w:w="3000" w:type="dxa"/>
            <w:vAlign w:val="center"/>
          </w:tcPr>
          <w:p w14:paraId="6C3D11DF">
            <w:pPr>
              <w:pStyle w:val="38"/>
              <w:rPr>
                <w:rFonts w:hint="eastAsia"/>
                <w:highlight w:val="none"/>
              </w:rPr>
            </w:pPr>
            <w:r>
              <w:rPr>
                <w:rFonts w:hint="eastAsia"/>
                <w:highlight w:val="none"/>
              </w:rPr>
              <w:t>临床数据应用视图</w:t>
            </w:r>
          </w:p>
        </w:tc>
      </w:tr>
      <w:tr w14:paraId="7A98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EB31941">
            <w:pPr>
              <w:pStyle w:val="38"/>
              <w:jc w:val="center"/>
              <w:rPr>
                <w:rFonts w:hint="eastAsia"/>
                <w:highlight w:val="none"/>
              </w:rPr>
            </w:pPr>
            <w:r>
              <w:rPr>
                <w:rFonts w:hint="eastAsia"/>
                <w:highlight w:val="none"/>
              </w:rPr>
              <w:t>25</w:t>
            </w:r>
          </w:p>
        </w:tc>
        <w:tc>
          <w:tcPr>
            <w:tcW w:w="1846" w:type="dxa"/>
            <w:vMerge w:val="continue"/>
            <w:vAlign w:val="center"/>
          </w:tcPr>
          <w:p w14:paraId="37714178">
            <w:pPr>
              <w:pStyle w:val="38"/>
              <w:jc w:val="center"/>
              <w:rPr>
                <w:rFonts w:hint="eastAsia"/>
                <w:highlight w:val="none"/>
              </w:rPr>
            </w:pPr>
          </w:p>
        </w:tc>
        <w:tc>
          <w:tcPr>
            <w:tcW w:w="2980" w:type="dxa"/>
            <w:vMerge w:val="continue"/>
            <w:vAlign w:val="center"/>
          </w:tcPr>
          <w:p w14:paraId="77809CCD">
            <w:pPr>
              <w:pStyle w:val="38"/>
              <w:jc w:val="center"/>
              <w:rPr>
                <w:rFonts w:hint="eastAsia"/>
                <w:highlight w:val="none"/>
              </w:rPr>
            </w:pPr>
          </w:p>
        </w:tc>
        <w:tc>
          <w:tcPr>
            <w:tcW w:w="3000" w:type="dxa"/>
            <w:vAlign w:val="center"/>
          </w:tcPr>
          <w:p w14:paraId="7638DD78">
            <w:pPr>
              <w:pStyle w:val="38"/>
              <w:rPr>
                <w:rFonts w:hint="eastAsia"/>
                <w:highlight w:val="none"/>
              </w:rPr>
            </w:pPr>
            <w:r>
              <w:rPr>
                <w:rFonts w:hint="eastAsia"/>
                <w:highlight w:val="none"/>
              </w:rPr>
              <w:t>web病历</w:t>
            </w:r>
          </w:p>
        </w:tc>
      </w:tr>
      <w:tr w14:paraId="2F3A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3ED6FB4">
            <w:pPr>
              <w:pStyle w:val="38"/>
              <w:jc w:val="center"/>
              <w:rPr>
                <w:rFonts w:hint="eastAsia"/>
                <w:highlight w:val="none"/>
              </w:rPr>
            </w:pPr>
            <w:r>
              <w:rPr>
                <w:rFonts w:hint="eastAsia"/>
                <w:highlight w:val="none"/>
              </w:rPr>
              <w:t>26</w:t>
            </w:r>
          </w:p>
        </w:tc>
        <w:tc>
          <w:tcPr>
            <w:tcW w:w="1846" w:type="dxa"/>
            <w:vMerge w:val="continue"/>
            <w:vAlign w:val="center"/>
          </w:tcPr>
          <w:p w14:paraId="559A5D68">
            <w:pPr>
              <w:pStyle w:val="38"/>
              <w:jc w:val="center"/>
              <w:rPr>
                <w:rFonts w:hint="eastAsia"/>
                <w:highlight w:val="none"/>
              </w:rPr>
            </w:pPr>
          </w:p>
        </w:tc>
        <w:tc>
          <w:tcPr>
            <w:tcW w:w="2980" w:type="dxa"/>
            <w:vMerge w:val="continue"/>
            <w:vAlign w:val="center"/>
          </w:tcPr>
          <w:p w14:paraId="0FFA64AB">
            <w:pPr>
              <w:pStyle w:val="38"/>
              <w:jc w:val="center"/>
              <w:rPr>
                <w:rFonts w:hint="eastAsia"/>
                <w:highlight w:val="none"/>
              </w:rPr>
            </w:pPr>
          </w:p>
        </w:tc>
        <w:tc>
          <w:tcPr>
            <w:tcW w:w="3000" w:type="dxa"/>
            <w:vAlign w:val="center"/>
          </w:tcPr>
          <w:p w14:paraId="65559675">
            <w:pPr>
              <w:pStyle w:val="38"/>
              <w:rPr>
                <w:rFonts w:hint="eastAsia"/>
                <w:highlight w:val="none"/>
              </w:rPr>
            </w:pPr>
            <w:r>
              <w:rPr>
                <w:rFonts w:hint="eastAsia"/>
                <w:highlight w:val="none"/>
              </w:rPr>
              <w:t>病历质控</w:t>
            </w:r>
          </w:p>
        </w:tc>
      </w:tr>
      <w:tr w14:paraId="09A9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00BBC34">
            <w:pPr>
              <w:pStyle w:val="38"/>
              <w:jc w:val="center"/>
              <w:rPr>
                <w:rFonts w:hint="eastAsia"/>
                <w:highlight w:val="none"/>
              </w:rPr>
            </w:pPr>
            <w:r>
              <w:rPr>
                <w:rFonts w:hint="eastAsia"/>
                <w:highlight w:val="none"/>
              </w:rPr>
              <w:t>27</w:t>
            </w:r>
          </w:p>
        </w:tc>
        <w:tc>
          <w:tcPr>
            <w:tcW w:w="1846" w:type="dxa"/>
            <w:vMerge w:val="continue"/>
            <w:vAlign w:val="center"/>
          </w:tcPr>
          <w:p w14:paraId="1C54FC85">
            <w:pPr>
              <w:pStyle w:val="38"/>
              <w:jc w:val="center"/>
              <w:rPr>
                <w:rFonts w:hint="eastAsia"/>
                <w:highlight w:val="none"/>
              </w:rPr>
            </w:pPr>
          </w:p>
        </w:tc>
        <w:tc>
          <w:tcPr>
            <w:tcW w:w="2980" w:type="dxa"/>
            <w:vMerge w:val="continue"/>
            <w:vAlign w:val="center"/>
          </w:tcPr>
          <w:p w14:paraId="51D249BE">
            <w:pPr>
              <w:pStyle w:val="38"/>
              <w:jc w:val="center"/>
              <w:rPr>
                <w:rFonts w:hint="eastAsia"/>
                <w:highlight w:val="none"/>
              </w:rPr>
            </w:pPr>
          </w:p>
        </w:tc>
        <w:tc>
          <w:tcPr>
            <w:tcW w:w="3000" w:type="dxa"/>
            <w:vAlign w:val="center"/>
          </w:tcPr>
          <w:p w14:paraId="5BF6D8F0">
            <w:pPr>
              <w:pStyle w:val="38"/>
              <w:rPr>
                <w:rFonts w:hint="eastAsia"/>
                <w:highlight w:val="none"/>
              </w:rPr>
            </w:pPr>
            <w:r>
              <w:rPr>
                <w:rFonts w:hint="eastAsia"/>
                <w:highlight w:val="none"/>
              </w:rPr>
              <w:t>病历结构化检索</w:t>
            </w:r>
          </w:p>
        </w:tc>
      </w:tr>
      <w:tr w14:paraId="37FF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DADCEA8">
            <w:pPr>
              <w:pStyle w:val="38"/>
              <w:jc w:val="center"/>
              <w:rPr>
                <w:rFonts w:hint="eastAsia"/>
                <w:highlight w:val="none"/>
              </w:rPr>
            </w:pPr>
            <w:r>
              <w:rPr>
                <w:rFonts w:hint="eastAsia"/>
                <w:highlight w:val="none"/>
              </w:rPr>
              <w:t>28</w:t>
            </w:r>
          </w:p>
        </w:tc>
        <w:tc>
          <w:tcPr>
            <w:tcW w:w="1846" w:type="dxa"/>
            <w:vMerge w:val="continue"/>
            <w:vAlign w:val="center"/>
          </w:tcPr>
          <w:p w14:paraId="03CD64BA">
            <w:pPr>
              <w:pStyle w:val="38"/>
              <w:jc w:val="center"/>
              <w:rPr>
                <w:rFonts w:hint="eastAsia"/>
                <w:highlight w:val="none"/>
              </w:rPr>
            </w:pPr>
          </w:p>
        </w:tc>
        <w:tc>
          <w:tcPr>
            <w:tcW w:w="2980" w:type="dxa"/>
            <w:vMerge w:val="continue"/>
            <w:vAlign w:val="center"/>
          </w:tcPr>
          <w:p w14:paraId="3D254906">
            <w:pPr>
              <w:pStyle w:val="38"/>
              <w:jc w:val="center"/>
              <w:rPr>
                <w:rFonts w:hint="eastAsia"/>
                <w:highlight w:val="none"/>
              </w:rPr>
            </w:pPr>
          </w:p>
        </w:tc>
        <w:tc>
          <w:tcPr>
            <w:tcW w:w="3000" w:type="dxa"/>
            <w:vAlign w:val="center"/>
          </w:tcPr>
          <w:p w14:paraId="7C220552">
            <w:pPr>
              <w:pStyle w:val="38"/>
              <w:rPr>
                <w:rFonts w:hint="eastAsia"/>
                <w:highlight w:val="none"/>
              </w:rPr>
            </w:pPr>
            <w:r>
              <w:rPr>
                <w:rFonts w:hint="eastAsia"/>
                <w:highlight w:val="none"/>
              </w:rPr>
              <w:t>病历编辑器</w:t>
            </w:r>
          </w:p>
        </w:tc>
      </w:tr>
      <w:tr w14:paraId="6FAB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2CAE83F">
            <w:pPr>
              <w:pStyle w:val="38"/>
              <w:jc w:val="center"/>
              <w:rPr>
                <w:rFonts w:hint="eastAsia"/>
                <w:highlight w:val="none"/>
              </w:rPr>
            </w:pPr>
            <w:r>
              <w:rPr>
                <w:rFonts w:hint="eastAsia"/>
                <w:highlight w:val="none"/>
              </w:rPr>
              <w:t>29</w:t>
            </w:r>
          </w:p>
        </w:tc>
        <w:tc>
          <w:tcPr>
            <w:tcW w:w="1846" w:type="dxa"/>
            <w:vMerge w:val="continue"/>
            <w:vAlign w:val="center"/>
          </w:tcPr>
          <w:p w14:paraId="7E2AB1FB">
            <w:pPr>
              <w:pStyle w:val="38"/>
              <w:jc w:val="center"/>
              <w:rPr>
                <w:rFonts w:hint="eastAsia"/>
                <w:highlight w:val="none"/>
              </w:rPr>
            </w:pPr>
          </w:p>
        </w:tc>
        <w:tc>
          <w:tcPr>
            <w:tcW w:w="2980" w:type="dxa"/>
            <w:vMerge w:val="continue"/>
            <w:vAlign w:val="center"/>
          </w:tcPr>
          <w:p w14:paraId="7B445D58">
            <w:pPr>
              <w:pStyle w:val="38"/>
              <w:jc w:val="center"/>
              <w:rPr>
                <w:rFonts w:hint="eastAsia"/>
                <w:highlight w:val="none"/>
              </w:rPr>
            </w:pPr>
          </w:p>
        </w:tc>
        <w:tc>
          <w:tcPr>
            <w:tcW w:w="3000" w:type="dxa"/>
            <w:vAlign w:val="center"/>
          </w:tcPr>
          <w:p w14:paraId="7B1664BF">
            <w:pPr>
              <w:pStyle w:val="38"/>
              <w:rPr>
                <w:rFonts w:hint="eastAsia"/>
                <w:highlight w:val="none"/>
              </w:rPr>
            </w:pPr>
            <w:r>
              <w:rPr>
                <w:rFonts w:hint="eastAsia"/>
                <w:highlight w:val="none"/>
              </w:rPr>
              <w:t>多学科会诊(MDT)</w:t>
            </w:r>
          </w:p>
        </w:tc>
      </w:tr>
      <w:tr w14:paraId="0D81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F8E6B63">
            <w:pPr>
              <w:pStyle w:val="38"/>
              <w:jc w:val="center"/>
              <w:rPr>
                <w:rFonts w:hint="eastAsia"/>
                <w:highlight w:val="none"/>
              </w:rPr>
            </w:pPr>
            <w:r>
              <w:rPr>
                <w:rFonts w:hint="eastAsia"/>
                <w:highlight w:val="none"/>
              </w:rPr>
              <w:t>30</w:t>
            </w:r>
          </w:p>
        </w:tc>
        <w:tc>
          <w:tcPr>
            <w:tcW w:w="1846" w:type="dxa"/>
            <w:vMerge w:val="continue"/>
            <w:vAlign w:val="center"/>
          </w:tcPr>
          <w:p w14:paraId="513B518B">
            <w:pPr>
              <w:pStyle w:val="38"/>
              <w:jc w:val="center"/>
              <w:rPr>
                <w:rFonts w:hint="eastAsia"/>
                <w:highlight w:val="none"/>
              </w:rPr>
            </w:pPr>
          </w:p>
        </w:tc>
        <w:tc>
          <w:tcPr>
            <w:tcW w:w="2980" w:type="dxa"/>
            <w:vMerge w:val="continue"/>
            <w:vAlign w:val="center"/>
          </w:tcPr>
          <w:p w14:paraId="4AC86738">
            <w:pPr>
              <w:pStyle w:val="38"/>
              <w:jc w:val="center"/>
              <w:rPr>
                <w:rFonts w:hint="eastAsia"/>
                <w:highlight w:val="none"/>
              </w:rPr>
            </w:pPr>
          </w:p>
        </w:tc>
        <w:tc>
          <w:tcPr>
            <w:tcW w:w="3000" w:type="dxa"/>
            <w:vAlign w:val="center"/>
          </w:tcPr>
          <w:p w14:paraId="1B24E331">
            <w:pPr>
              <w:pStyle w:val="38"/>
              <w:rPr>
                <w:rFonts w:hint="eastAsia"/>
                <w:highlight w:val="none"/>
              </w:rPr>
            </w:pPr>
            <w:r>
              <w:rPr>
                <w:rFonts w:hint="eastAsia"/>
                <w:highlight w:val="none"/>
              </w:rPr>
              <w:t>医生交接班</w:t>
            </w:r>
          </w:p>
        </w:tc>
      </w:tr>
      <w:tr w14:paraId="7694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B298367">
            <w:pPr>
              <w:pStyle w:val="38"/>
              <w:jc w:val="center"/>
              <w:rPr>
                <w:rFonts w:hint="eastAsia"/>
                <w:highlight w:val="none"/>
              </w:rPr>
            </w:pPr>
            <w:r>
              <w:rPr>
                <w:rFonts w:hint="eastAsia"/>
                <w:highlight w:val="none"/>
              </w:rPr>
              <w:t>31</w:t>
            </w:r>
          </w:p>
        </w:tc>
        <w:tc>
          <w:tcPr>
            <w:tcW w:w="1846" w:type="dxa"/>
            <w:vMerge w:val="continue"/>
            <w:vAlign w:val="center"/>
          </w:tcPr>
          <w:p w14:paraId="4D9A6EDC">
            <w:pPr>
              <w:pStyle w:val="38"/>
              <w:jc w:val="center"/>
              <w:rPr>
                <w:rFonts w:hint="eastAsia"/>
                <w:highlight w:val="none"/>
              </w:rPr>
            </w:pPr>
          </w:p>
        </w:tc>
        <w:tc>
          <w:tcPr>
            <w:tcW w:w="2980" w:type="dxa"/>
            <w:vAlign w:val="center"/>
          </w:tcPr>
          <w:p w14:paraId="5F69E81F">
            <w:pPr>
              <w:pStyle w:val="38"/>
              <w:jc w:val="center"/>
              <w:rPr>
                <w:rFonts w:hint="eastAsia"/>
                <w:highlight w:val="none"/>
              </w:rPr>
            </w:pPr>
            <w:r>
              <w:rPr>
                <w:rFonts w:hint="eastAsia"/>
                <w:highlight w:val="none"/>
              </w:rPr>
              <w:t>移动查房</w:t>
            </w:r>
          </w:p>
        </w:tc>
        <w:tc>
          <w:tcPr>
            <w:tcW w:w="3000" w:type="dxa"/>
            <w:vAlign w:val="center"/>
          </w:tcPr>
          <w:p w14:paraId="260BD4DF">
            <w:pPr>
              <w:pStyle w:val="38"/>
              <w:rPr>
                <w:rFonts w:hint="eastAsia"/>
                <w:highlight w:val="none"/>
              </w:rPr>
            </w:pPr>
            <w:r>
              <w:rPr>
                <w:rFonts w:hint="eastAsia"/>
                <w:highlight w:val="none"/>
              </w:rPr>
              <w:t>移动查房</w:t>
            </w:r>
          </w:p>
        </w:tc>
      </w:tr>
      <w:tr w14:paraId="0F1E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EBB9E9B">
            <w:pPr>
              <w:pStyle w:val="38"/>
              <w:jc w:val="center"/>
              <w:rPr>
                <w:rFonts w:hint="eastAsia"/>
                <w:highlight w:val="none"/>
              </w:rPr>
            </w:pPr>
            <w:r>
              <w:rPr>
                <w:rFonts w:hint="eastAsia"/>
                <w:highlight w:val="none"/>
              </w:rPr>
              <w:t>32</w:t>
            </w:r>
          </w:p>
        </w:tc>
        <w:tc>
          <w:tcPr>
            <w:tcW w:w="1846" w:type="dxa"/>
            <w:vMerge w:val="continue"/>
            <w:vAlign w:val="center"/>
          </w:tcPr>
          <w:p w14:paraId="6D30B4FF">
            <w:pPr>
              <w:pStyle w:val="38"/>
              <w:jc w:val="center"/>
              <w:rPr>
                <w:rFonts w:hint="eastAsia"/>
                <w:highlight w:val="none"/>
              </w:rPr>
            </w:pPr>
          </w:p>
        </w:tc>
        <w:tc>
          <w:tcPr>
            <w:tcW w:w="2980" w:type="dxa"/>
            <w:vAlign w:val="center"/>
          </w:tcPr>
          <w:p w14:paraId="36B5897B">
            <w:pPr>
              <w:pStyle w:val="38"/>
              <w:jc w:val="center"/>
              <w:rPr>
                <w:rFonts w:hint="eastAsia"/>
                <w:highlight w:val="none"/>
              </w:rPr>
            </w:pPr>
            <w:r>
              <w:rPr>
                <w:rFonts w:hint="eastAsia"/>
                <w:highlight w:val="none"/>
              </w:rPr>
              <w:t>临床路径系统</w:t>
            </w:r>
          </w:p>
        </w:tc>
        <w:tc>
          <w:tcPr>
            <w:tcW w:w="3000" w:type="dxa"/>
            <w:vAlign w:val="center"/>
          </w:tcPr>
          <w:p w14:paraId="36EE613E">
            <w:pPr>
              <w:pStyle w:val="38"/>
              <w:rPr>
                <w:rFonts w:hint="eastAsia"/>
                <w:highlight w:val="none"/>
              </w:rPr>
            </w:pPr>
            <w:r>
              <w:rPr>
                <w:rFonts w:hint="eastAsia"/>
                <w:highlight w:val="none"/>
              </w:rPr>
              <w:t>临床路径系统</w:t>
            </w:r>
          </w:p>
        </w:tc>
      </w:tr>
      <w:tr w14:paraId="1137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9C2FCBC">
            <w:pPr>
              <w:pStyle w:val="38"/>
              <w:jc w:val="center"/>
              <w:rPr>
                <w:rFonts w:hint="eastAsia"/>
                <w:highlight w:val="none"/>
              </w:rPr>
            </w:pPr>
            <w:r>
              <w:rPr>
                <w:rFonts w:hint="eastAsia"/>
                <w:highlight w:val="none"/>
              </w:rPr>
              <w:t>33</w:t>
            </w:r>
          </w:p>
        </w:tc>
        <w:tc>
          <w:tcPr>
            <w:tcW w:w="1846" w:type="dxa"/>
            <w:vMerge w:val="continue"/>
            <w:vAlign w:val="center"/>
          </w:tcPr>
          <w:p w14:paraId="47317A7F">
            <w:pPr>
              <w:pStyle w:val="38"/>
              <w:jc w:val="center"/>
              <w:rPr>
                <w:rFonts w:hint="eastAsia"/>
                <w:highlight w:val="none"/>
              </w:rPr>
            </w:pPr>
          </w:p>
        </w:tc>
        <w:tc>
          <w:tcPr>
            <w:tcW w:w="2980" w:type="dxa"/>
            <w:vMerge w:val="restart"/>
            <w:noWrap/>
            <w:vAlign w:val="center"/>
          </w:tcPr>
          <w:p w14:paraId="20F18992">
            <w:pPr>
              <w:pStyle w:val="38"/>
              <w:jc w:val="center"/>
              <w:rPr>
                <w:rFonts w:hint="eastAsia"/>
                <w:highlight w:val="none"/>
              </w:rPr>
            </w:pPr>
            <w:r>
              <w:rPr>
                <w:rFonts w:hint="eastAsia"/>
                <w:highlight w:val="none"/>
              </w:rPr>
              <w:t>护理业务</w:t>
            </w:r>
          </w:p>
        </w:tc>
        <w:tc>
          <w:tcPr>
            <w:tcW w:w="3000" w:type="dxa"/>
            <w:noWrap/>
            <w:vAlign w:val="center"/>
          </w:tcPr>
          <w:p w14:paraId="15495456">
            <w:pPr>
              <w:pStyle w:val="38"/>
              <w:rPr>
                <w:rFonts w:hint="eastAsia"/>
                <w:highlight w:val="none"/>
              </w:rPr>
            </w:pPr>
            <w:r>
              <w:rPr>
                <w:rFonts w:hint="eastAsia"/>
                <w:highlight w:val="none"/>
              </w:rPr>
              <w:t>护理计划</w:t>
            </w:r>
          </w:p>
        </w:tc>
      </w:tr>
      <w:tr w14:paraId="3DCC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50897B2">
            <w:pPr>
              <w:pStyle w:val="38"/>
              <w:jc w:val="center"/>
              <w:rPr>
                <w:rFonts w:hint="eastAsia"/>
                <w:highlight w:val="none"/>
              </w:rPr>
            </w:pPr>
            <w:r>
              <w:rPr>
                <w:rFonts w:hint="eastAsia"/>
                <w:highlight w:val="none"/>
              </w:rPr>
              <w:t>34</w:t>
            </w:r>
          </w:p>
        </w:tc>
        <w:tc>
          <w:tcPr>
            <w:tcW w:w="1846" w:type="dxa"/>
            <w:vMerge w:val="continue"/>
            <w:vAlign w:val="center"/>
          </w:tcPr>
          <w:p w14:paraId="0F82F7DB">
            <w:pPr>
              <w:pStyle w:val="38"/>
              <w:jc w:val="center"/>
              <w:rPr>
                <w:rFonts w:hint="eastAsia"/>
                <w:highlight w:val="none"/>
              </w:rPr>
            </w:pPr>
          </w:p>
        </w:tc>
        <w:tc>
          <w:tcPr>
            <w:tcW w:w="2980" w:type="dxa"/>
            <w:vMerge w:val="continue"/>
            <w:vAlign w:val="center"/>
          </w:tcPr>
          <w:p w14:paraId="64723E78">
            <w:pPr>
              <w:pStyle w:val="38"/>
              <w:jc w:val="center"/>
              <w:rPr>
                <w:rFonts w:hint="eastAsia"/>
                <w:highlight w:val="none"/>
              </w:rPr>
            </w:pPr>
          </w:p>
        </w:tc>
        <w:tc>
          <w:tcPr>
            <w:tcW w:w="3000" w:type="dxa"/>
            <w:noWrap/>
            <w:vAlign w:val="center"/>
          </w:tcPr>
          <w:p w14:paraId="24A06A1A">
            <w:pPr>
              <w:pStyle w:val="38"/>
              <w:rPr>
                <w:rFonts w:hint="eastAsia"/>
                <w:highlight w:val="none"/>
              </w:rPr>
            </w:pPr>
            <w:r>
              <w:rPr>
                <w:rFonts w:hint="eastAsia"/>
                <w:highlight w:val="none"/>
              </w:rPr>
              <w:t>护理病历</w:t>
            </w:r>
          </w:p>
        </w:tc>
      </w:tr>
      <w:tr w14:paraId="4730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49C98CA">
            <w:pPr>
              <w:pStyle w:val="38"/>
              <w:jc w:val="center"/>
              <w:rPr>
                <w:rFonts w:hint="eastAsia"/>
                <w:highlight w:val="none"/>
              </w:rPr>
            </w:pPr>
            <w:r>
              <w:rPr>
                <w:rFonts w:hint="eastAsia"/>
                <w:highlight w:val="none"/>
              </w:rPr>
              <w:t>35</w:t>
            </w:r>
          </w:p>
        </w:tc>
        <w:tc>
          <w:tcPr>
            <w:tcW w:w="1846" w:type="dxa"/>
            <w:vMerge w:val="continue"/>
            <w:vAlign w:val="center"/>
          </w:tcPr>
          <w:p w14:paraId="7193167E">
            <w:pPr>
              <w:pStyle w:val="38"/>
              <w:jc w:val="center"/>
              <w:rPr>
                <w:rFonts w:hint="eastAsia"/>
                <w:highlight w:val="none"/>
              </w:rPr>
            </w:pPr>
          </w:p>
        </w:tc>
        <w:tc>
          <w:tcPr>
            <w:tcW w:w="2980" w:type="dxa"/>
            <w:vMerge w:val="continue"/>
            <w:vAlign w:val="center"/>
          </w:tcPr>
          <w:p w14:paraId="74954459">
            <w:pPr>
              <w:pStyle w:val="38"/>
              <w:jc w:val="center"/>
              <w:rPr>
                <w:rFonts w:hint="eastAsia"/>
                <w:highlight w:val="none"/>
              </w:rPr>
            </w:pPr>
          </w:p>
        </w:tc>
        <w:tc>
          <w:tcPr>
            <w:tcW w:w="3000" w:type="dxa"/>
            <w:noWrap/>
            <w:vAlign w:val="center"/>
          </w:tcPr>
          <w:p w14:paraId="4A85DBDB">
            <w:pPr>
              <w:pStyle w:val="38"/>
              <w:rPr>
                <w:rFonts w:hint="eastAsia"/>
                <w:highlight w:val="none"/>
              </w:rPr>
            </w:pPr>
            <w:r>
              <w:rPr>
                <w:rFonts w:hint="eastAsia"/>
                <w:highlight w:val="none"/>
              </w:rPr>
              <w:t>移动护理</w:t>
            </w:r>
          </w:p>
        </w:tc>
      </w:tr>
      <w:tr w14:paraId="3F19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B689648">
            <w:pPr>
              <w:pStyle w:val="38"/>
              <w:jc w:val="center"/>
              <w:rPr>
                <w:rFonts w:hint="eastAsia"/>
                <w:highlight w:val="none"/>
              </w:rPr>
            </w:pPr>
            <w:r>
              <w:rPr>
                <w:rFonts w:hint="eastAsia"/>
                <w:highlight w:val="none"/>
              </w:rPr>
              <w:t>36</w:t>
            </w:r>
          </w:p>
        </w:tc>
        <w:tc>
          <w:tcPr>
            <w:tcW w:w="1846" w:type="dxa"/>
            <w:vMerge w:val="continue"/>
            <w:vAlign w:val="center"/>
          </w:tcPr>
          <w:p w14:paraId="4BC3CD65">
            <w:pPr>
              <w:pStyle w:val="38"/>
              <w:jc w:val="center"/>
              <w:rPr>
                <w:rFonts w:hint="eastAsia"/>
                <w:highlight w:val="none"/>
              </w:rPr>
            </w:pPr>
          </w:p>
        </w:tc>
        <w:tc>
          <w:tcPr>
            <w:tcW w:w="2980" w:type="dxa"/>
            <w:noWrap/>
            <w:vAlign w:val="center"/>
          </w:tcPr>
          <w:p w14:paraId="23A5A605">
            <w:pPr>
              <w:pStyle w:val="38"/>
              <w:jc w:val="center"/>
              <w:rPr>
                <w:rFonts w:hint="eastAsia"/>
                <w:highlight w:val="none"/>
              </w:rPr>
            </w:pPr>
            <w:r>
              <w:rPr>
                <w:rFonts w:hint="eastAsia"/>
                <w:highlight w:val="none"/>
              </w:rPr>
              <w:t>急诊医学信息管理系统</w:t>
            </w:r>
          </w:p>
        </w:tc>
        <w:tc>
          <w:tcPr>
            <w:tcW w:w="3000" w:type="dxa"/>
            <w:noWrap/>
            <w:vAlign w:val="center"/>
          </w:tcPr>
          <w:p w14:paraId="33ADC159">
            <w:pPr>
              <w:pStyle w:val="38"/>
              <w:rPr>
                <w:rFonts w:hint="eastAsia"/>
                <w:highlight w:val="none"/>
              </w:rPr>
            </w:pPr>
          </w:p>
        </w:tc>
      </w:tr>
      <w:tr w14:paraId="33F9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5930E00">
            <w:pPr>
              <w:pStyle w:val="38"/>
              <w:jc w:val="center"/>
              <w:rPr>
                <w:rFonts w:hint="eastAsia"/>
                <w:highlight w:val="none"/>
              </w:rPr>
            </w:pPr>
            <w:r>
              <w:rPr>
                <w:rFonts w:hint="eastAsia"/>
                <w:highlight w:val="none"/>
              </w:rPr>
              <w:t>37</w:t>
            </w:r>
          </w:p>
        </w:tc>
        <w:tc>
          <w:tcPr>
            <w:tcW w:w="1846" w:type="dxa"/>
            <w:vMerge w:val="continue"/>
            <w:vAlign w:val="center"/>
          </w:tcPr>
          <w:p w14:paraId="3F945925">
            <w:pPr>
              <w:pStyle w:val="38"/>
              <w:jc w:val="center"/>
              <w:rPr>
                <w:rFonts w:hint="eastAsia"/>
                <w:highlight w:val="none"/>
              </w:rPr>
            </w:pPr>
          </w:p>
        </w:tc>
        <w:tc>
          <w:tcPr>
            <w:tcW w:w="2980" w:type="dxa"/>
            <w:noWrap/>
            <w:vAlign w:val="center"/>
          </w:tcPr>
          <w:p w14:paraId="3A56DD09">
            <w:pPr>
              <w:pStyle w:val="38"/>
              <w:jc w:val="center"/>
              <w:rPr>
                <w:rFonts w:hint="eastAsia"/>
                <w:highlight w:val="none"/>
              </w:rPr>
            </w:pPr>
            <w:r>
              <w:rPr>
                <w:rFonts w:hint="eastAsia"/>
                <w:highlight w:val="none"/>
              </w:rPr>
              <w:t>放疗系统</w:t>
            </w:r>
          </w:p>
        </w:tc>
        <w:tc>
          <w:tcPr>
            <w:tcW w:w="3000" w:type="dxa"/>
            <w:noWrap/>
            <w:vAlign w:val="center"/>
          </w:tcPr>
          <w:p w14:paraId="4B410750">
            <w:pPr>
              <w:pStyle w:val="38"/>
              <w:rPr>
                <w:rFonts w:hint="eastAsia"/>
                <w:highlight w:val="none"/>
              </w:rPr>
            </w:pPr>
          </w:p>
        </w:tc>
      </w:tr>
      <w:tr w14:paraId="4BCE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44F46E4">
            <w:pPr>
              <w:pStyle w:val="38"/>
              <w:jc w:val="center"/>
              <w:rPr>
                <w:rFonts w:hint="eastAsia"/>
                <w:highlight w:val="none"/>
              </w:rPr>
            </w:pPr>
            <w:r>
              <w:rPr>
                <w:rFonts w:hint="eastAsia"/>
                <w:highlight w:val="none"/>
              </w:rPr>
              <w:t>38</w:t>
            </w:r>
          </w:p>
        </w:tc>
        <w:tc>
          <w:tcPr>
            <w:tcW w:w="1846" w:type="dxa"/>
            <w:vMerge w:val="continue"/>
            <w:vAlign w:val="center"/>
          </w:tcPr>
          <w:p w14:paraId="68894C19">
            <w:pPr>
              <w:pStyle w:val="38"/>
              <w:jc w:val="center"/>
              <w:rPr>
                <w:rFonts w:hint="eastAsia"/>
                <w:highlight w:val="none"/>
              </w:rPr>
            </w:pPr>
          </w:p>
        </w:tc>
        <w:tc>
          <w:tcPr>
            <w:tcW w:w="2980" w:type="dxa"/>
            <w:noWrap/>
            <w:vAlign w:val="center"/>
          </w:tcPr>
          <w:p w14:paraId="4FC7DB9F">
            <w:pPr>
              <w:pStyle w:val="38"/>
              <w:jc w:val="center"/>
              <w:rPr>
                <w:rFonts w:hint="eastAsia"/>
                <w:highlight w:val="none"/>
              </w:rPr>
            </w:pPr>
            <w:r>
              <w:rPr>
                <w:rFonts w:hint="eastAsia"/>
                <w:highlight w:val="none"/>
              </w:rPr>
              <w:t>VTE静脉血栓栓塞症系统</w:t>
            </w:r>
          </w:p>
        </w:tc>
        <w:tc>
          <w:tcPr>
            <w:tcW w:w="3000" w:type="dxa"/>
            <w:vAlign w:val="center"/>
          </w:tcPr>
          <w:p w14:paraId="1859B6DB">
            <w:pPr>
              <w:pStyle w:val="38"/>
              <w:rPr>
                <w:rFonts w:hint="eastAsia"/>
                <w:highlight w:val="none"/>
              </w:rPr>
            </w:pPr>
          </w:p>
        </w:tc>
      </w:tr>
      <w:tr w14:paraId="4651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BCB7534">
            <w:pPr>
              <w:pStyle w:val="38"/>
              <w:jc w:val="center"/>
              <w:rPr>
                <w:rFonts w:hint="eastAsia"/>
                <w:highlight w:val="none"/>
              </w:rPr>
            </w:pPr>
            <w:r>
              <w:rPr>
                <w:rFonts w:hint="eastAsia"/>
                <w:highlight w:val="none"/>
              </w:rPr>
              <w:t>39</w:t>
            </w:r>
          </w:p>
        </w:tc>
        <w:tc>
          <w:tcPr>
            <w:tcW w:w="1846" w:type="dxa"/>
            <w:vMerge w:val="continue"/>
            <w:vAlign w:val="center"/>
          </w:tcPr>
          <w:p w14:paraId="49518BA9">
            <w:pPr>
              <w:pStyle w:val="38"/>
              <w:jc w:val="center"/>
              <w:rPr>
                <w:rFonts w:hint="eastAsia"/>
                <w:highlight w:val="none"/>
              </w:rPr>
            </w:pPr>
          </w:p>
        </w:tc>
        <w:tc>
          <w:tcPr>
            <w:tcW w:w="2980" w:type="dxa"/>
            <w:noWrap/>
            <w:vAlign w:val="center"/>
          </w:tcPr>
          <w:p w14:paraId="3DCC4373">
            <w:pPr>
              <w:pStyle w:val="38"/>
              <w:jc w:val="center"/>
              <w:rPr>
                <w:rFonts w:hint="eastAsia"/>
                <w:highlight w:val="none"/>
              </w:rPr>
            </w:pPr>
            <w:r>
              <w:rPr>
                <w:rFonts w:hint="eastAsia"/>
                <w:highlight w:val="none"/>
              </w:rPr>
              <w:t>临床辅助决策支持系统</w:t>
            </w:r>
          </w:p>
        </w:tc>
        <w:tc>
          <w:tcPr>
            <w:tcW w:w="3000" w:type="dxa"/>
            <w:vAlign w:val="center"/>
          </w:tcPr>
          <w:p w14:paraId="6EA938B2">
            <w:pPr>
              <w:pStyle w:val="38"/>
              <w:rPr>
                <w:rFonts w:hint="eastAsia"/>
                <w:highlight w:val="none"/>
              </w:rPr>
            </w:pPr>
          </w:p>
        </w:tc>
      </w:tr>
      <w:tr w14:paraId="4210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DD83B23">
            <w:pPr>
              <w:pStyle w:val="38"/>
              <w:jc w:val="center"/>
              <w:rPr>
                <w:rFonts w:hint="eastAsia"/>
                <w:highlight w:val="none"/>
              </w:rPr>
            </w:pPr>
            <w:r>
              <w:rPr>
                <w:rFonts w:hint="eastAsia"/>
                <w:highlight w:val="none"/>
              </w:rPr>
              <w:t>40</w:t>
            </w:r>
          </w:p>
        </w:tc>
        <w:tc>
          <w:tcPr>
            <w:tcW w:w="1846" w:type="dxa"/>
            <w:vMerge w:val="continue"/>
            <w:vAlign w:val="center"/>
          </w:tcPr>
          <w:p w14:paraId="02330591">
            <w:pPr>
              <w:pStyle w:val="38"/>
              <w:jc w:val="center"/>
              <w:rPr>
                <w:rFonts w:hint="eastAsia"/>
                <w:highlight w:val="none"/>
              </w:rPr>
            </w:pPr>
          </w:p>
        </w:tc>
        <w:tc>
          <w:tcPr>
            <w:tcW w:w="2980" w:type="dxa"/>
            <w:vMerge w:val="restart"/>
            <w:vAlign w:val="center"/>
          </w:tcPr>
          <w:p w14:paraId="2CDC0E2E">
            <w:pPr>
              <w:pStyle w:val="38"/>
              <w:jc w:val="center"/>
              <w:rPr>
                <w:rFonts w:hint="eastAsia"/>
                <w:highlight w:val="none"/>
              </w:rPr>
            </w:pPr>
            <w:r>
              <w:rPr>
                <w:rFonts w:hint="eastAsia"/>
                <w:highlight w:val="none"/>
              </w:rPr>
              <w:t>AI大模型</w:t>
            </w:r>
          </w:p>
        </w:tc>
        <w:tc>
          <w:tcPr>
            <w:tcW w:w="3000" w:type="dxa"/>
            <w:vAlign w:val="center"/>
          </w:tcPr>
          <w:p w14:paraId="05BC6151">
            <w:pPr>
              <w:pStyle w:val="38"/>
              <w:rPr>
                <w:rFonts w:hint="eastAsia"/>
                <w:highlight w:val="none"/>
              </w:rPr>
            </w:pPr>
            <w:r>
              <w:rPr>
                <w:rFonts w:hint="eastAsia"/>
                <w:highlight w:val="none"/>
              </w:rPr>
              <w:t>病历服务智能体</w:t>
            </w:r>
          </w:p>
        </w:tc>
      </w:tr>
      <w:tr w14:paraId="37EA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237F128">
            <w:pPr>
              <w:pStyle w:val="38"/>
              <w:jc w:val="center"/>
              <w:rPr>
                <w:rFonts w:hint="eastAsia"/>
                <w:highlight w:val="none"/>
              </w:rPr>
            </w:pPr>
            <w:r>
              <w:rPr>
                <w:rFonts w:hint="eastAsia"/>
                <w:highlight w:val="none"/>
              </w:rPr>
              <w:t>41</w:t>
            </w:r>
          </w:p>
        </w:tc>
        <w:tc>
          <w:tcPr>
            <w:tcW w:w="1846" w:type="dxa"/>
            <w:vMerge w:val="continue"/>
            <w:vAlign w:val="center"/>
          </w:tcPr>
          <w:p w14:paraId="08DCEE58">
            <w:pPr>
              <w:pStyle w:val="38"/>
              <w:jc w:val="center"/>
              <w:rPr>
                <w:rFonts w:hint="eastAsia"/>
                <w:highlight w:val="none"/>
              </w:rPr>
            </w:pPr>
          </w:p>
        </w:tc>
        <w:tc>
          <w:tcPr>
            <w:tcW w:w="2980" w:type="dxa"/>
            <w:vMerge w:val="continue"/>
            <w:vAlign w:val="center"/>
          </w:tcPr>
          <w:p w14:paraId="15AE79F6">
            <w:pPr>
              <w:pStyle w:val="38"/>
              <w:jc w:val="center"/>
              <w:rPr>
                <w:rFonts w:hint="eastAsia"/>
                <w:highlight w:val="none"/>
              </w:rPr>
            </w:pPr>
          </w:p>
        </w:tc>
        <w:tc>
          <w:tcPr>
            <w:tcW w:w="3000" w:type="dxa"/>
            <w:vAlign w:val="center"/>
          </w:tcPr>
          <w:p w14:paraId="1CD7AF4B">
            <w:pPr>
              <w:pStyle w:val="38"/>
              <w:rPr>
                <w:rFonts w:hint="eastAsia"/>
                <w:highlight w:val="none"/>
              </w:rPr>
            </w:pPr>
            <w:r>
              <w:rPr>
                <w:rFonts w:hint="eastAsia"/>
                <w:highlight w:val="none"/>
              </w:rPr>
              <w:t>患者服务智能体</w:t>
            </w:r>
          </w:p>
        </w:tc>
      </w:tr>
      <w:tr w14:paraId="183B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A82AD30">
            <w:pPr>
              <w:pStyle w:val="38"/>
              <w:jc w:val="center"/>
              <w:rPr>
                <w:rFonts w:hint="eastAsia"/>
                <w:highlight w:val="none"/>
              </w:rPr>
            </w:pPr>
            <w:r>
              <w:rPr>
                <w:rFonts w:hint="eastAsia"/>
                <w:highlight w:val="none"/>
              </w:rPr>
              <w:t>42</w:t>
            </w:r>
          </w:p>
        </w:tc>
        <w:tc>
          <w:tcPr>
            <w:tcW w:w="1846" w:type="dxa"/>
            <w:vMerge w:val="restart"/>
            <w:noWrap/>
            <w:vAlign w:val="center"/>
          </w:tcPr>
          <w:p w14:paraId="2E885D28">
            <w:pPr>
              <w:pStyle w:val="38"/>
              <w:jc w:val="center"/>
              <w:rPr>
                <w:rFonts w:hint="eastAsia"/>
                <w:highlight w:val="none"/>
              </w:rPr>
            </w:pPr>
            <w:r>
              <w:rPr>
                <w:rFonts w:hint="eastAsia"/>
                <w:highlight w:val="none"/>
              </w:rPr>
              <w:t>智慧服务</w:t>
            </w:r>
          </w:p>
        </w:tc>
        <w:tc>
          <w:tcPr>
            <w:tcW w:w="2980" w:type="dxa"/>
            <w:vAlign w:val="center"/>
          </w:tcPr>
          <w:p w14:paraId="335B1DFD">
            <w:pPr>
              <w:pStyle w:val="38"/>
              <w:jc w:val="center"/>
              <w:rPr>
                <w:rFonts w:hint="eastAsia"/>
                <w:highlight w:val="none"/>
              </w:rPr>
            </w:pPr>
            <w:r>
              <w:rPr>
                <w:rFonts w:hint="eastAsia"/>
                <w:highlight w:val="none"/>
              </w:rPr>
              <w:t>全流程排队叫号系统</w:t>
            </w:r>
          </w:p>
        </w:tc>
        <w:tc>
          <w:tcPr>
            <w:tcW w:w="3000" w:type="dxa"/>
            <w:noWrap/>
            <w:vAlign w:val="center"/>
          </w:tcPr>
          <w:p w14:paraId="4D447E3A">
            <w:pPr>
              <w:pStyle w:val="38"/>
              <w:rPr>
                <w:rFonts w:hint="eastAsia"/>
                <w:highlight w:val="none"/>
              </w:rPr>
            </w:pPr>
          </w:p>
        </w:tc>
      </w:tr>
      <w:tr w14:paraId="405D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840D9EA">
            <w:pPr>
              <w:pStyle w:val="38"/>
              <w:jc w:val="center"/>
              <w:rPr>
                <w:rFonts w:hint="eastAsia"/>
                <w:highlight w:val="none"/>
              </w:rPr>
            </w:pPr>
            <w:r>
              <w:rPr>
                <w:rFonts w:hint="eastAsia"/>
                <w:highlight w:val="none"/>
              </w:rPr>
              <w:t>43</w:t>
            </w:r>
          </w:p>
        </w:tc>
        <w:tc>
          <w:tcPr>
            <w:tcW w:w="1846" w:type="dxa"/>
            <w:vMerge w:val="continue"/>
            <w:vAlign w:val="center"/>
          </w:tcPr>
          <w:p w14:paraId="1DC84F1F">
            <w:pPr>
              <w:pStyle w:val="38"/>
              <w:jc w:val="center"/>
              <w:rPr>
                <w:rFonts w:hint="eastAsia"/>
                <w:highlight w:val="none"/>
              </w:rPr>
            </w:pPr>
          </w:p>
        </w:tc>
        <w:tc>
          <w:tcPr>
            <w:tcW w:w="2980" w:type="dxa"/>
            <w:vAlign w:val="center"/>
          </w:tcPr>
          <w:p w14:paraId="56AD9483">
            <w:pPr>
              <w:pStyle w:val="38"/>
              <w:jc w:val="center"/>
              <w:rPr>
                <w:rFonts w:hint="eastAsia"/>
                <w:highlight w:val="none"/>
              </w:rPr>
            </w:pPr>
            <w:r>
              <w:rPr>
                <w:rFonts w:hint="eastAsia"/>
                <w:highlight w:val="none"/>
              </w:rPr>
              <w:t>统一医技预约平台</w:t>
            </w:r>
          </w:p>
        </w:tc>
        <w:tc>
          <w:tcPr>
            <w:tcW w:w="3000" w:type="dxa"/>
            <w:noWrap/>
            <w:vAlign w:val="center"/>
          </w:tcPr>
          <w:p w14:paraId="17542CE3">
            <w:pPr>
              <w:pStyle w:val="38"/>
              <w:rPr>
                <w:rFonts w:hint="eastAsia"/>
                <w:highlight w:val="none"/>
              </w:rPr>
            </w:pPr>
          </w:p>
        </w:tc>
      </w:tr>
      <w:tr w14:paraId="55BD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D89F3C1">
            <w:pPr>
              <w:pStyle w:val="38"/>
              <w:jc w:val="center"/>
              <w:rPr>
                <w:rFonts w:hint="eastAsia"/>
                <w:highlight w:val="none"/>
              </w:rPr>
            </w:pPr>
            <w:r>
              <w:rPr>
                <w:rFonts w:hint="eastAsia"/>
                <w:highlight w:val="none"/>
              </w:rPr>
              <w:t>44</w:t>
            </w:r>
          </w:p>
        </w:tc>
        <w:tc>
          <w:tcPr>
            <w:tcW w:w="1846" w:type="dxa"/>
            <w:vMerge w:val="continue"/>
            <w:vAlign w:val="center"/>
          </w:tcPr>
          <w:p w14:paraId="68D43177">
            <w:pPr>
              <w:pStyle w:val="38"/>
              <w:jc w:val="center"/>
              <w:rPr>
                <w:rFonts w:hint="eastAsia"/>
                <w:highlight w:val="none"/>
              </w:rPr>
            </w:pPr>
          </w:p>
        </w:tc>
        <w:tc>
          <w:tcPr>
            <w:tcW w:w="2980" w:type="dxa"/>
            <w:vAlign w:val="center"/>
          </w:tcPr>
          <w:p w14:paraId="74182600">
            <w:pPr>
              <w:pStyle w:val="38"/>
              <w:jc w:val="center"/>
              <w:rPr>
                <w:rFonts w:hint="eastAsia"/>
                <w:highlight w:val="none"/>
              </w:rPr>
            </w:pPr>
            <w:r>
              <w:rPr>
                <w:rFonts w:hint="eastAsia"/>
                <w:highlight w:val="none"/>
              </w:rPr>
              <w:t>移动互联网医院系统</w:t>
            </w:r>
          </w:p>
        </w:tc>
        <w:tc>
          <w:tcPr>
            <w:tcW w:w="3000" w:type="dxa"/>
            <w:noWrap/>
            <w:vAlign w:val="center"/>
          </w:tcPr>
          <w:p w14:paraId="28D5EE45">
            <w:pPr>
              <w:pStyle w:val="38"/>
              <w:rPr>
                <w:rFonts w:hint="eastAsia"/>
                <w:highlight w:val="none"/>
              </w:rPr>
            </w:pPr>
          </w:p>
        </w:tc>
      </w:tr>
      <w:tr w14:paraId="505F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55DA252">
            <w:pPr>
              <w:pStyle w:val="38"/>
              <w:jc w:val="center"/>
              <w:rPr>
                <w:rFonts w:hint="eastAsia"/>
                <w:highlight w:val="none"/>
              </w:rPr>
            </w:pPr>
            <w:r>
              <w:rPr>
                <w:rFonts w:hint="eastAsia"/>
                <w:highlight w:val="none"/>
              </w:rPr>
              <w:t>45</w:t>
            </w:r>
          </w:p>
        </w:tc>
        <w:tc>
          <w:tcPr>
            <w:tcW w:w="1846" w:type="dxa"/>
            <w:vMerge w:val="continue"/>
            <w:vAlign w:val="center"/>
          </w:tcPr>
          <w:p w14:paraId="6C5C990B">
            <w:pPr>
              <w:pStyle w:val="38"/>
              <w:jc w:val="center"/>
              <w:rPr>
                <w:rFonts w:hint="eastAsia"/>
                <w:highlight w:val="none"/>
              </w:rPr>
            </w:pPr>
          </w:p>
        </w:tc>
        <w:tc>
          <w:tcPr>
            <w:tcW w:w="2980" w:type="dxa"/>
            <w:vAlign w:val="center"/>
          </w:tcPr>
          <w:p w14:paraId="076F5FB0">
            <w:pPr>
              <w:pStyle w:val="38"/>
              <w:jc w:val="center"/>
              <w:rPr>
                <w:rFonts w:hint="eastAsia"/>
                <w:highlight w:val="none"/>
              </w:rPr>
            </w:pPr>
            <w:r>
              <w:rPr>
                <w:rFonts w:hint="eastAsia"/>
                <w:highlight w:val="none"/>
              </w:rPr>
              <w:t>统一支付与对账平台</w:t>
            </w:r>
          </w:p>
        </w:tc>
        <w:tc>
          <w:tcPr>
            <w:tcW w:w="3000" w:type="dxa"/>
            <w:noWrap/>
            <w:vAlign w:val="center"/>
          </w:tcPr>
          <w:p w14:paraId="75F686EF">
            <w:pPr>
              <w:pStyle w:val="38"/>
              <w:rPr>
                <w:rFonts w:hint="eastAsia"/>
                <w:highlight w:val="none"/>
              </w:rPr>
            </w:pPr>
          </w:p>
        </w:tc>
      </w:tr>
      <w:tr w14:paraId="0575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EAE3DD4">
            <w:pPr>
              <w:pStyle w:val="38"/>
              <w:jc w:val="center"/>
              <w:rPr>
                <w:rFonts w:hint="eastAsia"/>
                <w:highlight w:val="none"/>
              </w:rPr>
            </w:pPr>
            <w:r>
              <w:rPr>
                <w:rFonts w:hint="eastAsia"/>
                <w:highlight w:val="none"/>
              </w:rPr>
              <w:t>46</w:t>
            </w:r>
          </w:p>
        </w:tc>
        <w:tc>
          <w:tcPr>
            <w:tcW w:w="1846" w:type="dxa"/>
            <w:vMerge w:val="continue"/>
            <w:vAlign w:val="center"/>
          </w:tcPr>
          <w:p w14:paraId="28655650">
            <w:pPr>
              <w:pStyle w:val="38"/>
              <w:jc w:val="center"/>
              <w:rPr>
                <w:rFonts w:hint="eastAsia"/>
                <w:highlight w:val="none"/>
              </w:rPr>
            </w:pPr>
          </w:p>
        </w:tc>
        <w:tc>
          <w:tcPr>
            <w:tcW w:w="2980" w:type="dxa"/>
            <w:vAlign w:val="center"/>
          </w:tcPr>
          <w:p w14:paraId="719E9779">
            <w:pPr>
              <w:pStyle w:val="38"/>
              <w:jc w:val="center"/>
              <w:rPr>
                <w:rFonts w:hint="eastAsia"/>
                <w:highlight w:val="none"/>
              </w:rPr>
            </w:pPr>
            <w:r>
              <w:rPr>
                <w:rFonts w:hint="eastAsia"/>
                <w:highlight w:val="none"/>
              </w:rPr>
              <w:t>满意度调查</w:t>
            </w:r>
          </w:p>
        </w:tc>
        <w:tc>
          <w:tcPr>
            <w:tcW w:w="3000" w:type="dxa"/>
            <w:noWrap/>
            <w:vAlign w:val="center"/>
          </w:tcPr>
          <w:p w14:paraId="6B4E5CB4">
            <w:pPr>
              <w:pStyle w:val="38"/>
              <w:rPr>
                <w:rFonts w:hint="eastAsia"/>
                <w:highlight w:val="none"/>
              </w:rPr>
            </w:pPr>
          </w:p>
        </w:tc>
      </w:tr>
      <w:tr w14:paraId="3721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BAC79DC">
            <w:pPr>
              <w:pStyle w:val="38"/>
              <w:jc w:val="center"/>
              <w:rPr>
                <w:rFonts w:hint="eastAsia"/>
                <w:highlight w:val="none"/>
              </w:rPr>
            </w:pPr>
            <w:r>
              <w:rPr>
                <w:rFonts w:hint="eastAsia"/>
                <w:highlight w:val="none"/>
              </w:rPr>
              <w:t>47</w:t>
            </w:r>
          </w:p>
        </w:tc>
        <w:tc>
          <w:tcPr>
            <w:tcW w:w="1846" w:type="dxa"/>
            <w:vMerge w:val="continue"/>
            <w:vAlign w:val="center"/>
          </w:tcPr>
          <w:p w14:paraId="696F9E38">
            <w:pPr>
              <w:pStyle w:val="38"/>
              <w:jc w:val="center"/>
              <w:rPr>
                <w:rFonts w:hint="eastAsia"/>
                <w:highlight w:val="none"/>
              </w:rPr>
            </w:pPr>
          </w:p>
        </w:tc>
        <w:tc>
          <w:tcPr>
            <w:tcW w:w="2980" w:type="dxa"/>
            <w:vAlign w:val="center"/>
          </w:tcPr>
          <w:p w14:paraId="0AE90FFD">
            <w:pPr>
              <w:pStyle w:val="38"/>
              <w:jc w:val="center"/>
              <w:rPr>
                <w:rFonts w:hint="eastAsia"/>
                <w:highlight w:val="none"/>
              </w:rPr>
            </w:pPr>
            <w:r>
              <w:rPr>
                <w:rFonts w:hint="eastAsia"/>
                <w:highlight w:val="none"/>
              </w:rPr>
              <w:t>互联网医疗随访中心</w:t>
            </w:r>
          </w:p>
        </w:tc>
        <w:tc>
          <w:tcPr>
            <w:tcW w:w="3000" w:type="dxa"/>
            <w:noWrap/>
            <w:vAlign w:val="center"/>
          </w:tcPr>
          <w:p w14:paraId="25ADF341">
            <w:pPr>
              <w:pStyle w:val="38"/>
              <w:rPr>
                <w:rFonts w:hint="eastAsia"/>
                <w:highlight w:val="none"/>
              </w:rPr>
            </w:pPr>
          </w:p>
        </w:tc>
      </w:tr>
      <w:tr w14:paraId="4F99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EE8CDED">
            <w:pPr>
              <w:pStyle w:val="38"/>
              <w:jc w:val="center"/>
              <w:rPr>
                <w:rFonts w:hint="eastAsia"/>
                <w:highlight w:val="none"/>
              </w:rPr>
            </w:pPr>
            <w:r>
              <w:rPr>
                <w:rFonts w:hint="eastAsia"/>
                <w:highlight w:val="none"/>
              </w:rPr>
              <w:t>48</w:t>
            </w:r>
          </w:p>
        </w:tc>
        <w:tc>
          <w:tcPr>
            <w:tcW w:w="1846" w:type="dxa"/>
            <w:vMerge w:val="restart"/>
            <w:noWrap/>
            <w:vAlign w:val="center"/>
          </w:tcPr>
          <w:p w14:paraId="407BB786">
            <w:pPr>
              <w:pStyle w:val="38"/>
              <w:jc w:val="center"/>
              <w:rPr>
                <w:rFonts w:hint="eastAsia"/>
                <w:highlight w:val="none"/>
              </w:rPr>
            </w:pPr>
            <w:r>
              <w:rPr>
                <w:rFonts w:hint="eastAsia"/>
                <w:highlight w:val="none"/>
              </w:rPr>
              <w:t>智慧管理</w:t>
            </w:r>
          </w:p>
        </w:tc>
        <w:tc>
          <w:tcPr>
            <w:tcW w:w="2980" w:type="dxa"/>
            <w:vAlign w:val="center"/>
          </w:tcPr>
          <w:p w14:paraId="453B83A6">
            <w:pPr>
              <w:pStyle w:val="38"/>
              <w:jc w:val="center"/>
              <w:rPr>
                <w:rFonts w:hint="eastAsia"/>
                <w:highlight w:val="none"/>
              </w:rPr>
            </w:pPr>
            <w:r>
              <w:rPr>
                <w:rFonts w:hint="eastAsia"/>
                <w:highlight w:val="none"/>
              </w:rPr>
              <w:t>病案管理系统</w:t>
            </w:r>
          </w:p>
        </w:tc>
        <w:tc>
          <w:tcPr>
            <w:tcW w:w="3000" w:type="dxa"/>
            <w:noWrap/>
            <w:vAlign w:val="center"/>
          </w:tcPr>
          <w:p w14:paraId="696B3D49">
            <w:pPr>
              <w:pStyle w:val="38"/>
              <w:rPr>
                <w:rFonts w:hint="eastAsia"/>
                <w:highlight w:val="none"/>
              </w:rPr>
            </w:pPr>
          </w:p>
        </w:tc>
      </w:tr>
      <w:tr w14:paraId="1005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B7E1584">
            <w:pPr>
              <w:pStyle w:val="38"/>
              <w:jc w:val="center"/>
              <w:rPr>
                <w:rFonts w:hint="eastAsia"/>
                <w:highlight w:val="none"/>
              </w:rPr>
            </w:pPr>
            <w:r>
              <w:rPr>
                <w:rFonts w:hint="eastAsia"/>
                <w:highlight w:val="none"/>
              </w:rPr>
              <w:t>49</w:t>
            </w:r>
          </w:p>
        </w:tc>
        <w:tc>
          <w:tcPr>
            <w:tcW w:w="1846" w:type="dxa"/>
            <w:vMerge w:val="continue"/>
            <w:vAlign w:val="center"/>
          </w:tcPr>
          <w:p w14:paraId="244481F6">
            <w:pPr>
              <w:pStyle w:val="38"/>
              <w:jc w:val="center"/>
              <w:rPr>
                <w:rFonts w:hint="eastAsia"/>
                <w:highlight w:val="none"/>
              </w:rPr>
            </w:pPr>
          </w:p>
        </w:tc>
        <w:tc>
          <w:tcPr>
            <w:tcW w:w="2980" w:type="dxa"/>
            <w:vAlign w:val="center"/>
          </w:tcPr>
          <w:p w14:paraId="188DA693">
            <w:pPr>
              <w:pStyle w:val="38"/>
              <w:jc w:val="center"/>
              <w:rPr>
                <w:rFonts w:hint="eastAsia"/>
                <w:highlight w:val="none"/>
              </w:rPr>
            </w:pPr>
            <w:r>
              <w:rPr>
                <w:rFonts w:hint="eastAsia"/>
                <w:highlight w:val="none"/>
              </w:rPr>
              <w:t>不良事件上报管理系统</w:t>
            </w:r>
          </w:p>
        </w:tc>
        <w:tc>
          <w:tcPr>
            <w:tcW w:w="3000" w:type="dxa"/>
            <w:noWrap/>
            <w:vAlign w:val="center"/>
          </w:tcPr>
          <w:p w14:paraId="15157AB0">
            <w:pPr>
              <w:pStyle w:val="38"/>
              <w:rPr>
                <w:rFonts w:hint="eastAsia"/>
                <w:highlight w:val="none"/>
              </w:rPr>
            </w:pPr>
          </w:p>
        </w:tc>
      </w:tr>
      <w:tr w14:paraId="03C4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C3A984A">
            <w:pPr>
              <w:pStyle w:val="38"/>
              <w:jc w:val="center"/>
              <w:rPr>
                <w:rFonts w:hint="eastAsia"/>
                <w:highlight w:val="none"/>
              </w:rPr>
            </w:pPr>
            <w:r>
              <w:rPr>
                <w:rFonts w:hint="eastAsia"/>
                <w:highlight w:val="none"/>
              </w:rPr>
              <w:t>50</w:t>
            </w:r>
          </w:p>
        </w:tc>
        <w:tc>
          <w:tcPr>
            <w:tcW w:w="1846" w:type="dxa"/>
            <w:vMerge w:val="continue"/>
            <w:vAlign w:val="center"/>
          </w:tcPr>
          <w:p w14:paraId="55D51C48">
            <w:pPr>
              <w:pStyle w:val="38"/>
              <w:jc w:val="center"/>
              <w:rPr>
                <w:rFonts w:hint="eastAsia"/>
                <w:highlight w:val="none"/>
              </w:rPr>
            </w:pPr>
          </w:p>
        </w:tc>
        <w:tc>
          <w:tcPr>
            <w:tcW w:w="2980" w:type="dxa"/>
            <w:vAlign w:val="center"/>
          </w:tcPr>
          <w:p w14:paraId="5AC26A77">
            <w:pPr>
              <w:pStyle w:val="38"/>
              <w:jc w:val="center"/>
              <w:rPr>
                <w:rFonts w:hint="eastAsia"/>
                <w:highlight w:val="none"/>
              </w:rPr>
            </w:pPr>
            <w:r>
              <w:rPr>
                <w:rFonts w:hint="eastAsia"/>
                <w:highlight w:val="none"/>
              </w:rPr>
              <w:t>医院传染病管理系统</w:t>
            </w:r>
          </w:p>
        </w:tc>
        <w:tc>
          <w:tcPr>
            <w:tcW w:w="3000" w:type="dxa"/>
            <w:noWrap/>
            <w:vAlign w:val="center"/>
          </w:tcPr>
          <w:p w14:paraId="029F7B11">
            <w:pPr>
              <w:pStyle w:val="38"/>
              <w:rPr>
                <w:rFonts w:hint="eastAsia"/>
                <w:highlight w:val="none"/>
              </w:rPr>
            </w:pPr>
          </w:p>
        </w:tc>
      </w:tr>
      <w:tr w14:paraId="6F18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7DD090DE">
            <w:pPr>
              <w:pStyle w:val="38"/>
              <w:jc w:val="center"/>
              <w:rPr>
                <w:rFonts w:hint="eastAsia"/>
                <w:highlight w:val="none"/>
              </w:rPr>
            </w:pPr>
            <w:r>
              <w:rPr>
                <w:rFonts w:hint="eastAsia"/>
                <w:highlight w:val="none"/>
              </w:rPr>
              <w:t>51</w:t>
            </w:r>
          </w:p>
        </w:tc>
        <w:tc>
          <w:tcPr>
            <w:tcW w:w="1846" w:type="dxa"/>
            <w:vMerge w:val="continue"/>
            <w:vAlign w:val="center"/>
          </w:tcPr>
          <w:p w14:paraId="7F15ACC0">
            <w:pPr>
              <w:pStyle w:val="38"/>
              <w:jc w:val="center"/>
              <w:rPr>
                <w:rFonts w:hint="eastAsia"/>
                <w:highlight w:val="none"/>
              </w:rPr>
            </w:pPr>
          </w:p>
        </w:tc>
        <w:tc>
          <w:tcPr>
            <w:tcW w:w="2980" w:type="dxa"/>
            <w:vAlign w:val="center"/>
          </w:tcPr>
          <w:p w14:paraId="47266F9D">
            <w:pPr>
              <w:pStyle w:val="38"/>
              <w:jc w:val="center"/>
              <w:rPr>
                <w:rFonts w:hint="eastAsia"/>
                <w:highlight w:val="none"/>
              </w:rPr>
            </w:pPr>
            <w:r>
              <w:rPr>
                <w:rFonts w:hint="eastAsia"/>
                <w:highlight w:val="none"/>
              </w:rPr>
              <w:t>医院感染综合监控系统</w:t>
            </w:r>
          </w:p>
        </w:tc>
        <w:tc>
          <w:tcPr>
            <w:tcW w:w="3000" w:type="dxa"/>
            <w:noWrap/>
            <w:vAlign w:val="center"/>
          </w:tcPr>
          <w:p w14:paraId="624CD680">
            <w:pPr>
              <w:pStyle w:val="38"/>
              <w:rPr>
                <w:rFonts w:hint="eastAsia"/>
                <w:highlight w:val="none"/>
              </w:rPr>
            </w:pPr>
          </w:p>
        </w:tc>
      </w:tr>
      <w:tr w14:paraId="3B45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CE1C755">
            <w:pPr>
              <w:pStyle w:val="38"/>
              <w:jc w:val="center"/>
              <w:rPr>
                <w:rFonts w:hint="eastAsia"/>
                <w:highlight w:val="none"/>
              </w:rPr>
            </w:pPr>
            <w:r>
              <w:rPr>
                <w:rFonts w:hint="eastAsia"/>
                <w:highlight w:val="none"/>
              </w:rPr>
              <w:t>52</w:t>
            </w:r>
          </w:p>
        </w:tc>
        <w:tc>
          <w:tcPr>
            <w:tcW w:w="1846" w:type="dxa"/>
            <w:vMerge w:val="continue"/>
            <w:vAlign w:val="center"/>
          </w:tcPr>
          <w:p w14:paraId="01E1C5BF">
            <w:pPr>
              <w:pStyle w:val="38"/>
              <w:jc w:val="center"/>
              <w:rPr>
                <w:rFonts w:hint="eastAsia"/>
                <w:highlight w:val="none"/>
              </w:rPr>
            </w:pPr>
          </w:p>
        </w:tc>
        <w:tc>
          <w:tcPr>
            <w:tcW w:w="2980" w:type="dxa"/>
            <w:vAlign w:val="center"/>
          </w:tcPr>
          <w:p w14:paraId="045D63EF">
            <w:pPr>
              <w:pStyle w:val="38"/>
              <w:jc w:val="center"/>
              <w:rPr>
                <w:rFonts w:hint="eastAsia"/>
                <w:highlight w:val="none"/>
              </w:rPr>
            </w:pPr>
            <w:r>
              <w:rPr>
                <w:rFonts w:hint="eastAsia"/>
                <w:highlight w:val="none"/>
              </w:rPr>
              <w:t>医务管理系统</w:t>
            </w:r>
          </w:p>
        </w:tc>
        <w:tc>
          <w:tcPr>
            <w:tcW w:w="3000" w:type="dxa"/>
            <w:noWrap/>
            <w:vAlign w:val="center"/>
          </w:tcPr>
          <w:p w14:paraId="48F10CAA">
            <w:pPr>
              <w:pStyle w:val="38"/>
              <w:rPr>
                <w:rFonts w:hint="eastAsia"/>
                <w:highlight w:val="none"/>
              </w:rPr>
            </w:pPr>
          </w:p>
        </w:tc>
      </w:tr>
      <w:tr w14:paraId="3201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CFE7EC7">
            <w:pPr>
              <w:pStyle w:val="38"/>
              <w:jc w:val="center"/>
              <w:rPr>
                <w:rFonts w:hint="eastAsia"/>
                <w:highlight w:val="none"/>
              </w:rPr>
            </w:pPr>
            <w:r>
              <w:rPr>
                <w:rFonts w:hint="eastAsia"/>
                <w:highlight w:val="none"/>
              </w:rPr>
              <w:t>53</w:t>
            </w:r>
          </w:p>
        </w:tc>
        <w:tc>
          <w:tcPr>
            <w:tcW w:w="1846" w:type="dxa"/>
            <w:vMerge w:val="continue"/>
            <w:vAlign w:val="center"/>
          </w:tcPr>
          <w:p w14:paraId="2DAB57B3">
            <w:pPr>
              <w:pStyle w:val="38"/>
              <w:jc w:val="center"/>
              <w:rPr>
                <w:rFonts w:hint="eastAsia"/>
                <w:highlight w:val="none"/>
              </w:rPr>
            </w:pPr>
          </w:p>
        </w:tc>
        <w:tc>
          <w:tcPr>
            <w:tcW w:w="2980" w:type="dxa"/>
            <w:vAlign w:val="center"/>
          </w:tcPr>
          <w:p w14:paraId="230F9FE1">
            <w:pPr>
              <w:pStyle w:val="38"/>
              <w:jc w:val="center"/>
              <w:rPr>
                <w:rFonts w:hint="eastAsia"/>
                <w:highlight w:val="none"/>
              </w:rPr>
            </w:pPr>
            <w:r>
              <w:rPr>
                <w:rFonts w:hint="eastAsia"/>
                <w:highlight w:val="none"/>
              </w:rPr>
              <w:t>临床危急值管理</w:t>
            </w:r>
          </w:p>
        </w:tc>
        <w:tc>
          <w:tcPr>
            <w:tcW w:w="3000" w:type="dxa"/>
            <w:noWrap/>
            <w:vAlign w:val="center"/>
          </w:tcPr>
          <w:p w14:paraId="13E86FA1">
            <w:pPr>
              <w:pStyle w:val="38"/>
              <w:rPr>
                <w:rFonts w:hint="eastAsia"/>
                <w:highlight w:val="none"/>
              </w:rPr>
            </w:pPr>
          </w:p>
        </w:tc>
      </w:tr>
      <w:tr w14:paraId="7DF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9F9D607">
            <w:pPr>
              <w:pStyle w:val="38"/>
              <w:jc w:val="center"/>
              <w:rPr>
                <w:rFonts w:hint="eastAsia"/>
                <w:highlight w:val="none"/>
              </w:rPr>
            </w:pPr>
            <w:r>
              <w:rPr>
                <w:rFonts w:hint="eastAsia"/>
                <w:highlight w:val="none"/>
              </w:rPr>
              <w:t>54</w:t>
            </w:r>
          </w:p>
        </w:tc>
        <w:tc>
          <w:tcPr>
            <w:tcW w:w="1846" w:type="dxa"/>
            <w:vMerge w:val="continue"/>
            <w:vAlign w:val="center"/>
          </w:tcPr>
          <w:p w14:paraId="456DC2DF">
            <w:pPr>
              <w:pStyle w:val="38"/>
              <w:jc w:val="center"/>
              <w:rPr>
                <w:rFonts w:hint="eastAsia"/>
                <w:highlight w:val="none"/>
              </w:rPr>
            </w:pPr>
          </w:p>
        </w:tc>
        <w:tc>
          <w:tcPr>
            <w:tcW w:w="2980" w:type="dxa"/>
            <w:vMerge w:val="restart"/>
            <w:noWrap/>
            <w:vAlign w:val="center"/>
          </w:tcPr>
          <w:p w14:paraId="1B000227">
            <w:pPr>
              <w:pStyle w:val="38"/>
              <w:jc w:val="center"/>
              <w:rPr>
                <w:rFonts w:hint="eastAsia"/>
                <w:highlight w:val="none"/>
              </w:rPr>
            </w:pPr>
            <w:r>
              <w:rPr>
                <w:rFonts w:hint="eastAsia"/>
                <w:highlight w:val="none"/>
              </w:rPr>
              <w:t>闭环管理</w:t>
            </w:r>
          </w:p>
        </w:tc>
        <w:tc>
          <w:tcPr>
            <w:tcW w:w="3000" w:type="dxa"/>
            <w:noWrap/>
            <w:vAlign w:val="center"/>
          </w:tcPr>
          <w:p w14:paraId="147B591E">
            <w:pPr>
              <w:pStyle w:val="38"/>
              <w:rPr>
                <w:rFonts w:hint="eastAsia"/>
                <w:highlight w:val="none"/>
              </w:rPr>
            </w:pPr>
            <w:r>
              <w:rPr>
                <w:rFonts w:hint="eastAsia"/>
                <w:highlight w:val="none"/>
              </w:rPr>
              <w:t>门诊检查闭环</w:t>
            </w:r>
          </w:p>
        </w:tc>
      </w:tr>
      <w:tr w14:paraId="388B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70421B5">
            <w:pPr>
              <w:pStyle w:val="38"/>
              <w:jc w:val="center"/>
              <w:rPr>
                <w:rFonts w:hint="eastAsia"/>
                <w:highlight w:val="none"/>
              </w:rPr>
            </w:pPr>
            <w:r>
              <w:rPr>
                <w:rFonts w:hint="eastAsia"/>
                <w:highlight w:val="none"/>
              </w:rPr>
              <w:t>55</w:t>
            </w:r>
          </w:p>
        </w:tc>
        <w:tc>
          <w:tcPr>
            <w:tcW w:w="1846" w:type="dxa"/>
            <w:vMerge w:val="continue"/>
            <w:vAlign w:val="center"/>
          </w:tcPr>
          <w:p w14:paraId="0FAABD1C">
            <w:pPr>
              <w:pStyle w:val="38"/>
              <w:jc w:val="center"/>
              <w:rPr>
                <w:rFonts w:hint="eastAsia"/>
                <w:highlight w:val="none"/>
              </w:rPr>
            </w:pPr>
          </w:p>
        </w:tc>
        <w:tc>
          <w:tcPr>
            <w:tcW w:w="2980" w:type="dxa"/>
            <w:vMerge w:val="continue"/>
            <w:vAlign w:val="center"/>
          </w:tcPr>
          <w:p w14:paraId="3D2EA8E8">
            <w:pPr>
              <w:pStyle w:val="38"/>
              <w:jc w:val="center"/>
              <w:rPr>
                <w:rFonts w:hint="eastAsia"/>
                <w:highlight w:val="none"/>
              </w:rPr>
            </w:pPr>
          </w:p>
        </w:tc>
        <w:tc>
          <w:tcPr>
            <w:tcW w:w="3000" w:type="dxa"/>
            <w:noWrap/>
            <w:vAlign w:val="center"/>
          </w:tcPr>
          <w:p w14:paraId="2EAB0B97">
            <w:pPr>
              <w:pStyle w:val="38"/>
              <w:rPr>
                <w:rFonts w:hint="eastAsia"/>
                <w:highlight w:val="none"/>
              </w:rPr>
            </w:pPr>
            <w:r>
              <w:rPr>
                <w:rFonts w:hint="eastAsia"/>
                <w:highlight w:val="none"/>
              </w:rPr>
              <w:t>门诊检验闭环</w:t>
            </w:r>
          </w:p>
        </w:tc>
      </w:tr>
      <w:tr w14:paraId="1F53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093400E">
            <w:pPr>
              <w:pStyle w:val="38"/>
              <w:jc w:val="center"/>
              <w:rPr>
                <w:rFonts w:hint="eastAsia"/>
                <w:highlight w:val="none"/>
              </w:rPr>
            </w:pPr>
            <w:r>
              <w:rPr>
                <w:rFonts w:hint="eastAsia"/>
                <w:highlight w:val="none"/>
              </w:rPr>
              <w:t>56</w:t>
            </w:r>
          </w:p>
        </w:tc>
        <w:tc>
          <w:tcPr>
            <w:tcW w:w="1846" w:type="dxa"/>
            <w:vMerge w:val="continue"/>
            <w:vAlign w:val="center"/>
          </w:tcPr>
          <w:p w14:paraId="29F1EB45">
            <w:pPr>
              <w:pStyle w:val="38"/>
              <w:jc w:val="center"/>
              <w:rPr>
                <w:rFonts w:hint="eastAsia"/>
                <w:highlight w:val="none"/>
              </w:rPr>
            </w:pPr>
          </w:p>
        </w:tc>
        <w:tc>
          <w:tcPr>
            <w:tcW w:w="2980" w:type="dxa"/>
            <w:vMerge w:val="continue"/>
            <w:vAlign w:val="center"/>
          </w:tcPr>
          <w:p w14:paraId="5CFC286C">
            <w:pPr>
              <w:pStyle w:val="38"/>
              <w:jc w:val="center"/>
              <w:rPr>
                <w:rFonts w:hint="eastAsia"/>
                <w:highlight w:val="none"/>
              </w:rPr>
            </w:pPr>
          </w:p>
        </w:tc>
        <w:tc>
          <w:tcPr>
            <w:tcW w:w="3000" w:type="dxa"/>
            <w:noWrap/>
            <w:vAlign w:val="center"/>
          </w:tcPr>
          <w:p w14:paraId="2AC49688">
            <w:pPr>
              <w:pStyle w:val="38"/>
              <w:rPr>
                <w:rFonts w:hint="eastAsia"/>
                <w:highlight w:val="none"/>
              </w:rPr>
            </w:pPr>
            <w:r>
              <w:rPr>
                <w:rFonts w:hint="eastAsia"/>
                <w:highlight w:val="none"/>
              </w:rPr>
              <w:t>住院检查闭环</w:t>
            </w:r>
          </w:p>
        </w:tc>
      </w:tr>
      <w:tr w14:paraId="039F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846FDE6">
            <w:pPr>
              <w:pStyle w:val="38"/>
              <w:jc w:val="center"/>
              <w:rPr>
                <w:rFonts w:hint="eastAsia"/>
                <w:highlight w:val="none"/>
              </w:rPr>
            </w:pPr>
            <w:r>
              <w:rPr>
                <w:rFonts w:hint="eastAsia"/>
                <w:highlight w:val="none"/>
              </w:rPr>
              <w:t>57</w:t>
            </w:r>
          </w:p>
        </w:tc>
        <w:tc>
          <w:tcPr>
            <w:tcW w:w="1846" w:type="dxa"/>
            <w:vMerge w:val="continue"/>
            <w:vAlign w:val="center"/>
          </w:tcPr>
          <w:p w14:paraId="0F651AA3">
            <w:pPr>
              <w:pStyle w:val="38"/>
              <w:jc w:val="center"/>
              <w:rPr>
                <w:rFonts w:hint="eastAsia"/>
                <w:highlight w:val="none"/>
              </w:rPr>
            </w:pPr>
          </w:p>
        </w:tc>
        <w:tc>
          <w:tcPr>
            <w:tcW w:w="2980" w:type="dxa"/>
            <w:vMerge w:val="continue"/>
            <w:vAlign w:val="center"/>
          </w:tcPr>
          <w:p w14:paraId="12B2AA58">
            <w:pPr>
              <w:pStyle w:val="38"/>
              <w:jc w:val="center"/>
              <w:rPr>
                <w:rFonts w:hint="eastAsia"/>
                <w:highlight w:val="none"/>
              </w:rPr>
            </w:pPr>
          </w:p>
        </w:tc>
        <w:tc>
          <w:tcPr>
            <w:tcW w:w="3000" w:type="dxa"/>
            <w:noWrap/>
            <w:vAlign w:val="center"/>
          </w:tcPr>
          <w:p w14:paraId="4E721FDE">
            <w:pPr>
              <w:pStyle w:val="38"/>
              <w:rPr>
                <w:rFonts w:hint="eastAsia"/>
                <w:highlight w:val="none"/>
              </w:rPr>
            </w:pPr>
            <w:r>
              <w:rPr>
                <w:rFonts w:hint="eastAsia"/>
                <w:highlight w:val="none"/>
              </w:rPr>
              <w:t>住院检验闭环</w:t>
            </w:r>
          </w:p>
        </w:tc>
      </w:tr>
      <w:tr w14:paraId="051B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6231F89">
            <w:pPr>
              <w:pStyle w:val="38"/>
              <w:jc w:val="center"/>
              <w:rPr>
                <w:rFonts w:hint="eastAsia"/>
                <w:highlight w:val="none"/>
              </w:rPr>
            </w:pPr>
            <w:r>
              <w:rPr>
                <w:rFonts w:hint="eastAsia"/>
                <w:highlight w:val="none"/>
              </w:rPr>
              <w:t>58</w:t>
            </w:r>
          </w:p>
        </w:tc>
        <w:tc>
          <w:tcPr>
            <w:tcW w:w="1846" w:type="dxa"/>
            <w:vMerge w:val="continue"/>
            <w:vAlign w:val="center"/>
          </w:tcPr>
          <w:p w14:paraId="30ED34B0">
            <w:pPr>
              <w:pStyle w:val="38"/>
              <w:jc w:val="center"/>
              <w:rPr>
                <w:rFonts w:hint="eastAsia"/>
                <w:highlight w:val="none"/>
              </w:rPr>
            </w:pPr>
          </w:p>
        </w:tc>
        <w:tc>
          <w:tcPr>
            <w:tcW w:w="2980" w:type="dxa"/>
            <w:vMerge w:val="continue"/>
            <w:vAlign w:val="center"/>
          </w:tcPr>
          <w:p w14:paraId="131E0750">
            <w:pPr>
              <w:pStyle w:val="38"/>
              <w:jc w:val="center"/>
              <w:rPr>
                <w:rFonts w:hint="eastAsia"/>
                <w:highlight w:val="none"/>
              </w:rPr>
            </w:pPr>
          </w:p>
        </w:tc>
        <w:tc>
          <w:tcPr>
            <w:tcW w:w="3000" w:type="dxa"/>
            <w:noWrap/>
            <w:vAlign w:val="center"/>
          </w:tcPr>
          <w:p w14:paraId="451D2C27">
            <w:pPr>
              <w:pStyle w:val="38"/>
              <w:rPr>
                <w:rFonts w:hint="eastAsia"/>
                <w:highlight w:val="none"/>
              </w:rPr>
            </w:pPr>
            <w:r>
              <w:rPr>
                <w:rFonts w:hint="eastAsia"/>
                <w:highlight w:val="none"/>
              </w:rPr>
              <w:t>药品闭环</w:t>
            </w:r>
          </w:p>
        </w:tc>
      </w:tr>
      <w:tr w14:paraId="19FE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3279E5D">
            <w:pPr>
              <w:pStyle w:val="38"/>
              <w:jc w:val="center"/>
              <w:rPr>
                <w:rFonts w:hint="eastAsia"/>
                <w:highlight w:val="none"/>
              </w:rPr>
            </w:pPr>
            <w:r>
              <w:rPr>
                <w:rFonts w:hint="eastAsia"/>
                <w:highlight w:val="none"/>
              </w:rPr>
              <w:t>59</w:t>
            </w:r>
          </w:p>
        </w:tc>
        <w:tc>
          <w:tcPr>
            <w:tcW w:w="1846" w:type="dxa"/>
            <w:vMerge w:val="continue"/>
            <w:vAlign w:val="center"/>
          </w:tcPr>
          <w:p w14:paraId="136B281A">
            <w:pPr>
              <w:pStyle w:val="38"/>
              <w:jc w:val="center"/>
              <w:rPr>
                <w:rFonts w:hint="eastAsia"/>
                <w:highlight w:val="none"/>
              </w:rPr>
            </w:pPr>
          </w:p>
        </w:tc>
        <w:tc>
          <w:tcPr>
            <w:tcW w:w="2980" w:type="dxa"/>
            <w:vMerge w:val="continue"/>
            <w:vAlign w:val="center"/>
          </w:tcPr>
          <w:p w14:paraId="09E3E070">
            <w:pPr>
              <w:pStyle w:val="38"/>
              <w:jc w:val="center"/>
              <w:rPr>
                <w:rFonts w:hint="eastAsia"/>
                <w:highlight w:val="none"/>
              </w:rPr>
            </w:pPr>
          </w:p>
        </w:tc>
        <w:tc>
          <w:tcPr>
            <w:tcW w:w="3000" w:type="dxa"/>
            <w:noWrap/>
            <w:vAlign w:val="center"/>
          </w:tcPr>
          <w:p w14:paraId="0BB88413">
            <w:pPr>
              <w:pStyle w:val="38"/>
              <w:rPr>
                <w:rFonts w:hint="eastAsia"/>
                <w:highlight w:val="none"/>
              </w:rPr>
            </w:pPr>
            <w:r>
              <w:rPr>
                <w:rFonts w:hint="eastAsia"/>
                <w:highlight w:val="none"/>
              </w:rPr>
              <w:t>输血闭环</w:t>
            </w:r>
          </w:p>
        </w:tc>
      </w:tr>
      <w:tr w14:paraId="7C19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F5CFAB7">
            <w:pPr>
              <w:pStyle w:val="38"/>
              <w:jc w:val="center"/>
              <w:rPr>
                <w:rFonts w:hint="eastAsia"/>
                <w:highlight w:val="none"/>
              </w:rPr>
            </w:pPr>
            <w:r>
              <w:rPr>
                <w:rFonts w:hint="eastAsia"/>
                <w:highlight w:val="none"/>
              </w:rPr>
              <w:t>60</w:t>
            </w:r>
          </w:p>
        </w:tc>
        <w:tc>
          <w:tcPr>
            <w:tcW w:w="1846" w:type="dxa"/>
            <w:vMerge w:val="continue"/>
            <w:vAlign w:val="center"/>
          </w:tcPr>
          <w:p w14:paraId="49F4BFAA">
            <w:pPr>
              <w:pStyle w:val="38"/>
              <w:jc w:val="center"/>
              <w:rPr>
                <w:rFonts w:hint="eastAsia"/>
                <w:highlight w:val="none"/>
              </w:rPr>
            </w:pPr>
          </w:p>
        </w:tc>
        <w:tc>
          <w:tcPr>
            <w:tcW w:w="2980" w:type="dxa"/>
            <w:vMerge w:val="continue"/>
            <w:vAlign w:val="center"/>
          </w:tcPr>
          <w:p w14:paraId="37911597">
            <w:pPr>
              <w:pStyle w:val="38"/>
              <w:jc w:val="center"/>
              <w:rPr>
                <w:rFonts w:hint="eastAsia"/>
                <w:highlight w:val="none"/>
              </w:rPr>
            </w:pPr>
          </w:p>
        </w:tc>
        <w:tc>
          <w:tcPr>
            <w:tcW w:w="3000" w:type="dxa"/>
            <w:noWrap/>
            <w:vAlign w:val="center"/>
          </w:tcPr>
          <w:p w14:paraId="29882504">
            <w:pPr>
              <w:pStyle w:val="38"/>
              <w:rPr>
                <w:rFonts w:hint="eastAsia"/>
                <w:highlight w:val="none"/>
              </w:rPr>
            </w:pPr>
            <w:r>
              <w:rPr>
                <w:rFonts w:hint="eastAsia"/>
                <w:highlight w:val="none"/>
              </w:rPr>
              <w:t>手术闭环</w:t>
            </w:r>
          </w:p>
        </w:tc>
      </w:tr>
      <w:tr w14:paraId="43D8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ED46D1C">
            <w:pPr>
              <w:pStyle w:val="38"/>
              <w:jc w:val="center"/>
              <w:rPr>
                <w:rFonts w:hint="eastAsia"/>
                <w:highlight w:val="none"/>
              </w:rPr>
            </w:pPr>
            <w:r>
              <w:rPr>
                <w:rFonts w:hint="eastAsia"/>
                <w:highlight w:val="none"/>
              </w:rPr>
              <w:t>61</w:t>
            </w:r>
          </w:p>
        </w:tc>
        <w:tc>
          <w:tcPr>
            <w:tcW w:w="1846" w:type="dxa"/>
            <w:vMerge w:val="continue"/>
            <w:vAlign w:val="center"/>
          </w:tcPr>
          <w:p w14:paraId="43D86592">
            <w:pPr>
              <w:pStyle w:val="38"/>
              <w:jc w:val="center"/>
              <w:rPr>
                <w:rFonts w:hint="eastAsia"/>
                <w:highlight w:val="none"/>
              </w:rPr>
            </w:pPr>
          </w:p>
        </w:tc>
        <w:tc>
          <w:tcPr>
            <w:tcW w:w="2980" w:type="dxa"/>
            <w:vMerge w:val="continue"/>
            <w:vAlign w:val="center"/>
          </w:tcPr>
          <w:p w14:paraId="39907C08">
            <w:pPr>
              <w:pStyle w:val="38"/>
              <w:jc w:val="center"/>
              <w:rPr>
                <w:rFonts w:hint="eastAsia"/>
                <w:highlight w:val="none"/>
              </w:rPr>
            </w:pPr>
          </w:p>
        </w:tc>
        <w:tc>
          <w:tcPr>
            <w:tcW w:w="3000" w:type="dxa"/>
            <w:noWrap/>
            <w:vAlign w:val="center"/>
          </w:tcPr>
          <w:p w14:paraId="7026CE38">
            <w:pPr>
              <w:pStyle w:val="38"/>
              <w:rPr>
                <w:rFonts w:hint="eastAsia"/>
                <w:highlight w:val="none"/>
              </w:rPr>
            </w:pPr>
            <w:r>
              <w:rPr>
                <w:rFonts w:hint="eastAsia"/>
                <w:highlight w:val="none"/>
              </w:rPr>
              <w:t>危急值闭环</w:t>
            </w:r>
          </w:p>
        </w:tc>
      </w:tr>
      <w:tr w14:paraId="1764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BC68DA7">
            <w:pPr>
              <w:pStyle w:val="38"/>
              <w:jc w:val="center"/>
              <w:rPr>
                <w:rFonts w:hint="eastAsia"/>
                <w:highlight w:val="none"/>
              </w:rPr>
            </w:pPr>
            <w:r>
              <w:rPr>
                <w:rFonts w:hint="eastAsia"/>
                <w:highlight w:val="none"/>
              </w:rPr>
              <w:t>62</w:t>
            </w:r>
          </w:p>
        </w:tc>
        <w:tc>
          <w:tcPr>
            <w:tcW w:w="1846" w:type="dxa"/>
            <w:vMerge w:val="continue"/>
            <w:vAlign w:val="center"/>
          </w:tcPr>
          <w:p w14:paraId="4E474872">
            <w:pPr>
              <w:pStyle w:val="38"/>
              <w:jc w:val="center"/>
              <w:rPr>
                <w:rFonts w:hint="eastAsia"/>
                <w:highlight w:val="none"/>
              </w:rPr>
            </w:pPr>
          </w:p>
        </w:tc>
        <w:tc>
          <w:tcPr>
            <w:tcW w:w="2980" w:type="dxa"/>
            <w:noWrap/>
            <w:vAlign w:val="center"/>
          </w:tcPr>
          <w:p w14:paraId="7ED467A3">
            <w:pPr>
              <w:pStyle w:val="38"/>
              <w:jc w:val="center"/>
              <w:rPr>
                <w:rFonts w:hint="eastAsia"/>
                <w:highlight w:val="none"/>
              </w:rPr>
            </w:pPr>
            <w:r>
              <w:rPr>
                <w:rFonts w:hint="eastAsia"/>
                <w:highlight w:val="none"/>
              </w:rPr>
              <w:t>公立医院绩效考核系统</w:t>
            </w:r>
          </w:p>
        </w:tc>
        <w:tc>
          <w:tcPr>
            <w:tcW w:w="3000" w:type="dxa"/>
            <w:noWrap/>
            <w:vAlign w:val="center"/>
          </w:tcPr>
          <w:p w14:paraId="64E636FE">
            <w:pPr>
              <w:pStyle w:val="38"/>
              <w:rPr>
                <w:rFonts w:hint="eastAsia"/>
                <w:highlight w:val="none"/>
              </w:rPr>
            </w:pPr>
          </w:p>
        </w:tc>
      </w:tr>
      <w:tr w14:paraId="60CA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BB5998F">
            <w:pPr>
              <w:pStyle w:val="38"/>
              <w:jc w:val="center"/>
              <w:rPr>
                <w:rFonts w:hint="eastAsia"/>
                <w:highlight w:val="none"/>
              </w:rPr>
            </w:pPr>
            <w:r>
              <w:rPr>
                <w:rFonts w:hint="eastAsia"/>
                <w:highlight w:val="none"/>
              </w:rPr>
              <w:t>63</w:t>
            </w:r>
          </w:p>
        </w:tc>
        <w:tc>
          <w:tcPr>
            <w:tcW w:w="1846" w:type="dxa"/>
            <w:vMerge w:val="continue"/>
            <w:vAlign w:val="center"/>
          </w:tcPr>
          <w:p w14:paraId="1412A9E8">
            <w:pPr>
              <w:pStyle w:val="38"/>
              <w:jc w:val="center"/>
              <w:rPr>
                <w:rFonts w:hint="eastAsia"/>
                <w:highlight w:val="none"/>
              </w:rPr>
            </w:pPr>
          </w:p>
        </w:tc>
        <w:tc>
          <w:tcPr>
            <w:tcW w:w="2980" w:type="dxa"/>
            <w:noWrap/>
            <w:vAlign w:val="center"/>
          </w:tcPr>
          <w:p w14:paraId="1B842214">
            <w:pPr>
              <w:pStyle w:val="38"/>
              <w:jc w:val="center"/>
              <w:rPr>
                <w:rFonts w:hint="eastAsia"/>
                <w:highlight w:val="none"/>
              </w:rPr>
            </w:pPr>
            <w:r>
              <w:rPr>
                <w:rFonts w:hint="eastAsia"/>
                <w:highlight w:val="none"/>
              </w:rPr>
              <w:t>无纸化病案归档系统</w:t>
            </w:r>
          </w:p>
        </w:tc>
        <w:tc>
          <w:tcPr>
            <w:tcW w:w="3000" w:type="dxa"/>
            <w:noWrap/>
            <w:vAlign w:val="center"/>
          </w:tcPr>
          <w:p w14:paraId="1AEDDD7D">
            <w:pPr>
              <w:pStyle w:val="38"/>
              <w:rPr>
                <w:rFonts w:hint="eastAsia"/>
                <w:highlight w:val="none"/>
              </w:rPr>
            </w:pPr>
          </w:p>
        </w:tc>
      </w:tr>
      <w:tr w14:paraId="370D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8CB5D70">
            <w:pPr>
              <w:pStyle w:val="38"/>
              <w:jc w:val="center"/>
              <w:rPr>
                <w:rFonts w:hint="eastAsia"/>
                <w:highlight w:val="none"/>
              </w:rPr>
            </w:pPr>
            <w:r>
              <w:rPr>
                <w:rFonts w:hint="eastAsia"/>
                <w:highlight w:val="none"/>
              </w:rPr>
              <w:t>64</w:t>
            </w:r>
          </w:p>
        </w:tc>
        <w:tc>
          <w:tcPr>
            <w:tcW w:w="1846" w:type="dxa"/>
            <w:vMerge w:val="continue"/>
            <w:vAlign w:val="center"/>
          </w:tcPr>
          <w:p w14:paraId="35DBC3FB">
            <w:pPr>
              <w:pStyle w:val="38"/>
              <w:jc w:val="center"/>
              <w:rPr>
                <w:rFonts w:hint="eastAsia"/>
                <w:highlight w:val="none"/>
              </w:rPr>
            </w:pPr>
          </w:p>
        </w:tc>
        <w:tc>
          <w:tcPr>
            <w:tcW w:w="2980" w:type="dxa"/>
            <w:noWrap/>
            <w:vAlign w:val="center"/>
          </w:tcPr>
          <w:p w14:paraId="7117BE18">
            <w:pPr>
              <w:pStyle w:val="38"/>
              <w:jc w:val="center"/>
              <w:rPr>
                <w:rFonts w:hint="eastAsia"/>
                <w:highlight w:val="none"/>
              </w:rPr>
            </w:pPr>
            <w:r>
              <w:rPr>
                <w:rFonts w:hint="eastAsia"/>
                <w:highlight w:val="none"/>
              </w:rPr>
              <w:t>历史病案翻拍系统</w:t>
            </w:r>
          </w:p>
        </w:tc>
        <w:tc>
          <w:tcPr>
            <w:tcW w:w="3000" w:type="dxa"/>
            <w:noWrap/>
            <w:vAlign w:val="center"/>
          </w:tcPr>
          <w:p w14:paraId="3BD8AAFE">
            <w:pPr>
              <w:pStyle w:val="38"/>
              <w:rPr>
                <w:rFonts w:hint="eastAsia"/>
                <w:highlight w:val="none"/>
              </w:rPr>
            </w:pPr>
          </w:p>
        </w:tc>
      </w:tr>
      <w:tr w14:paraId="5940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47EDCD6">
            <w:pPr>
              <w:pStyle w:val="38"/>
              <w:jc w:val="center"/>
              <w:rPr>
                <w:rFonts w:hint="eastAsia"/>
                <w:highlight w:val="none"/>
              </w:rPr>
            </w:pPr>
            <w:r>
              <w:rPr>
                <w:rFonts w:hint="eastAsia"/>
                <w:highlight w:val="none"/>
              </w:rPr>
              <w:t>65</w:t>
            </w:r>
          </w:p>
        </w:tc>
        <w:tc>
          <w:tcPr>
            <w:tcW w:w="1846" w:type="dxa"/>
            <w:vMerge w:val="continue"/>
            <w:vAlign w:val="center"/>
          </w:tcPr>
          <w:p w14:paraId="66BBF78D">
            <w:pPr>
              <w:pStyle w:val="38"/>
              <w:jc w:val="center"/>
              <w:rPr>
                <w:rFonts w:hint="eastAsia"/>
                <w:highlight w:val="none"/>
              </w:rPr>
            </w:pPr>
          </w:p>
        </w:tc>
        <w:tc>
          <w:tcPr>
            <w:tcW w:w="2980" w:type="dxa"/>
            <w:vAlign w:val="center"/>
          </w:tcPr>
          <w:p w14:paraId="5622506F">
            <w:pPr>
              <w:pStyle w:val="38"/>
              <w:jc w:val="center"/>
              <w:rPr>
                <w:rFonts w:hint="eastAsia"/>
                <w:highlight w:val="none"/>
              </w:rPr>
            </w:pPr>
            <w:r>
              <w:rPr>
                <w:rFonts w:hint="eastAsia"/>
                <w:highlight w:val="none"/>
              </w:rPr>
              <w:t>数字签名（CA）系统</w:t>
            </w:r>
          </w:p>
        </w:tc>
        <w:tc>
          <w:tcPr>
            <w:tcW w:w="3000" w:type="dxa"/>
            <w:noWrap/>
            <w:vAlign w:val="center"/>
          </w:tcPr>
          <w:p w14:paraId="4808C48D">
            <w:pPr>
              <w:pStyle w:val="38"/>
              <w:rPr>
                <w:rFonts w:hint="eastAsia"/>
                <w:highlight w:val="none"/>
              </w:rPr>
            </w:pPr>
          </w:p>
        </w:tc>
      </w:tr>
      <w:tr w14:paraId="5E00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6958084">
            <w:pPr>
              <w:pStyle w:val="38"/>
              <w:jc w:val="center"/>
              <w:rPr>
                <w:rFonts w:hint="eastAsia"/>
                <w:highlight w:val="none"/>
              </w:rPr>
            </w:pPr>
            <w:r>
              <w:rPr>
                <w:rFonts w:hint="eastAsia"/>
                <w:highlight w:val="none"/>
              </w:rPr>
              <w:t>66</w:t>
            </w:r>
          </w:p>
        </w:tc>
        <w:tc>
          <w:tcPr>
            <w:tcW w:w="1846" w:type="dxa"/>
            <w:vMerge w:val="continue"/>
            <w:vAlign w:val="center"/>
          </w:tcPr>
          <w:p w14:paraId="7E5807E1">
            <w:pPr>
              <w:pStyle w:val="38"/>
              <w:jc w:val="center"/>
              <w:rPr>
                <w:rFonts w:hint="eastAsia"/>
                <w:highlight w:val="none"/>
              </w:rPr>
            </w:pPr>
          </w:p>
        </w:tc>
        <w:tc>
          <w:tcPr>
            <w:tcW w:w="2980" w:type="dxa"/>
            <w:noWrap/>
            <w:vAlign w:val="center"/>
          </w:tcPr>
          <w:p w14:paraId="2458FFE0">
            <w:pPr>
              <w:pStyle w:val="38"/>
              <w:jc w:val="center"/>
              <w:rPr>
                <w:rFonts w:hint="eastAsia"/>
                <w:highlight w:val="none"/>
              </w:rPr>
            </w:pPr>
            <w:r>
              <w:rPr>
                <w:rFonts w:hint="eastAsia"/>
                <w:highlight w:val="none"/>
              </w:rPr>
              <w:t>门诊应急系统</w:t>
            </w:r>
          </w:p>
        </w:tc>
        <w:tc>
          <w:tcPr>
            <w:tcW w:w="3000" w:type="dxa"/>
            <w:noWrap/>
            <w:vAlign w:val="center"/>
          </w:tcPr>
          <w:p w14:paraId="50387C4C">
            <w:pPr>
              <w:pStyle w:val="38"/>
              <w:rPr>
                <w:rFonts w:hint="eastAsia"/>
                <w:highlight w:val="none"/>
              </w:rPr>
            </w:pPr>
          </w:p>
        </w:tc>
      </w:tr>
      <w:tr w14:paraId="6F63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1B6E5E9">
            <w:pPr>
              <w:pStyle w:val="38"/>
              <w:jc w:val="center"/>
              <w:rPr>
                <w:rFonts w:hint="eastAsia"/>
                <w:highlight w:val="none"/>
              </w:rPr>
            </w:pPr>
            <w:r>
              <w:rPr>
                <w:rFonts w:hint="eastAsia"/>
                <w:highlight w:val="none"/>
              </w:rPr>
              <w:t>67</w:t>
            </w:r>
          </w:p>
        </w:tc>
        <w:tc>
          <w:tcPr>
            <w:tcW w:w="1846" w:type="dxa"/>
            <w:vMerge w:val="continue"/>
            <w:vAlign w:val="center"/>
          </w:tcPr>
          <w:p w14:paraId="5350D72D">
            <w:pPr>
              <w:pStyle w:val="38"/>
              <w:jc w:val="center"/>
              <w:rPr>
                <w:rFonts w:hint="eastAsia"/>
                <w:highlight w:val="none"/>
              </w:rPr>
            </w:pPr>
          </w:p>
        </w:tc>
        <w:tc>
          <w:tcPr>
            <w:tcW w:w="2980" w:type="dxa"/>
            <w:vAlign w:val="center"/>
          </w:tcPr>
          <w:p w14:paraId="2C818C55">
            <w:pPr>
              <w:pStyle w:val="38"/>
              <w:jc w:val="center"/>
              <w:rPr>
                <w:rFonts w:hint="eastAsia"/>
                <w:highlight w:val="none"/>
              </w:rPr>
            </w:pPr>
            <w:r>
              <w:rPr>
                <w:rFonts w:hint="eastAsia"/>
                <w:highlight w:val="none"/>
              </w:rPr>
              <w:t>科研管理系统</w:t>
            </w:r>
          </w:p>
        </w:tc>
        <w:tc>
          <w:tcPr>
            <w:tcW w:w="3000" w:type="dxa"/>
            <w:noWrap/>
            <w:vAlign w:val="center"/>
          </w:tcPr>
          <w:p w14:paraId="5792A45F">
            <w:pPr>
              <w:pStyle w:val="38"/>
              <w:rPr>
                <w:rFonts w:hint="eastAsia"/>
                <w:highlight w:val="none"/>
              </w:rPr>
            </w:pPr>
          </w:p>
        </w:tc>
      </w:tr>
      <w:tr w14:paraId="7A22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0E64524">
            <w:pPr>
              <w:pStyle w:val="38"/>
              <w:jc w:val="center"/>
              <w:rPr>
                <w:rFonts w:hint="eastAsia"/>
                <w:highlight w:val="none"/>
              </w:rPr>
            </w:pPr>
            <w:r>
              <w:rPr>
                <w:rFonts w:hint="eastAsia"/>
                <w:highlight w:val="none"/>
              </w:rPr>
              <w:t>68</w:t>
            </w:r>
          </w:p>
        </w:tc>
        <w:tc>
          <w:tcPr>
            <w:tcW w:w="1846" w:type="dxa"/>
            <w:vMerge w:val="restart"/>
            <w:noWrap/>
            <w:vAlign w:val="center"/>
          </w:tcPr>
          <w:p w14:paraId="372C3092">
            <w:pPr>
              <w:pStyle w:val="38"/>
              <w:jc w:val="center"/>
              <w:rPr>
                <w:rFonts w:hint="eastAsia"/>
                <w:highlight w:val="none"/>
              </w:rPr>
            </w:pPr>
            <w:r>
              <w:rPr>
                <w:rFonts w:hint="eastAsia"/>
                <w:highlight w:val="none"/>
              </w:rPr>
              <w:t>智慧互联</w:t>
            </w:r>
          </w:p>
        </w:tc>
        <w:tc>
          <w:tcPr>
            <w:tcW w:w="2980" w:type="dxa"/>
            <w:vMerge w:val="restart"/>
            <w:noWrap/>
            <w:vAlign w:val="center"/>
          </w:tcPr>
          <w:p w14:paraId="246D58FD">
            <w:pPr>
              <w:pStyle w:val="38"/>
              <w:jc w:val="center"/>
              <w:rPr>
                <w:rFonts w:hint="eastAsia"/>
                <w:highlight w:val="none"/>
              </w:rPr>
            </w:pPr>
            <w:r>
              <w:rPr>
                <w:rFonts w:hint="eastAsia"/>
                <w:highlight w:val="none"/>
              </w:rPr>
              <w:t>数据治理</w:t>
            </w:r>
          </w:p>
        </w:tc>
        <w:tc>
          <w:tcPr>
            <w:tcW w:w="3000" w:type="dxa"/>
            <w:noWrap/>
            <w:vAlign w:val="center"/>
          </w:tcPr>
          <w:p w14:paraId="09D36B39">
            <w:pPr>
              <w:pStyle w:val="38"/>
              <w:rPr>
                <w:rFonts w:hint="eastAsia"/>
                <w:highlight w:val="none"/>
              </w:rPr>
            </w:pPr>
            <w:r>
              <w:rPr>
                <w:rFonts w:hint="eastAsia"/>
                <w:highlight w:val="none"/>
              </w:rPr>
              <w:t>统一门户</w:t>
            </w:r>
          </w:p>
        </w:tc>
      </w:tr>
      <w:tr w14:paraId="5152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ADD2B99">
            <w:pPr>
              <w:pStyle w:val="38"/>
              <w:jc w:val="center"/>
              <w:rPr>
                <w:rFonts w:hint="eastAsia"/>
                <w:highlight w:val="none"/>
              </w:rPr>
            </w:pPr>
            <w:r>
              <w:rPr>
                <w:rFonts w:hint="eastAsia"/>
                <w:highlight w:val="none"/>
              </w:rPr>
              <w:t>69</w:t>
            </w:r>
          </w:p>
        </w:tc>
        <w:tc>
          <w:tcPr>
            <w:tcW w:w="1846" w:type="dxa"/>
            <w:vMerge w:val="continue"/>
            <w:vAlign w:val="center"/>
          </w:tcPr>
          <w:p w14:paraId="55723DE9">
            <w:pPr>
              <w:pStyle w:val="38"/>
              <w:jc w:val="center"/>
              <w:rPr>
                <w:rFonts w:hint="eastAsia"/>
                <w:highlight w:val="none"/>
              </w:rPr>
            </w:pPr>
          </w:p>
        </w:tc>
        <w:tc>
          <w:tcPr>
            <w:tcW w:w="2980" w:type="dxa"/>
            <w:vMerge w:val="continue"/>
            <w:vAlign w:val="center"/>
          </w:tcPr>
          <w:p w14:paraId="16FB9132">
            <w:pPr>
              <w:pStyle w:val="38"/>
              <w:jc w:val="center"/>
              <w:rPr>
                <w:rFonts w:hint="eastAsia"/>
                <w:highlight w:val="none"/>
              </w:rPr>
            </w:pPr>
          </w:p>
        </w:tc>
        <w:tc>
          <w:tcPr>
            <w:tcW w:w="3000" w:type="dxa"/>
            <w:noWrap/>
            <w:vAlign w:val="center"/>
          </w:tcPr>
          <w:p w14:paraId="5FDA1F90">
            <w:pPr>
              <w:pStyle w:val="38"/>
              <w:rPr>
                <w:rFonts w:hint="eastAsia"/>
                <w:highlight w:val="none"/>
              </w:rPr>
            </w:pPr>
            <w:r>
              <w:rPr>
                <w:rFonts w:hint="eastAsia"/>
                <w:highlight w:val="none"/>
              </w:rPr>
              <w:t>数据集成治理</w:t>
            </w:r>
          </w:p>
        </w:tc>
      </w:tr>
      <w:tr w14:paraId="6ED5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E78A7E5">
            <w:pPr>
              <w:pStyle w:val="38"/>
              <w:jc w:val="center"/>
              <w:rPr>
                <w:rFonts w:hint="eastAsia"/>
                <w:highlight w:val="none"/>
              </w:rPr>
            </w:pPr>
            <w:r>
              <w:rPr>
                <w:rFonts w:hint="eastAsia"/>
                <w:highlight w:val="none"/>
              </w:rPr>
              <w:t>70</w:t>
            </w:r>
          </w:p>
        </w:tc>
        <w:tc>
          <w:tcPr>
            <w:tcW w:w="1846" w:type="dxa"/>
            <w:vMerge w:val="continue"/>
            <w:vAlign w:val="center"/>
          </w:tcPr>
          <w:p w14:paraId="6DB4456C">
            <w:pPr>
              <w:pStyle w:val="38"/>
              <w:jc w:val="center"/>
              <w:rPr>
                <w:rFonts w:hint="eastAsia"/>
                <w:highlight w:val="none"/>
              </w:rPr>
            </w:pPr>
          </w:p>
        </w:tc>
        <w:tc>
          <w:tcPr>
            <w:tcW w:w="2980" w:type="dxa"/>
            <w:vMerge w:val="continue"/>
            <w:vAlign w:val="center"/>
          </w:tcPr>
          <w:p w14:paraId="36AC408D">
            <w:pPr>
              <w:pStyle w:val="38"/>
              <w:jc w:val="center"/>
              <w:rPr>
                <w:rFonts w:hint="eastAsia"/>
                <w:highlight w:val="none"/>
              </w:rPr>
            </w:pPr>
          </w:p>
        </w:tc>
        <w:tc>
          <w:tcPr>
            <w:tcW w:w="3000" w:type="dxa"/>
            <w:noWrap/>
            <w:vAlign w:val="center"/>
          </w:tcPr>
          <w:p w14:paraId="08BE1D45">
            <w:pPr>
              <w:pStyle w:val="38"/>
              <w:rPr>
                <w:rFonts w:hint="eastAsia"/>
                <w:highlight w:val="none"/>
              </w:rPr>
            </w:pPr>
            <w:r>
              <w:rPr>
                <w:rFonts w:hint="eastAsia"/>
                <w:highlight w:val="none"/>
              </w:rPr>
              <w:t>临床数据中心</w:t>
            </w:r>
          </w:p>
        </w:tc>
      </w:tr>
      <w:tr w14:paraId="0237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CC50D10">
            <w:pPr>
              <w:pStyle w:val="38"/>
              <w:jc w:val="center"/>
              <w:rPr>
                <w:rFonts w:hint="eastAsia"/>
                <w:highlight w:val="none"/>
              </w:rPr>
            </w:pPr>
            <w:r>
              <w:rPr>
                <w:rFonts w:hint="eastAsia"/>
                <w:highlight w:val="none"/>
              </w:rPr>
              <w:t>71</w:t>
            </w:r>
          </w:p>
        </w:tc>
        <w:tc>
          <w:tcPr>
            <w:tcW w:w="1846" w:type="dxa"/>
            <w:vMerge w:val="continue"/>
            <w:vAlign w:val="center"/>
          </w:tcPr>
          <w:p w14:paraId="4DDFC46C">
            <w:pPr>
              <w:pStyle w:val="38"/>
              <w:jc w:val="center"/>
              <w:rPr>
                <w:rFonts w:hint="eastAsia"/>
                <w:highlight w:val="none"/>
              </w:rPr>
            </w:pPr>
          </w:p>
        </w:tc>
        <w:tc>
          <w:tcPr>
            <w:tcW w:w="2980" w:type="dxa"/>
            <w:vMerge w:val="continue"/>
            <w:vAlign w:val="center"/>
          </w:tcPr>
          <w:p w14:paraId="62222BA3">
            <w:pPr>
              <w:pStyle w:val="38"/>
              <w:jc w:val="center"/>
              <w:rPr>
                <w:rFonts w:hint="eastAsia"/>
                <w:highlight w:val="none"/>
              </w:rPr>
            </w:pPr>
          </w:p>
        </w:tc>
        <w:tc>
          <w:tcPr>
            <w:tcW w:w="3000" w:type="dxa"/>
            <w:noWrap/>
            <w:vAlign w:val="center"/>
          </w:tcPr>
          <w:p w14:paraId="774A25E6">
            <w:pPr>
              <w:pStyle w:val="38"/>
              <w:rPr>
                <w:rFonts w:hint="eastAsia"/>
                <w:highlight w:val="none"/>
              </w:rPr>
            </w:pPr>
            <w:r>
              <w:rPr>
                <w:rFonts w:hint="eastAsia"/>
                <w:highlight w:val="none"/>
              </w:rPr>
              <w:t>集成视图</w:t>
            </w:r>
          </w:p>
        </w:tc>
      </w:tr>
      <w:tr w14:paraId="3FD8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EE2FA06">
            <w:pPr>
              <w:pStyle w:val="38"/>
              <w:jc w:val="center"/>
              <w:rPr>
                <w:rFonts w:hint="eastAsia"/>
                <w:highlight w:val="none"/>
              </w:rPr>
            </w:pPr>
            <w:r>
              <w:rPr>
                <w:rFonts w:hint="eastAsia"/>
                <w:highlight w:val="none"/>
              </w:rPr>
              <w:t>72</w:t>
            </w:r>
          </w:p>
        </w:tc>
        <w:tc>
          <w:tcPr>
            <w:tcW w:w="1846" w:type="dxa"/>
            <w:vMerge w:val="continue"/>
            <w:vAlign w:val="center"/>
          </w:tcPr>
          <w:p w14:paraId="19FEE1CD">
            <w:pPr>
              <w:pStyle w:val="38"/>
              <w:jc w:val="center"/>
              <w:rPr>
                <w:rFonts w:hint="eastAsia"/>
                <w:highlight w:val="none"/>
              </w:rPr>
            </w:pPr>
          </w:p>
        </w:tc>
        <w:tc>
          <w:tcPr>
            <w:tcW w:w="2980" w:type="dxa"/>
            <w:vMerge w:val="continue"/>
            <w:vAlign w:val="center"/>
          </w:tcPr>
          <w:p w14:paraId="63A2632F">
            <w:pPr>
              <w:pStyle w:val="38"/>
              <w:jc w:val="center"/>
              <w:rPr>
                <w:rFonts w:hint="eastAsia"/>
                <w:highlight w:val="none"/>
              </w:rPr>
            </w:pPr>
          </w:p>
        </w:tc>
        <w:tc>
          <w:tcPr>
            <w:tcW w:w="3000" w:type="dxa"/>
            <w:noWrap/>
            <w:vAlign w:val="center"/>
          </w:tcPr>
          <w:p w14:paraId="247DA9BA">
            <w:pPr>
              <w:pStyle w:val="38"/>
              <w:rPr>
                <w:rFonts w:hint="eastAsia"/>
                <w:highlight w:val="none"/>
              </w:rPr>
            </w:pPr>
            <w:r>
              <w:rPr>
                <w:rFonts w:hint="eastAsia"/>
                <w:highlight w:val="none"/>
              </w:rPr>
              <w:t>主数据治理</w:t>
            </w:r>
          </w:p>
        </w:tc>
      </w:tr>
      <w:tr w14:paraId="4B97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1A31947">
            <w:pPr>
              <w:pStyle w:val="38"/>
              <w:jc w:val="center"/>
              <w:rPr>
                <w:rFonts w:hint="eastAsia"/>
                <w:highlight w:val="none"/>
              </w:rPr>
            </w:pPr>
            <w:r>
              <w:rPr>
                <w:rFonts w:hint="eastAsia"/>
                <w:highlight w:val="none"/>
              </w:rPr>
              <w:t>73</w:t>
            </w:r>
          </w:p>
        </w:tc>
        <w:tc>
          <w:tcPr>
            <w:tcW w:w="1846" w:type="dxa"/>
            <w:vMerge w:val="continue"/>
            <w:vAlign w:val="center"/>
          </w:tcPr>
          <w:p w14:paraId="0519BD59">
            <w:pPr>
              <w:pStyle w:val="38"/>
              <w:jc w:val="center"/>
              <w:rPr>
                <w:rFonts w:hint="eastAsia"/>
                <w:highlight w:val="none"/>
              </w:rPr>
            </w:pPr>
          </w:p>
        </w:tc>
        <w:tc>
          <w:tcPr>
            <w:tcW w:w="2980" w:type="dxa"/>
            <w:vMerge w:val="continue"/>
            <w:vAlign w:val="center"/>
          </w:tcPr>
          <w:p w14:paraId="37EF1A55">
            <w:pPr>
              <w:pStyle w:val="38"/>
              <w:jc w:val="center"/>
              <w:rPr>
                <w:rFonts w:hint="eastAsia"/>
                <w:highlight w:val="none"/>
              </w:rPr>
            </w:pPr>
          </w:p>
        </w:tc>
        <w:tc>
          <w:tcPr>
            <w:tcW w:w="3000" w:type="dxa"/>
            <w:vAlign w:val="center"/>
          </w:tcPr>
          <w:p w14:paraId="1A6997DF">
            <w:pPr>
              <w:pStyle w:val="38"/>
              <w:rPr>
                <w:rFonts w:hint="eastAsia"/>
                <w:highlight w:val="none"/>
              </w:rPr>
            </w:pPr>
            <w:r>
              <w:rPr>
                <w:rFonts w:hint="eastAsia"/>
                <w:highlight w:val="none"/>
              </w:rPr>
              <w:t>患者主索引</w:t>
            </w:r>
          </w:p>
        </w:tc>
      </w:tr>
      <w:tr w14:paraId="7404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2E97004A">
            <w:pPr>
              <w:pStyle w:val="38"/>
              <w:jc w:val="center"/>
              <w:rPr>
                <w:rFonts w:hint="eastAsia"/>
                <w:highlight w:val="none"/>
              </w:rPr>
            </w:pPr>
            <w:r>
              <w:rPr>
                <w:rFonts w:hint="eastAsia"/>
                <w:highlight w:val="none"/>
              </w:rPr>
              <w:t>74</w:t>
            </w:r>
          </w:p>
        </w:tc>
        <w:tc>
          <w:tcPr>
            <w:tcW w:w="1846" w:type="dxa"/>
            <w:vMerge w:val="continue"/>
            <w:vAlign w:val="center"/>
          </w:tcPr>
          <w:p w14:paraId="25D3CBC3">
            <w:pPr>
              <w:pStyle w:val="38"/>
              <w:jc w:val="center"/>
              <w:rPr>
                <w:rFonts w:hint="eastAsia"/>
                <w:highlight w:val="none"/>
              </w:rPr>
            </w:pPr>
          </w:p>
        </w:tc>
        <w:tc>
          <w:tcPr>
            <w:tcW w:w="2980" w:type="dxa"/>
            <w:vMerge w:val="continue"/>
            <w:vAlign w:val="center"/>
          </w:tcPr>
          <w:p w14:paraId="444B02C2">
            <w:pPr>
              <w:pStyle w:val="38"/>
              <w:jc w:val="center"/>
              <w:rPr>
                <w:rFonts w:hint="eastAsia"/>
                <w:highlight w:val="none"/>
              </w:rPr>
            </w:pPr>
          </w:p>
        </w:tc>
        <w:tc>
          <w:tcPr>
            <w:tcW w:w="3000" w:type="dxa"/>
            <w:vAlign w:val="center"/>
          </w:tcPr>
          <w:p w14:paraId="366DD75D">
            <w:pPr>
              <w:pStyle w:val="38"/>
              <w:rPr>
                <w:rFonts w:hint="eastAsia"/>
                <w:highlight w:val="none"/>
              </w:rPr>
            </w:pPr>
            <w:r>
              <w:rPr>
                <w:rFonts w:hint="eastAsia"/>
                <w:highlight w:val="none"/>
              </w:rPr>
              <w:t>平台监控告警管理</w:t>
            </w:r>
          </w:p>
        </w:tc>
      </w:tr>
      <w:tr w14:paraId="04EB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812DC26">
            <w:pPr>
              <w:pStyle w:val="38"/>
              <w:jc w:val="center"/>
              <w:rPr>
                <w:rFonts w:hint="eastAsia"/>
                <w:highlight w:val="none"/>
              </w:rPr>
            </w:pPr>
            <w:r>
              <w:rPr>
                <w:rFonts w:hint="eastAsia"/>
                <w:highlight w:val="none"/>
              </w:rPr>
              <w:t>75</w:t>
            </w:r>
          </w:p>
        </w:tc>
        <w:tc>
          <w:tcPr>
            <w:tcW w:w="1846" w:type="dxa"/>
            <w:vMerge w:val="continue"/>
            <w:vAlign w:val="center"/>
          </w:tcPr>
          <w:p w14:paraId="6D9CF19A">
            <w:pPr>
              <w:pStyle w:val="38"/>
              <w:jc w:val="center"/>
              <w:rPr>
                <w:rFonts w:hint="eastAsia"/>
                <w:highlight w:val="none"/>
              </w:rPr>
            </w:pPr>
          </w:p>
        </w:tc>
        <w:tc>
          <w:tcPr>
            <w:tcW w:w="2980" w:type="dxa"/>
            <w:vMerge w:val="continue"/>
            <w:vAlign w:val="center"/>
          </w:tcPr>
          <w:p w14:paraId="1B74489C">
            <w:pPr>
              <w:pStyle w:val="38"/>
              <w:jc w:val="center"/>
              <w:rPr>
                <w:rFonts w:hint="eastAsia"/>
                <w:highlight w:val="none"/>
              </w:rPr>
            </w:pPr>
          </w:p>
        </w:tc>
        <w:tc>
          <w:tcPr>
            <w:tcW w:w="3000" w:type="dxa"/>
            <w:vAlign w:val="center"/>
          </w:tcPr>
          <w:p w14:paraId="3A56DEBE">
            <w:pPr>
              <w:pStyle w:val="38"/>
              <w:rPr>
                <w:rFonts w:hint="eastAsia"/>
                <w:highlight w:val="none"/>
              </w:rPr>
            </w:pPr>
            <w:r>
              <w:rPr>
                <w:rFonts w:hint="eastAsia"/>
                <w:highlight w:val="none"/>
              </w:rPr>
              <w:t>医院核心业务外联平台</w:t>
            </w:r>
          </w:p>
        </w:tc>
      </w:tr>
      <w:tr w14:paraId="5E1E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3F458951">
            <w:pPr>
              <w:pStyle w:val="38"/>
              <w:jc w:val="center"/>
              <w:rPr>
                <w:rFonts w:hint="eastAsia"/>
                <w:highlight w:val="none"/>
              </w:rPr>
            </w:pPr>
            <w:r>
              <w:rPr>
                <w:rFonts w:hint="eastAsia"/>
                <w:highlight w:val="none"/>
              </w:rPr>
              <w:t>76</w:t>
            </w:r>
          </w:p>
        </w:tc>
        <w:tc>
          <w:tcPr>
            <w:tcW w:w="1846" w:type="dxa"/>
            <w:vMerge w:val="continue"/>
            <w:vAlign w:val="center"/>
          </w:tcPr>
          <w:p w14:paraId="60EA8693">
            <w:pPr>
              <w:pStyle w:val="38"/>
              <w:jc w:val="center"/>
              <w:rPr>
                <w:rFonts w:hint="eastAsia"/>
                <w:highlight w:val="none"/>
              </w:rPr>
            </w:pPr>
          </w:p>
        </w:tc>
        <w:tc>
          <w:tcPr>
            <w:tcW w:w="2980" w:type="dxa"/>
            <w:vMerge w:val="continue"/>
            <w:vAlign w:val="center"/>
          </w:tcPr>
          <w:p w14:paraId="764CD782">
            <w:pPr>
              <w:pStyle w:val="38"/>
              <w:jc w:val="center"/>
              <w:rPr>
                <w:rFonts w:hint="eastAsia"/>
                <w:highlight w:val="none"/>
              </w:rPr>
            </w:pPr>
          </w:p>
        </w:tc>
        <w:tc>
          <w:tcPr>
            <w:tcW w:w="3000" w:type="dxa"/>
            <w:vAlign w:val="center"/>
          </w:tcPr>
          <w:p w14:paraId="28F36D88">
            <w:pPr>
              <w:pStyle w:val="38"/>
              <w:rPr>
                <w:rFonts w:hint="eastAsia"/>
                <w:highlight w:val="none"/>
              </w:rPr>
            </w:pPr>
            <w:r>
              <w:rPr>
                <w:rFonts w:hint="eastAsia"/>
                <w:highlight w:val="none"/>
              </w:rPr>
              <w:t>闭环管理</w:t>
            </w:r>
          </w:p>
        </w:tc>
      </w:tr>
      <w:tr w14:paraId="59A9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271969F">
            <w:pPr>
              <w:pStyle w:val="38"/>
              <w:jc w:val="center"/>
              <w:rPr>
                <w:rFonts w:hint="eastAsia"/>
                <w:highlight w:val="none"/>
              </w:rPr>
            </w:pPr>
            <w:r>
              <w:rPr>
                <w:rFonts w:hint="eastAsia"/>
                <w:highlight w:val="none"/>
              </w:rPr>
              <w:t>77</w:t>
            </w:r>
          </w:p>
        </w:tc>
        <w:tc>
          <w:tcPr>
            <w:tcW w:w="1846" w:type="dxa"/>
            <w:vMerge w:val="continue"/>
            <w:vAlign w:val="center"/>
          </w:tcPr>
          <w:p w14:paraId="1094659F">
            <w:pPr>
              <w:pStyle w:val="38"/>
              <w:jc w:val="center"/>
              <w:rPr>
                <w:rFonts w:hint="eastAsia"/>
                <w:highlight w:val="none"/>
              </w:rPr>
            </w:pPr>
          </w:p>
        </w:tc>
        <w:tc>
          <w:tcPr>
            <w:tcW w:w="2980" w:type="dxa"/>
            <w:vMerge w:val="continue"/>
            <w:vAlign w:val="center"/>
          </w:tcPr>
          <w:p w14:paraId="66DD20FD">
            <w:pPr>
              <w:pStyle w:val="38"/>
              <w:jc w:val="center"/>
              <w:rPr>
                <w:rFonts w:hint="eastAsia"/>
                <w:highlight w:val="none"/>
              </w:rPr>
            </w:pPr>
          </w:p>
        </w:tc>
        <w:tc>
          <w:tcPr>
            <w:tcW w:w="3000" w:type="dxa"/>
            <w:vAlign w:val="center"/>
          </w:tcPr>
          <w:p w14:paraId="66808DD0">
            <w:pPr>
              <w:pStyle w:val="38"/>
              <w:rPr>
                <w:rFonts w:hint="eastAsia"/>
                <w:highlight w:val="none"/>
              </w:rPr>
            </w:pPr>
            <w:r>
              <w:rPr>
                <w:rFonts w:hint="eastAsia"/>
                <w:highlight w:val="none"/>
              </w:rPr>
              <w:t>互联互通应用BI</w:t>
            </w:r>
          </w:p>
        </w:tc>
      </w:tr>
      <w:tr w14:paraId="1DC5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43CC45DA">
            <w:pPr>
              <w:pStyle w:val="38"/>
              <w:jc w:val="center"/>
              <w:rPr>
                <w:rFonts w:hint="eastAsia"/>
                <w:highlight w:val="none"/>
              </w:rPr>
            </w:pPr>
            <w:r>
              <w:rPr>
                <w:rFonts w:hint="eastAsia"/>
                <w:highlight w:val="none"/>
              </w:rPr>
              <w:t>78</w:t>
            </w:r>
          </w:p>
        </w:tc>
        <w:tc>
          <w:tcPr>
            <w:tcW w:w="1846" w:type="dxa"/>
            <w:vMerge w:val="continue"/>
            <w:vAlign w:val="center"/>
          </w:tcPr>
          <w:p w14:paraId="5BB3D0C7">
            <w:pPr>
              <w:pStyle w:val="38"/>
              <w:jc w:val="center"/>
              <w:rPr>
                <w:rFonts w:hint="eastAsia"/>
                <w:highlight w:val="none"/>
              </w:rPr>
            </w:pPr>
          </w:p>
        </w:tc>
        <w:tc>
          <w:tcPr>
            <w:tcW w:w="2980" w:type="dxa"/>
            <w:vMerge w:val="continue"/>
            <w:vAlign w:val="center"/>
          </w:tcPr>
          <w:p w14:paraId="1F20277A">
            <w:pPr>
              <w:pStyle w:val="38"/>
              <w:jc w:val="center"/>
              <w:rPr>
                <w:rFonts w:hint="eastAsia"/>
                <w:highlight w:val="none"/>
              </w:rPr>
            </w:pPr>
          </w:p>
        </w:tc>
        <w:tc>
          <w:tcPr>
            <w:tcW w:w="3000" w:type="dxa"/>
            <w:vAlign w:val="center"/>
          </w:tcPr>
          <w:p w14:paraId="13AC2998">
            <w:pPr>
              <w:pStyle w:val="38"/>
              <w:rPr>
                <w:rFonts w:hint="eastAsia"/>
                <w:highlight w:val="none"/>
              </w:rPr>
            </w:pPr>
            <w:r>
              <w:rPr>
                <w:rFonts w:hint="eastAsia"/>
                <w:highlight w:val="none"/>
              </w:rPr>
              <w:t>互联互通套件</w:t>
            </w:r>
          </w:p>
        </w:tc>
      </w:tr>
      <w:tr w14:paraId="124F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50594523">
            <w:pPr>
              <w:pStyle w:val="38"/>
              <w:jc w:val="center"/>
              <w:rPr>
                <w:rFonts w:hint="eastAsia"/>
                <w:highlight w:val="none"/>
              </w:rPr>
            </w:pPr>
            <w:r>
              <w:rPr>
                <w:rFonts w:hint="eastAsia"/>
                <w:highlight w:val="none"/>
              </w:rPr>
              <w:t>79</w:t>
            </w:r>
          </w:p>
        </w:tc>
        <w:tc>
          <w:tcPr>
            <w:tcW w:w="1846" w:type="dxa"/>
            <w:vMerge w:val="continue"/>
            <w:vAlign w:val="center"/>
          </w:tcPr>
          <w:p w14:paraId="114A25E7">
            <w:pPr>
              <w:pStyle w:val="38"/>
              <w:jc w:val="center"/>
              <w:rPr>
                <w:rFonts w:hint="eastAsia"/>
                <w:highlight w:val="none"/>
              </w:rPr>
            </w:pPr>
          </w:p>
        </w:tc>
        <w:tc>
          <w:tcPr>
            <w:tcW w:w="2980" w:type="dxa"/>
            <w:vMerge w:val="restart"/>
            <w:noWrap/>
            <w:vAlign w:val="center"/>
          </w:tcPr>
          <w:p w14:paraId="26B671D6">
            <w:pPr>
              <w:pStyle w:val="38"/>
              <w:jc w:val="center"/>
              <w:rPr>
                <w:rFonts w:hint="eastAsia"/>
                <w:highlight w:val="none"/>
              </w:rPr>
            </w:pPr>
            <w:r>
              <w:rPr>
                <w:rFonts w:hint="eastAsia"/>
                <w:highlight w:val="none"/>
              </w:rPr>
              <w:t>管理决策支持</w:t>
            </w:r>
          </w:p>
        </w:tc>
        <w:tc>
          <w:tcPr>
            <w:tcW w:w="3000" w:type="dxa"/>
            <w:vAlign w:val="center"/>
          </w:tcPr>
          <w:p w14:paraId="4075CF37">
            <w:pPr>
              <w:pStyle w:val="38"/>
              <w:rPr>
                <w:rFonts w:hint="eastAsia"/>
                <w:highlight w:val="none"/>
              </w:rPr>
            </w:pPr>
            <w:r>
              <w:rPr>
                <w:rFonts w:hint="eastAsia"/>
                <w:highlight w:val="none"/>
              </w:rPr>
              <w:t>运营数据中心</w:t>
            </w:r>
          </w:p>
        </w:tc>
      </w:tr>
      <w:tr w14:paraId="6568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6589191E">
            <w:pPr>
              <w:pStyle w:val="38"/>
              <w:jc w:val="center"/>
              <w:rPr>
                <w:rFonts w:hint="eastAsia"/>
                <w:highlight w:val="none"/>
              </w:rPr>
            </w:pPr>
            <w:r>
              <w:rPr>
                <w:rFonts w:hint="eastAsia"/>
                <w:highlight w:val="none"/>
              </w:rPr>
              <w:t>80</w:t>
            </w:r>
          </w:p>
        </w:tc>
        <w:tc>
          <w:tcPr>
            <w:tcW w:w="1846" w:type="dxa"/>
            <w:vMerge w:val="continue"/>
            <w:vAlign w:val="center"/>
          </w:tcPr>
          <w:p w14:paraId="73D70B5B">
            <w:pPr>
              <w:pStyle w:val="38"/>
              <w:jc w:val="center"/>
              <w:rPr>
                <w:rFonts w:hint="eastAsia"/>
                <w:highlight w:val="none"/>
              </w:rPr>
            </w:pPr>
          </w:p>
        </w:tc>
        <w:tc>
          <w:tcPr>
            <w:tcW w:w="2980" w:type="dxa"/>
            <w:vMerge w:val="continue"/>
            <w:vAlign w:val="center"/>
          </w:tcPr>
          <w:p w14:paraId="04BB2866">
            <w:pPr>
              <w:pStyle w:val="38"/>
              <w:jc w:val="center"/>
              <w:rPr>
                <w:rFonts w:hint="eastAsia"/>
                <w:highlight w:val="none"/>
              </w:rPr>
            </w:pPr>
          </w:p>
        </w:tc>
        <w:tc>
          <w:tcPr>
            <w:tcW w:w="3000" w:type="dxa"/>
            <w:vAlign w:val="center"/>
          </w:tcPr>
          <w:p w14:paraId="443B2A79">
            <w:pPr>
              <w:pStyle w:val="38"/>
              <w:rPr>
                <w:rFonts w:hint="eastAsia"/>
                <w:highlight w:val="none"/>
              </w:rPr>
            </w:pPr>
            <w:r>
              <w:rPr>
                <w:rFonts w:hint="eastAsia"/>
                <w:highlight w:val="none"/>
              </w:rPr>
              <w:t>管理决策支持系统</w:t>
            </w:r>
          </w:p>
        </w:tc>
      </w:tr>
      <w:tr w14:paraId="7288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45C6AF7">
            <w:pPr>
              <w:pStyle w:val="38"/>
              <w:jc w:val="center"/>
              <w:rPr>
                <w:rFonts w:hint="eastAsia"/>
                <w:highlight w:val="none"/>
              </w:rPr>
            </w:pPr>
            <w:r>
              <w:rPr>
                <w:rFonts w:hint="eastAsia"/>
                <w:highlight w:val="none"/>
              </w:rPr>
              <w:t>81</w:t>
            </w:r>
          </w:p>
        </w:tc>
        <w:tc>
          <w:tcPr>
            <w:tcW w:w="1846" w:type="dxa"/>
            <w:vAlign w:val="center"/>
          </w:tcPr>
          <w:p w14:paraId="335CD3AD">
            <w:pPr>
              <w:pStyle w:val="38"/>
              <w:jc w:val="center"/>
              <w:rPr>
                <w:rFonts w:hint="eastAsia"/>
                <w:highlight w:val="none"/>
              </w:rPr>
            </w:pPr>
            <w:r>
              <w:rPr>
                <w:rFonts w:hint="eastAsia"/>
                <w:highlight w:val="none"/>
              </w:rPr>
              <w:t>系统接口</w:t>
            </w:r>
          </w:p>
        </w:tc>
        <w:tc>
          <w:tcPr>
            <w:tcW w:w="2980" w:type="dxa"/>
            <w:vAlign w:val="center"/>
          </w:tcPr>
          <w:p w14:paraId="152F715E">
            <w:pPr>
              <w:pStyle w:val="38"/>
              <w:jc w:val="center"/>
              <w:rPr>
                <w:rFonts w:hint="eastAsia"/>
                <w:highlight w:val="none"/>
              </w:rPr>
            </w:pPr>
            <w:r>
              <w:rPr>
                <w:rFonts w:hint="eastAsia"/>
                <w:highlight w:val="none"/>
              </w:rPr>
              <w:t>系统接口(不含利旧部分系统的评级改造)</w:t>
            </w:r>
          </w:p>
        </w:tc>
        <w:tc>
          <w:tcPr>
            <w:tcW w:w="3000" w:type="dxa"/>
            <w:noWrap/>
            <w:vAlign w:val="center"/>
          </w:tcPr>
          <w:p w14:paraId="132E7791">
            <w:pPr>
              <w:pStyle w:val="38"/>
              <w:rPr>
                <w:rFonts w:hint="eastAsia"/>
                <w:highlight w:val="none"/>
              </w:rPr>
            </w:pPr>
          </w:p>
        </w:tc>
      </w:tr>
      <w:tr w14:paraId="2647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16D2FFA3">
            <w:pPr>
              <w:pStyle w:val="38"/>
              <w:jc w:val="center"/>
              <w:rPr>
                <w:rFonts w:hint="eastAsia"/>
                <w:highlight w:val="none"/>
              </w:rPr>
            </w:pPr>
            <w:r>
              <w:rPr>
                <w:rFonts w:hint="eastAsia"/>
                <w:highlight w:val="none"/>
              </w:rPr>
              <w:t>82</w:t>
            </w:r>
          </w:p>
        </w:tc>
        <w:tc>
          <w:tcPr>
            <w:tcW w:w="1846" w:type="dxa"/>
            <w:vAlign w:val="center"/>
          </w:tcPr>
          <w:p w14:paraId="539A4F4E">
            <w:pPr>
              <w:pStyle w:val="38"/>
              <w:jc w:val="center"/>
              <w:rPr>
                <w:rFonts w:hint="eastAsia"/>
                <w:highlight w:val="none"/>
              </w:rPr>
            </w:pPr>
            <w:r>
              <w:rPr>
                <w:rFonts w:hint="eastAsia"/>
                <w:highlight w:val="none"/>
              </w:rPr>
              <w:t>对接医疗集团</w:t>
            </w:r>
          </w:p>
        </w:tc>
        <w:tc>
          <w:tcPr>
            <w:tcW w:w="2980" w:type="dxa"/>
            <w:vAlign w:val="center"/>
          </w:tcPr>
          <w:p w14:paraId="786E1077">
            <w:pPr>
              <w:pStyle w:val="38"/>
              <w:jc w:val="center"/>
              <w:rPr>
                <w:rFonts w:hint="eastAsia"/>
                <w:highlight w:val="none"/>
              </w:rPr>
            </w:pPr>
            <w:r>
              <w:rPr>
                <w:rFonts w:hint="eastAsia"/>
                <w:highlight w:val="none"/>
              </w:rPr>
              <w:t>对接紧密型城市医疗集团系统</w:t>
            </w:r>
          </w:p>
        </w:tc>
        <w:tc>
          <w:tcPr>
            <w:tcW w:w="3000" w:type="dxa"/>
            <w:noWrap/>
            <w:vAlign w:val="center"/>
          </w:tcPr>
          <w:p w14:paraId="168BB6C9">
            <w:pPr>
              <w:pStyle w:val="38"/>
              <w:rPr>
                <w:rFonts w:hint="eastAsia"/>
                <w:highlight w:val="none"/>
              </w:rPr>
            </w:pPr>
          </w:p>
        </w:tc>
      </w:tr>
      <w:tr w14:paraId="5FD3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6" w:type="dxa"/>
            <w:noWrap/>
            <w:vAlign w:val="center"/>
          </w:tcPr>
          <w:p w14:paraId="00BF4A94">
            <w:pPr>
              <w:pStyle w:val="38"/>
              <w:jc w:val="center"/>
              <w:rPr>
                <w:rFonts w:hint="eastAsia"/>
                <w:highlight w:val="none"/>
              </w:rPr>
            </w:pPr>
            <w:r>
              <w:rPr>
                <w:rFonts w:hint="eastAsia"/>
                <w:highlight w:val="none"/>
              </w:rPr>
              <w:t>83</w:t>
            </w:r>
          </w:p>
        </w:tc>
        <w:tc>
          <w:tcPr>
            <w:tcW w:w="1846" w:type="dxa"/>
            <w:noWrap/>
            <w:vAlign w:val="center"/>
          </w:tcPr>
          <w:p w14:paraId="7675E92C">
            <w:pPr>
              <w:pStyle w:val="38"/>
              <w:jc w:val="center"/>
              <w:rPr>
                <w:rFonts w:hint="eastAsia"/>
                <w:highlight w:val="none"/>
              </w:rPr>
            </w:pPr>
            <w:r>
              <w:rPr>
                <w:rFonts w:hint="eastAsia"/>
                <w:highlight w:val="none"/>
              </w:rPr>
              <w:t>评级服务</w:t>
            </w:r>
          </w:p>
        </w:tc>
        <w:tc>
          <w:tcPr>
            <w:tcW w:w="2980" w:type="dxa"/>
            <w:noWrap/>
            <w:vAlign w:val="center"/>
          </w:tcPr>
          <w:p w14:paraId="6C71B051">
            <w:pPr>
              <w:pStyle w:val="38"/>
              <w:jc w:val="center"/>
              <w:rPr>
                <w:rFonts w:hint="eastAsia"/>
                <w:highlight w:val="none"/>
              </w:rPr>
            </w:pPr>
            <w:r>
              <w:rPr>
                <w:rFonts w:hint="eastAsia"/>
                <w:highlight w:val="none"/>
              </w:rPr>
              <w:t>评级指导服务</w:t>
            </w:r>
          </w:p>
        </w:tc>
        <w:tc>
          <w:tcPr>
            <w:tcW w:w="3000" w:type="dxa"/>
            <w:vAlign w:val="center"/>
          </w:tcPr>
          <w:p w14:paraId="75D1B632">
            <w:pPr>
              <w:pStyle w:val="38"/>
              <w:rPr>
                <w:rFonts w:hint="eastAsia"/>
                <w:highlight w:val="none"/>
              </w:rPr>
            </w:pPr>
            <w:r>
              <w:rPr>
                <w:rFonts w:hint="eastAsia"/>
                <w:highlight w:val="none"/>
              </w:rPr>
              <w:t>电子病历评级指导</w:t>
            </w:r>
          </w:p>
        </w:tc>
      </w:tr>
    </w:tbl>
    <w:p w14:paraId="6D7D68F3">
      <w:pPr>
        <w:pStyle w:val="12"/>
        <w:shd w:val="clear" w:color="auto" w:fill="auto"/>
        <w:ind w:firstLine="480"/>
        <w:rPr>
          <w:rFonts w:hint="eastAsia"/>
          <w:highlight w:val="none"/>
        </w:rPr>
      </w:pPr>
    </w:p>
    <w:p w14:paraId="1802CEF7">
      <w:pPr>
        <w:pStyle w:val="3"/>
        <w:rPr>
          <w:rFonts w:hint="eastAsia"/>
          <w:highlight w:val="none"/>
        </w:rPr>
      </w:pPr>
      <w:bookmarkStart w:id="6" w:name="_Toc18929361"/>
      <w:r>
        <w:rPr>
          <w:rFonts w:hint="eastAsia"/>
          <w:highlight w:val="none"/>
        </w:rPr>
        <w:t>软件详细需求说明</w:t>
      </w:r>
      <w:bookmarkEnd w:id="6"/>
    </w:p>
    <w:p w14:paraId="7A54F522">
      <w:pPr>
        <w:pStyle w:val="4"/>
        <w:rPr>
          <w:rFonts w:hint="eastAsia"/>
          <w:highlight w:val="none"/>
        </w:rPr>
      </w:pPr>
      <w:r>
        <w:rPr>
          <w:rFonts w:hint="eastAsia"/>
          <w:highlight w:val="none"/>
        </w:rPr>
        <w:t>智慧医疗</w:t>
      </w:r>
    </w:p>
    <w:p w14:paraId="65A3059E">
      <w:pPr>
        <w:pStyle w:val="5"/>
        <w:rPr>
          <w:rFonts w:hint="eastAsia"/>
          <w:highlight w:val="none"/>
        </w:rPr>
      </w:pPr>
      <w:r>
        <w:rPr>
          <w:rFonts w:hint="eastAsia"/>
          <w:highlight w:val="none"/>
        </w:rPr>
        <w:t>医院信息管理系统（HIS)</w:t>
      </w:r>
    </w:p>
    <w:p w14:paraId="748F1C60">
      <w:pPr>
        <w:pStyle w:val="6"/>
        <w:rPr>
          <w:rFonts w:hint="eastAsia"/>
          <w:highlight w:val="none"/>
        </w:rPr>
      </w:pPr>
      <w:bookmarkStart w:id="7" w:name="_Toc197779868"/>
      <w:r>
        <w:rPr>
          <w:rFonts w:hint="eastAsia"/>
          <w:highlight w:val="none"/>
        </w:rPr>
        <w:t>物价管理</w:t>
      </w:r>
      <w:bookmarkEnd w:id="7"/>
      <w:r>
        <w:rPr>
          <w:rFonts w:hint="eastAsia"/>
          <w:highlight w:val="none"/>
        </w:rPr>
        <w:t>子系统</w:t>
      </w:r>
    </w:p>
    <w:p w14:paraId="0128B7FE">
      <w:pPr>
        <w:pStyle w:val="12"/>
        <w:shd w:val="clear" w:color="auto" w:fill="auto"/>
        <w:ind w:firstLine="480"/>
        <w:rPr>
          <w:rFonts w:hint="eastAsia"/>
          <w:highlight w:val="none"/>
        </w:rPr>
      </w:pPr>
      <w:r>
        <w:rPr>
          <w:rFonts w:hint="eastAsia"/>
          <w:highlight w:val="none"/>
        </w:rPr>
        <w:t>物价管理功能是医院经营管理的关键环节，支撑医疗服务收费，强化价格监管，落实国家价格政策，提升医患服务体验。主要功能包括：</w:t>
      </w:r>
    </w:p>
    <w:p w14:paraId="0FE1C3CF">
      <w:pPr>
        <w:pStyle w:val="12"/>
        <w:shd w:val="clear" w:color="auto" w:fill="auto"/>
        <w:ind w:firstLine="480"/>
        <w:rPr>
          <w:rFonts w:hint="eastAsia"/>
          <w:highlight w:val="none"/>
        </w:rPr>
      </w:pPr>
      <w:r>
        <w:rPr>
          <w:rFonts w:hint="eastAsia"/>
          <w:highlight w:val="none"/>
        </w:rPr>
        <w:t>1.诊疗项目维护：可视化界面配置检查、检验、治疗等非药品类项目属性，支持高效开单。</w:t>
      </w:r>
    </w:p>
    <w:p w14:paraId="19E91035">
      <w:pPr>
        <w:pStyle w:val="12"/>
        <w:shd w:val="clear" w:color="auto" w:fill="auto"/>
        <w:ind w:firstLine="480"/>
        <w:rPr>
          <w:rFonts w:hint="eastAsia"/>
          <w:highlight w:val="none"/>
        </w:rPr>
      </w:pPr>
      <w:r>
        <w:rPr>
          <w:rFonts w:hint="eastAsia"/>
          <w:highlight w:val="none"/>
        </w:rPr>
        <w:t>2.诊疗项目调价：内置审批流程，支持价格追溯与影响模拟，提供即时或定时生效模式，重大调整设72小时缓冲期，同步更新全院终端并推送公告。</w:t>
      </w:r>
    </w:p>
    <w:p w14:paraId="3BB265A9">
      <w:pPr>
        <w:pStyle w:val="12"/>
        <w:shd w:val="clear" w:color="auto" w:fill="auto"/>
        <w:ind w:firstLine="480"/>
        <w:rPr>
          <w:rFonts w:hint="eastAsia"/>
          <w:highlight w:val="none"/>
        </w:rPr>
      </w:pPr>
      <w:r>
        <w:rPr>
          <w:rFonts w:hint="eastAsia"/>
          <w:highlight w:val="none"/>
        </w:rPr>
        <w:t>3.复合项目</w:t>
      </w:r>
      <w:bookmarkStart w:id="273" w:name="_GoBack"/>
      <w:bookmarkEnd w:id="273"/>
      <w:r>
        <w:rPr>
          <w:rFonts w:hint="eastAsia"/>
          <w:highlight w:val="none"/>
        </w:rPr>
        <w:t>维护：可组合多个普通项目形成复合收费项（如肝功八项），系统自动校验单项合规性。</w:t>
      </w:r>
    </w:p>
    <w:p w14:paraId="5B3D5D19">
      <w:pPr>
        <w:pStyle w:val="12"/>
        <w:shd w:val="clear" w:color="auto" w:fill="auto"/>
        <w:ind w:firstLine="480"/>
        <w:rPr>
          <w:rFonts w:hint="eastAsia"/>
          <w:highlight w:val="none"/>
        </w:rPr>
      </w:pPr>
      <w:r>
        <w:rPr>
          <w:rFonts w:hint="eastAsia"/>
          <w:highlight w:val="none"/>
        </w:rPr>
        <w:t>4.费用组套维护：支持创建科室特色套餐，关联ICD-10编码，设置适应症提示，并具备版本管理功能，保留修改记录与生效时间。</w:t>
      </w:r>
    </w:p>
    <w:p w14:paraId="33EFBC05">
      <w:pPr>
        <w:pStyle w:val="12"/>
        <w:shd w:val="clear" w:color="auto" w:fill="auto"/>
        <w:ind w:firstLine="480"/>
        <w:rPr>
          <w:rFonts w:hint="eastAsia"/>
          <w:highlight w:val="none"/>
        </w:rPr>
      </w:pPr>
      <w:r>
        <w:rPr>
          <w:rFonts w:hint="eastAsia"/>
          <w:highlight w:val="none"/>
        </w:rPr>
        <w:t>5.挂号费管理：</w:t>
      </w:r>
      <w:r>
        <w:rPr>
          <w:rFonts w:hint="eastAsia"/>
          <w:highlight w:val="none"/>
        </w:rPr>
        <w:t>按合同单位</w:t>
      </w:r>
      <w:r>
        <w:rPr>
          <w:rFonts w:hint="eastAsia"/>
          <w:highlight w:val="none"/>
        </w:rPr>
        <w:t>查看和调整不同挂号级别的费用。</w:t>
      </w:r>
    </w:p>
    <w:p w14:paraId="2B0BEDBC">
      <w:pPr>
        <w:pStyle w:val="12"/>
        <w:shd w:val="clear" w:color="auto" w:fill="auto"/>
        <w:ind w:firstLine="480"/>
        <w:rPr>
          <w:rFonts w:hint="eastAsia"/>
          <w:highlight w:val="none"/>
        </w:rPr>
      </w:pPr>
      <w:r>
        <w:rPr>
          <w:rFonts w:hint="eastAsia"/>
          <w:highlight w:val="none"/>
        </w:rPr>
        <w:t>6.合同单位维护：以界面化方式管理合同单位信息，支持编码、名称等基础数据的展示与编辑。</w:t>
      </w:r>
    </w:p>
    <w:p w14:paraId="6799155C">
      <w:pPr>
        <w:pStyle w:val="12"/>
        <w:shd w:val="clear" w:color="auto" w:fill="auto"/>
        <w:ind w:firstLine="480"/>
        <w:rPr>
          <w:rFonts w:hint="eastAsia"/>
          <w:highlight w:val="none"/>
        </w:rPr>
      </w:pPr>
      <w:r>
        <w:rPr>
          <w:rFonts w:hint="eastAsia"/>
          <w:highlight w:val="none"/>
        </w:rPr>
        <w:t>7.固定费用维护：配置床位等级下需自动计费的项目，灵活设置收费时段等属性</w:t>
      </w:r>
      <w:r>
        <w:rPr>
          <w:rFonts w:hint="eastAsia"/>
          <w:highlight w:val="none"/>
        </w:rPr>
        <w:t>。</w:t>
      </w:r>
    </w:p>
    <w:p w14:paraId="0D888215">
      <w:pPr>
        <w:pStyle w:val="6"/>
        <w:rPr>
          <w:rFonts w:hint="eastAsia"/>
          <w:highlight w:val="none"/>
        </w:rPr>
      </w:pPr>
      <w:bookmarkStart w:id="8" w:name="_Toc197779869"/>
      <w:r>
        <w:rPr>
          <w:rFonts w:hint="eastAsia"/>
          <w:highlight w:val="none"/>
        </w:rPr>
        <w:t>门急诊挂号</w:t>
      </w:r>
      <w:bookmarkEnd w:id="8"/>
      <w:r>
        <w:rPr>
          <w:rFonts w:hint="eastAsia"/>
          <w:highlight w:val="none"/>
        </w:rPr>
        <w:t>子系统</w:t>
      </w:r>
    </w:p>
    <w:p w14:paraId="79D80B43">
      <w:pPr>
        <w:pStyle w:val="12"/>
        <w:shd w:val="clear" w:color="auto" w:fill="auto"/>
        <w:ind w:firstLine="480"/>
        <w:rPr>
          <w:rFonts w:hint="eastAsia"/>
          <w:highlight w:val="none"/>
        </w:rPr>
      </w:pPr>
      <w:r>
        <w:rPr>
          <w:rFonts w:hint="eastAsia"/>
          <w:highlight w:val="none"/>
        </w:rPr>
        <w:t>门急诊挂号系统实现病人档案建立、办卡、预约与窗口挂号、号表处理、统计及病历管理等功能，面向患者提供服务，建立唯一标识码</w:t>
      </w:r>
      <w:r>
        <w:rPr>
          <w:rFonts w:hint="eastAsia"/>
          <w:highlight w:val="none"/>
        </w:rPr>
        <w:t>。</w:t>
      </w:r>
    </w:p>
    <w:p w14:paraId="3B94FC63">
      <w:pPr>
        <w:pStyle w:val="12"/>
        <w:shd w:val="clear" w:color="auto" w:fill="auto"/>
        <w:ind w:firstLine="480"/>
        <w:rPr>
          <w:rFonts w:hint="eastAsia"/>
          <w:highlight w:val="none"/>
        </w:rPr>
      </w:pPr>
      <w:r>
        <w:rPr>
          <w:rFonts w:hint="eastAsia"/>
          <w:highlight w:val="none"/>
        </w:rPr>
        <w:t>1.挂号功能：支持自动获取或录入患者信息，多方式查询，采用多线程技术实现高并发秒级挂号；支持医保扫码、公费预授权、聚合支付，挂号单含二维码，实现就诊、支付、导航一体化通行。</w:t>
      </w:r>
    </w:p>
    <w:p w14:paraId="0D57FC0E">
      <w:pPr>
        <w:pStyle w:val="12"/>
        <w:shd w:val="clear" w:color="auto" w:fill="auto"/>
        <w:ind w:firstLine="480"/>
        <w:rPr>
          <w:rFonts w:hint="eastAsia"/>
          <w:highlight w:val="none"/>
        </w:rPr>
      </w:pPr>
      <w:r>
        <w:rPr>
          <w:rFonts w:hint="eastAsia"/>
          <w:highlight w:val="none"/>
        </w:rPr>
        <w:t>2.退号处理：支持在HIS退号同时向医保平台发送冲正指令；基于就诊状态校验退号权限，退费金额经RSA加密原路返还。</w:t>
      </w:r>
    </w:p>
    <w:p w14:paraId="245C3BD1">
      <w:pPr>
        <w:pStyle w:val="12"/>
        <w:shd w:val="clear" w:color="auto" w:fill="auto"/>
        <w:ind w:firstLine="480"/>
        <w:rPr>
          <w:rFonts w:hint="eastAsia"/>
          <w:highlight w:val="none"/>
        </w:rPr>
      </w:pPr>
      <w:r>
        <w:rPr>
          <w:rFonts w:hint="eastAsia"/>
          <w:highlight w:val="none"/>
        </w:rPr>
        <w:t>3.换科功能：实时验证目标科室余号并转移占位；支持跨院区换科，生成带时间戳电子凭证，并同步更新候诊与叫号系统。</w:t>
      </w:r>
    </w:p>
    <w:p w14:paraId="6907C404">
      <w:pPr>
        <w:pStyle w:val="12"/>
        <w:shd w:val="clear" w:color="auto" w:fill="auto"/>
        <w:ind w:firstLine="480"/>
        <w:rPr>
          <w:rFonts w:hint="eastAsia"/>
          <w:highlight w:val="none"/>
        </w:rPr>
      </w:pPr>
      <w:r>
        <w:rPr>
          <w:rFonts w:hint="eastAsia"/>
          <w:highlight w:val="none"/>
        </w:rPr>
        <w:t>4.挂号日结：按时间段完成结算，统计当日挂号数量、类别，支持报表展示、打印及补打。</w:t>
      </w:r>
    </w:p>
    <w:p w14:paraId="517E95D2">
      <w:pPr>
        <w:pStyle w:val="12"/>
        <w:shd w:val="clear" w:color="auto" w:fill="auto"/>
        <w:ind w:firstLine="480"/>
        <w:rPr>
          <w:rFonts w:hint="eastAsia"/>
          <w:highlight w:val="none"/>
        </w:rPr>
      </w:pPr>
      <w:r>
        <w:rPr>
          <w:rFonts w:hint="eastAsia"/>
          <w:highlight w:val="none"/>
        </w:rPr>
        <w:t>5.其他功能：提供简易及完整挂号，支持医保、公费、自费等各类身份挂号及费用结算；支持专科专家排班、临时加号、排班模板自定义。</w:t>
      </w:r>
    </w:p>
    <w:p w14:paraId="642D895E">
      <w:pPr>
        <w:pStyle w:val="12"/>
        <w:shd w:val="clear" w:color="auto" w:fill="auto"/>
        <w:ind w:firstLine="480"/>
        <w:rPr>
          <w:rFonts w:hint="eastAsia"/>
          <w:highlight w:val="none"/>
        </w:rPr>
      </w:pPr>
      <w:r>
        <w:rPr>
          <w:rFonts w:hint="eastAsia"/>
          <w:highlight w:val="none"/>
        </w:rPr>
        <w:t>6.查询统计：可查挂号、退号、病人、科室、医生等情况，支持按科室、工作量等多维度统计。</w:t>
      </w:r>
    </w:p>
    <w:p w14:paraId="76B87775">
      <w:pPr>
        <w:pStyle w:val="12"/>
        <w:shd w:val="clear" w:color="auto" w:fill="auto"/>
        <w:ind w:firstLine="480"/>
        <w:rPr>
          <w:rFonts w:hint="eastAsia"/>
          <w:highlight w:val="none"/>
        </w:rPr>
      </w:pPr>
      <w:r>
        <w:rPr>
          <w:rFonts w:hint="eastAsia"/>
          <w:highlight w:val="none"/>
        </w:rPr>
        <w:t>7.基本信息维护：维护挂号员权限、编号、可挂级别等信息，支持患者信息修改补充。</w:t>
      </w:r>
    </w:p>
    <w:p w14:paraId="431C6771">
      <w:pPr>
        <w:pStyle w:val="12"/>
        <w:shd w:val="clear" w:color="auto" w:fill="auto"/>
        <w:ind w:firstLine="480"/>
        <w:rPr>
          <w:rFonts w:hint="eastAsia"/>
          <w:highlight w:val="none"/>
        </w:rPr>
      </w:pPr>
      <w:r>
        <w:rPr>
          <w:rFonts w:hint="eastAsia"/>
          <w:highlight w:val="none"/>
        </w:rPr>
        <w:t>8.预约挂号：支持多种预约方式，号源根据爽约率动态调整；实行信用积分制，爽约3次启动冷却期，时长依履约记录自适应。</w:t>
      </w:r>
    </w:p>
    <w:p w14:paraId="4784A628">
      <w:pPr>
        <w:pStyle w:val="12"/>
        <w:shd w:val="clear" w:color="auto" w:fill="auto"/>
        <w:ind w:firstLine="480"/>
        <w:rPr>
          <w:rFonts w:hint="eastAsia"/>
          <w:highlight w:val="none"/>
        </w:rPr>
      </w:pPr>
      <w:r>
        <w:rPr>
          <w:rFonts w:hint="eastAsia"/>
          <w:highlight w:val="none"/>
        </w:rPr>
        <w:t>9.聚合支付：集成多种支付方式，智能路由选择最优通道，具备异常处理机制和对账冲正功能</w:t>
      </w:r>
      <w:r>
        <w:rPr>
          <w:rFonts w:hint="eastAsia"/>
          <w:highlight w:val="none"/>
        </w:rPr>
        <w:t>。</w:t>
      </w:r>
    </w:p>
    <w:p w14:paraId="7C391890">
      <w:pPr>
        <w:pStyle w:val="6"/>
        <w:rPr>
          <w:rFonts w:hint="eastAsia"/>
          <w:highlight w:val="none"/>
        </w:rPr>
      </w:pPr>
      <w:bookmarkStart w:id="9" w:name="_Toc197779870"/>
      <w:r>
        <w:rPr>
          <w:rFonts w:hint="eastAsia"/>
          <w:highlight w:val="none"/>
        </w:rPr>
        <w:t>门急诊收费</w:t>
      </w:r>
      <w:bookmarkEnd w:id="9"/>
      <w:r>
        <w:rPr>
          <w:rFonts w:hint="eastAsia"/>
          <w:highlight w:val="none"/>
        </w:rPr>
        <w:t>子系统</w:t>
      </w:r>
    </w:p>
    <w:p w14:paraId="2C8CD413">
      <w:pPr>
        <w:pStyle w:val="12"/>
        <w:shd w:val="clear" w:color="auto" w:fill="auto"/>
        <w:ind w:firstLine="480"/>
        <w:rPr>
          <w:rFonts w:hint="eastAsia"/>
          <w:highlight w:val="none"/>
        </w:rPr>
      </w:pPr>
      <w:r>
        <w:rPr>
          <w:rFonts w:hint="eastAsia"/>
          <w:highlight w:val="none"/>
        </w:rPr>
        <w:t>门急诊收费功能实现门诊划价收费、退费及发票打印，支持处方信息传输与跟踪管理，可接收医生站或划价系统录入的处方，并完成日结清单打印和发票重打。</w:t>
      </w:r>
    </w:p>
    <w:p w14:paraId="76FDB534">
      <w:pPr>
        <w:pStyle w:val="12"/>
        <w:shd w:val="clear" w:color="auto" w:fill="auto"/>
        <w:ind w:firstLine="480"/>
        <w:rPr>
          <w:rFonts w:hint="eastAsia"/>
          <w:highlight w:val="none"/>
        </w:rPr>
      </w:pPr>
      <w:r>
        <w:rPr>
          <w:rFonts w:hint="eastAsia"/>
          <w:highlight w:val="none"/>
        </w:rPr>
        <w:t>1.收费与退费：支持自动获取或手动录入患者信息（如姓名、病历号、科室、药品、项目等），按规则自动分方收费，记录医嘱及费用分配；展示发票与处方信息；兼容电子与纸质发票并支持互换；实现自费与医保的全额、半额退费；具备退费申请与审核流程。</w:t>
      </w:r>
    </w:p>
    <w:p w14:paraId="58F9DA75">
      <w:pPr>
        <w:pStyle w:val="12"/>
        <w:shd w:val="clear" w:color="auto" w:fill="auto"/>
        <w:ind w:firstLine="480"/>
        <w:rPr>
          <w:rFonts w:hint="eastAsia"/>
          <w:highlight w:val="none"/>
        </w:rPr>
      </w:pPr>
      <w:r>
        <w:rPr>
          <w:rFonts w:hint="eastAsia"/>
          <w:highlight w:val="none"/>
        </w:rPr>
        <w:t>2.发票重打：可通过发票号查询并重新打印已录发票，原票作废；支持挂号单、导诊单、收费清单等重打。</w:t>
      </w:r>
    </w:p>
    <w:p w14:paraId="68755066">
      <w:pPr>
        <w:pStyle w:val="12"/>
        <w:shd w:val="clear" w:color="auto" w:fill="auto"/>
        <w:ind w:firstLine="480"/>
        <w:rPr>
          <w:rFonts w:hint="eastAsia"/>
          <w:highlight w:val="none"/>
        </w:rPr>
      </w:pPr>
      <w:r>
        <w:rPr>
          <w:rFonts w:hint="eastAsia"/>
          <w:highlight w:val="none"/>
        </w:rPr>
        <w:t>3.日结算：自动比对HIS交易流水与银联清算数据，生成含支付渠道、医保费用等多指标智能报表。</w:t>
      </w:r>
    </w:p>
    <w:p w14:paraId="3FAF9623">
      <w:pPr>
        <w:pStyle w:val="12"/>
        <w:shd w:val="clear" w:color="auto" w:fill="auto"/>
        <w:ind w:firstLine="480"/>
        <w:rPr>
          <w:rFonts w:hint="eastAsia"/>
          <w:highlight w:val="none"/>
        </w:rPr>
      </w:pPr>
      <w:r>
        <w:rPr>
          <w:rFonts w:hint="eastAsia"/>
          <w:highlight w:val="none"/>
        </w:rPr>
        <w:t>4.其他功能：严格管理发票号，支持日结、灵活设置归集项；收费时自动提示药房库存；支持记账、公费、医保等多种结算方式，以及现金、微信、支付宝、银联等多渠道支付。</w:t>
      </w:r>
    </w:p>
    <w:p w14:paraId="0CFB896E">
      <w:pPr>
        <w:pStyle w:val="12"/>
        <w:shd w:val="clear" w:color="auto" w:fill="auto"/>
        <w:ind w:firstLine="480"/>
        <w:rPr>
          <w:rFonts w:hint="eastAsia"/>
          <w:highlight w:val="none"/>
        </w:rPr>
      </w:pPr>
      <w:r>
        <w:rPr>
          <w:rFonts w:hint="eastAsia"/>
          <w:highlight w:val="none"/>
        </w:rPr>
        <w:t>5.查询统计：提供收费员发票查询、工作量统计、收费分项查询及日结信息查询；包括医保费用、第三方支付（商业保险、新农合等）费用、发票详情（数量、金额、类型等）的统计报表。</w:t>
      </w:r>
    </w:p>
    <w:p w14:paraId="6EC13804">
      <w:pPr>
        <w:pStyle w:val="6"/>
        <w:rPr>
          <w:rFonts w:hint="eastAsia"/>
          <w:highlight w:val="none"/>
        </w:rPr>
      </w:pPr>
      <w:bookmarkStart w:id="10" w:name="_Toc197779871"/>
      <w:r>
        <w:rPr>
          <w:rFonts w:hint="eastAsia"/>
          <w:highlight w:val="none"/>
        </w:rPr>
        <w:t>住院登记</w:t>
      </w:r>
      <w:bookmarkEnd w:id="10"/>
      <w:r>
        <w:rPr>
          <w:rFonts w:hint="eastAsia"/>
          <w:highlight w:val="none"/>
        </w:rPr>
        <w:t>子系统</w:t>
      </w:r>
    </w:p>
    <w:p w14:paraId="3BA6C2AE">
      <w:pPr>
        <w:pStyle w:val="12"/>
        <w:shd w:val="clear" w:color="auto" w:fill="auto"/>
        <w:ind w:firstLine="480"/>
        <w:rPr>
          <w:rFonts w:hint="eastAsia"/>
          <w:highlight w:val="none"/>
        </w:rPr>
      </w:pPr>
      <w:r>
        <w:rPr>
          <w:rFonts w:hint="eastAsia"/>
          <w:highlight w:val="none"/>
        </w:rPr>
        <w:t>住院登记功能涵盖患者基本信息录入（支持自动带入与手动输入）与修改、住院预约审批、欠费查询、无费退院等，实现住院费用、警戒线等信息的全面管理，并支持出院登记、召回等功能。</w:t>
      </w:r>
    </w:p>
    <w:p w14:paraId="3A16C22D">
      <w:pPr>
        <w:pStyle w:val="12"/>
        <w:shd w:val="clear" w:color="auto" w:fill="auto"/>
        <w:ind w:firstLine="480"/>
        <w:rPr>
          <w:rFonts w:hint="eastAsia"/>
          <w:highlight w:val="none"/>
        </w:rPr>
      </w:pPr>
      <w:r>
        <w:rPr>
          <w:rFonts w:hint="eastAsia"/>
          <w:highlight w:val="none"/>
        </w:rPr>
        <w:t>1.入院登记：支持读卡或手工录入患者信息，住院号可手工输入或系统生成，登记时可收取预交金；必填项以醒目颜色提示；支持住院处直接接诊（可开关控制）、未接诊前修改科室、同步或单独录入担保信息；预交金支持银医直连扣费，自动生成符合《医疗收费电子票据规范》的电子担保凭证。</w:t>
      </w:r>
    </w:p>
    <w:p w14:paraId="53F7FC96">
      <w:pPr>
        <w:pStyle w:val="12"/>
        <w:shd w:val="clear" w:color="auto" w:fill="auto"/>
        <w:ind w:firstLine="480"/>
        <w:rPr>
          <w:rFonts w:hint="eastAsia"/>
          <w:highlight w:val="none"/>
        </w:rPr>
      </w:pPr>
      <w:r>
        <w:rPr>
          <w:rFonts w:hint="eastAsia"/>
          <w:highlight w:val="none"/>
        </w:rPr>
        <w:t>2.出院登记：支持住院处直接办理出院，录入住院号后标记为“出院登记”状态。自动终止所有医嘱及日费用滚动，触发医嘱冻结引擎，通过分布式锁确保床位费计算原子性；强制完成出院质控（如费用核对、病历完整等）后方可操作。</w:t>
      </w:r>
    </w:p>
    <w:p w14:paraId="79708E6B">
      <w:pPr>
        <w:pStyle w:val="12"/>
        <w:shd w:val="clear" w:color="auto" w:fill="auto"/>
        <w:ind w:firstLine="480"/>
        <w:rPr>
          <w:rFonts w:hint="eastAsia"/>
          <w:highlight w:val="none"/>
        </w:rPr>
      </w:pPr>
      <w:r>
        <w:rPr>
          <w:rFonts w:hint="eastAsia"/>
          <w:highlight w:val="none"/>
        </w:rPr>
        <w:t>3.出院召回：支持住院处执行召回，采用版本回滚与事务日志恢复入院数据快照，状态由“出院登记”恢复为“住院接诊”；注意不恢复长期医嘱，需医生另行处理。</w:t>
      </w:r>
    </w:p>
    <w:p w14:paraId="688E913D">
      <w:pPr>
        <w:pStyle w:val="12"/>
        <w:shd w:val="clear" w:color="auto" w:fill="auto"/>
        <w:ind w:firstLine="480"/>
        <w:rPr>
          <w:rFonts w:hint="eastAsia"/>
          <w:highlight w:val="none"/>
        </w:rPr>
      </w:pPr>
      <w:r>
        <w:rPr>
          <w:rFonts w:hint="eastAsia"/>
          <w:highlight w:val="none"/>
        </w:rPr>
        <w:t>4.患者信息修改：凭住院号检索并修改基本信息（如姓名、出生日期、民族、籍贯等），禁止修改结算方式、住院号、科室等关键信息；修改后同步至平台，保障信息互联互通。</w:t>
      </w:r>
    </w:p>
    <w:p w14:paraId="46ED0B97">
      <w:pPr>
        <w:pStyle w:val="12"/>
        <w:shd w:val="clear" w:color="auto" w:fill="auto"/>
        <w:ind w:firstLine="480"/>
        <w:rPr>
          <w:rFonts w:hint="eastAsia"/>
          <w:highlight w:val="none"/>
        </w:rPr>
      </w:pPr>
      <w:r>
        <w:rPr>
          <w:rFonts w:hint="eastAsia"/>
          <w:highlight w:val="none"/>
        </w:rPr>
        <w:t>5.无费退院：针对无任何费用发生的患者，需满足总费用和预交金均为零，经药品、非药品、医嘱等多维度质控校验后方可办理。</w:t>
      </w:r>
    </w:p>
    <w:p w14:paraId="0856C0C1">
      <w:pPr>
        <w:pStyle w:val="12"/>
        <w:shd w:val="clear" w:color="auto" w:fill="auto"/>
        <w:ind w:firstLine="480"/>
        <w:rPr>
          <w:rFonts w:hint="eastAsia"/>
          <w:highlight w:val="none"/>
        </w:rPr>
      </w:pPr>
      <w:r>
        <w:rPr>
          <w:rFonts w:hint="eastAsia"/>
          <w:highlight w:val="none"/>
        </w:rPr>
        <w:t>6.担保管理：支持担保金收取、退还、补打及查询，支持多种担保类型配置，实时更新担保金额并与在院费用联动校验。</w:t>
      </w:r>
    </w:p>
    <w:p w14:paraId="541DC658">
      <w:pPr>
        <w:pStyle w:val="12"/>
        <w:shd w:val="clear" w:color="auto" w:fill="auto"/>
        <w:ind w:firstLine="480"/>
        <w:rPr>
          <w:rFonts w:hint="eastAsia"/>
          <w:highlight w:val="none"/>
        </w:rPr>
      </w:pPr>
      <w:r>
        <w:rPr>
          <w:rFonts w:hint="eastAsia"/>
          <w:highlight w:val="none"/>
        </w:rPr>
        <w:t>7.身份变更：支持自费、医保、公费之间相互转换，自动计算报销比例差异，调整费用并上传变更后数据。</w:t>
      </w:r>
    </w:p>
    <w:p w14:paraId="6720D499">
      <w:pPr>
        <w:pStyle w:val="12"/>
        <w:shd w:val="clear" w:color="auto" w:fill="auto"/>
        <w:ind w:firstLine="480"/>
        <w:rPr>
          <w:rFonts w:hint="eastAsia"/>
          <w:highlight w:val="none"/>
        </w:rPr>
      </w:pPr>
      <w:r>
        <w:rPr>
          <w:rFonts w:hint="eastAsia"/>
          <w:highlight w:val="none"/>
        </w:rPr>
        <w:t>8.查询功能：支持通过手动输入或一键带入方式查询在院及出院患者信息，管理历史数据，患者召回或再入院时自动更新信息；页面展示预交金、费用明细、医保清单等全面在院信息。</w:t>
      </w:r>
    </w:p>
    <w:p w14:paraId="26189ACF">
      <w:pPr>
        <w:pStyle w:val="6"/>
        <w:rPr>
          <w:rFonts w:hint="eastAsia"/>
          <w:highlight w:val="none"/>
        </w:rPr>
      </w:pPr>
      <w:bookmarkStart w:id="11" w:name="_Toc197779872"/>
      <w:r>
        <w:rPr>
          <w:rFonts w:hint="eastAsia"/>
          <w:highlight w:val="none"/>
        </w:rPr>
        <w:t>住院收费</w:t>
      </w:r>
      <w:bookmarkEnd w:id="11"/>
      <w:r>
        <w:rPr>
          <w:rFonts w:hint="eastAsia"/>
          <w:highlight w:val="none"/>
        </w:rPr>
        <w:t>子系统</w:t>
      </w:r>
    </w:p>
    <w:p w14:paraId="1217BC8B">
      <w:pPr>
        <w:pStyle w:val="12"/>
        <w:shd w:val="clear" w:color="auto" w:fill="auto"/>
        <w:ind w:firstLine="480"/>
        <w:rPr>
          <w:rFonts w:hint="eastAsia"/>
          <w:highlight w:val="none"/>
        </w:rPr>
      </w:pPr>
      <w:r>
        <w:rPr>
          <w:rFonts w:hint="eastAsia"/>
          <w:highlight w:val="none"/>
        </w:rPr>
        <w:t>住院收费功能涵盖患者入院后药品、非药品及其他项目费用的收取与返还，支持预交金管理、优惠减免、费用查询、催款单及日结清单打印等。</w:t>
      </w:r>
    </w:p>
    <w:p w14:paraId="745F29D3">
      <w:pPr>
        <w:pStyle w:val="12"/>
        <w:shd w:val="clear" w:color="auto" w:fill="auto"/>
        <w:ind w:firstLine="480"/>
        <w:rPr>
          <w:rFonts w:hint="eastAsia"/>
          <w:highlight w:val="none"/>
        </w:rPr>
      </w:pPr>
      <w:r>
        <w:rPr>
          <w:rFonts w:hint="eastAsia"/>
          <w:highlight w:val="none"/>
        </w:rPr>
        <w:t>1.预交金管理：通过住院号、科室、姓名等快速查询患者信息，显示预交金金额及支付方式，支持多种支付方式的收取与原路返还，提供票据补打功能。</w:t>
      </w:r>
    </w:p>
    <w:p w14:paraId="3AB73D5D">
      <w:pPr>
        <w:pStyle w:val="12"/>
        <w:shd w:val="clear" w:color="auto" w:fill="auto"/>
        <w:ind w:firstLine="480"/>
        <w:rPr>
          <w:rFonts w:hint="eastAsia"/>
          <w:highlight w:val="none"/>
        </w:rPr>
      </w:pPr>
      <w:r>
        <w:rPr>
          <w:rFonts w:hint="eastAsia"/>
          <w:highlight w:val="none"/>
        </w:rPr>
        <w:t>2.预交金日结：支持收款员和财务科分别完成个人与全科的日结操作，并具备时段对账功能。</w:t>
      </w:r>
    </w:p>
    <w:p w14:paraId="2F6B9EC8">
      <w:pPr>
        <w:pStyle w:val="12"/>
        <w:shd w:val="clear" w:color="auto" w:fill="auto"/>
        <w:ind w:firstLine="480"/>
        <w:rPr>
          <w:rFonts w:hint="eastAsia"/>
          <w:highlight w:val="none"/>
        </w:rPr>
      </w:pPr>
      <w:r>
        <w:rPr>
          <w:rFonts w:hint="eastAsia"/>
          <w:highlight w:val="none"/>
        </w:rPr>
        <w:t>3.非药品收费：支持手工录入单项、复合及组套项目费用，展示患者基本信息，动态加载收费项目，实现药品、耗材等扣库及收费明细实时更新。</w:t>
      </w:r>
    </w:p>
    <w:p w14:paraId="7DD1202C">
      <w:pPr>
        <w:pStyle w:val="12"/>
        <w:shd w:val="clear" w:color="auto" w:fill="auto"/>
        <w:ind w:firstLine="480"/>
        <w:rPr>
          <w:rFonts w:hint="eastAsia"/>
          <w:highlight w:val="none"/>
        </w:rPr>
      </w:pPr>
      <w:r>
        <w:rPr>
          <w:rFonts w:hint="eastAsia"/>
          <w:highlight w:val="none"/>
        </w:rPr>
        <w:t>4.非药品退费：支持一键退费，包含直接退费、审核退费流程及物资退库等功能。</w:t>
      </w:r>
    </w:p>
    <w:p w14:paraId="74C66F52">
      <w:pPr>
        <w:pStyle w:val="12"/>
        <w:shd w:val="clear" w:color="auto" w:fill="auto"/>
        <w:ind w:firstLine="480"/>
        <w:rPr>
          <w:rFonts w:hint="eastAsia"/>
          <w:highlight w:val="none"/>
        </w:rPr>
      </w:pPr>
      <w:r>
        <w:rPr>
          <w:rFonts w:hint="eastAsia"/>
          <w:highlight w:val="none"/>
        </w:rPr>
        <w:t>5.退费确认：查询待退费项目详情，完成审批确认。</w:t>
      </w:r>
    </w:p>
    <w:p w14:paraId="6B6B5B64">
      <w:pPr>
        <w:pStyle w:val="12"/>
        <w:shd w:val="clear" w:color="auto" w:fill="auto"/>
        <w:ind w:firstLine="480"/>
        <w:rPr>
          <w:rFonts w:hint="eastAsia"/>
          <w:highlight w:val="none"/>
        </w:rPr>
      </w:pPr>
      <w:r>
        <w:rPr>
          <w:rFonts w:hint="eastAsia"/>
          <w:highlight w:val="none"/>
        </w:rPr>
        <w:t>6.催款单打印：自动识别余额低于警戒线的患者，支持一键打印催款单。</w:t>
      </w:r>
    </w:p>
    <w:p w14:paraId="0FDB88EC">
      <w:pPr>
        <w:pStyle w:val="12"/>
        <w:shd w:val="clear" w:color="auto" w:fill="auto"/>
        <w:ind w:firstLine="480"/>
        <w:rPr>
          <w:rFonts w:hint="eastAsia"/>
          <w:highlight w:val="none"/>
        </w:rPr>
      </w:pPr>
      <w:r>
        <w:rPr>
          <w:rFonts w:hint="eastAsia"/>
          <w:highlight w:val="none"/>
        </w:rPr>
        <w:t>7.欠费标准设置：可按全院、病区、科室、个人、合同单位等设置不同警戒线，支持欠费提醒、通知及清单打印。</w:t>
      </w:r>
    </w:p>
    <w:p w14:paraId="0CE00068">
      <w:pPr>
        <w:pStyle w:val="12"/>
        <w:shd w:val="clear" w:color="auto" w:fill="auto"/>
        <w:ind w:firstLine="480"/>
        <w:rPr>
          <w:rFonts w:hint="eastAsia"/>
          <w:highlight w:val="none"/>
        </w:rPr>
      </w:pPr>
      <w:r>
        <w:rPr>
          <w:rFonts w:hint="eastAsia"/>
          <w:highlight w:val="none"/>
        </w:rPr>
        <w:t>8.手工开封帐管理：授权人员可对单个或批量患者进行手工封账、开账操作，封账后禁止费用变更，支持多类警戒线的设置与调整。</w:t>
      </w:r>
    </w:p>
    <w:p w14:paraId="04DD8B25">
      <w:pPr>
        <w:pStyle w:val="12"/>
        <w:shd w:val="clear" w:color="auto" w:fill="auto"/>
        <w:ind w:firstLine="480"/>
        <w:rPr>
          <w:rFonts w:hint="eastAsia"/>
          <w:highlight w:val="none"/>
        </w:rPr>
      </w:pPr>
      <w:r>
        <w:rPr>
          <w:rFonts w:hint="eastAsia"/>
          <w:highlight w:val="none"/>
        </w:rPr>
        <w:t>9.查询功能：提供预交金余额、缴费记录、患者费用明细、日清单等多维度查询与打印。</w:t>
      </w:r>
    </w:p>
    <w:p w14:paraId="00B3F980">
      <w:pPr>
        <w:pStyle w:val="6"/>
        <w:rPr>
          <w:rFonts w:hint="eastAsia"/>
          <w:highlight w:val="none"/>
        </w:rPr>
      </w:pPr>
      <w:bookmarkStart w:id="12" w:name="_Toc197779873"/>
      <w:r>
        <w:rPr>
          <w:rFonts w:hint="eastAsia"/>
          <w:highlight w:val="none"/>
        </w:rPr>
        <w:t>财务结算</w:t>
      </w:r>
      <w:bookmarkEnd w:id="12"/>
      <w:r>
        <w:rPr>
          <w:rFonts w:hint="eastAsia"/>
          <w:highlight w:val="none"/>
        </w:rPr>
        <w:t>子系统</w:t>
      </w:r>
    </w:p>
    <w:p w14:paraId="376A1DA9">
      <w:pPr>
        <w:pStyle w:val="12"/>
        <w:shd w:val="clear" w:color="auto" w:fill="auto"/>
        <w:ind w:firstLine="480"/>
        <w:rPr>
          <w:rFonts w:hint="eastAsia"/>
          <w:highlight w:val="none"/>
        </w:rPr>
      </w:pPr>
      <w:r>
        <w:rPr>
          <w:rFonts w:hint="eastAsia"/>
          <w:highlight w:val="none"/>
        </w:rPr>
        <w:t>财务结算功能包含医院门诊、住院处以及各科室详细收入整理统计，拥有发票开具、票号管理、发票回收和日结审核等功能</w:t>
      </w:r>
      <w:r>
        <w:rPr>
          <w:rFonts w:hint="eastAsia"/>
          <w:highlight w:val="none"/>
        </w:rPr>
        <w:t>。</w:t>
      </w:r>
    </w:p>
    <w:p w14:paraId="46D0100F">
      <w:pPr>
        <w:pStyle w:val="12"/>
        <w:shd w:val="clear" w:color="auto" w:fill="auto"/>
        <w:ind w:firstLine="480"/>
        <w:rPr>
          <w:rFonts w:hint="eastAsia"/>
          <w:highlight w:val="none"/>
        </w:rPr>
      </w:pPr>
      <w:r>
        <w:rPr>
          <w:rFonts w:hint="eastAsia"/>
          <w:highlight w:val="none"/>
        </w:rPr>
        <w:t>1.发票领用</w:t>
      </w:r>
    </w:p>
    <w:p w14:paraId="11CD66DD">
      <w:pPr>
        <w:pStyle w:val="12"/>
        <w:shd w:val="clear" w:color="auto" w:fill="auto"/>
        <w:ind w:firstLine="480"/>
        <w:rPr>
          <w:rFonts w:hint="eastAsia"/>
          <w:highlight w:val="none"/>
        </w:rPr>
      </w:pPr>
      <w:r>
        <w:rPr>
          <w:rFonts w:hint="eastAsia"/>
          <w:highlight w:val="none"/>
        </w:rPr>
        <w:t>系统支持发票号与机器流水号双号管理，发票领用可以使用自定义号段，支持开具增值税专用发票、普票等类型发票开具，可以按个人领用，同时支持发票重打、清单打印等功能，支持发票按科室和人员领用，支持发票前后缀的设置。</w:t>
      </w:r>
    </w:p>
    <w:p w14:paraId="4AE71194">
      <w:pPr>
        <w:pStyle w:val="12"/>
        <w:shd w:val="clear" w:color="auto" w:fill="auto"/>
        <w:ind w:firstLine="480"/>
        <w:rPr>
          <w:rFonts w:hint="eastAsia"/>
          <w:highlight w:val="none"/>
        </w:rPr>
      </w:pPr>
      <w:r>
        <w:rPr>
          <w:rFonts w:hint="eastAsia"/>
          <w:highlight w:val="none"/>
        </w:rPr>
        <w:t>2.发票回收管理</w:t>
      </w:r>
    </w:p>
    <w:p w14:paraId="7EDCB2BB">
      <w:pPr>
        <w:pStyle w:val="12"/>
        <w:shd w:val="clear" w:color="auto" w:fill="auto"/>
        <w:ind w:firstLine="480"/>
        <w:rPr>
          <w:rFonts w:hint="eastAsia"/>
          <w:highlight w:val="none"/>
        </w:rPr>
      </w:pPr>
      <w:r>
        <w:rPr>
          <w:rFonts w:hint="eastAsia"/>
          <w:highlight w:val="none"/>
        </w:rPr>
        <w:t>系统支持按照发票号或流水号进行查询管理，并显示是否支持重打等详细信息，可以对操作员未使用的号段进行回收。</w:t>
      </w:r>
    </w:p>
    <w:p w14:paraId="486D4836">
      <w:pPr>
        <w:pStyle w:val="12"/>
        <w:shd w:val="clear" w:color="auto" w:fill="auto"/>
        <w:ind w:firstLine="480"/>
        <w:rPr>
          <w:rFonts w:hint="eastAsia"/>
          <w:highlight w:val="none"/>
        </w:rPr>
      </w:pPr>
      <w:r>
        <w:rPr>
          <w:rFonts w:hint="eastAsia"/>
          <w:highlight w:val="none"/>
        </w:rPr>
        <w:t>3.日结审核管理</w:t>
      </w:r>
    </w:p>
    <w:p w14:paraId="214E4B6A">
      <w:pPr>
        <w:pStyle w:val="12"/>
        <w:shd w:val="clear" w:color="auto" w:fill="auto"/>
        <w:ind w:firstLine="480"/>
        <w:rPr>
          <w:rFonts w:hint="eastAsia"/>
          <w:highlight w:val="none"/>
        </w:rPr>
      </w:pPr>
      <w:r>
        <w:rPr>
          <w:rFonts w:hint="eastAsia"/>
          <w:highlight w:val="none"/>
        </w:rPr>
        <w:t>可以按照操作员信息对日结数据进行查询显示，对选定的日结信息进行审核。</w:t>
      </w:r>
    </w:p>
    <w:p w14:paraId="7BECC929">
      <w:pPr>
        <w:pStyle w:val="12"/>
        <w:shd w:val="clear" w:color="auto" w:fill="auto"/>
        <w:ind w:firstLine="480"/>
        <w:rPr>
          <w:rFonts w:hint="eastAsia"/>
          <w:highlight w:val="none"/>
        </w:rPr>
      </w:pPr>
      <w:r>
        <w:rPr>
          <w:rFonts w:hint="eastAsia"/>
          <w:highlight w:val="none"/>
        </w:rPr>
        <w:t>4.统计大类维护</w:t>
      </w:r>
    </w:p>
    <w:p w14:paraId="45019225">
      <w:pPr>
        <w:pStyle w:val="12"/>
        <w:shd w:val="clear" w:color="auto" w:fill="auto"/>
        <w:ind w:firstLine="480"/>
        <w:rPr>
          <w:rFonts w:hint="eastAsia"/>
          <w:highlight w:val="none"/>
        </w:rPr>
      </w:pPr>
      <w:r>
        <w:rPr>
          <w:rFonts w:hint="eastAsia"/>
          <w:highlight w:val="none"/>
        </w:rPr>
        <w:t>系统支持维护门诊发票和最小费用的对应关系、维护住院发票和最小费用的对应关系、维护病案和最小费用对应关系、维护自定归类统计与最小费用关系，同时包含门诊发票打印使用、住院发票打印使用、病案首页打印使用、自定义归类查询等多种维护功能。</w:t>
      </w:r>
    </w:p>
    <w:p w14:paraId="47619250">
      <w:pPr>
        <w:pStyle w:val="12"/>
        <w:shd w:val="clear" w:color="auto" w:fill="auto"/>
        <w:ind w:firstLine="480"/>
        <w:rPr>
          <w:rFonts w:hint="eastAsia"/>
          <w:highlight w:val="none"/>
        </w:rPr>
      </w:pPr>
      <w:r>
        <w:rPr>
          <w:rFonts w:hint="eastAsia"/>
          <w:highlight w:val="none"/>
        </w:rPr>
        <w:t>5.发票调号管理</w:t>
      </w:r>
    </w:p>
    <w:p w14:paraId="3764FE2F">
      <w:pPr>
        <w:pStyle w:val="12"/>
        <w:shd w:val="clear" w:color="auto" w:fill="auto"/>
        <w:ind w:firstLine="480"/>
        <w:rPr>
          <w:rFonts w:hint="eastAsia"/>
          <w:highlight w:val="none"/>
        </w:rPr>
      </w:pPr>
      <w:r>
        <w:rPr>
          <w:rFonts w:hint="eastAsia"/>
          <w:highlight w:val="none"/>
        </w:rPr>
        <w:t>按照操作员进行查询显示并指定在用号段，可以按发票类型指定当前使用号，并进行日志记录，支持日志的查询统计。</w:t>
      </w:r>
    </w:p>
    <w:p w14:paraId="27FB2CB1">
      <w:pPr>
        <w:pStyle w:val="12"/>
        <w:shd w:val="clear" w:color="auto" w:fill="auto"/>
        <w:ind w:firstLine="480"/>
        <w:rPr>
          <w:rFonts w:hint="eastAsia"/>
          <w:highlight w:val="none"/>
        </w:rPr>
      </w:pPr>
      <w:r>
        <w:rPr>
          <w:rFonts w:hint="eastAsia"/>
          <w:highlight w:val="none"/>
        </w:rPr>
        <w:t>6.查询统计</w:t>
      </w:r>
    </w:p>
    <w:p w14:paraId="307C958C">
      <w:pPr>
        <w:pStyle w:val="12"/>
        <w:shd w:val="clear" w:color="auto" w:fill="auto"/>
        <w:ind w:firstLine="480"/>
        <w:rPr>
          <w:rFonts w:hint="eastAsia"/>
          <w:highlight w:val="none"/>
        </w:rPr>
      </w:pPr>
      <w:r>
        <w:rPr>
          <w:rFonts w:hint="eastAsia"/>
          <w:highlight w:val="none"/>
        </w:rPr>
        <w:t>门诊收费分项统计：支持查询和统计详细的门诊收费项目名称、金额、合计等信息。</w:t>
      </w:r>
    </w:p>
    <w:p w14:paraId="30CD8872">
      <w:pPr>
        <w:pStyle w:val="12"/>
        <w:shd w:val="clear" w:color="auto" w:fill="auto"/>
        <w:ind w:firstLine="480"/>
        <w:rPr>
          <w:rFonts w:hint="eastAsia"/>
          <w:highlight w:val="none"/>
        </w:rPr>
      </w:pPr>
      <w:r>
        <w:rPr>
          <w:rFonts w:hint="eastAsia"/>
          <w:highlight w:val="none"/>
        </w:rPr>
        <w:t>门诊各科收入统计(月报):支持查询和统计门诊各科室名称、统计类别、合计信息，支持门诊各科收入统计查询等。</w:t>
      </w:r>
    </w:p>
    <w:p w14:paraId="4980DE24">
      <w:pPr>
        <w:pStyle w:val="12"/>
        <w:shd w:val="clear" w:color="auto" w:fill="auto"/>
        <w:ind w:firstLine="480"/>
        <w:rPr>
          <w:rFonts w:hint="eastAsia"/>
          <w:highlight w:val="none"/>
        </w:rPr>
      </w:pPr>
      <w:r>
        <w:rPr>
          <w:rFonts w:hint="eastAsia"/>
          <w:highlight w:val="none"/>
        </w:rPr>
        <w:t>科室挂号收入汇总:支持查询和统计科室名称、挂号级别、挂号人数、收费总计、合计信息等。</w:t>
      </w:r>
    </w:p>
    <w:p w14:paraId="56C9576C">
      <w:pPr>
        <w:pStyle w:val="12"/>
        <w:shd w:val="clear" w:color="auto" w:fill="auto"/>
        <w:ind w:firstLine="480"/>
        <w:rPr>
          <w:rFonts w:hint="eastAsia"/>
          <w:highlight w:val="none"/>
        </w:rPr>
      </w:pPr>
      <w:r>
        <w:rPr>
          <w:rFonts w:hint="eastAsia"/>
          <w:highlight w:val="none"/>
        </w:rPr>
        <w:t>住院收费分项统计:支持查询和统计住院收费项目名称、金额、合计信息等。</w:t>
      </w:r>
    </w:p>
    <w:p w14:paraId="1DC26E7E">
      <w:pPr>
        <w:pStyle w:val="12"/>
        <w:shd w:val="clear" w:color="auto" w:fill="auto"/>
        <w:ind w:firstLine="480"/>
        <w:rPr>
          <w:rFonts w:hint="eastAsia"/>
          <w:highlight w:val="none"/>
        </w:rPr>
      </w:pPr>
      <w:r>
        <w:rPr>
          <w:rFonts w:hint="eastAsia"/>
          <w:highlight w:val="none"/>
        </w:rPr>
        <w:t>结算发票查询:支持查询统计结算患者发票及明细等。</w:t>
      </w:r>
    </w:p>
    <w:p w14:paraId="7B4BD0BD">
      <w:pPr>
        <w:pStyle w:val="12"/>
        <w:shd w:val="clear" w:color="auto" w:fill="auto"/>
        <w:ind w:firstLine="480"/>
        <w:rPr>
          <w:rFonts w:hint="eastAsia"/>
          <w:highlight w:val="none"/>
        </w:rPr>
      </w:pPr>
      <w:r>
        <w:rPr>
          <w:rFonts w:hint="eastAsia"/>
          <w:highlight w:val="none"/>
        </w:rPr>
        <w:t>住院科室收入统计:支持查询统计住院各科室患者的各项收费合计。</w:t>
      </w:r>
    </w:p>
    <w:p w14:paraId="271025EE">
      <w:pPr>
        <w:pStyle w:val="6"/>
        <w:rPr>
          <w:rFonts w:hint="eastAsia"/>
          <w:highlight w:val="none"/>
        </w:rPr>
      </w:pPr>
      <w:bookmarkStart w:id="13" w:name="_Toc197779874"/>
      <w:r>
        <w:rPr>
          <w:rFonts w:hint="eastAsia"/>
          <w:highlight w:val="none"/>
        </w:rPr>
        <w:t>住院结算</w:t>
      </w:r>
      <w:bookmarkEnd w:id="13"/>
      <w:r>
        <w:rPr>
          <w:rFonts w:hint="eastAsia"/>
          <w:highlight w:val="none"/>
        </w:rPr>
        <w:t>子系统</w:t>
      </w:r>
    </w:p>
    <w:p w14:paraId="04B474AA">
      <w:pPr>
        <w:pStyle w:val="12"/>
        <w:shd w:val="clear" w:color="auto" w:fill="auto"/>
        <w:ind w:firstLine="480"/>
        <w:rPr>
          <w:rFonts w:hint="eastAsia"/>
          <w:highlight w:val="none"/>
        </w:rPr>
      </w:pPr>
      <w:r>
        <w:rPr>
          <w:rFonts w:hint="eastAsia"/>
          <w:highlight w:val="none"/>
        </w:rPr>
        <w:t>住院结算功能涵盖出院结算、中途结算、欠费结算、结算召回及统计查询，支持在院与出院患者信息整合，满足多场景、多阶段结算需求，并支持收据与清单打印。</w:t>
      </w:r>
    </w:p>
    <w:p w14:paraId="271360EC">
      <w:pPr>
        <w:pStyle w:val="12"/>
        <w:shd w:val="clear" w:color="auto" w:fill="auto"/>
        <w:ind w:firstLine="480"/>
        <w:rPr>
          <w:rFonts w:hint="eastAsia"/>
          <w:highlight w:val="none"/>
        </w:rPr>
      </w:pPr>
      <w:r>
        <w:rPr>
          <w:rFonts w:hint="eastAsia"/>
          <w:highlight w:val="none"/>
        </w:rPr>
        <w:t>1.中途结算</w:t>
      </w:r>
    </w:p>
    <w:p w14:paraId="66535FC4">
      <w:pPr>
        <w:pStyle w:val="12"/>
        <w:shd w:val="clear" w:color="auto" w:fill="auto"/>
        <w:ind w:firstLine="480"/>
        <w:rPr>
          <w:rFonts w:hint="eastAsia"/>
          <w:highlight w:val="none"/>
        </w:rPr>
      </w:pPr>
      <w:r>
        <w:rPr>
          <w:rFonts w:hint="eastAsia"/>
          <w:highlight w:val="none"/>
        </w:rPr>
        <w:t>通过住院号一键导入患者信息，显示全部费用项目，支持住院期间阶段性结算，可调用收费接口，实现多种支付方式结算并打印收据，同时支持手工定额结算。包括：</w:t>
      </w:r>
    </w:p>
    <w:p w14:paraId="54DA53DB">
      <w:pPr>
        <w:pStyle w:val="12"/>
        <w:shd w:val="clear" w:color="auto" w:fill="auto"/>
        <w:ind w:firstLine="480"/>
        <w:rPr>
          <w:rFonts w:hint="eastAsia"/>
          <w:highlight w:val="none"/>
        </w:rPr>
      </w:pPr>
      <w:r>
        <w:rPr>
          <w:rFonts w:hint="eastAsia"/>
          <w:highlight w:val="none"/>
        </w:rPr>
        <w:t>（1）一次在院多个订单分次结算：患者可自由组合费用，分批结算。</w:t>
      </w:r>
    </w:p>
    <w:p w14:paraId="4B6C11DA">
      <w:pPr>
        <w:pStyle w:val="12"/>
        <w:shd w:val="clear" w:color="auto" w:fill="auto"/>
        <w:ind w:firstLine="480"/>
        <w:rPr>
          <w:rFonts w:hint="eastAsia"/>
          <w:highlight w:val="none"/>
        </w:rPr>
      </w:pPr>
      <w:r>
        <w:rPr>
          <w:rFonts w:hint="eastAsia"/>
          <w:highlight w:val="none"/>
        </w:rPr>
        <w:t>（2）医保患者结算：支持中途结算，自动计算报销金额与比例。</w:t>
      </w:r>
    </w:p>
    <w:p w14:paraId="6CB98225">
      <w:pPr>
        <w:pStyle w:val="12"/>
        <w:shd w:val="clear" w:color="auto" w:fill="auto"/>
        <w:ind w:firstLine="480"/>
        <w:rPr>
          <w:rFonts w:hint="eastAsia"/>
          <w:highlight w:val="none"/>
        </w:rPr>
      </w:pPr>
      <w:r>
        <w:rPr>
          <w:rFonts w:hint="eastAsia"/>
          <w:highlight w:val="none"/>
        </w:rPr>
        <w:t>（3）定额与定时结算：按金额或时间灵活生成结算订单。</w:t>
      </w:r>
    </w:p>
    <w:p w14:paraId="1F308DB6">
      <w:pPr>
        <w:pStyle w:val="12"/>
        <w:shd w:val="clear" w:color="auto" w:fill="auto"/>
        <w:ind w:firstLine="480"/>
        <w:rPr>
          <w:rFonts w:hint="eastAsia"/>
          <w:highlight w:val="none"/>
        </w:rPr>
      </w:pPr>
      <w:r>
        <w:rPr>
          <w:rFonts w:hint="eastAsia"/>
          <w:highlight w:val="none"/>
        </w:rPr>
        <w:t>（4）多种支付方式：支持主流支付方式并可个性化配置。</w:t>
      </w:r>
    </w:p>
    <w:p w14:paraId="428646BA">
      <w:pPr>
        <w:pStyle w:val="12"/>
        <w:shd w:val="clear" w:color="auto" w:fill="auto"/>
        <w:ind w:firstLine="480"/>
        <w:rPr>
          <w:rFonts w:hint="eastAsia"/>
          <w:highlight w:val="none"/>
        </w:rPr>
      </w:pPr>
      <w:r>
        <w:rPr>
          <w:rFonts w:hint="eastAsia"/>
          <w:highlight w:val="none"/>
        </w:rPr>
        <w:t>（5）混合支付：支持如微信+支付宝等组合支付。</w:t>
      </w:r>
    </w:p>
    <w:p w14:paraId="61BE7CFC">
      <w:pPr>
        <w:pStyle w:val="12"/>
        <w:shd w:val="clear" w:color="auto" w:fill="auto"/>
        <w:ind w:firstLine="480"/>
        <w:rPr>
          <w:rFonts w:hint="eastAsia"/>
          <w:highlight w:val="none"/>
        </w:rPr>
      </w:pPr>
      <w:r>
        <w:rPr>
          <w:rFonts w:hint="eastAsia"/>
          <w:highlight w:val="none"/>
        </w:rPr>
        <w:t>（6）发票与清单打印：自动打印结算发票和费用明细。</w:t>
      </w:r>
    </w:p>
    <w:p w14:paraId="0C1DF419">
      <w:pPr>
        <w:pStyle w:val="12"/>
        <w:shd w:val="clear" w:color="auto" w:fill="auto"/>
        <w:ind w:firstLine="480"/>
        <w:rPr>
          <w:rFonts w:hint="eastAsia"/>
          <w:highlight w:val="none"/>
        </w:rPr>
      </w:pPr>
      <w:r>
        <w:rPr>
          <w:rFonts w:hint="eastAsia"/>
          <w:highlight w:val="none"/>
        </w:rPr>
        <w:t>2.出院结算</w:t>
      </w:r>
    </w:p>
    <w:p w14:paraId="70C28789">
      <w:pPr>
        <w:pStyle w:val="12"/>
        <w:shd w:val="clear" w:color="auto" w:fill="auto"/>
        <w:ind w:firstLine="480"/>
        <w:rPr>
          <w:rFonts w:hint="eastAsia"/>
          <w:highlight w:val="none"/>
        </w:rPr>
      </w:pPr>
      <w:r>
        <w:rPr>
          <w:rFonts w:hint="eastAsia"/>
          <w:highlight w:val="none"/>
        </w:rPr>
        <w:t>通过住院号导入信息，展示所有收费明细，调用审核后的减免数据，支持银联、储值卡、医保等多种支付方式完成结算并打印收据。</w:t>
      </w:r>
    </w:p>
    <w:p w14:paraId="1A2DD912">
      <w:pPr>
        <w:pStyle w:val="12"/>
        <w:shd w:val="clear" w:color="auto" w:fill="auto"/>
        <w:ind w:firstLine="480"/>
        <w:rPr>
          <w:rFonts w:hint="eastAsia"/>
          <w:highlight w:val="none"/>
        </w:rPr>
      </w:pPr>
      <w:r>
        <w:rPr>
          <w:rFonts w:hint="eastAsia"/>
          <w:highlight w:val="none"/>
        </w:rPr>
        <w:t>▲支持二次结算差额显示，做到一结一清，不影响上次结算信息，收款员不需要自己重新计算收退款差额。</w:t>
      </w:r>
    </w:p>
    <w:p w14:paraId="62280CDA">
      <w:pPr>
        <w:pStyle w:val="12"/>
        <w:shd w:val="clear" w:color="auto" w:fill="auto"/>
        <w:ind w:firstLine="480"/>
        <w:rPr>
          <w:rFonts w:hint="eastAsia"/>
          <w:highlight w:val="none"/>
        </w:rPr>
      </w:pPr>
      <w:r>
        <w:rPr>
          <w:rFonts w:hint="eastAsia"/>
          <w:highlight w:val="none"/>
        </w:rPr>
        <w:t>3.欠费结算</w:t>
      </w:r>
    </w:p>
    <w:p w14:paraId="66D74EA9">
      <w:pPr>
        <w:pStyle w:val="12"/>
        <w:shd w:val="clear" w:color="auto" w:fill="auto"/>
        <w:ind w:firstLine="480"/>
        <w:rPr>
          <w:rFonts w:hint="eastAsia"/>
          <w:highlight w:val="none"/>
        </w:rPr>
      </w:pPr>
      <w:r>
        <w:rPr>
          <w:rFonts w:hint="eastAsia"/>
          <w:highlight w:val="none"/>
        </w:rPr>
        <w:t>支持对欠费患者进行结算，可查询维护欠费信息，在未补全费用情况下完成结算，保留票据打印功能，发票与清单自动打印。</w:t>
      </w:r>
    </w:p>
    <w:p w14:paraId="4F02AF9F">
      <w:pPr>
        <w:pStyle w:val="12"/>
        <w:shd w:val="clear" w:color="auto" w:fill="auto"/>
        <w:ind w:firstLine="480"/>
        <w:rPr>
          <w:rFonts w:hint="eastAsia"/>
          <w:highlight w:val="none"/>
        </w:rPr>
      </w:pPr>
      <w:r>
        <w:rPr>
          <w:rFonts w:hint="eastAsia"/>
          <w:highlight w:val="none"/>
        </w:rPr>
        <w:t>4.结算召回</w:t>
      </w:r>
    </w:p>
    <w:p w14:paraId="1AEB0B9E">
      <w:pPr>
        <w:pStyle w:val="12"/>
        <w:shd w:val="clear" w:color="auto" w:fill="auto"/>
        <w:ind w:firstLine="480"/>
        <w:rPr>
          <w:rFonts w:hint="eastAsia"/>
          <w:highlight w:val="none"/>
        </w:rPr>
      </w:pPr>
      <w:r>
        <w:rPr>
          <w:rFonts w:hint="eastAsia"/>
          <w:highlight w:val="none"/>
        </w:rPr>
        <w:t>可撤销已执行的中途、出院或欠费结算，按票据号查询历史记录，操作员召回后自动记录返还金额，将结算状态撤回至出院登记，支持发票与结算信息自动作废。</w:t>
      </w:r>
    </w:p>
    <w:p w14:paraId="25353DEB">
      <w:pPr>
        <w:pStyle w:val="12"/>
        <w:shd w:val="clear" w:color="auto" w:fill="auto"/>
        <w:ind w:firstLine="480"/>
        <w:rPr>
          <w:rFonts w:hint="eastAsia"/>
          <w:highlight w:val="none"/>
        </w:rPr>
      </w:pPr>
      <w:r>
        <w:rPr>
          <w:rFonts w:hint="eastAsia"/>
          <w:highlight w:val="none"/>
        </w:rPr>
        <w:t>5.操作员日结</w:t>
      </w:r>
    </w:p>
    <w:p w14:paraId="1898F6FF">
      <w:pPr>
        <w:pStyle w:val="12"/>
        <w:shd w:val="clear" w:color="auto" w:fill="auto"/>
        <w:ind w:firstLine="480"/>
        <w:rPr>
          <w:rFonts w:hint="eastAsia"/>
          <w:highlight w:val="none"/>
        </w:rPr>
      </w:pPr>
      <w:r>
        <w:rPr>
          <w:rFonts w:hint="eastAsia"/>
          <w:highlight w:val="none"/>
        </w:rPr>
        <w:t>汇总预交金、在院及出院患者费用、退款等数据，包含：</w:t>
      </w:r>
    </w:p>
    <w:p w14:paraId="3A46FDAD">
      <w:pPr>
        <w:pStyle w:val="12"/>
        <w:shd w:val="clear" w:color="auto" w:fill="auto"/>
        <w:ind w:firstLine="480"/>
        <w:rPr>
          <w:rFonts w:hint="eastAsia"/>
          <w:highlight w:val="none"/>
        </w:rPr>
      </w:pPr>
      <w:r>
        <w:rPr>
          <w:rFonts w:hint="eastAsia"/>
          <w:highlight w:val="none"/>
        </w:rPr>
        <w:t>（1）收款员日结：结清当日预交金收支。</w:t>
      </w:r>
    </w:p>
    <w:p w14:paraId="288160E1">
      <w:pPr>
        <w:pStyle w:val="12"/>
        <w:shd w:val="clear" w:color="auto" w:fill="auto"/>
        <w:ind w:firstLine="480"/>
        <w:rPr>
          <w:rFonts w:hint="eastAsia"/>
          <w:highlight w:val="none"/>
        </w:rPr>
      </w:pPr>
      <w:r>
        <w:rPr>
          <w:rFonts w:hint="eastAsia"/>
          <w:highlight w:val="none"/>
        </w:rPr>
        <w:t>（2）财务科日结：财务负责人汇总全科室预交金收返情况。</w:t>
      </w:r>
    </w:p>
    <w:p w14:paraId="11CFD6D0">
      <w:pPr>
        <w:pStyle w:val="12"/>
        <w:shd w:val="clear" w:color="auto" w:fill="auto"/>
        <w:ind w:firstLine="480"/>
        <w:rPr>
          <w:rFonts w:hint="eastAsia"/>
          <w:highlight w:val="none"/>
        </w:rPr>
      </w:pPr>
      <w:r>
        <w:rPr>
          <w:rFonts w:hint="eastAsia"/>
          <w:highlight w:val="none"/>
        </w:rPr>
        <w:t>（3）预交金对账：对指定时段内预交金进行核对。</w:t>
      </w:r>
    </w:p>
    <w:p w14:paraId="5F2661BE">
      <w:pPr>
        <w:pStyle w:val="12"/>
        <w:shd w:val="clear" w:color="auto" w:fill="auto"/>
        <w:ind w:firstLine="480"/>
        <w:rPr>
          <w:rFonts w:hint="eastAsia"/>
          <w:highlight w:val="none"/>
        </w:rPr>
      </w:pPr>
      <w:r>
        <w:rPr>
          <w:rFonts w:hint="eastAsia"/>
          <w:highlight w:val="none"/>
        </w:rPr>
        <w:t>6.查询统计</w:t>
      </w:r>
    </w:p>
    <w:p w14:paraId="21F4DBF1">
      <w:pPr>
        <w:pStyle w:val="12"/>
        <w:shd w:val="clear" w:color="auto" w:fill="auto"/>
        <w:ind w:firstLine="480"/>
        <w:rPr>
          <w:rFonts w:hint="eastAsia"/>
          <w:highlight w:val="none"/>
        </w:rPr>
      </w:pPr>
      <w:r>
        <w:rPr>
          <w:rFonts w:hint="eastAsia"/>
          <w:highlight w:val="none"/>
        </w:rPr>
        <w:t>提供预交金查询（可打印）、住院发票查询、出院患者费用清单查询等功能。</w:t>
      </w:r>
    </w:p>
    <w:p w14:paraId="19216B68">
      <w:pPr>
        <w:pStyle w:val="6"/>
        <w:rPr>
          <w:rFonts w:hint="eastAsia"/>
          <w:highlight w:val="none"/>
        </w:rPr>
      </w:pPr>
      <w:bookmarkStart w:id="14" w:name="_Toc197779875"/>
      <w:r>
        <w:rPr>
          <w:rFonts w:hint="eastAsia"/>
          <w:highlight w:val="none"/>
        </w:rPr>
        <w:t>药库管理</w:t>
      </w:r>
      <w:bookmarkEnd w:id="14"/>
      <w:r>
        <w:rPr>
          <w:rFonts w:hint="eastAsia"/>
          <w:highlight w:val="none"/>
        </w:rPr>
        <w:t>子系统</w:t>
      </w:r>
    </w:p>
    <w:p w14:paraId="30F827D6">
      <w:pPr>
        <w:pStyle w:val="12"/>
        <w:shd w:val="clear" w:color="auto" w:fill="auto"/>
        <w:ind w:firstLine="480"/>
        <w:rPr>
          <w:rFonts w:hint="eastAsia"/>
          <w:highlight w:val="none"/>
        </w:rPr>
      </w:pPr>
      <w:r>
        <w:rPr>
          <w:rFonts w:hint="eastAsia"/>
          <w:highlight w:val="none"/>
        </w:rPr>
        <w:t>药库管理子系统涵盖药品出入库、采购、库存管理及基础信息维护等功能。</w:t>
      </w:r>
    </w:p>
    <w:p w14:paraId="6449E7E1">
      <w:pPr>
        <w:pStyle w:val="12"/>
        <w:shd w:val="clear" w:color="auto" w:fill="auto"/>
        <w:ind w:firstLine="480"/>
        <w:rPr>
          <w:rFonts w:hint="eastAsia"/>
          <w:highlight w:val="none"/>
        </w:rPr>
      </w:pPr>
      <w:r>
        <w:rPr>
          <w:rFonts w:hint="eastAsia"/>
          <w:highlight w:val="none"/>
        </w:rPr>
        <w:t>1.基础信息维护</w:t>
      </w:r>
    </w:p>
    <w:p w14:paraId="32570317">
      <w:pPr>
        <w:pStyle w:val="12"/>
        <w:shd w:val="clear" w:color="auto" w:fill="auto"/>
        <w:ind w:firstLine="480"/>
        <w:rPr>
          <w:rFonts w:hint="eastAsia"/>
          <w:highlight w:val="none"/>
        </w:rPr>
      </w:pPr>
      <w:r>
        <w:rPr>
          <w:rFonts w:hint="eastAsia"/>
          <w:highlight w:val="none"/>
        </w:rPr>
        <w:t>系统支持药品字典管理，包括名称、厂家、规格、价格、用法、批文等信息，并对毒麻药、精神类药、贵重药、院内制剂等特殊药品进行分类管控。提供科室、常数、药理作用、供货商、生产厂家、参数设置、特限药品、多级单位、部门库存属性、人员权限、抗菌药物及管理模板的维护功能，支持协定处方及其包装管理，以及自制剂的全流程跟踪。</w:t>
      </w:r>
    </w:p>
    <w:p w14:paraId="48274BF2">
      <w:pPr>
        <w:pStyle w:val="12"/>
        <w:shd w:val="clear" w:color="auto" w:fill="auto"/>
        <w:ind w:firstLine="480"/>
        <w:rPr>
          <w:rFonts w:hint="eastAsia"/>
          <w:highlight w:val="none"/>
        </w:rPr>
      </w:pPr>
      <w:r>
        <w:rPr>
          <w:rFonts w:hint="eastAsia"/>
          <w:highlight w:val="none"/>
        </w:rPr>
        <w:t>2.入出库管理</w:t>
      </w:r>
    </w:p>
    <w:p w14:paraId="0303C3D8">
      <w:pPr>
        <w:pStyle w:val="12"/>
        <w:shd w:val="clear" w:color="auto" w:fill="auto"/>
        <w:ind w:firstLine="480"/>
        <w:rPr>
          <w:rFonts w:hint="eastAsia"/>
          <w:highlight w:val="none"/>
        </w:rPr>
      </w:pPr>
      <w:r>
        <w:rPr>
          <w:rFonts w:hint="eastAsia"/>
          <w:highlight w:val="none"/>
        </w:rPr>
        <w:t>支持手动生成或基于警戒线和消耗量自动生成入库计划，并据此生成可拆分至不同供应商的采购计划。入库类型包括SPD直入、正常入库、发票入库、核准入库、特殊入库、退货、外部申请、即入即出及调价冲正等；出库类型涵盖正常出库、审批出库、调拨、报损、退库、借还药等，支持手动录入或自动接收HIS领药单。系统提供单据补打、供货商结存与付款统计功能，实现财务数据同步与对账支持。</w:t>
      </w:r>
    </w:p>
    <w:p w14:paraId="1D7B6949">
      <w:pPr>
        <w:pStyle w:val="12"/>
        <w:shd w:val="clear" w:color="auto" w:fill="auto"/>
        <w:ind w:firstLine="480"/>
        <w:rPr>
          <w:rFonts w:hint="eastAsia"/>
          <w:highlight w:val="none"/>
        </w:rPr>
      </w:pPr>
      <w:r>
        <w:rPr>
          <w:rFonts w:hint="eastAsia"/>
          <w:highlight w:val="none"/>
        </w:rPr>
        <w:t>3.在库管理</w:t>
      </w:r>
    </w:p>
    <w:p w14:paraId="4ACE5787">
      <w:pPr>
        <w:pStyle w:val="12"/>
        <w:shd w:val="clear" w:color="auto" w:fill="auto"/>
        <w:ind w:firstLine="480"/>
        <w:rPr>
          <w:rFonts w:hint="eastAsia"/>
          <w:highlight w:val="none"/>
        </w:rPr>
      </w:pPr>
      <w:r>
        <w:rPr>
          <w:rFonts w:hint="eastAsia"/>
          <w:highlight w:val="none"/>
        </w:rPr>
        <w:t>具备库存盘点功能，支持全盘或抽盘，生成差异报告并指导调整；对高风险药品实行按批号盘点，实现质量追溯。支持药品调价操作，自动更新库存价值并与全院系统同步。提供库存一览、多条件查询、警戒线设置、账页管理、停用标记、出入库明细查询、库存与有效期报警、货位维护等功能。每月自动完成月结处理并生成统计报表，支持月结数据校对。</w:t>
      </w:r>
    </w:p>
    <w:p w14:paraId="6544FD94">
      <w:pPr>
        <w:pStyle w:val="12"/>
        <w:shd w:val="clear" w:color="auto" w:fill="auto"/>
        <w:ind w:firstLine="480"/>
        <w:rPr>
          <w:rFonts w:hint="eastAsia"/>
          <w:highlight w:val="none"/>
        </w:rPr>
      </w:pPr>
      <w:r>
        <w:rPr>
          <w:rFonts w:hint="eastAsia"/>
          <w:highlight w:val="none"/>
        </w:rPr>
        <w:t>4.采购管理</w:t>
      </w:r>
    </w:p>
    <w:p w14:paraId="1EEE5D0A">
      <w:pPr>
        <w:pStyle w:val="12"/>
        <w:shd w:val="clear" w:color="auto" w:fill="auto"/>
        <w:ind w:firstLine="480"/>
        <w:rPr>
          <w:rFonts w:hint="eastAsia"/>
          <w:highlight w:val="none"/>
        </w:rPr>
      </w:pPr>
      <w:r>
        <w:rPr>
          <w:rFonts w:hint="eastAsia"/>
          <w:highlight w:val="none"/>
        </w:rPr>
        <w:t>可自动生成采购计划与采购单，支持审核后直接推送至SPD系统</w:t>
      </w:r>
      <w:r>
        <w:rPr>
          <w:rFonts w:hint="eastAsia"/>
          <w:highlight w:val="none"/>
        </w:rPr>
        <w:t>。</w:t>
      </w:r>
    </w:p>
    <w:p w14:paraId="5BDF5B59">
      <w:pPr>
        <w:pStyle w:val="12"/>
        <w:shd w:val="clear" w:color="auto" w:fill="auto"/>
        <w:ind w:firstLine="480"/>
        <w:rPr>
          <w:rFonts w:hint="eastAsia"/>
          <w:highlight w:val="none"/>
        </w:rPr>
      </w:pPr>
      <w:r>
        <w:rPr>
          <w:rFonts w:hint="eastAsia"/>
          <w:highlight w:val="none"/>
        </w:rPr>
        <w:t>5.查询统计</w:t>
      </w:r>
    </w:p>
    <w:p w14:paraId="3674F36E">
      <w:pPr>
        <w:pStyle w:val="12"/>
        <w:shd w:val="clear" w:color="auto" w:fill="auto"/>
        <w:ind w:firstLine="480"/>
        <w:rPr>
          <w:rFonts w:hint="eastAsia"/>
          <w:highlight w:val="none"/>
        </w:rPr>
      </w:pPr>
      <w:r>
        <w:rPr>
          <w:rFonts w:hint="eastAsia"/>
          <w:highlight w:val="none"/>
        </w:rPr>
        <w:t>提供入库、出库、盘点、调价、调拨、报损、退药等各类明细查询及月结报表，支持抗菌药物专项统计分析。</w:t>
      </w:r>
    </w:p>
    <w:p w14:paraId="085D4E0A">
      <w:pPr>
        <w:pStyle w:val="12"/>
        <w:shd w:val="clear" w:color="auto" w:fill="auto"/>
        <w:ind w:firstLine="480"/>
        <w:rPr>
          <w:rFonts w:hint="eastAsia"/>
          <w:highlight w:val="none"/>
        </w:rPr>
      </w:pPr>
      <w:r>
        <w:rPr>
          <w:rFonts w:hint="eastAsia"/>
          <w:highlight w:val="none"/>
        </w:rPr>
        <w:t>6.药品带量采购管理</w:t>
      </w:r>
    </w:p>
    <w:p w14:paraId="1C966D22">
      <w:pPr>
        <w:pStyle w:val="12"/>
        <w:shd w:val="clear" w:color="auto" w:fill="auto"/>
        <w:ind w:firstLine="480"/>
        <w:rPr>
          <w:rFonts w:hint="eastAsia"/>
          <w:highlight w:val="none"/>
        </w:rPr>
      </w:pPr>
      <w:r>
        <w:rPr>
          <w:rFonts w:hint="eastAsia"/>
          <w:highlight w:val="none"/>
        </w:rPr>
        <w:t>精准维护集采药品信息，符合国家医保标准，具备数据校验与预警机制；智能关联集采与临采药品，优化采购比例，实时监控库存；提供多维度销售统计与报表，支撑采购决策与医保谈判，并支持与医保平台数据共享。</w:t>
      </w:r>
    </w:p>
    <w:p w14:paraId="46C55179">
      <w:pPr>
        <w:pStyle w:val="6"/>
        <w:rPr>
          <w:rFonts w:hint="eastAsia"/>
          <w:highlight w:val="none"/>
        </w:rPr>
      </w:pPr>
      <w:bookmarkStart w:id="15" w:name="_Toc197779876"/>
      <w:r>
        <w:rPr>
          <w:rFonts w:hint="eastAsia"/>
          <w:highlight w:val="none"/>
        </w:rPr>
        <w:t>门诊药房</w:t>
      </w:r>
      <w:bookmarkEnd w:id="15"/>
      <w:r>
        <w:rPr>
          <w:rFonts w:hint="eastAsia"/>
          <w:highlight w:val="none"/>
        </w:rPr>
        <w:t>管理子系统</w:t>
      </w:r>
    </w:p>
    <w:p w14:paraId="1593B871">
      <w:pPr>
        <w:pStyle w:val="12"/>
        <w:shd w:val="clear" w:color="auto" w:fill="auto"/>
        <w:ind w:firstLine="480"/>
        <w:rPr>
          <w:rFonts w:hint="eastAsia"/>
          <w:highlight w:val="none"/>
        </w:rPr>
      </w:pPr>
      <w:r>
        <w:rPr>
          <w:rFonts w:hint="eastAsia"/>
          <w:highlight w:val="none"/>
        </w:rPr>
        <w:t>门诊药房管理子系统集成发药、退药、处方打印、用药指导、药品管理、盘点、出入库等功能</w:t>
      </w:r>
      <w:r>
        <w:rPr>
          <w:rFonts w:hint="eastAsia"/>
          <w:highlight w:val="none"/>
        </w:rPr>
        <w:t>。</w:t>
      </w:r>
    </w:p>
    <w:p w14:paraId="373A8A58">
      <w:pPr>
        <w:pStyle w:val="12"/>
        <w:shd w:val="clear" w:color="auto" w:fill="auto"/>
        <w:ind w:firstLine="480"/>
        <w:rPr>
          <w:rFonts w:hint="eastAsia"/>
          <w:highlight w:val="none"/>
        </w:rPr>
      </w:pPr>
      <w:r>
        <w:rPr>
          <w:rFonts w:hint="eastAsia"/>
          <w:highlight w:val="none"/>
        </w:rPr>
        <w:t>1.信息维护：支持对特殊配药窗口（如麻醉药、精神药品窗口或绿色通道）的属性设置与维护。</w:t>
      </w:r>
    </w:p>
    <w:p w14:paraId="57DFDA8F">
      <w:pPr>
        <w:pStyle w:val="12"/>
        <w:shd w:val="clear" w:color="auto" w:fill="auto"/>
        <w:ind w:firstLine="480"/>
        <w:rPr>
          <w:rFonts w:hint="eastAsia"/>
          <w:highlight w:val="none"/>
        </w:rPr>
      </w:pPr>
      <w:r>
        <w:rPr>
          <w:rFonts w:hint="eastAsia"/>
          <w:highlight w:val="none"/>
        </w:rPr>
        <w:t>2.发药管理：提供自动调剂与手工发药两种模式。自动模式按规则分配处方至配药台，经核对后完成发放；手工模式通过输入发票号等调取处方，应对系统故障或特殊需求。支持代发药功能，跨药房代发并实时扣减库存。可分设配药与发药环节，或采用直接发药模式加快流程，并支持处方、用药指导及煎药凭证打印</w:t>
      </w:r>
      <w:r>
        <w:rPr>
          <w:rFonts w:hint="eastAsia"/>
          <w:highlight w:val="none"/>
        </w:rPr>
        <w:t>。</w:t>
      </w:r>
    </w:p>
    <w:p w14:paraId="119E5CA5">
      <w:pPr>
        <w:pStyle w:val="12"/>
        <w:shd w:val="clear" w:color="auto" w:fill="auto"/>
        <w:ind w:firstLine="480"/>
        <w:rPr>
          <w:rFonts w:hint="eastAsia"/>
          <w:highlight w:val="none"/>
        </w:rPr>
      </w:pPr>
      <w:r>
        <w:rPr>
          <w:rFonts w:hint="eastAsia"/>
          <w:highlight w:val="none"/>
        </w:rPr>
        <w:t>3.退药处理：录入发票号即可查看待退药品，支持全退或半退，系统自动调整库存与财务数据</w:t>
      </w:r>
      <w:r>
        <w:rPr>
          <w:rFonts w:hint="eastAsia"/>
          <w:highlight w:val="none"/>
        </w:rPr>
        <w:t>。</w:t>
      </w:r>
    </w:p>
    <w:p w14:paraId="2A8EFE39">
      <w:pPr>
        <w:pStyle w:val="12"/>
        <w:shd w:val="clear" w:color="auto" w:fill="auto"/>
        <w:ind w:firstLine="480"/>
        <w:rPr>
          <w:rFonts w:hint="eastAsia"/>
          <w:highlight w:val="none"/>
        </w:rPr>
      </w:pPr>
      <w:r>
        <w:rPr>
          <w:rFonts w:hint="eastAsia"/>
          <w:highlight w:val="none"/>
        </w:rPr>
        <w:t>4.药房管理：可根据实际消耗生成领药申请并传送至药库</w:t>
      </w:r>
      <w:r>
        <w:rPr>
          <w:rFonts w:hint="eastAsia"/>
          <w:highlight w:val="none"/>
        </w:rPr>
        <w:t>；</w:t>
      </w:r>
      <w:r>
        <w:rPr>
          <w:rFonts w:hint="eastAsia"/>
          <w:highlight w:val="none"/>
        </w:rPr>
        <w:t>支持多药房统一管理，具备进销存功能，并可查询任意时段患者处方，助力药品追溯与临床分析。</w:t>
      </w:r>
    </w:p>
    <w:p w14:paraId="5CCEC108">
      <w:pPr>
        <w:pStyle w:val="12"/>
        <w:shd w:val="clear" w:color="auto" w:fill="auto"/>
        <w:ind w:firstLine="480"/>
        <w:rPr>
          <w:rFonts w:hint="eastAsia"/>
          <w:highlight w:val="none"/>
        </w:rPr>
      </w:pPr>
      <w:r>
        <w:rPr>
          <w:rFonts w:hint="eastAsia"/>
          <w:highlight w:val="none"/>
        </w:rPr>
        <w:t>5.查询统计：提供处方、工作量、发退药量等多维度统计功能。</w:t>
      </w:r>
    </w:p>
    <w:p w14:paraId="6CD7D28F">
      <w:pPr>
        <w:pStyle w:val="12"/>
        <w:shd w:val="clear" w:color="auto" w:fill="auto"/>
        <w:ind w:firstLine="480"/>
        <w:rPr>
          <w:rFonts w:hint="eastAsia"/>
          <w:highlight w:val="none"/>
        </w:rPr>
      </w:pPr>
      <w:r>
        <w:rPr>
          <w:rFonts w:hint="eastAsia"/>
          <w:highlight w:val="none"/>
        </w:rPr>
        <w:t>6.排队叫号：缴费后自动生成取药序号，大屏显示并语音提醒，按序发药。</w:t>
      </w:r>
    </w:p>
    <w:p w14:paraId="1A289FAD">
      <w:pPr>
        <w:pStyle w:val="12"/>
        <w:shd w:val="clear" w:color="auto" w:fill="auto"/>
        <w:ind w:firstLine="480"/>
        <w:rPr>
          <w:rFonts w:hint="eastAsia"/>
          <w:highlight w:val="none"/>
        </w:rPr>
      </w:pPr>
      <w:r>
        <w:rPr>
          <w:rFonts w:hint="eastAsia"/>
          <w:highlight w:val="none"/>
        </w:rPr>
        <w:t>7.药品明细账：全程跟踪药品从入库到患者使用的流向，支撑科学采购与精细化管理。</w:t>
      </w:r>
    </w:p>
    <w:p w14:paraId="39E08999">
      <w:pPr>
        <w:pStyle w:val="12"/>
        <w:shd w:val="clear" w:color="auto" w:fill="auto"/>
        <w:ind w:firstLine="480"/>
        <w:rPr>
          <w:rFonts w:hint="eastAsia"/>
          <w:highlight w:val="none"/>
        </w:rPr>
      </w:pPr>
      <w:r>
        <w:rPr>
          <w:rFonts w:hint="eastAsia"/>
          <w:highlight w:val="none"/>
        </w:rPr>
        <w:t>8.预扣管理：处方开具后即预扣药品费用与库存，防止缺药，确保收费准确，实现药流与资金流同步。</w:t>
      </w:r>
    </w:p>
    <w:p w14:paraId="050A8952">
      <w:pPr>
        <w:pStyle w:val="12"/>
        <w:shd w:val="clear" w:color="auto" w:fill="auto"/>
        <w:ind w:firstLine="480"/>
        <w:rPr>
          <w:rFonts w:hint="eastAsia"/>
          <w:highlight w:val="none"/>
        </w:rPr>
      </w:pPr>
      <w:r>
        <w:rPr>
          <w:rFonts w:hint="eastAsia"/>
          <w:highlight w:val="none"/>
        </w:rPr>
        <w:t>9.麻精药品登记：详细记录麻醉、精神药品的使用与流向，确保合规可查。</w:t>
      </w:r>
    </w:p>
    <w:p w14:paraId="59A79F47">
      <w:pPr>
        <w:pStyle w:val="12"/>
        <w:shd w:val="clear" w:color="auto" w:fill="auto"/>
        <w:ind w:firstLine="480"/>
        <w:rPr>
          <w:rFonts w:hint="eastAsia"/>
          <w:highlight w:val="none"/>
        </w:rPr>
      </w:pPr>
      <w:r>
        <w:rPr>
          <w:rFonts w:hint="eastAsia"/>
          <w:highlight w:val="none"/>
        </w:rPr>
        <w:t>10.多价格管理：支持同一药品不同供应商或批次的价格管理，自动匹配更新，减少人工操作。</w:t>
      </w:r>
    </w:p>
    <w:p w14:paraId="3A8E1D42">
      <w:pPr>
        <w:pStyle w:val="12"/>
        <w:shd w:val="clear" w:color="auto" w:fill="auto"/>
        <w:ind w:firstLine="480"/>
        <w:rPr>
          <w:rFonts w:hint="eastAsia"/>
          <w:highlight w:val="none"/>
        </w:rPr>
      </w:pPr>
      <w:r>
        <w:rPr>
          <w:rFonts w:hint="eastAsia"/>
          <w:highlight w:val="none"/>
        </w:rPr>
        <w:t>11.追溯码管理：销售时扫描追溯码，记录销售对象与时间，实现去向可查，保障用药安全，满足监管要求。</w:t>
      </w:r>
    </w:p>
    <w:p w14:paraId="676A74BD">
      <w:pPr>
        <w:pStyle w:val="6"/>
        <w:rPr>
          <w:rFonts w:hint="eastAsia"/>
          <w:highlight w:val="none"/>
        </w:rPr>
      </w:pPr>
      <w:bookmarkStart w:id="16" w:name="_Toc197779877"/>
      <w:r>
        <w:rPr>
          <w:rFonts w:hint="eastAsia"/>
          <w:highlight w:val="none"/>
        </w:rPr>
        <w:t>住院药房</w:t>
      </w:r>
      <w:bookmarkEnd w:id="16"/>
      <w:r>
        <w:rPr>
          <w:rFonts w:hint="eastAsia"/>
          <w:highlight w:val="none"/>
        </w:rPr>
        <w:t>管理子系统</w:t>
      </w:r>
    </w:p>
    <w:p w14:paraId="59CD0BCC">
      <w:pPr>
        <w:pStyle w:val="12"/>
        <w:shd w:val="clear" w:color="auto" w:fill="auto"/>
        <w:ind w:firstLine="480"/>
        <w:rPr>
          <w:rFonts w:hint="eastAsia"/>
          <w:highlight w:val="none"/>
        </w:rPr>
      </w:pPr>
      <w:r>
        <w:rPr>
          <w:rFonts w:hint="eastAsia"/>
          <w:highlight w:val="none"/>
        </w:rPr>
        <w:t>住院药房管理子系统涵盖发药、药品管理、出入库、盘点及统计等功能。</w:t>
      </w:r>
    </w:p>
    <w:p w14:paraId="79FD512D">
      <w:pPr>
        <w:pStyle w:val="12"/>
        <w:shd w:val="clear" w:color="auto" w:fill="auto"/>
        <w:ind w:firstLine="480"/>
        <w:rPr>
          <w:rFonts w:hint="eastAsia"/>
          <w:highlight w:val="none"/>
        </w:rPr>
      </w:pPr>
      <w:r>
        <w:rPr>
          <w:rFonts w:hint="eastAsia"/>
          <w:highlight w:val="none"/>
        </w:rPr>
        <w:t>1.信息维护：支持自定义摆药单（如大输液、毒麻药、口服药等），维护摆药台属性及对应单据；通过默认取药科室设置，指定各病区的取药药房、时间与类别；可配置药品拆分方式（不可拆分、可拆分不取整），未设置则默认不可拆分。</w:t>
      </w:r>
    </w:p>
    <w:p w14:paraId="3CF28A2E">
      <w:pPr>
        <w:pStyle w:val="12"/>
        <w:shd w:val="clear" w:color="auto" w:fill="auto"/>
        <w:ind w:firstLine="480"/>
        <w:rPr>
          <w:rFonts w:hint="eastAsia"/>
          <w:highlight w:val="none"/>
        </w:rPr>
      </w:pPr>
      <w:r>
        <w:rPr>
          <w:rFonts w:hint="eastAsia"/>
          <w:highlight w:val="none"/>
        </w:rPr>
        <w:t>2.药品批费与退费：录入患者住院号，进行药品批量计费或对已收费药品办理退费。</w:t>
      </w:r>
    </w:p>
    <w:p w14:paraId="702C0947">
      <w:pPr>
        <w:pStyle w:val="12"/>
        <w:shd w:val="clear" w:color="auto" w:fill="auto"/>
        <w:ind w:firstLine="480"/>
        <w:rPr>
          <w:rFonts w:hint="eastAsia"/>
          <w:highlight w:val="none"/>
        </w:rPr>
      </w:pPr>
      <w:r>
        <w:rPr>
          <w:rFonts w:hint="eastAsia"/>
          <w:highlight w:val="none"/>
        </w:rPr>
        <w:t>3.直接摆药：选择病区或患者确认摆药，支持住院药房间代发并扣减库存，兼容手术室、产房等非医嘱摆药场景。</w:t>
      </w:r>
    </w:p>
    <w:p w14:paraId="02131A54">
      <w:pPr>
        <w:pStyle w:val="12"/>
        <w:shd w:val="clear" w:color="auto" w:fill="auto"/>
        <w:ind w:firstLine="480"/>
        <w:rPr>
          <w:rFonts w:hint="eastAsia"/>
          <w:highlight w:val="none"/>
        </w:rPr>
      </w:pPr>
      <w:r>
        <w:rPr>
          <w:rFonts w:hint="eastAsia"/>
          <w:highlight w:val="none"/>
        </w:rPr>
        <w:t>4.医嘱摆药：基于医嘱执行摆药，结合摆药台与药品拆分规则，确保发放准确。</w:t>
      </w:r>
    </w:p>
    <w:p w14:paraId="60485900">
      <w:pPr>
        <w:pStyle w:val="12"/>
        <w:shd w:val="clear" w:color="auto" w:fill="auto"/>
        <w:ind w:firstLine="480"/>
        <w:rPr>
          <w:rFonts w:hint="eastAsia"/>
          <w:highlight w:val="none"/>
        </w:rPr>
      </w:pPr>
      <w:r>
        <w:rPr>
          <w:rFonts w:hint="eastAsia"/>
          <w:highlight w:val="none"/>
        </w:rPr>
        <w:t>5.护士退药确认：显示护士站提交的退药申请，经审核后执行退药操作。</w:t>
      </w:r>
    </w:p>
    <w:p w14:paraId="76934EBF">
      <w:pPr>
        <w:pStyle w:val="12"/>
        <w:shd w:val="clear" w:color="auto" w:fill="auto"/>
        <w:ind w:firstLine="480"/>
        <w:rPr>
          <w:rFonts w:hint="eastAsia"/>
          <w:highlight w:val="none"/>
        </w:rPr>
      </w:pPr>
      <w:r>
        <w:rPr>
          <w:rFonts w:hint="eastAsia"/>
          <w:highlight w:val="none"/>
        </w:rPr>
        <w:t>6.查询统计：提供发药退药、工作量等关键数据统计功能。</w:t>
      </w:r>
    </w:p>
    <w:p w14:paraId="758D38CD">
      <w:pPr>
        <w:pStyle w:val="12"/>
        <w:shd w:val="clear" w:color="auto" w:fill="auto"/>
        <w:ind w:firstLine="480"/>
        <w:rPr>
          <w:rFonts w:hint="eastAsia"/>
          <w:highlight w:val="none"/>
        </w:rPr>
      </w:pPr>
      <w:r>
        <w:rPr>
          <w:rFonts w:hint="eastAsia"/>
          <w:highlight w:val="none"/>
        </w:rPr>
        <w:t>7.麻精药品电子化管理：实现麻精药品的电子登记与空安瓿回收，流程更精准、可靠，符合无纸化管理要求。</w:t>
      </w:r>
    </w:p>
    <w:p w14:paraId="74DD0FAD">
      <w:pPr>
        <w:pStyle w:val="12"/>
        <w:shd w:val="clear" w:color="auto" w:fill="auto"/>
        <w:ind w:firstLine="480"/>
        <w:rPr>
          <w:rFonts w:hint="eastAsia"/>
          <w:highlight w:val="none"/>
        </w:rPr>
      </w:pPr>
      <w:r>
        <w:rPr>
          <w:rFonts w:hint="eastAsia"/>
          <w:highlight w:val="none"/>
        </w:rPr>
        <w:t>8.单据集中打印：支持多单合并、按科室或时段调度打印，优化排版</w:t>
      </w:r>
      <w:r>
        <w:rPr>
          <w:rFonts w:hint="eastAsia"/>
          <w:highlight w:val="none"/>
        </w:rPr>
        <w:t>。</w:t>
      </w:r>
    </w:p>
    <w:p w14:paraId="44949591">
      <w:pPr>
        <w:pStyle w:val="6"/>
        <w:rPr>
          <w:rFonts w:hint="eastAsia"/>
          <w:highlight w:val="none"/>
        </w:rPr>
      </w:pPr>
      <w:bookmarkStart w:id="17" w:name="_Toc197779878"/>
      <w:r>
        <w:rPr>
          <w:rFonts w:hint="eastAsia"/>
          <w:highlight w:val="none"/>
        </w:rPr>
        <w:t>执行确认</w:t>
      </w:r>
      <w:bookmarkEnd w:id="17"/>
      <w:r>
        <w:rPr>
          <w:rFonts w:hint="eastAsia"/>
          <w:highlight w:val="none"/>
        </w:rPr>
        <w:t>管理子系统</w:t>
      </w:r>
    </w:p>
    <w:p w14:paraId="7F034F05">
      <w:pPr>
        <w:pStyle w:val="12"/>
        <w:shd w:val="clear" w:color="auto" w:fill="auto"/>
        <w:ind w:firstLine="480"/>
        <w:rPr>
          <w:rFonts w:hint="eastAsia"/>
          <w:highlight w:val="none"/>
        </w:rPr>
      </w:pPr>
      <w:r>
        <w:rPr>
          <w:rFonts w:hint="eastAsia"/>
          <w:highlight w:val="none"/>
        </w:rPr>
        <w:t>执行确认管理子系统主要服务于医技科室，承担门诊和住院所有终端确认项目的执行确认和执行确认取消功能，同时也可以确认耗材等拓展功能，为医技科室的医生带来确认方式。</w:t>
      </w:r>
    </w:p>
    <w:p w14:paraId="35902429">
      <w:pPr>
        <w:pStyle w:val="12"/>
        <w:shd w:val="clear" w:color="auto" w:fill="auto"/>
        <w:ind w:firstLine="480"/>
        <w:rPr>
          <w:rFonts w:hint="eastAsia"/>
          <w:highlight w:val="none"/>
        </w:rPr>
      </w:pPr>
      <w:r>
        <w:rPr>
          <w:rFonts w:hint="eastAsia"/>
          <w:highlight w:val="none"/>
        </w:rPr>
        <w:t>1.门诊执行确认</w:t>
      </w:r>
    </w:p>
    <w:p w14:paraId="373BB4E4">
      <w:pPr>
        <w:pStyle w:val="12"/>
        <w:shd w:val="clear" w:color="auto" w:fill="auto"/>
        <w:ind w:firstLine="480"/>
        <w:rPr>
          <w:rFonts w:hint="eastAsia"/>
          <w:highlight w:val="none"/>
        </w:rPr>
      </w:pPr>
      <w:r>
        <w:rPr>
          <w:rFonts w:hint="eastAsia"/>
          <w:highlight w:val="none"/>
        </w:rPr>
        <w:t>在门诊患者开立医技项目并收费后，提供医技项目执行确认功能，医生可根据医技项目的实际执行情况，进行费用补划价。医技项目执行确认后，此项目将不能进行退费。</w:t>
      </w:r>
    </w:p>
    <w:p w14:paraId="29262FE8">
      <w:pPr>
        <w:pStyle w:val="12"/>
        <w:shd w:val="clear" w:color="auto" w:fill="auto"/>
        <w:ind w:firstLine="480"/>
        <w:rPr>
          <w:rFonts w:hint="eastAsia"/>
          <w:highlight w:val="none"/>
        </w:rPr>
      </w:pPr>
      <w:r>
        <w:rPr>
          <w:rFonts w:hint="eastAsia"/>
          <w:highlight w:val="none"/>
        </w:rPr>
        <w:t>2.门诊执行取消确认</w:t>
      </w:r>
    </w:p>
    <w:p w14:paraId="35B879CA">
      <w:pPr>
        <w:pStyle w:val="12"/>
        <w:shd w:val="clear" w:color="auto" w:fill="auto"/>
        <w:ind w:firstLine="480"/>
        <w:rPr>
          <w:rFonts w:hint="eastAsia"/>
          <w:highlight w:val="none"/>
        </w:rPr>
      </w:pPr>
      <w:r>
        <w:rPr>
          <w:rFonts w:hint="eastAsia"/>
          <w:highlight w:val="none"/>
        </w:rPr>
        <w:t>在为患者进行完门诊执行确认后，如果患者因特殊原因不做此医技项目，可使用此功能进行确认取消，取消后此医技项目可进行退费。</w:t>
      </w:r>
    </w:p>
    <w:p w14:paraId="6AFF7132">
      <w:pPr>
        <w:pStyle w:val="12"/>
        <w:shd w:val="clear" w:color="auto" w:fill="auto"/>
        <w:ind w:firstLine="480"/>
        <w:rPr>
          <w:rFonts w:hint="eastAsia"/>
          <w:highlight w:val="none"/>
        </w:rPr>
      </w:pPr>
      <w:r>
        <w:rPr>
          <w:rFonts w:hint="eastAsia"/>
          <w:highlight w:val="none"/>
        </w:rPr>
        <w:t>3.门诊执行确认查询</w:t>
      </w:r>
    </w:p>
    <w:p w14:paraId="12492BA1">
      <w:pPr>
        <w:pStyle w:val="12"/>
        <w:shd w:val="clear" w:color="auto" w:fill="auto"/>
        <w:ind w:firstLine="480"/>
        <w:rPr>
          <w:rFonts w:hint="eastAsia"/>
          <w:highlight w:val="none"/>
        </w:rPr>
      </w:pPr>
      <w:r>
        <w:rPr>
          <w:rFonts w:hint="eastAsia"/>
          <w:highlight w:val="none"/>
        </w:rPr>
        <w:t>提供基本的查询功能，如工作量、费用等。</w:t>
      </w:r>
    </w:p>
    <w:p w14:paraId="402F401E">
      <w:pPr>
        <w:pStyle w:val="12"/>
        <w:shd w:val="clear" w:color="auto" w:fill="auto"/>
        <w:ind w:firstLine="480"/>
        <w:rPr>
          <w:rFonts w:hint="eastAsia"/>
          <w:highlight w:val="none"/>
        </w:rPr>
      </w:pPr>
      <w:r>
        <w:rPr>
          <w:rFonts w:hint="eastAsia"/>
          <w:highlight w:val="none"/>
        </w:rPr>
        <w:t>4.住院执行确认</w:t>
      </w:r>
    </w:p>
    <w:p w14:paraId="5D0D6AB4">
      <w:pPr>
        <w:pStyle w:val="12"/>
        <w:shd w:val="clear" w:color="auto" w:fill="auto"/>
        <w:ind w:firstLine="480"/>
        <w:rPr>
          <w:rFonts w:hint="eastAsia"/>
          <w:highlight w:val="none"/>
        </w:rPr>
      </w:pPr>
      <w:r>
        <w:rPr>
          <w:rFonts w:hint="eastAsia"/>
          <w:highlight w:val="none"/>
        </w:rPr>
        <w:t>在住院患者开立医技项目后，提供医技项目执行确认功能，并且在医技项目执行时收费，医生可根据医技项目的实际执行情况，进行费用补收。医技项目执行确认后，此项目将不能进行退费。</w:t>
      </w:r>
    </w:p>
    <w:p w14:paraId="61C50FBA">
      <w:pPr>
        <w:pStyle w:val="12"/>
        <w:shd w:val="clear" w:color="auto" w:fill="auto"/>
        <w:ind w:firstLine="480"/>
        <w:rPr>
          <w:rFonts w:hint="eastAsia"/>
          <w:highlight w:val="none"/>
        </w:rPr>
      </w:pPr>
      <w:r>
        <w:rPr>
          <w:rFonts w:hint="eastAsia"/>
          <w:highlight w:val="none"/>
        </w:rPr>
        <w:t>5.住院执行取消确认</w:t>
      </w:r>
    </w:p>
    <w:p w14:paraId="073BAF2F">
      <w:pPr>
        <w:pStyle w:val="12"/>
        <w:shd w:val="clear" w:color="auto" w:fill="auto"/>
        <w:ind w:firstLine="480"/>
        <w:rPr>
          <w:rFonts w:hint="eastAsia"/>
          <w:highlight w:val="none"/>
        </w:rPr>
      </w:pPr>
      <w:r>
        <w:rPr>
          <w:rFonts w:hint="eastAsia"/>
          <w:highlight w:val="none"/>
        </w:rPr>
        <w:t>在为患者进行完住院执行确认后，如果患者因特殊原因不做此医技项目，可使用此功能进行确认取消，取消后此医技项目才可进行退费。</w:t>
      </w:r>
    </w:p>
    <w:p w14:paraId="541BF3BB">
      <w:pPr>
        <w:pStyle w:val="12"/>
        <w:shd w:val="clear" w:color="auto" w:fill="auto"/>
        <w:ind w:firstLine="480"/>
        <w:rPr>
          <w:rFonts w:hint="eastAsia"/>
          <w:highlight w:val="none"/>
        </w:rPr>
      </w:pPr>
      <w:r>
        <w:rPr>
          <w:rFonts w:hint="eastAsia"/>
          <w:highlight w:val="none"/>
        </w:rPr>
        <w:t>6.住院执行确认查询</w:t>
      </w:r>
    </w:p>
    <w:p w14:paraId="784C53FD">
      <w:pPr>
        <w:pStyle w:val="12"/>
        <w:shd w:val="clear" w:color="auto" w:fill="auto"/>
        <w:ind w:firstLine="480"/>
        <w:rPr>
          <w:rFonts w:hint="eastAsia"/>
          <w:highlight w:val="none"/>
        </w:rPr>
      </w:pPr>
      <w:r>
        <w:rPr>
          <w:rFonts w:hint="eastAsia"/>
          <w:highlight w:val="none"/>
        </w:rPr>
        <w:t>提供基本的查询功能，如工作量、费用等。</w:t>
      </w:r>
    </w:p>
    <w:p w14:paraId="32DB9D30">
      <w:pPr>
        <w:pStyle w:val="6"/>
        <w:rPr>
          <w:rFonts w:hint="eastAsia"/>
          <w:highlight w:val="none"/>
        </w:rPr>
      </w:pPr>
      <w:bookmarkStart w:id="18" w:name="_Toc197779879"/>
      <w:r>
        <w:rPr>
          <w:rFonts w:hint="eastAsia"/>
          <w:highlight w:val="none"/>
        </w:rPr>
        <w:t>系统管理</w:t>
      </w:r>
      <w:bookmarkEnd w:id="18"/>
      <w:r>
        <w:rPr>
          <w:rFonts w:hint="eastAsia"/>
          <w:highlight w:val="none"/>
        </w:rPr>
        <w:t>子系统</w:t>
      </w:r>
    </w:p>
    <w:p w14:paraId="277D5D98">
      <w:pPr>
        <w:pStyle w:val="12"/>
        <w:shd w:val="clear" w:color="auto" w:fill="auto"/>
        <w:ind w:firstLine="480"/>
        <w:rPr>
          <w:rFonts w:hint="eastAsia"/>
          <w:highlight w:val="none"/>
        </w:rPr>
      </w:pPr>
      <w:r>
        <w:rPr>
          <w:rFonts w:hint="eastAsia"/>
          <w:highlight w:val="none"/>
        </w:rPr>
        <w:t>系统管理子系统主要用于系统基础配置，包括：自动更新设置、资源管理（菜单、常数、报表等）、资源授权（菜单、用户、常数、报表等）、权限维护（组织机构、血库、药库、住院处、医嘱、物资等）、接口与参数配置、门诊收费与挂号参数设置、药房药库参数设置及其他相关参数配置。</w:t>
      </w:r>
    </w:p>
    <w:p w14:paraId="0AFBCE2D">
      <w:pPr>
        <w:pStyle w:val="6"/>
        <w:rPr>
          <w:rFonts w:hint="eastAsia"/>
          <w:highlight w:val="none"/>
        </w:rPr>
      </w:pPr>
      <w:bookmarkStart w:id="19" w:name="_Toc197779880"/>
      <w:r>
        <w:rPr>
          <w:rFonts w:hint="eastAsia"/>
          <w:highlight w:val="none"/>
        </w:rPr>
        <w:t>基本信息维护</w:t>
      </w:r>
      <w:bookmarkEnd w:id="19"/>
      <w:r>
        <w:rPr>
          <w:rFonts w:hint="eastAsia"/>
          <w:highlight w:val="none"/>
        </w:rPr>
        <w:t>子系统</w:t>
      </w:r>
    </w:p>
    <w:p w14:paraId="51B811F7">
      <w:pPr>
        <w:pStyle w:val="12"/>
        <w:shd w:val="clear" w:color="auto" w:fill="auto"/>
        <w:ind w:firstLine="480"/>
        <w:rPr>
          <w:rFonts w:hint="eastAsia"/>
          <w:highlight w:val="none"/>
        </w:rPr>
      </w:pPr>
      <w:r>
        <w:rPr>
          <w:rFonts w:hint="eastAsia"/>
          <w:highlight w:val="none"/>
        </w:rPr>
        <w:t>基本信息维护子系统主要用于维护系统运行中所使用到的基础数据。</w:t>
      </w:r>
    </w:p>
    <w:p w14:paraId="04311C93">
      <w:pPr>
        <w:pStyle w:val="12"/>
        <w:shd w:val="clear" w:color="auto" w:fill="auto"/>
        <w:ind w:firstLine="480"/>
        <w:rPr>
          <w:rFonts w:hint="eastAsia"/>
          <w:highlight w:val="none"/>
        </w:rPr>
      </w:pPr>
      <w:r>
        <w:rPr>
          <w:rFonts w:hint="eastAsia"/>
          <w:highlight w:val="none"/>
        </w:rPr>
        <w:t>1.用法维护</w:t>
      </w:r>
    </w:p>
    <w:p w14:paraId="768A88E2">
      <w:pPr>
        <w:pStyle w:val="12"/>
        <w:shd w:val="clear" w:color="auto" w:fill="auto"/>
        <w:ind w:firstLine="480"/>
        <w:rPr>
          <w:rFonts w:hint="eastAsia"/>
          <w:highlight w:val="none"/>
        </w:rPr>
      </w:pPr>
      <w:r>
        <w:rPr>
          <w:rFonts w:hint="eastAsia"/>
          <w:highlight w:val="none"/>
        </w:rPr>
        <w:t>用于标准化设置医院基础数据等。</w:t>
      </w:r>
    </w:p>
    <w:p w14:paraId="45F3E1AC">
      <w:pPr>
        <w:pStyle w:val="12"/>
        <w:shd w:val="clear" w:color="auto" w:fill="auto"/>
        <w:ind w:firstLine="480"/>
        <w:rPr>
          <w:rFonts w:hint="eastAsia"/>
          <w:highlight w:val="none"/>
        </w:rPr>
      </w:pPr>
      <w:r>
        <w:rPr>
          <w:rFonts w:hint="eastAsia"/>
          <w:highlight w:val="none"/>
        </w:rPr>
        <w:t>2.最小费用维护</w:t>
      </w:r>
    </w:p>
    <w:p w14:paraId="5D6019EB">
      <w:pPr>
        <w:pStyle w:val="12"/>
        <w:shd w:val="clear" w:color="auto" w:fill="auto"/>
        <w:ind w:firstLine="480"/>
        <w:rPr>
          <w:rFonts w:hint="eastAsia"/>
          <w:highlight w:val="none"/>
        </w:rPr>
      </w:pPr>
      <w:r>
        <w:rPr>
          <w:rFonts w:hint="eastAsia"/>
          <w:highlight w:val="none"/>
        </w:rPr>
        <w:t>用于标准化设置医院基础数据，维护系统可拆分为最小的费用统计类别维护。</w:t>
      </w:r>
    </w:p>
    <w:p w14:paraId="3D509AD8">
      <w:pPr>
        <w:pStyle w:val="12"/>
        <w:shd w:val="clear" w:color="auto" w:fill="auto"/>
        <w:ind w:firstLine="480"/>
        <w:rPr>
          <w:rFonts w:hint="eastAsia"/>
          <w:highlight w:val="none"/>
        </w:rPr>
      </w:pPr>
      <w:r>
        <w:rPr>
          <w:rFonts w:hint="eastAsia"/>
          <w:highlight w:val="none"/>
        </w:rPr>
        <w:t>3.支付方式维护</w:t>
      </w:r>
    </w:p>
    <w:p w14:paraId="3CFDC621">
      <w:pPr>
        <w:pStyle w:val="12"/>
        <w:shd w:val="clear" w:color="auto" w:fill="auto"/>
        <w:ind w:firstLine="480"/>
        <w:rPr>
          <w:rFonts w:hint="eastAsia"/>
          <w:highlight w:val="none"/>
        </w:rPr>
      </w:pPr>
      <w:r>
        <w:rPr>
          <w:rFonts w:hint="eastAsia"/>
          <w:highlight w:val="none"/>
        </w:rPr>
        <w:t>用于标准化设置医院基础数据，维护费用系统收取费用的支付方式列表。</w:t>
      </w:r>
    </w:p>
    <w:p w14:paraId="59A3DF7A">
      <w:pPr>
        <w:pStyle w:val="12"/>
        <w:shd w:val="clear" w:color="auto" w:fill="auto"/>
        <w:ind w:firstLine="480"/>
        <w:rPr>
          <w:rFonts w:hint="eastAsia"/>
          <w:highlight w:val="none"/>
        </w:rPr>
      </w:pPr>
      <w:r>
        <w:rPr>
          <w:rFonts w:hint="eastAsia"/>
          <w:highlight w:val="none"/>
        </w:rPr>
        <w:t>4.样本类型维护</w:t>
      </w:r>
    </w:p>
    <w:p w14:paraId="343378B1">
      <w:pPr>
        <w:pStyle w:val="12"/>
        <w:shd w:val="clear" w:color="auto" w:fill="auto"/>
        <w:ind w:firstLine="480"/>
        <w:rPr>
          <w:rFonts w:hint="eastAsia"/>
          <w:highlight w:val="none"/>
        </w:rPr>
      </w:pPr>
      <w:r>
        <w:rPr>
          <w:rFonts w:hint="eastAsia"/>
          <w:highlight w:val="none"/>
        </w:rPr>
        <w:t>用于标准化设置医院基础数据，维护检验，检查项目所需的样本类型列表。</w:t>
      </w:r>
    </w:p>
    <w:p w14:paraId="0C04DB26">
      <w:pPr>
        <w:pStyle w:val="12"/>
        <w:shd w:val="clear" w:color="auto" w:fill="auto"/>
        <w:ind w:firstLine="480"/>
        <w:rPr>
          <w:rFonts w:hint="eastAsia"/>
          <w:highlight w:val="none"/>
        </w:rPr>
      </w:pPr>
      <w:r>
        <w:rPr>
          <w:rFonts w:hint="eastAsia"/>
          <w:highlight w:val="none"/>
        </w:rPr>
        <w:t>5.频次维护</w:t>
      </w:r>
    </w:p>
    <w:p w14:paraId="4FC4BA5D">
      <w:pPr>
        <w:pStyle w:val="12"/>
        <w:shd w:val="clear" w:color="auto" w:fill="auto"/>
        <w:ind w:firstLine="480"/>
        <w:rPr>
          <w:rFonts w:hint="eastAsia"/>
          <w:highlight w:val="none"/>
        </w:rPr>
      </w:pPr>
      <w:r>
        <w:rPr>
          <w:rFonts w:hint="eastAsia"/>
          <w:highlight w:val="none"/>
        </w:rPr>
        <w:t>用于标准化设置医院基础数据。维护医嘱所需</w:t>
      </w:r>
      <w:r>
        <w:rPr>
          <w:rFonts w:hint="eastAsia"/>
          <w:sz w:val="22"/>
          <w:szCs w:val="22"/>
          <w:highlight w:val="none"/>
        </w:rPr>
        <w:t>的频</w:t>
      </w:r>
      <w:r>
        <w:rPr>
          <w:rFonts w:hint="eastAsia"/>
          <w:highlight w:val="none"/>
        </w:rPr>
        <w:t>次列表，包括频次编码，中文名，时间点，等频次属性信息</w:t>
      </w:r>
      <w:r>
        <w:rPr>
          <w:rFonts w:hint="eastAsia"/>
          <w:highlight w:val="none"/>
        </w:rPr>
        <w:t>。</w:t>
      </w:r>
    </w:p>
    <w:p w14:paraId="653184B2">
      <w:pPr>
        <w:pStyle w:val="12"/>
        <w:shd w:val="clear" w:color="auto" w:fill="auto"/>
        <w:ind w:firstLine="480"/>
        <w:rPr>
          <w:rFonts w:hint="eastAsia"/>
          <w:highlight w:val="none"/>
        </w:rPr>
      </w:pPr>
      <w:r>
        <w:rPr>
          <w:rFonts w:hint="eastAsia"/>
          <w:highlight w:val="none"/>
        </w:rPr>
        <w:t>6.科室分类维护</w:t>
      </w:r>
    </w:p>
    <w:p w14:paraId="1A85BEE3">
      <w:pPr>
        <w:pStyle w:val="12"/>
        <w:shd w:val="clear" w:color="auto" w:fill="auto"/>
        <w:ind w:firstLine="480"/>
        <w:rPr>
          <w:rFonts w:hint="eastAsia"/>
          <w:highlight w:val="none"/>
        </w:rPr>
      </w:pPr>
      <w:r>
        <w:rPr>
          <w:rFonts w:hint="eastAsia"/>
          <w:highlight w:val="none"/>
        </w:rPr>
        <w:t>用于标准化设置医院基础数据，按照类别维护院内科室的从属关系，维护人员与科室的从属关系，维护人员所在科室的权限。</w:t>
      </w:r>
    </w:p>
    <w:p w14:paraId="7D28E1DF">
      <w:pPr>
        <w:pStyle w:val="12"/>
        <w:shd w:val="clear" w:color="auto" w:fill="auto"/>
        <w:ind w:firstLine="480"/>
        <w:rPr>
          <w:rFonts w:hint="eastAsia"/>
          <w:highlight w:val="none"/>
        </w:rPr>
      </w:pPr>
      <w:r>
        <w:rPr>
          <w:rFonts w:hint="eastAsia"/>
          <w:highlight w:val="none"/>
        </w:rPr>
        <w:t>7.科室常用项目维护</w:t>
      </w:r>
    </w:p>
    <w:p w14:paraId="6F0B32AA">
      <w:pPr>
        <w:pStyle w:val="12"/>
        <w:shd w:val="clear" w:color="auto" w:fill="auto"/>
        <w:ind w:firstLine="480"/>
        <w:rPr>
          <w:rFonts w:hint="eastAsia"/>
          <w:highlight w:val="none"/>
        </w:rPr>
      </w:pPr>
      <w:r>
        <w:rPr>
          <w:rFonts w:hint="eastAsia"/>
          <w:highlight w:val="none"/>
        </w:rPr>
        <w:t>用于标准化设置医院基础数据，维护科室常用诊疗项目目录，方便检索和录入。</w:t>
      </w:r>
    </w:p>
    <w:p w14:paraId="6A64F9DC">
      <w:pPr>
        <w:pStyle w:val="12"/>
        <w:shd w:val="clear" w:color="auto" w:fill="auto"/>
        <w:ind w:firstLine="480"/>
        <w:rPr>
          <w:rFonts w:hint="eastAsia"/>
          <w:highlight w:val="none"/>
        </w:rPr>
      </w:pPr>
      <w:r>
        <w:rPr>
          <w:rFonts w:hint="eastAsia"/>
          <w:highlight w:val="none"/>
        </w:rPr>
        <w:t>8.其他常数维护</w:t>
      </w:r>
    </w:p>
    <w:p w14:paraId="3927030B">
      <w:pPr>
        <w:pStyle w:val="12"/>
        <w:shd w:val="clear" w:color="auto" w:fill="auto"/>
        <w:ind w:firstLine="480"/>
        <w:rPr>
          <w:rFonts w:hint="eastAsia"/>
          <w:highlight w:val="none"/>
        </w:rPr>
      </w:pPr>
      <w:r>
        <w:rPr>
          <w:rFonts w:hint="eastAsia"/>
          <w:highlight w:val="none"/>
        </w:rPr>
        <w:t>用于标准化设置医院基础数据，维护其他一些系统内需要的常数，例如民族，转归，性别，检查部位，输血反应，诊断分期，诊断分级，职业，职务等信息。</w:t>
      </w:r>
    </w:p>
    <w:p w14:paraId="51E27B84">
      <w:pPr>
        <w:pStyle w:val="12"/>
        <w:shd w:val="clear" w:color="auto" w:fill="auto"/>
        <w:ind w:firstLine="480"/>
        <w:rPr>
          <w:rFonts w:hint="eastAsia"/>
          <w:highlight w:val="none"/>
        </w:rPr>
      </w:pPr>
      <w:r>
        <w:rPr>
          <w:rFonts w:hint="eastAsia"/>
          <w:highlight w:val="none"/>
        </w:rPr>
        <w:t>9.医疗组维护</w:t>
      </w:r>
    </w:p>
    <w:p w14:paraId="4FCCAC9F">
      <w:pPr>
        <w:pStyle w:val="12"/>
        <w:shd w:val="clear" w:color="auto" w:fill="auto"/>
        <w:ind w:firstLine="480"/>
        <w:rPr>
          <w:rFonts w:hint="eastAsia"/>
          <w:highlight w:val="none"/>
        </w:rPr>
      </w:pPr>
      <w:r>
        <w:rPr>
          <w:rFonts w:hint="eastAsia"/>
          <w:highlight w:val="none"/>
        </w:rPr>
        <w:t>用于标准化设置医院基础数据，维护医院内的医疗组信息。</w:t>
      </w:r>
    </w:p>
    <w:p w14:paraId="456E9A78">
      <w:pPr>
        <w:pStyle w:val="12"/>
        <w:shd w:val="clear" w:color="auto" w:fill="auto"/>
        <w:ind w:firstLine="480"/>
        <w:rPr>
          <w:rFonts w:hint="eastAsia"/>
          <w:highlight w:val="none"/>
        </w:rPr>
      </w:pPr>
      <w:r>
        <w:rPr>
          <w:rFonts w:hint="eastAsia"/>
          <w:highlight w:val="none"/>
        </w:rPr>
        <w:t>10.科室基本信息维护</w:t>
      </w:r>
    </w:p>
    <w:p w14:paraId="1CDAD55B">
      <w:pPr>
        <w:pStyle w:val="12"/>
        <w:shd w:val="clear" w:color="auto" w:fill="auto"/>
        <w:ind w:firstLine="480"/>
        <w:rPr>
          <w:rFonts w:hint="eastAsia"/>
          <w:highlight w:val="none"/>
        </w:rPr>
      </w:pPr>
      <w:r>
        <w:rPr>
          <w:rFonts w:hint="eastAsia"/>
          <w:highlight w:val="none"/>
        </w:rPr>
        <w:t>用于标准化设置医院基础数据，科室编码，名称，分类，所属院区等科室的基本信息维护。</w:t>
      </w:r>
    </w:p>
    <w:p w14:paraId="4E333A3B">
      <w:pPr>
        <w:pStyle w:val="12"/>
        <w:shd w:val="clear" w:color="auto" w:fill="auto"/>
        <w:ind w:firstLine="480"/>
        <w:rPr>
          <w:rFonts w:hint="eastAsia"/>
          <w:highlight w:val="none"/>
        </w:rPr>
      </w:pPr>
      <w:r>
        <w:rPr>
          <w:rFonts w:hint="eastAsia"/>
          <w:highlight w:val="none"/>
        </w:rPr>
        <w:t>11.人员基本信息维护</w:t>
      </w:r>
    </w:p>
    <w:p w14:paraId="5EC88C37">
      <w:pPr>
        <w:pStyle w:val="12"/>
        <w:shd w:val="clear" w:color="auto" w:fill="auto"/>
        <w:ind w:firstLine="480"/>
        <w:rPr>
          <w:rFonts w:hint="eastAsia"/>
          <w:highlight w:val="none"/>
        </w:rPr>
      </w:pPr>
      <w:r>
        <w:rPr>
          <w:rFonts w:hint="eastAsia"/>
          <w:highlight w:val="none"/>
        </w:rPr>
        <w:t>用于标准化设置医院基础数据，医院医生、护士、收费员、医技科室人员等人员的基本信息维护。</w:t>
      </w:r>
    </w:p>
    <w:p w14:paraId="7EBA543B">
      <w:pPr>
        <w:pStyle w:val="6"/>
        <w:rPr>
          <w:rFonts w:hint="eastAsia"/>
          <w:highlight w:val="none"/>
        </w:rPr>
      </w:pPr>
      <w:bookmarkStart w:id="20" w:name="_Toc197779881"/>
      <w:r>
        <w:rPr>
          <w:rFonts w:hint="eastAsia"/>
          <w:highlight w:val="none"/>
        </w:rPr>
        <w:t>物资耗材管理</w:t>
      </w:r>
      <w:bookmarkEnd w:id="20"/>
      <w:r>
        <w:rPr>
          <w:rFonts w:hint="eastAsia"/>
          <w:highlight w:val="none"/>
        </w:rPr>
        <w:t>子系统</w:t>
      </w:r>
    </w:p>
    <w:p w14:paraId="1850872E">
      <w:pPr>
        <w:pStyle w:val="12"/>
        <w:shd w:val="clear" w:color="auto" w:fill="auto"/>
        <w:ind w:firstLine="480"/>
        <w:rPr>
          <w:rFonts w:hint="eastAsia"/>
          <w:highlight w:val="none"/>
        </w:rPr>
      </w:pPr>
      <w:r>
        <w:rPr>
          <w:rFonts w:hint="eastAsia"/>
          <w:highlight w:val="none"/>
        </w:rPr>
        <w:t>基本信息维护：</w:t>
      </w:r>
    </w:p>
    <w:p w14:paraId="7AB58913">
      <w:pPr>
        <w:pStyle w:val="12"/>
        <w:shd w:val="clear" w:color="auto" w:fill="auto"/>
        <w:ind w:firstLine="480"/>
        <w:rPr>
          <w:rFonts w:hint="eastAsia"/>
          <w:highlight w:val="none"/>
        </w:rPr>
      </w:pPr>
      <w:r>
        <w:rPr>
          <w:rFonts w:hint="eastAsia"/>
          <w:highlight w:val="none"/>
        </w:rPr>
        <w:t>1.权限设置：配置系统窗口使用权限。</w:t>
      </w:r>
    </w:p>
    <w:p w14:paraId="3EED68D6">
      <w:pPr>
        <w:pStyle w:val="12"/>
        <w:shd w:val="clear" w:color="auto" w:fill="auto"/>
        <w:ind w:firstLine="480"/>
        <w:rPr>
          <w:rFonts w:hint="eastAsia"/>
          <w:highlight w:val="none"/>
        </w:rPr>
      </w:pPr>
      <w:r>
        <w:rPr>
          <w:rFonts w:hint="eastAsia"/>
          <w:highlight w:val="none"/>
        </w:rPr>
        <w:t>2.常数维护：维护物资管理基础数据（如最小单位等）。</w:t>
      </w:r>
    </w:p>
    <w:p w14:paraId="714D9C90">
      <w:pPr>
        <w:pStyle w:val="12"/>
        <w:shd w:val="clear" w:color="auto" w:fill="auto"/>
        <w:ind w:firstLine="480"/>
        <w:rPr>
          <w:rFonts w:hint="eastAsia"/>
          <w:highlight w:val="none"/>
        </w:rPr>
      </w:pPr>
      <w:r>
        <w:rPr>
          <w:rFonts w:hint="eastAsia"/>
          <w:highlight w:val="none"/>
        </w:rPr>
        <w:t>3.物资分类：支持多级分类维护。</w:t>
      </w:r>
    </w:p>
    <w:p w14:paraId="0D44430D">
      <w:pPr>
        <w:pStyle w:val="12"/>
        <w:shd w:val="clear" w:color="auto" w:fill="auto"/>
        <w:ind w:firstLine="480"/>
        <w:rPr>
          <w:rFonts w:hint="eastAsia"/>
          <w:highlight w:val="none"/>
        </w:rPr>
      </w:pPr>
      <w:r>
        <w:rPr>
          <w:rFonts w:hint="eastAsia"/>
          <w:highlight w:val="none"/>
        </w:rPr>
        <w:t>4.物资字典：维护物资详情（规格、价格等）及厂家信息（厂家、注册号等）。</w:t>
      </w:r>
    </w:p>
    <w:p w14:paraId="5A01343B">
      <w:pPr>
        <w:pStyle w:val="12"/>
        <w:shd w:val="clear" w:color="auto" w:fill="auto"/>
        <w:ind w:firstLine="480"/>
        <w:rPr>
          <w:rFonts w:hint="eastAsia"/>
          <w:highlight w:val="none"/>
        </w:rPr>
      </w:pPr>
      <w:r>
        <w:rPr>
          <w:rFonts w:hint="eastAsia"/>
          <w:highlight w:val="none"/>
        </w:rPr>
        <w:t>入出库管理：</w:t>
      </w:r>
    </w:p>
    <w:p w14:paraId="6CA4BFE2">
      <w:pPr>
        <w:pStyle w:val="12"/>
        <w:shd w:val="clear" w:color="auto" w:fill="auto"/>
        <w:ind w:firstLine="480"/>
        <w:rPr>
          <w:rFonts w:hint="eastAsia"/>
          <w:highlight w:val="none"/>
        </w:rPr>
      </w:pPr>
      <w:r>
        <w:rPr>
          <w:rFonts w:hint="eastAsia"/>
          <w:highlight w:val="none"/>
        </w:rPr>
        <w:t>支持库房初始库存设置，涵盖正常、发票、核准、退库及特殊入库，支持科室申请与单据打印；支持正常、特殊出库及退库审批，可按申请单出库并打印单据；支持临床科室向库房请领物品。</w:t>
      </w:r>
    </w:p>
    <w:p w14:paraId="7F5588A0">
      <w:pPr>
        <w:pStyle w:val="12"/>
        <w:shd w:val="clear" w:color="auto" w:fill="auto"/>
        <w:ind w:firstLine="480"/>
        <w:rPr>
          <w:rFonts w:hint="eastAsia"/>
          <w:highlight w:val="none"/>
        </w:rPr>
      </w:pPr>
      <w:r>
        <w:rPr>
          <w:rFonts w:hint="eastAsia"/>
          <w:highlight w:val="none"/>
        </w:rPr>
        <w:t>库存管理：</w:t>
      </w:r>
    </w:p>
    <w:p w14:paraId="76BF637F">
      <w:pPr>
        <w:pStyle w:val="12"/>
        <w:shd w:val="clear" w:color="auto" w:fill="auto"/>
        <w:ind w:firstLine="480"/>
        <w:rPr>
          <w:rFonts w:hint="eastAsia"/>
          <w:highlight w:val="none"/>
        </w:rPr>
      </w:pPr>
      <w:r>
        <w:rPr>
          <w:rFonts w:hint="eastAsia"/>
          <w:highlight w:val="none"/>
        </w:rPr>
        <w:t>1.库存管理：维护库存数量、上下限、库位，支持多条件查询。</w:t>
      </w:r>
    </w:p>
    <w:p w14:paraId="2E205748">
      <w:pPr>
        <w:pStyle w:val="12"/>
        <w:shd w:val="clear" w:color="auto" w:fill="auto"/>
        <w:ind w:firstLine="480"/>
        <w:rPr>
          <w:rFonts w:hint="eastAsia"/>
          <w:highlight w:val="none"/>
        </w:rPr>
      </w:pPr>
      <w:r>
        <w:rPr>
          <w:rFonts w:hint="eastAsia"/>
          <w:highlight w:val="none"/>
        </w:rPr>
        <w:t>2.盘点管理：支持盘点、打印、历史查看及批量封帐等。</w:t>
      </w:r>
    </w:p>
    <w:p w14:paraId="2DF122BF">
      <w:pPr>
        <w:pStyle w:val="12"/>
        <w:shd w:val="clear" w:color="auto" w:fill="auto"/>
        <w:ind w:firstLine="480"/>
        <w:rPr>
          <w:rFonts w:hint="eastAsia"/>
          <w:highlight w:val="none"/>
        </w:rPr>
      </w:pPr>
      <w:r>
        <w:rPr>
          <w:rFonts w:hint="eastAsia"/>
          <w:highlight w:val="none"/>
        </w:rPr>
        <w:t>3.月结管理：支持月结、撤销、汇总与打印等。</w:t>
      </w:r>
    </w:p>
    <w:p w14:paraId="55C977C8">
      <w:pPr>
        <w:pStyle w:val="12"/>
        <w:shd w:val="clear" w:color="auto" w:fill="auto"/>
        <w:ind w:firstLine="480"/>
        <w:rPr>
          <w:rFonts w:hint="eastAsia"/>
          <w:highlight w:val="none"/>
        </w:rPr>
      </w:pPr>
      <w:r>
        <w:rPr>
          <w:rFonts w:hint="eastAsia"/>
          <w:highlight w:val="none"/>
        </w:rPr>
        <w:t>4.单据补打：支持入库、出库、结存单补打等。</w:t>
      </w:r>
    </w:p>
    <w:p w14:paraId="05CC4840">
      <w:pPr>
        <w:pStyle w:val="6"/>
        <w:rPr>
          <w:rFonts w:hint="eastAsia"/>
          <w:highlight w:val="none"/>
        </w:rPr>
      </w:pPr>
      <w:bookmarkStart w:id="21" w:name="_Toc197779882"/>
      <w:r>
        <w:rPr>
          <w:rFonts w:hint="eastAsia"/>
          <w:highlight w:val="none"/>
        </w:rPr>
        <w:t>业务配置中心</w:t>
      </w:r>
      <w:bookmarkEnd w:id="21"/>
      <w:r>
        <w:rPr>
          <w:rFonts w:hint="eastAsia"/>
          <w:highlight w:val="none"/>
        </w:rPr>
        <w:t>子系统</w:t>
      </w:r>
    </w:p>
    <w:p w14:paraId="0E4FDFFC">
      <w:pPr>
        <w:pStyle w:val="12"/>
        <w:shd w:val="clear" w:color="auto" w:fill="auto"/>
        <w:ind w:firstLine="480"/>
        <w:rPr>
          <w:rFonts w:hint="eastAsia"/>
          <w:highlight w:val="none"/>
        </w:rPr>
      </w:pPr>
      <w:r>
        <w:rPr>
          <w:rFonts w:hint="eastAsia"/>
          <w:highlight w:val="none"/>
        </w:rPr>
        <w:t>业务配置中心子系统支持标准化、工程化的配置指引，支持HIS、EMR、NIS等医院核心系统及外部集成系统的参数、常数和配置文件管理。系统支持单体与跨系统流程配置，具备参数首页、场景化查询、初始化、日志查看、参数与常数管理、基础数据校验等功能</w:t>
      </w:r>
      <w:r>
        <w:rPr>
          <w:rFonts w:hint="eastAsia"/>
          <w:highlight w:val="none"/>
        </w:rPr>
        <w:t>。</w:t>
      </w:r>
    </w:p>
    <w:p w14:paraId="4EBA82F7">
      <w:pPr>
        <w:pStyle w:val="12"/>
        <w:shd w:val="clear" w:color="auto" w:fill="auto"/>
        <w:ind w:firstLine="480"/>
        <w:rPr>
          <w:rFonts w:hint="eastAsia"/>
          <w:highlight w:val="none"/>
        </w:rPr>
      </w:pPr>
      <w:r>
        <w:rPr>
          <w:rFonts w:hint="eastAsia"/>
          <w:highlight w:val="none"/>
        </w:rPr>
        <w:t>参数首页统一入口，按角色分配权限，支持直接检索与快捷查找（如最近新增、修改、分类标签等）。参数分基本与扩展属性，对“评级”“多院区”等重点参数显著提示，支持院区切换与依赖关系提醒，提供默认值、说明、数据库位置等详情，并通过类型判断、转义校验防止误操作。</w:t>
      </w:r>
    </w:p>
    <w:p w14:paraId="6C639CC2">
      <w:pPr>
        <w:pStyle w:val="12"/>
        <w:shd w:val="clear" w:color="auto" w:fill="auto"/>
        <w:ind w:firstLine="480"/>
        <w:rPr>
          <w:rFonts w:hint="eastAsia"/>
          <w:highlight w:val="none"/>
        </w:rPr>
      </w:pPr>
      <w:r>
        <w:rPr>
          <w:rFonts w:hint="eastAsia"/>
          <w:highlight w:val="none"/>
        </w:rPr>
        <w:t>场景化查询覆盖抗菌药、手术、诊断、会诊、中医、CA、皮试、入出转、病案、360视图等核心场景，以流程图展示逻辑，列表呈现配置项，支持基础数据维护与界面跳转。</w:t>
      </w:r>
    </w:p>
    <w:p w14:paraId="232A5E94">
      <w:pPr>
        <w:pStyle w:val="12"/>
        <w:shd w:val="clear" w:color="auto" w:fill="auto"/>
        <w:ind w:firstLine="480"/>
        <w:rPr>
          <w:rFonts w:hint="eastAsia"/>
          <w:highlight w:val="none"/>
        </w:rPr>
      </w:pPr>
      <w:r>
        <w:rPr>
          <w:rFonts w:hint="eastAsia"/>
          <w:highlight w:val="none"/>
        </w:rPr>
        <w:t>系统内置配置项，支持一键初始化，</w:t>
      </w:r>
      <w:r>
        <w:rPr>
          <w:rFonts w:hint="eastAsia"/>
          <w:highlight w:val="none"/>
        </w:rPr>
        <w:t>动态</w:t>
      </w:r>
      <w:r>
        <w:rPr>
          <w:rFonts w:hint="eastAsia"/>
          <w:highlight w:val="none"/>
        </w:rPr>
        <w:t>调整门诊住院导航节点，提供参数对比、版本查询、数据库对象说明，定期分析高频变更点辅助实施。</w:t>
      </w:r>
    </w:p>
    <w:p w14:paraId="4704289C">
      <w:pPr>
        <w:pStyle w:val="12"/>
        <w:shd w:val="clear" w:color="auto" w:fill="auto"/>
        <w:ind w:firstLine="480"/>
        <w:rPr>
          <w:rFonts w:hint="eastAsia"/>
          <w:highlight w:val="none"/>
        </w:rPr>
      </w:pPr>
      <w:r>
        <w:rPr>
          <w:rFonts w:hint="eastAsia"/>
          <w:highlight w:val="none"/>
        </w:rPr>
        <w:t>日志功能自动记录参数常数的修改前后值、时间、账号、IP及MAC地址，支持模糊查询。</w:t>
      </w:r>
    </w:p>
    <w:p w14:paraId="225150E2">
      <w:pPr>
        <w:pStyle w:val="12"/>
        <w:shd w:val="clear" w:color="auto" w:fill="auto"/>
        <w:ind w:firstLine="480"/>
        <w:rPr>
          <w:rFonts w:hint="eastAsia"/>
          <w:highlight w:val="none"/>
        </w:rPr>
      </w:pPr>
      <w:r>
        <w:rPr>
          <w:rFonts w:hint="eastAsia"/>
          <w:highlight w:val="none"/>
        </w:rPr>
        <w:t>参数管理支持标签、功能、院区等属性维护及本地化增补；常数管理支持多维度搜索与修改日志查看。</w:t>
      </w:r>
    </w:p>
    <w:p w14:paraId="50D44AE0">
      <w:pPr>
        <w:pStyle w:val="12"/>
        <w:shd w:val="clear" w:color="auto" w:fill="auto"/>
        <w:ind w:firstLine="480"/>
        <w:rPr>
          <w:rFonts w:hint="eastAsia"/>
          <w:highlight w:val="none"/>
        </w:rPr>
      </w:pPr>
      <w:r>
        <w:rPr>
          <w:rFonts w:hint="eastAsia"/>
          <w:highlight w:val="none"/>
        </w:rPr>
        <w:t>基础数据校验内置非空、缺失、逻辑、一致性、字典匹配规则，可一键检测上线数据问题并导出结果。</w:t>
      </w:r>
    </w:p>
    <w:p w14:paraId="2912612C">
      <w:pPr>
        <w:pStyle w:val="6"/>
        <w:numPr>
          <w:ilvl w:val="4"/>
          <w:numId w:val="0"/>
        </w:numPr>
        <w:rPr>
          <w:rFonts w:hint="eastAsia"/>
          <w:highlight w:val="none"/>
        </w:rPr>
      </w:pPr>
      <w:r>
        <w:rPr>
          <w:rFonts w:hint="eastAsia"/>
          <w:highlight w:val="none"/>
        </w:rPr>
        <w:t>5.2.1.1.16院内就诊卡管理子系统</w:t>
      </w:r>
    </w:p>
    <w:p w14:paraId="13C3ED68">
      <w:pPr>
        <w:pStyle w:val="12"/>
        <w:shd w:val="clear" w:color="auto" w:fill="auto"/>
        <w:ind w:firstLine="480"/>
        <w:rPr>
          <w:rFonts w:hint="eastAsia"/>
          <w:highlight w:val="none"/>
        </w:rPr>
      </w:pPr>
      <w:r>
        <w:rPr>
          <w:rFonts w:hint="eastAsia"/>
          <w:highlight w:val="none"/>
        </w:rPr>
        <w:t>就诊卡管理实现发卡、补卡、信息维护与统计查询。发卡支持身份证、医保卡等快速建档，发放电子卡，多介质通用并与云平台互通；补卡可查档换卡，同步更新信息；支持电子卡注销或重启；信息维护可通过卡号修改患者基本信息，不影响卡号；统计查询涵盖余额、扣费、预交金等情况。</w:t>
      </w:r>
    </w:p>
    <w:p w14:paraId="167E8A8F">
      <w:pPr>
        <w:pStyle w:val="6"/>
        <w:numPr>
          <w:ilvl w:val="4"/>
          <w:numId w:val="0"/>
        </w:numPr>
        <w:rPr>
          <w:rFonts w:hint="eastAsia"/>
          <w:highlight w:val="none"/>
        </w:rPr>
      </w:pPr>
      <w:bookmarkStart w:id="22" w:name="_Toc197779885"/>
      <w:r>
        <w:rPr>
          <w:rFonts w:hint="eastAsia"/>
          <w:highlight w:val="none"/>
        </w:rPr>
        <w:t>5.2.1.1.17住院护士站</w:t>
      </w:r>
      <w:bookmarkEnd w:id="22"/>
      <w:r>
        <w:rPr>
          <w:rFonts w:hint="eastAsia"/>
          <w:highlight w:val="none"/>
        </w:rPr>
        <w:t>子系统</w:t>
      </w:r>
    </w:p>
    <w:p w14:paraId="50013FB0">
      <w:pPr>
        <w:pStyle w:val="12"/>
        <w:shd w:val="clear" w:color="auto" w:fill="auto"/>
        <w:ind w:firstLine="480"/>
        <w:rPr>
          <w:rFonts w:hint="eastAsia"/>
          <w:highlight w:val="none"/>
        </w:rPr>
      </w:pPr>
      <w:r>
        <w:rPr>
          <w:rFonts w:hint="eastAsia"/>
          <w:highlight w:val="none"/>
        </w:rPr>
        <w:t>住院护士站子系统可以实现患者管理、医嘱管理、医嘱执行管理、费用管理、报表查询、单据打印等功能。</w:t>
      </w:r>
    </w:p>
    <w:p w14:paraId="25DE484A">
      <w:pPr>
        <w:pStyle w:val="7"/>
        <w:numPr>
          <w:ilvl w:val="5"/>
          <w:numId w:val="0"/>
        </w:numPr>
        <w:rPr>
          <w:rFonts w:hint="eastAsia"/>
          <w:highlight w:val="none"/>
        </w:rPr>
      </w:pPr>
      <w:r>
        <w:rPr>
          <w:rFonts w:hint="eastAsia"/>
          <w:highlight w:val="none"/>
        </w:rPr>
        <w:t>5.2.1.1.17.1病房管理</w:t>
      </w:r>
    </w:p>
    <w:p w14:paraId="7DC4D023">
      <w:pPr>
        <w:pStyle w:val="12"/>
        <w:shd w:val="clear" w:color="auto" w:fill="auto"/>
        <w:ind w:firstLine="480"/>
        <w:rPr>
          <w:rFonts w:hint="eastAsia"/>
          <w:highlight w:val="none"/>
        </w:rPr>
      </w:pPr>
      <w:r>
        <w:rPr>
          <w:rFonts w:hint="eastAsia"/>
          <w:highlight w:val="none"/>
        </w:rPr>
        <w:t>接诊、取消接诊：为新入院或转科患者分配床位及诊疗团队（住院、主治、主任医师和责任护士）。</w:t>
      </w:r>
    </w:p>
    <w:p w14:paraId="0C02F334">
      <w:pPr>
        <w:pStyle w:val="12"/>
        <w:shd w:val="clear" w:color="auto" w:fill="auto"/>
        <w:ind w:firstLine="480"/>
        <w:rPr>
          <w:rFonts w:hint="eastAsia"/>
          <w:highlight w:val="none"/>
        </w:rPr>
      </w:pPr>
      <w:r>
        <w:rPr>
          <w:rFonts w:hint="eastAsia"/>
          <w:highlight w:val="none"/>
        </w:rPr>
        <w:t>包床/解包：为患者预留或多床占用或解除。</w:t>
      </w:r>
    </w:p>
    <w:p w14:paraId="1A1D3FE5">
      <w:pPr>
        <w:pStyle w:val="12"/>
        <w:shd w:val="clear" w:color="auto" w:fill="auto"/>
        <w:ind w:firstLine="480"/>
        <w:rPr>
          <w:rFonts w:hint="eastAsia"/>
          <w:highlight w:val="none"/>
        </w:rPr>
      </w:pPr>
      <w:r>
        <w:rPr>
          <w:rFonts w:hint="eastAsia"/>
          <w:highlight w:val="none"/>
        </w:rPr>
        <w:t>转床/转科/转病区：调整患者床位、科室或病区。</w:t>
      </w:r>
    </w:p>
    <w:p w14:paraId="37A90C28">
      <w:pPr>
        <w:pStyle w:val="12"/>
        <w:shd w:val="clear" w:color="auto" w:fill="auto"/>
        <w:ind w:firstLine="480"/>
        <w:rPr>
          <w:rFonts w:hint="eastAsia"/>
          <w:highlight w:val="none"/>
        </w:rPr>
      </w:pPr>
      <w:r>
        <w:rPr>
          <w:rFonts w:hint="eastAsia"/>
          <w:highlight w:val="none"/>
        </w:rPr>
        <w:t>换医师：更换患者的三级医师及责任护士。</w:t>
      </w:r>
    </w:p>
    <w:p w14:paraId="5FA5F65E">
      <w:pPr>
        <w:pStyle w:val="12"/>
        <w:shd w:val="clear" w:color="auto" w:fill="auto"/>
        <w:ind w:firstLine="480"/>
        <w:rPr>
          <w:rFonts w:hint="eastAsia"/>
          <w:highlight w:val="none"/>
        </w:rPr>
      </w:pPr>
      <w:r>
        <w:rPr>
          <w:rFonts w:hint="eastAsia"/>
          <w:highlight w:val="none"/>
        </w:rPr>
        <w:t>婴儿登记：登记新生儿基本信息。</w:t>
      </w:r>
    </w:p>
    <w:p w14:paraId="7BCF7C79">
      <w:pPr>
        <w:pStyle w:val="12"/>
        <w:shd w:val="clear" w:color="auto" w:fill="auto"/>
        <w:ind w:firstLine="480"/>
        <w:rPr>
          <w:rFonts w:hint="eastAsia"/>
          <w:highlight w:val="none"/>
        </w:rPr>
      </w:pPr>
      <w:r>
        <w:rPr>
          <w:rFonts w:hint="eastAsia"/>
          <w:highlight w:val="none"/>
        </w:rPr>
        <w:t>出院登记/召回：办理出院或召回未结算患者并重新安排床位。</w:t>
      </w:r>
    </w:p>
    <w:p w14:paraId="4498DF4F">
      <w:pPr>
        <w:pStyle w:val="12"/>
        <w:shd w:val="clear" w:color="auto" w:fill="auto"/>
        <w:ind w:firstLine="480"/>
        <w:rPr>
          <w:rFonts w:hint="eastAsia"/>
          <w:highlight w:val="none"/>
        </w:rPr>
      </w:pPr>
      <w:r>
        <w:rPr>
          <w:rFonts w:hint="eastAsia"/>
          <w:highlight w:val="none"/>
        </w:rPr>
        <w:t>支持转科留床（如ICU、分娩室），返回时可恢复原床；患者卡片清晰标注费用、医嘱、诊断等关键信息。</w:t>
      </w:r>
    </w:p>
    <w:p w14:paraId="20C19345">
      <w:pPr>
        <w:pStyle w:val="12"/>
        <w:shd w:val="clear" w:color="auto" w:fill="auto"/>
        <w:ind w:firstLine="480"/>
        <w:rPr>
          <w:rFonts w:hint="eastAsia"/>
          <w:highlight w:val="none"/>
        </w:rPr>
      </w:pPr>
      <w:r>
        <w:rPr>
          <w:rFonts w:hint="eastAsia"/>
          <w:highlight w:val="none"/>
        </w:rPr>
        <w:t>▲支持转科留床，患者临时转至ICU或分娩室，当前床位给患者保留，患者转回时固定回到留床上。</w:t>
      </w:r>
    </w:p>
    <w:p w14:paraId="04097F26">
      <w:pPr>
        <w:pStyle w:val="12"/>
        <w:shd w:val="clear" w:color="auto" w:fill="auto"/>
        <w:ind w:firstLine="480"/>
        <w:rPr>
          <w:rFonts w:hint="eastAsia"/>
          <w:highlight w:val="none"/>
        </w:rPr>
      </w:pPr>
      <w:r>
        <w:rPr>
          <w:rFonts w:hint="eastAsia"/>
          <w:highlight w:val="none"/>
        </w:rPr>
        <w:t>▲患者卡片可以明显标注出患者的关键信息（费用信息、新医嘱、患者信息、诊断等。）</w:t>
      </w:r>
    </w:p>
    <w:p w14:paraId="0892D045">
      <w:pPr>
        <w:pStyle w:val="7"/>
        <w:numPr>
          <w:ilvl w:val="5"/>
          <w:numId w:val="0"/>
        </w:numPr>
        <w:rPr>
          <w:rFonts w:hint="eastAsia"/>
          <w:highlight w:val="none"/>
        </w:rPr>
      </w:pPr>
      <w:r>
        <w:rPr>
          <w:rFonts w:hint="eastAsia"/>
          <w:highlight w:val="none"/>
        </w:rPr>
        <w:t>5.2.1.1.17.2医嘱审核管理</w:t>
      </w:r>
    </w:p>
    <w:p w14:paraId="57D9D3DC">
      <w:pPr>
        <w:pStyle w:val="12"/>
        <w:shd w:val="clear" w:color="auto" w:fill="auto"/>
        <w:ind w:firstLine="480"/>
        <w:rPr>
          <w:rFonts w:hint="eastAsia"/>
          <w:highlight w:val="none"/>
        </w:rPr>
      </w:pPr>
      <w:r>
        <w:rPr>
          <w:rFonts w:hint="eastAsia"/>
          <w:highlight w:val="none"/>
        </w:rPr>
        <w:t>审核新开立或新停止的医嘱，临时医嘱审核后生成执行数据并发送至药房、医技等部门。支持护士打回待审核医嘱，可取消打回，护士端打回后医生端有明显颜色提示。支持打回待审核的停止医嘱，医生可将未审核的错误停止医嘱恢复为有效状态以继续治疗。支持医嘱批注、调整执行科室、添加附材及修改皮试结果等操作。</w:t>
      </w:r>
    </w:p>
    <w:p w14:paraId="5D4F80CF">
      <w:pPr>
        <w:pStyle w:val="7"/>
        <w:numPr>
          <w:ilvl w:val="5"/>
          <w:numId w:val="0"/>
        </w:numPr>
        <w:rPr>
          <w:rFonts w:hint="eastAsia"/>
          <w:highlight w:val="none"/>
        </w:rPr>
      </w:pPr>
      <w:r>
        <w:rPr>
          <w:rFonts w:hint="eastAsia"/>
          <w:highlight w:val="none"/>
        </w:rPr>
        <w:t>5.2.1.1.17.3长期医嘱自动分解发送</w:t>
      </w:r>
    </w:p>
    <w:p w14:paraId="72A6CB53">
      <w:pPr>
        <w:pStyle w:val="12"/>
        <w:shd w:val="clear" w:color="auto" w:fill="auto"/>
        <w:ind w:firstLine="480"/>
        <w:rPr>
          <w:rFonts w:hint="eastAsia"/>
          <w:highlight w:val="none"/>
        </w:rPr>
      </w:pPr>
      <w:r>
        <w:rPr>
          <w:rFonts w:hint="eastAsia"/>
          <w:highlight w:val="none"/>
        </w:rPr>
        <w:t>常规长期医嘱审核后发送至药房。支持按频次自动分解执行数据，并发送至药房、医技等终端。</w:t>
      </w:r>
    </w:p>
    <w:p w14:paraId="37441970">
      <w:pPr>
        <w:pStyle w:val="7"/>
        <w:numPr>
          <w:ilvl w:val="5"/>
          <w:numId w:val="0"/>
        </w:numPr>
        <w:rPr>
          <w:rFonts w:hint="eastAsia"/>
          <w:highlight w:val="none"/>
        </w:rPr>
      </w:pPr>
      <w:r>
        <w:rPr>
          <w:rFonts w:hint="eastAsia"/>
          <w:highlight w:val="none"/>
        </w:rPr>
        <w:t>5.2.1.1.17.4护士站收费</w:t>
      </w:r>
    </w:p>
    <w:p w14:paraId="6B6D96EC">
      <w:pPr>
        <w:pStyle w:val="12"/>
        <w:shd w:val="clear" w:color="auto" w:fill="auto"/>
        <w:ind w:firstLine="480"/>
        <w:rPr>
          <w:rFonts w:hint="eastAsia"/>
          <w:highlight w:val="none"/>
        </w:rPr>
      </w:pPr>
      <w:r>
        <w:rPr>
          <w:rFonts w:hint="eastAsia"/>
          <w:highlight w:val="none"/>
        </w:rPr>
        <w:t>护士站可手工计费，</w:t>
      </w:r>
      <w:r>
        <w:rPr>
          <w:rFonts w:hint="eastAsia"/>
          <w:highlight w:val="none"/>
        </w:rPr>
        <w:t>支持</w:t>
      </w:r>
      <w:r>
        <w:rPr>
          <w:rFonts w:hint="eastAsia"/>
          <w:highlight w:val="none"/>
        </w:rPr>
        <w:t>批量计费</w:t>
      </w:r>
      <w:r>
        <w:rPr>
          <w:rFonts w:hint="eastAsia"/>
          <w:highlight w:val="none"/>
        </w:rPr>
        <w:t>。智能持续治疗计费功能可自动处理如持续吸氧等项目，依计费时间及医保要求完成计费</w:t>
      </w:r>
      <w:r>
        <w:rPr>
          <w:rFonts w:hint="eastAsia"/>
          <w:highlight w:val="none"/>
        </w:rPr>
        <w:t>。</w:t>
      </w:r>
    </w:p>
    <w:p w14:paraId="5B8509BA">
      <w:pPr>
        <w:pStyle w:val="12"/>
        <w:shd w:val="clear" w:color="auto" w:fill="auto"/>
        <w:ind w:firstLine="480"/>
        <w:rPr>
          <w:rFonts w:hint="eastAsia"/>
          <w:highlight w:val="none"/>
        </w:rPr>
      </w:pPr>
      <w:r>
        <w:rPr>
          <w:rFonts w:hint="eastAsia"/>
          <w:highlight w:val="none"/>
        </w:rPr>
        <w:t>▲支持智能持续治疗计费，针对例如持续吸氧类的持续治疗项目，按计费时间和医保要求进行智能计费</w:t>
      </w:r>
      <w:r>
        <w:rPr>
          <w:rFonts w:hint="eastAsia"/>
          <w:highlight w:val="none"/>
        </w:rPr>
        <w:t>。</w:t>
      </w:r>
    </w:p>
    <w:p w14:paraId="1F0C2C6F">
      <w:pPr>
        <w:pStyle w:val="12"/>
        <w:shd w:val="clear" w:color="auto" w:fill="auto"/>
        <w:ind w:firstLine="480"/>
        <w:rPr>
          <w:rFonts w:hint="eastAsia"/>
          <w:highlight w:val="none"/>
        </w:rPr>
      </w:pPr>
      <w:r>
        <w:rPr>
          <w:rFonts w:hint="eastAsia"/>
          <w:highlight w:val="none"/>
        </w:rPr>
        <w:t>非药品退费可选申请确认或直接退费流程；药品退费需护士申请、药房确认后执行。系统支持费用核对，防止漏费或多收费。药品统领支持护士统一领药，药房集中处理并配送至护士站。</w:t>
      </w:r>
    </w:p>
    <w:p w14:paraId="37D9D75B">
      <w:pPr>
        <w:pStyle w:val="12"/>
        <w:shd w:val="clear" w:color="auto" w:fill="auto"/>
        <w:ind w:firstLine="480"/>
        <w:rPr>
          <w:rFonts w:hint="eastAsia"/>
          <w:highlight w:val="none"/>
        </w:rPr>
      </w:pPr>
      <w:r>
        <w:rPr>
          <w:rFonts w:hint="eastAsia"/>
          <w:highlight w:val="none"/>
        </w:rPr>
        <w:t>▲支持药品统领，支持以护士统领的模式进行发药操作。</w:t>
      </w:r>
    </w:p>
    <w:p w14:paraId="2AF933EE">
      <w:pPr>
        <w:pStyle w:val="7"/>
        <w:numPr>
          <w:ilvl w:val="5"/>
          <w:numId w:val="0"/>
        </w:numPr>
        <w:rPr>
          <w:rFonts w:hint="eastAsia"/>
          <w:highlight w:val="none"/>
        </w:rPr>
      </w:pPr>
      <w:r>
        <w:rPr>
          <w:rFonts w:hint="eastAsia"/>
          <w:highlight w:val="none"/>
        </w:rPr>
        <w:t>5.2.1.1.17.5单据打印</w:t>
      </w:r>
    </w:p>
    <w:p w14:paraId="177F6969">
      <w:pPr>
        <w:pStyle w:val="12"/>
        <w:shd w:val="clear" w:color="auto" w:fill="auto"/>
        <w:ind w:firstLine="480"/>
        <w:rPr>
          <w:rFonts w:hint="eastAsia"/>
          <w:highlight w:val="none"/>
        </w:rPr>
      </w:pPr>
      <w:r>
        <w:rPr>
          <w:rFonts w:hint="eastAsia"/>
          <w:highlight w:val="none"/>
        </w:rPr>
        <w:t>输液卡：贴于输液瓶上，便于核对和PDA扫描。</w:t>
      </w:r>
    </w:p>
    <w:p w14:paraId="10FA6EE1">
      <w:pPr>
        <w:pStyle w:val="12"/>
        <w:shd w:val="clear" w:color="auto" w:fill="auto"/>
        <w:ind w:firstLine="480"/>
        <w:rPr>
          <w:rFonts w:hint="eastAsia"/>
          <w:highlight w:val="none"/>
        </w:rPr>
      </w:pPr>
      <w:r>
        <w:rPr>
          <w:rFonts w:hint="eastAsia"/>
          <w:highlight w:val="none"/>
        </w:rPr>
        <w:t>执行单：按需设置内容，方便护士执行医嘱。</w:t>
      </w:r>
    </w:p>
    <w:p w14:paraId="196E4115">
      <w:pPr>
        <w:pStyle w:val="12"/>
        <w:shd w:val="clear" w:color="auto" w:fill="auto"/>
        <w:ind w:firstLine="480"/>
        <w:rPr>
          <w:rFonts w:hint="eastAsia"/>
          <w:highlight w:val="none"/>
        </w:rPr>
      </w:pPr>
      <w:r>
        <w:rPr>
          <w:rFonts w:hint="eastAsia"/>
          <w:highlight w:val="none"/>
        </w:rPr>
        <w:t>治疗单：显示治疗项目，便于护理操作。</w:t>
      </w:r>
    </w:p>
    <w:p w14:paraId="2B584713">
      <w:pPr>
        <w:pStyle w:val="12"/>
        <w:shd w:val="clear" w:color="auto" w:fill="auto"/>
        <w:ind w:firstLine="480"/>
        <w:rPr>
          <w:rFonts w:hint="eastAsia"/>
          <w:highlight w:val="none"/>
        </w:rPr>
      </w:pPr>
      <w:r>
        <w:rPr>
          <w:rFonts w:hint="eastAsia"/>
          <w:highlight w:val="none"/>
        </w:rPr>
        <w:t>翻身卡：记录患者翻身情况。</w:t>
      </w:r>
    </w:p>
    <w:p w14:paraId="0124E44C">
      <w:pPr>
        <w:pStyle w:val="12"/>
        <w:shd w:val="clear" w:color="auto" w:fill="auto"/>
        <w:ind w:firstLine="480"/>
        <w:rPr>
          <w:rFonts w:hint="eastAsia"/>
          <w:highlight w:val="none"/>
        </w:rPr>
      </w:pPr>
      <w:r>
        <w:rPr>
          <w:rFonts w:hint="eastAsia"/>
          <w:highlight w:val="none"/>
        </w:rPr>
        <w:t>床头卡：记录患者基本信息。</w:t>
      </w:r>
    </w:p>
    <w:p w14:paraId="6BA458E5">
      <w:pPr>
        <w:pStyle w:val="7"/>
        <w:numPr>
          <w:ilvl w:val="5"/>
          <w:numId w:val="0"/>
        </w:numPr>
        <w:rPr>
          <w:rFonts w:hint="eastAsia"/>
          <w:highlight w:val="none"/>
        </w:rPr>
      </w:pPr>
      <w:r>
        <w:rPr>
          <w:rFonts w:hint="eastAsia"/>
          <w:highlight w:val="none"/>
        </w:rPr>
        <w:t>5.2.1.1.17.6查询统计</w:t>
      </w:r>
    </w:p>
    <w:p w14:paraId="064713FD">
      <w:pPr>
        <w:pStyle w:val="12"/>
        <w:shd w:val="clear" w:color="auto" w:fill="auto"/>
        <w:ind w:firstLine="480"/>
        <w:rPr>
          <w:rFonts w:hint="eastAsia"/>
          <w:highlight w:val="none"/>
        </w:rPr>
      </w:pPr>
      <w:r>
        <w:rPr>
          <w:rFonts w:hint="eastAsia"/>
          <w:highlight w:val="none"/>
        </w:rPr>
        <w:t>患者一日清单：查询在院患者每日费用明细。</w:t>
      </w:r>
    </w:p>
    <w:p w14:paraId="7AAB7DC1">
      <w:pPr>
        <w:pStyle w:val="12"/>
        <w:shd w:val="clear" w:color="auto" w:fill="auto"/>
        <w:ind w:firstLine="480"/>
        <w:rPr>
          <w:rFonts w:hint="eastAsia"/>
          <w:highlight w:val="none"/>
        </w:rPr>
      </w:pPr>
      <w:r>
        <w:rPr>
          <w:rFonts w:hint="eastAsia"/>
          <w:highlight w:val="none"/>
        </w:rPr>
        <w:t>患者费用查询：查询患者住院期间的预交金、药品、非药品、费用汇总及结算等信息。</w:t>
      </w:r>
    </w:p>
    <w:p w14:paraId="3B41B0D5">
      <w:pPr>
        <w:pStyle w:val="12"/>
        <w:shd w:val="clear" w:color="auto" w:fill="auto"/>
        <w:ind w:firstLine="480"/>
        <w:rPr>
          <w:rFonts w:hint="eastAsia"/>
          <w:highlight w:val="none"/>
        </w:rPr>
      </w:pPr>
      <w:r>
        <w:rPr>
          <w:rFonts w:hint="eastAsia"/>
          <w:highlight w:val="none"/>
        </w:rPr>
        <w:t>患者欠费查询：查看在院患者欠费情况。</w:t>
      </w:r>
    </w:p>
    <w:p w14:paraId="2E9C4B21">
      <w:pPr>
        <w:pStyle w:val="12"/>
        <w:shd w:val="clear" w:color="auto" w:fill="auto"/>
        <w:ind w:firstLine="480"/>
        <w:rPr>
          <w:rFonts w:hint="eastAsia"/>
          <w:highlight w:val="none"/>
        </w:rPr>
      </w:pPr>
      <w:r>
        <w:rPr>
          <w:rFonts w:hint="eastAsia"/>
          <w:highlight w:val="none"/>
        </w:rPr>
        <w:t>医嘱执行查询：查看医嘱当前执行状态。</w:t>
      </w:r>
    </w:p>
    <w:p w14:paraId="7149DCD9">
      <w:pPr>
        <w:pStyle w:val="12"/>
        <w:shd w:val="clear" w:color="auto" w:fill="auto"/>
        <w:ind w:firstLine="480"/>
        <w:rPr>
          <w:rFonts w:hint="eastAsia"/>
          <w:highlight w:val="none"/>
        </w:rPr>
      </w:pPr>
      <w:r>
        <w:rPr>
          <w:rFonts w:hint="eastAsia"/>
          <w:highlight w:val="none"/>
        </w:rPr>
        <w:t>医嘱摆药查询：护士站查询药房对本科室的摆药情况。</w:t>
      </w:r>
    </w:p>
    <w:p w14:paraId="146C48E4">
      <w:pPr>
        <w:pStyle w:val="12"/>
        <w:shd w:val="clear" w:color="auto" w:fill="auto"/>
        <w:ind w:firstLine="480"/>
        <w:rPr>
          <w:rFonts w:hint="eastAsia"/>
          <w:highlight w:val="none"/>
        </w:rPr>
      </w:pPr>
      <w:r>
        <w:rPr>
          <w:rFonts w:hint="eastAsia"/>
          <w:highlight w:val="none"/>
        </w:rPr>
        <w:t>护士站退药查询：查询患者已退药品。</w:t>
      </w:r>
    </w:p>
    <w:p w14:paraId="59CE0D9F">
      <w:pPr>
        <w:pStyle w:val="12"/>
        <w:shd w:val="clear" w:color="auto" w:fill="auto"/>
        <w:ind w:firstLine="480"/>
        <w:rPr>
          <w:rFonts w:hint="eastAsia"/>
          <w:highlight w:val="none"/>
        </w:rPr>
      </w:pPr>
      <w:r>
        <w:rPr>
          <w:rFonts w:hint="eastAsia"/>
          <w:highlight w:val="none"/>
        </w:rPr>
        <w:t>▲医嘱查询界面要求列表宽度可记忆</w:t>
      </w:r>
      <w:r>
        <w:rPr>
          <w:rFonts w:hint="eastAsia"/>
          <w:highlight w:val="none"/>
        </w:rPr>
        <w:t>，</w:t>
      </w:r>
      <w:r>
        <w:rPr>
          <w:rFonts w:hint="eastAsia"/>
          <w:highlight w:val="none"/>
        </w:rPr>
        <w:t>支持列顺序、可见性、可编辑等属性配置，具有可视化配置界面。</w:t>
      </w:r>
    </w:p>
    <w:p w14:paraId="597C3FA8">
      <w:pPr>
        <w:pStyle w:val="12"/>
        <w:shd w:val="clear" w:color="auto" w:fill="auto"/>
        <w:ind w:firstLine="480"/>
        <w:rPr>
          <w:rFonts w:hint="eastAsia"/>
          <w:highlight w:val="none"/>
        </w:rPr>
      </w:pPr>
      <w:r>
        <w:rPr>
          <w:rFonts w:hint="eastAsia"/>
          <w:highlight w:val="none"/>
        </w:rPr>
        <w:t>费用查询：支持快捷补费、退费操作。</w:t>
      </w:r>
    </w:p>
    <w:p w14:paraId="3B4008B9">
      <w:pPr>
        <w:pStyle w:val="7"/>
        <w:numPr>
          <w:ilvl w:val="5"/>
          <w:numId w:val="0"/>
        </w:numPr>
        <w:rPr>
          <w:rFonts w:hint="eastAsia"/>
          <w:highlight w:val="none"/>
        </w:rPr>
      </w:pPr>
      <w:r>
        <w:rPr>
          <w:rFonts w:hint="eastAsia"/>
          <w:highlight w:val="none"/>
        </w:rPr>
        <w:t>5.2.1.1.17.7其他功能</w:t>
      </w:r>
    </w:p>
    <w:p w14:paraId="569921B7">
      <w:pPr>
        <w:pStyle w:val="12"/>
        <w:shd w:val="clear" w:color="auto" w:fill="auto"/>
        <w:ind w:firstLine="480"/>
        <w:rPr>
          <w:rFonts w:hint="eastAsia"/>
          <w:highlight w:val="none"/>
        </w:rPr>
      </w:pPr>
      <w:r>
        <w:rPr>
          <w:rFonts w:hint="eastAsia"/>
          <w:highlight w:val="none"/>
        </w:rPr>
        <w:t>可录入需皮试医嘱的阴阳性结果；记录医嘱执行人、双签人及执行时间；提供含床号、住院号、姓名、性别、年龄、诊断、护理等级和费用等信息的病区床位一览表；支持检验等相关查询。</w:t>
      </w:r>
    </w:p>
    <w:p w14:paraId="03FD6591">
      <w:pPr>
        <w:pStyle w:val="7"/>
        <w:numPr>
          <w:ilvl w:val="5"/>
          <w:numId w:val="0"/>
        </w:numPr>
        <w:rPr>
          <w:rFonts w:hint="eastAsia"/>
          <w:highlight w:val="none"/>
        </w:rPr>
      </w:pPr>
      <w:r>
        <w:rPr>
          <w:rFonts w:hint="eastAsia" w:cstheme="minorBidi"/>
          <w:highlight w:val="none"/>
        </w:rPr>
        <w:t>5.2.1.1.17.8</w:t>
      </w:r>
      <w:r>
        <w:rPr>
          <w:rFonts w:hint="eastAsia"/>
          <w:highlight w:val="none"/>
        </w:rPr>
        <w:t>护士站资料维护</w:t>
      </w:r>
    </w:p>
    <w:p w14:paraId="05587645">
      <w:pPr>
        <w:pStyle w:val="12"/>
        <w:shd w:val="clear" w:color="auto" w:fill="auto"/>
        <w:ind w:firstLine="480"/>
        <w:rPr>
          <w:rFonts w:hint="eastAsia"/>
          <w:highlight w:val="none"/>
        </w:rPr>
      </w:pPr>
      <w:r>
        <w:rPr>
          <w:rFonts w:hint="eastAsia"/>
          <w:highlight w:val="none"/>
        </w:rPr>
        <w:t>维护病床、附材、执行单、收费套餐及科室常用项目等信息；设置患者欠费警戒线；管理床位等级、费用、编制、状态及加床；支持患者卡片动态配置与样式定制；计时管理已审核的持续治疗项目；统计护士日报及科室人员流转；维护执行单和组套；管理附材。</w:t>
      </w:r>
    </w:p>
    <w:p w14:paraId="330F7CBC">
      <w:pPr>
        <w:pStyle w:val="6"/>
        <w:numPr>
          <w:ilvl w:val="4"/>
          <w:numId w:val="0"/>
        </w:numPr>
        <w:rPr>
          <w:rFonts w:hint="eastAsia"/>
          <w:highlight w:val="none"/>
        </w:rPr>
      </w:pPr>
      <w:bookmarkStart w:id="23" w:name="_Toc197779886"/>
      <w:r>
        <w:rPr>
          <w:rFonts w:hint="eastAsia"/>
          <w:highlight w:val="none"/>
        </w:rPr>
        <w:t>5.2.1.1.18预住院</w:t>
      </w:r>
      <w:bookmarkEnd w:id="23"/>
      <w:r>
        <w:rPr>
          <w:rFonts w:hint="eastAsia"/>
          <w:highlight w:val="none"/>
        </w:rPr>
        <w:t>子系统</w:t>
      </w:r>
    </w:p>
    <w:p w14:paraId="2F66D256">
      <w:pPr>
        <w:pStyle w:val="12"/>
        <w:shd w:val="clear" w:color="auto" w:fill="auto"/>
        <w:ind w:firstLine="480"/>
        <w:rPr>
          <w:rFonts w:hint="eastAsia"/>
          <w:highlight w:val="none"/>
        </w:rPr>
      </w:pPr>
      <w:r>
        <w:rPr>
          <w:rFonts w:hint="eastAsia"/>
          <w:highlight w:val="none"/>
        </w:rPr>
        <w:t>▲支持预住院流程，支持符合与住院条件的患者，跨门诊、住院统一结算费用。</w:t>
      </w:r>
    </w:p>
    <w:p w14:paraId="599EEE42">
      <w:pPr>
        <w:pStyle w:val="12"/>
        <w:shd w:val="clear" w:color="auto" w:fill="auto"/>
        <w:ind w:firstLine="480"/>
        <w:rPr>
          <w:rFonts w:hint="eastAsia"/>
          <w:highlight w:val="none"/>
        </w:rPr>
      </w:pPr>
      <w:r>
        <w:rPr>
          <w:rFonts w:hint="eastAsia"/>
          <w:highlight w:val="none"/>
        </w:rPr>
        <w:t>系统可快速转换不同路径患者的门诊与住院费用；对无法入院者，退出时可一键将预住院费用转回门诊。</w:t>
      </w:r>
    </w:p>
    <w:p w14:paraId="495F044E">
      <w:pPr>
        <w:pStyle w:val="12"/>
        <w:shd w:val="clear" w:color="auto" w:fill="auto"/>
        <w:ind w:firstLine="480"/>
        <w:rPr>
          <w:rFonts w:hint="eastAsia"/>
          <w:highlight w:val="none"/>
        </w:rPr>
      </w:pPr>
      <w:r>
        <w:rPr>
          <w:rFonts w:hint="eastAsia"/>
          <w:highlight w:val="none"/>
        </w:rPr>
        <w:t>▲住院执行模式下，院前医嘱是住院临时医嘱，支持在患者入院前进行医嘱审核功能。</w:t>
      </w:r>
    </w:p>
    <w:p w14:paraId="1A51AECB">
      <w:pPr>
        <w:pStyle w:val="6"/>
        <w:numPr>
          <w:ilvl w:val="4"/>
          <w:numId w:val="0"/>
        </w:numPr>
        <w:rPr>
          <w:rFonts w:hint="eastAsia"/>
          <w:highlight w:val="none"/>
        </w:rPr>
      </w:pPr>
      <w:bookmarkStart w:id="24" w:name="_Toc197779887"/>
      <w:r>
        <w:rPr>
          <w:rFonts w:hint="eastAsia" w:cstheme="majorBidi"/>
          <w:highlight w:val="none"/>
        </w:rPr>
        <w:t>5.2.1.1.19</w:t>
      </w:r>
      <w:r>
        <w:rPr>
          <w:rFonts w:hint="eastAsia"/>
          <w:highlight w:val="none"/>
        </w:rPr>
        <w:t>医保接口</w:t>
      </w:r>
      <w:bookmarkEnd w:id="24"/>
    </w:p>
    <w:p w14:paraId="56E7A77C">
      <w:pPr>
        <w:pStyle w:val="7"/>
        <w:numPr>
          <w:ilvl w:val="5"/>
          <w:numId w:val="0"/>
        </w:numPr>
        <w:rPr>
          <w:rFonts w:hint="eastAsia"/>
          <w:highlight w:val="none"/>
        </w:rPr>
      </w:pPr>
      <w:bookmarkStart w:id="25" w:name="_Toc197779888"/>
      <w:r>
        <w:rPr>
          <w:rFonts w:hint="eastAsia"/>
          <w:highlight w:val="none"/>
        </w:rPr>
        <w:t>5.2.1.1.19.1医保两定接口</w:t>
      </w:r>
      <w:bookmarkEnd w:id="25"/>
    </w:p>
    <w:p w14:paraId="205968D1">
      <w:pPr>
        <w:pStyle w:val="12"/>
        <w:shd w:val="clear" w:color="auto" w:fill="auto"/>
        <w:ind w:firstLine="480"/>
        <w:rPr>
          <w:rFonts w:hint="eastAsia"/>
          <w:highlight w:val="none"/>
        </w:rPr>
      </w:pPr>
      <w:r>
        <w:rPr>
          <w:rFonts w:hint="eastAsia"/>
          <w:highlight w:val="none"/>
        </w:rPr>
        <w:t>实现医保办对医保项目、药品信息的对照及挂号、退号、结算等管理。</w:t>
      </w:r>
    </w:p>
    <w:p w14:paraId="3363B0E8">
      <w:pPr>
        <w:pStyle w:val="12"/>
        <w:shd w:val="clear" w:color="auto" w:fill="auto"/>
        <w:ind w:firstLine="480"/>
        <w:rPr>
          <w:rFonts w:hint="eastAsia"/>
          <w:highlight w:val="none"/>
        </w:rPr>
      </w:pPr>
      <w:r>
        <w:rPr>
          <w:rFonts w:hint="eastAsia"/>
          <w:highlight w:val="none"/>
        </w:rPr>
        <w:t>1.医保对照：通过对接医保局数据，实现医疗项目与药品的医保缴费对照，并支持查询消费明细与汇总。</w:t>
      </w:r>
    </w:p>
    <w:p w14:paraId="491797BA">
      <w:pPr>
        <w:pStyle w:val="12"/>
        <w:shd w:val="clear" w:color="auto" w:fill="auto"/>
        <w:ind w:firstLine="480"/>
        <w:rPr>
          <w:rFonts w:hint="eastAsia"/>
          <w:highlight w:val="none"/>
        </w:rPr>
      </w:pPr>
      <w:r>
        <w:rPr>
          <w:rFonts w:hint="eastAsia"/>
          <w:highlight w:val="none"/>
        </w:rPr>
        <w:t>2.医保挂号：通过读卡或输入医保卡号完成挂号圈存，自动上传信息至医保局并同步至医院系统。</w:t>
      </w:r>
    </w:p>
    <w:p w14:paraId="0DEC7DB0">
      <w:pPr>
        <w:pStyle w:val="12"/>
        <w:shd w:val="clear" w:color="auto" w:fill="auto"/>
        <w:ind w:firstLine="480"/>
        <w:rPr>
          <w:rFonts w:hint="eastAsia"/>
          <w:highlight w:val="none"/>
        </w:rPr>
      </w:pPr>
      <w:r>
        <w:rPr>
          <w:rFonts w:hint="eastAsia"/>
          <w:highlight w:val="none"/>
        </w:rPr>
        <w:t>3.医保退号：撤销挂号并退还费用，系统双向记录保障数据完整可追溯。</w:t>
      </w:r>
    </w:p>
    <w:p w14:paraId="3B02B51D">
      <w:pPr>
        <w:pStyle w:val="12"/>
        <w:shd w:val="clear" w:color="auto" w:fill="auto"/>
        <w:ind w:firstLine="480"/>
        <w:rPr>
          <w:rFonts w:hint="eastAsia"/>
          <w:highlight w:val="none"/>
        </w:rPr>
      </w:pPr>
      <w:r>
        <w:rPr>
          <w:rFonts w:hint="eastAsia"/>
          <w:highlight w:val="none"/>
        </w:rPr>
        <w:t>4.门诊结算：缴费时上传费用数据，完成医保门诊结算。</w:t>
      </w:r>
    </w:p>
    <w:p w14:paraId="6483E29A">
      <w:pPr>
        <w:pStyle w:val="12"/>
        <w:shd w:val="clear" w:color="auto" w:fill="auto"/>
        <w:ind w:firstLine="480"/>
        <w:rPr>
          <w:rFonts w:hint="eastAsia"/>
          <w:highlight w:val="none"/>
        </w:rPr>
      </w:pPr>
      <w:r>
        <w:rPr>
          <w:rFonts w:hint="eastAsia"/>
          <w:highlight w:val="none"/>
        </w:rPr>
        <w:t>5.门诊退费：退费时通过接口撤销结算，返还医保费用。</w:t>
      </w:r>
    </w:p>
    <w:p w14:paraId="3B8147CC">
      <w:pPr>
        <w:pStyle w:val="12"/>
        <w:shd w:val="clear" w:color="auto" w:fill="auto"/>
        <w:ind w:firstLine="480"/>
        <w:rPr>
          <w:rFonts w:hint="eastAsia"/>
          <w:highlight w:val="none"/>
        </w:rPr>
      </w:pPr>
      <w:r>
        <w:rPr>
          <w:rFonts w:hint="eastAsia"/>
          <w:highlight w:val="none"/>
        </w:rPr>
        <w:t>6.住院登记：读卡圈存后上传患者住院登记信息。</w:t>
      </w:r>
    </w:p>
    <w:p w14:paraId="7D71621E">
      <w:pPr>
        <w:pStyle w:val="12"/>
        <w:shd w:val="clear" w:color="auto" w:fill="auto"/>
        <w:ind w:firstLine="480"/>
        <w:rPr>
          <w:rFonts w:hint="eastAsia"/>
          <w:highlight w:val="none"/>
        </w:rPr>
      </w:pPr>
      <w:r>
        <w:rPr>
          <w:rFonts w:hint="eastAsia"/>
          <w:highlight w:val="none"/>
        </w:rPr>
        <w:t>7.出院登记：基于系统数据上传出院登记信息。</w:t>
      </w:r>
    </w:p>
    <w:p w14:paraId="1D33CDEF">
      <w:pPr>
        <w:pStyle w:val="12"/>
        <w:shd w:val="clear" w:color="auto" w:fill="auto"/>
        <w:ind w:firstLine="480"/>
        <w:rPr>
          <w:rFonts w:hint="eastAsia"/>
          <w:highlight w:val="none"/>
        </w:rPr>
      </w:pPr>
      <w:r>
        <w:rPr>
          <w:rFonts w:hint="eastAsia"/>
          <w:highlight w:val="none"/>
        </w:rPr>
        <w:t>8.住院记账：按要求上传费用，进行预结算并记账。</w:t>
      </w:r>
    </w:p>
    <w:p w14:paraId="2BEA41C4">
      <w:pPr>
        <w:pStyle w:val="12"/>
        <w:shd w:val="clear" w:color="auto" w:fill="auto"/>
        <w:ind w:firstLine="480"/>
        <w:rPr>
          <w:rFonts w:hint="eastAsia"/>
          <w:highlight w:val="none"/>
        </w:rPr>
      </w:pPr>
      <w:r>
        <w:rPr>
          <w:rFonts w:hint="eastAsia"/>
          <w:highlight w:val="none"/>
        </w:rPr>
        <w:t>9.住院退费：退费后同步上传数据，完成预结算与退费处理。</w:t>
      </w:r>
    </w:p>
    <w:p w14:paraId="12067826">
      <w:pPr>
        <w:pStyle w:val="12"/>
        <w:shd w:val="clear" w:color="auto" w:fill="auto"/>
        <w:ind w:firstLine="480"/>
        <w:rPr>
          <w:rFonts w:hint="eastAsia"/>
          <w:highlight w:val="none"/>
        </w:rPr>
      </w:pPr>
      <w:r>
        <w:rPr>
          <w:rFonts w:hint="eastAsia"/>
          <w:highlight w:val="none"/>
        </w:rPr>
        <w:t>10.住院结算：以系统数据为基础上传费用，完成医保结算。</w:t>
      </w:r>
    </w:p>
    <w:p w14:paraId="794C816C">
      <w:pPr>
        <w:pStyle w:val="12"/>
        <w:shd w:val="clear" w:color="auto" w:fill="auto"/>
        <w:ind w:firstLine="480"/>
        <w:rPr>
          <w:rFonts w:hint="eastAsia"/>
          <w:highlight w:val="none"/>
        </w:rPr>
      </w:pPr>
      <w:r>
        <w:rPr>
          <w:rFonts w:hint="eastAsia"/>
          <w:highlight w:val="none"/>
        </w:rPr>
        <w:t>11.结算召回：出院召回时取消结算并回退数据。</w:t>
      </w:r>
    </w:p>
    <w:p w14:paraId="67E4F89C">
      <w:pPr>
        <w:pStyle w:val="12"/>
        <w:shd w:val="clear" w:color="auto" w:fill="auto"/>
        <w:ind w:firstLine="480"/>
        <w:rPr>
          <w:rFonts w:hint="eastAsia"/>
          <w:highlight w:val="none"/>
        </w:rPr>
      </w:pPr>
      <w:r>
        <w:rPr>
          <w:rFonts w:hint="eastAsia"/>
          <w:highlight w:val="none"/>
        </w:rPr>
        <w:t>12.医保限制：基于医保数据在医生站显示药品与项目的使用限制。</w:t>
      </w:r>
    </w:p>
    <w:p w14:paraId="16492402">
      <w:pPr>
        <w:pStyle w:val="12"/>
        <w:shd w:val="clear" w:color="auto" w:fill="auto"/>
        <w:ind w:firstLine="480"/>
        <w:rPr>
          <w:rFonts w:hint="eastAsia"/>
          <w:highlight w:val="none"/>
        </w:rPr>
      </w:pPr>
      <w:r>
        <w:rPr>
          <w:rFonts w:hint="eastAsia"/>
          <w:highlight w:val="none"/>
        </w:rPr>
        <w:t>13.医保对账：结合本地政策核对医院与医保中心账目。</w:t>
      </w:r>
    </w:p>
    <w:p w14:paraId="689BDB11">
      <w:pPr>
        <w:pStyle w:val="12"/>
        <w:shd w:val="clear" w:color="auto" w:fill="auto"/>
        <w:ind w:firstLine="480"/>
        <w:rPr>
          <w:rFonts w:hint="eastAsia"/>
          <w:highlight w:val="none"/>
        </w:rPr>
      </w:pPr>
      <w:r>
        <w:rPr>
          <w:rFonts w:hint="eastAsia"/>
          <w:highlight w:val="none"/>
        </w:rPr>
        <w:t>14.医保查询：按本地特点查询医保费用统计信息。</w:t>
      </w:r>
    </w:p>
    <w:p w14:paraId="39EE47A8">
      <w:pPr>
        <w:pStyle w:val="7"/>
        <w:numPr>
          <w:ilvl w:val="5"/>
          <w:numId w:val="0"/>
        </w:numPr>
        <w:rPr>
          <w:rFonts w:hint="eastAsia"/>
          <w:highlight w:val="none"/>
        </w:rPr>
      </w:pPr>
      <w:bookmarkStart w:id="26" w:name="_Toc197779889"/>
      <w:r>
        <w:rPr>
          <w:rFonts w:hint="eastAsia"/>
          <w:highlight w:val="none"/>
        </w:rPr>
        <w:t>5.2.1.1.19.2商业保险医疗</w:t>
      </w:r>
      <w:bookmarkEnd w:id="26"/>
    </w:p>
    <w:p w14:paraId="3F9BCDCE">
      <w:pPr>
        <w:pStyle w:val="12"/>
        <w:shd w:val="clear" w:color="auto" w:fill="auto"/>
        <w:ind w:firstLine="480"/>
        <w:rPr>
          <w:rFonts w:hint="eastAsia"/>
          <w:highlight w:val="none"/>
        </w:rPr>
      </w:pPr>
      <w:r>
        <w:rPr>
          <w:rFonts w:hint="eastAsia"/>
          <w:highlight w:val="none"/>
        </w:rPr>
        <w:t>实现门诊办公室对商业保险相关事务的管理，包括：人员信息维护；依据协议算法进行挂号、退号及费用返还；门诊和住院结算；门诊退费处理；诊疗记账时的费用限制；与协议单位对账；以及商业保险费用查询。</w:t>
      </w:r>
    </w:p>
    <w:p w14:paraId="58A85027">
      <w:pPr>
        <w:pStyle w:val="6"/>
        <w:numPr>
          <w:ilvl w:val="4"/>
          <w:numId w:val="0"/>
        </w:numPr>
        <w:rPr>
          <w:rFonts w:hint="eastAsia"/>
          <w:highlight w:val="none"/>
        </w:rPr>
      </w:pPr>
      <w:r>
        <w:rPr>
          <w:rFonts w:hint="eastAsia" w:cstheme="majorBidi"/>
          <w:highlight w:val="none"/>
        </w:rPr>
        <w:t>5.2.1.1.20</w:t>
      </w:r>
      <w:r>
        <w:rPr>
          <w:rFonts w:hint="eastAsia"/>
          <w:highlight w:val="none"/>
        </w:rPr>
        <w:t>其他接口</w:t>
      </w:r>
    </w:p>
    <w:p w14:paraId="60CF1B75">
      <w:pPr>
        <w:pStyle w:val="7"/>
        <w:numPr>
          <w:ilvl w:val="5"/>
          <w:numId w:val="0"/>
        </w:numPr>
        <w:rPr>
          <w:rFonts w:hint="eastAsia"/>
          <w:highlight w:val="none"/>
        </w:rPr>
      </w:pPr>
      <w:bookmarkStart w:id="27" w:name="_Toc197779890"/>
      <w:r>
        <w:rPr>
          <w:rFonts w:hint="eastAsia"/>
          <w:highlight w:val="none"/>
        </w:rPr>
        <w:t>5.2.1.1.20.1 LIS接口</w:t>
      </w:r>
      <w:bookmarkEnd w:id="27"/>
    </w:p>
    <w:p w14:paraId="3BB02F88">
      <w:pPr>
        <w:pStyle w:val="12"/>
        <w:shd w:val="clear" w:color="auto" w:fill="auto"/>
        <w:ind w:firstLine="480"/>
        <w:rPr>
          <w:rFonts w:hint="eastAsia"/>
          <w:highlight w:val="none"/>
        </w:rPr>
      </w:pPr>
      <w:r>
        <w:rPr>
          <w:rFonts w:hint="eastAsia"/>
          <w:highlight w:val="none"/>
        </w:rPr>
        <w:t>按三方接口规范开发LIS接口，向LIS系统提供HIS患者数据。</w:t>
      </w:r>
    </w:p>
    <w:p w14:paraId="3C6A0CD3">
      <w:pPr>
        <w:pStyle w:val="7"/>
        <w:numPr>
          <w:ilvl w:val="5"/>
          <w:numId w:val="0"/>
        </w:numPr>
        <w:rPr>
          <w:rFonts w:hint="eastAsia"/>
          <w:highlight w:val="none"/>
        </w:rPr>
      </w:pPr>
      <w:bookmarkStart w:id="28" w:name="_Toc197779891"/>
      <w:r>
        <w:rPr>
          <w:rFonts w:hint="eastAsia"/>
          <w:highlight w:val="none"/>
        </w:rPr>
        <w:t>5.2.1.1.20.2  PACS接口</w:t>
      </w:r>
      <w:bookmarkEnd w:id="28"/>
    </w:p>
    <w:p w14:paraId="127432A9">
      <w:pPr>
        <w:pStyle w:val="12"/>
        <w:shd w:val="clear" w:color="auto" w:fill="auto"/>
        <w:ind w:firstLine="480"/>
        <w:rPr>
          <w:rFonts w:hint="eastAsia"/>
          <w:highlight w:val="none"/>
        </w:rPr>
      </w:pPr>
      <w:r>
        <w:rPr>
          <w:rFonts w:hint="eastAsia"/>
          <w:highlight w:val="none"/>
        </w:rPr>
        <w:t>按三方接口规范开发PACS接口，向PACS系统提供HIS患者数据。</w:t>
      </w:r>
    </w:p>
    <w:p w14:paraId="0681398F">
      <w:pPr>
        <w:pStyle w:val="7"/>
        <w:numPr>
          <w:ilvl w:val="5"/>
          <w:numId w:val="0"/>
        </w:numPr>
        <w:rPr>
          <w:rFonts w:hint="eastAsia"/>
          <w:highlight w:val="none"/>
        </w:rPr>
      </w:pPr>
      <w:bookmarkStart w:id="29" w:name="_Toc197779892"/>
      <w:r>
        <w:rPr>
          <w:rFonts w:hint="eastAsia"/>
          <w:highlight w:val="none"/>
        </w:rPr>
        <w:t>5.2.1.1.20.3 电子病历接口</w:t>
      </w:r>
      <w:bookmarkEnd w:id="29"/>
    </w:p>
    <w:p w14:paraId="03DBC40B">
      <w:pPr>
        <w:pStyle w:val="12"/>
        <w:shd w:val="clear" w:color="auto" w:fill="auto"/>
        <w:ind w:firstLine="480"/>
        <w:rPr>
          <w:rFonts w:hint="eastAsia"/>
          <w:highlight w:val="none"/>
        </w:rPr>
      </w:pPr>
      <w:r>
        <w:rPr>
          <w:rFonts w:hint="eastAsia"/>
          <w:highlight w:val="none"/>
        </w:rPr>
        <w:t>提供HIS的相关患者数据，供电子病历系统调用。</w:t>
      </w:r>
    </w:p>
    <w:p w14:paraId="3261536B">
      <w:pPr>
        <w:pStyle w:val="7"/>
        <w:numPr>
          <w:ilvl w:val="5"/>
          <w:numId w:val="0"/>
        </w:numPr>
        <w:rPr>
          <w:rFonts w:hint="eastAsia"/>
          <w:highlight w:val="none"/>
        </w:rPr>
      </w:pPr>
      <w:bookmarkStart w:id="30" w:name="_Toc197779893"/>
      <w:r>
        <w:rPr>
          <w:rFonts w:hint="eastAsia"/>
          <w:highlight w:val="none"/>
        </w:rPr>
        <w:t>5.2.1.1.20.4财务系统接口</w:t>
      </w:r>
      <w:bookmarkEnd w:id="30"/>
    </w:p>
    <w:p w14:paraId="6C26F279">
      <w:pPr>
        <w:pStyle w:val="12"/>
        <w:shd w:val="clear" w:color="auto" w:fill="auto"/>
        <w:ind w:firstLine="480"/>
        <w:rPr>
          <w:rFonts w:hint="eastAsia"/>
          <w:highlight w:val="none"/>
        </w:rPr>
      </w:pPr>
      <w:r>
        <w:rPr>
          <w:rFonts w:hint="eastAsia"/>
          <w:highlight w:val="none"/>
        </w:rPr>
        <w:t>提供HIS的相关业务收入数据，并按照第三方厂商的数据格式要求，对数据进需求适配，提供财务系统调用。</w:t>
      </w:r>
    </w:p>
    <w:p w14:paraId="060F6D3B">
      <w:pPr>
        <w:pStyle w:val="7"/>
        <w:numPr>
          <w:ilvl w:val="5"/>
          <w:numId w:val="0"/>
        </w:numPr>
        <w:rPr>
          <w:rFonts w:hint="eastAsia"/>
          <w:highlight w:val="none"/>
        </w:rPr>
      </w:pPr>
      <w:bookmarkStart w:id="31" w:name="_Toc197779894"/>
      <w:r>
        <w:rPr>
          <w:rFonts w:hint="eastAsia"/>
          <w:highlight w:val="none"/>
        </w:rPr>
        <w:t>5.2.1.1.20.5 银联接口</w:t>
      </w:r>
      <w:bookmarkEnd w:id="31"/>
    </w:p>
    <w:p w14:paraId="274C1F90">
      <w:pPr>
        <w:pStyle w:val="12"/>
        <w:shd w:val="clear" w:color="auto" w:fill="auto"/>
        <w:ind w:firstLine="480"/>
        <w:rPr>
          <w:rFonts w:hint="eastAsia"/>
          <w:highlight w:val="none"/>
        </w:rPr>
      </w:pPr>
      <w:r>
        <w:rPr>
          <w:rFonts w:hint="eastAsia"/>
          <w:highlight w:val="none"/>
        </w:rPr>
        <w:t>HIS支持窗口收费时，按照银联格式要求提供收费金额信息，供银联厂商扣费。</w:t>
      </w:r>
    </w:p>
    <w:p w14:paraId="7BE154F5">
      <w:pPr>
        <w:pStyle w:val="7"/>
        <w:numPr>
          <w:ilvl w:val="5"/>
          <w:numId w:val="0"/>
        </w:numPr>
        <w:rPr>
          <w:rFonts w:hint="eastAsia"/>
          <w:highlight w:val="none"/>
        </w:rPr>
      </w:pPr>
      <w:bookmarkStart w:id="32" w:name="_Toc197779895"/>
      <w:r>
        <w:rPr>
          <w:rFonts w:hint="eastAsia"/>
          <w:highlight w:val="none"/>
        </w:rPr>
        <w:t>5.2.1.1.20.6合理用药接口</w:t>
      </w:r>
      <w:bookmarkEnd w:id="32"/>
    </w:p>
    <w:p w14:paraId="2030B679">
      <w:pPr>
        <w:pStyle w:val="12"/>
        <w:shd w:val="clear" w:color="auto" w:fill="auto"/>
        <w:ind w:firstLine="480"/>
        <w:rPr>
          <w:rFonts w:hint="eastAsia"/>
          <w:highlight w:val="none"/>
        </w:rPr>
      </w:pPr>
      <w:r>
        <w:rPr>
          <w:rFonts w:hint="eastAsia"/>
          <w:highlight w:val="none"/>
        </w:rPr>
        <w:t>该功能面向门诊及住院医生、护士和药师，提供用药规范警示、处方点评和临床应用支持，有效防范因处方错误导致的用药风险，并对接第三方合理用药软件，实现医嘱开立时的药品监测与校验。</w:t>
      </w:r>
    </w:p>
    <w:p w14:paraId="1E652EED">
      <w:pPr>
        <w:pStyle w:val="5"/>
        <w:rPr>
          <w:rFonts w:hint="eastAsia"/>
          <w:highlight w:val="none"/>
        </w:rPr>
      </w:pPr>
      <w:r>
        <w:rPr>
          <w:rFonts w:hint="eastAsia"/>
          <w:highlight w:val="none"/>
        </w:rPr>
        <w:t>医生工作站系统</w:t>
      </w:r>
    </w:p>
    <w:p w14:paraId="7D6F89F6">
      <w:pPr>
        <w:pStyle w:val="6"/>
        <w:rPr>
          <w:rFonts w:hint="eastAsia"/>
          <w:highlight w:val="none"/>
        </w:rPr>
      </w:pPr>
      <w:bookmarkStart w:id="33" w:name="_Toc197780051"/>
      <w:r>
        <w:rPr>
          <w:rFonts w:hint="eastAsia"/>
          <w:highlight w:val="none"/>
        </w:rPr>
        <w:t>门诊医生工作站</w:t>
      </w:r>
      <w:bookmarkEnd w:id="33"/>
    </w:p>
    <w:p w14:paraId="3F35576F">
      <w:pPr>
        <w:pStyle w:val="12"/>
        <w:shd w:val="clear" w:color="auto" w:fill="auto"/>
        <w:ind w:firstLine="480"/>
        <w:rPr>
          <w:rFonts w:hint="eastAsia"/>
          <w:highlight w:val="none"/>
        </w:rPr>
      </w:pPr>
      <w:r>
        <w:rPr>
          <w:rFonts w:hint="eastAsia"/>
          <w:highlight w:val="none"/>
        </w:rPr>
        <w:t>支持患者列表、处方开具、诊断、病历书写等核心功能，全面展示患者挂号、治疗及历史诊疗信息，便于快速查询。系统以医生诊疗为核心，整合检查、检验、输血、住院预约等资源，通过医嘱（药品、治疗、材料、申请单等）实现门诊全流程管理。主要功能包括门诊医生站、诊断履历、患者组件、医嘱、病历、诊断、报告查看及入院办理。</w:t>
      </w:r>
    </w:p>
    <w:p w14:paraId="7BF40AD2">
      <w:pPr>
        <w:pStyle w:val="7"/>
        <w:rPr>
          <w:rFonts w:hint="eastAsia"/>
          <w:highlight w:val="none"/>
        </w:rPr>
      </w:pPr>
      <w:bookmarkStart w:id="34" w:name="_Toc197780052"/>
      <w:r>
        <w:rPr>
          <w:rFonts w:hint="eastAsia"/>
          <w:highlight w:val="none"/>
        </w:rPr>
        <w:t>门诊医生站</w:t>
      </w:r>
      <w:bookmarkEnd w:id="34"/>
    </w:p>
    <w:p w14:paraId="1F29E5DD">
      <w:pPr>
        <w:pStyle w:val="12"/>
        <w:shd w:val="clear" w:color="auto" w:fill="auto"/>
        <w:ind w:firstLine="480"/>
        <w:rPr>
          <w:rFonts w:hint="eastAsia"/>
          <w:highlight w:val="none"/>
        </w:rPr>
      </w:pPr>
      <w:r>
        <w:rPr>
          <w:rFonts w:hint="eastAsia"/>
          <w:highlight w:val="none"/>
        </w:rPr>
        <w:t>门诊医生站支持有序接诊，具备分诊叫号、患者查询功能。系统集成患者列表、医嘱、病历与诊断模块，支持个性化布局保存及多端同步。患者队列按科室和医生展示，区分待诊与已诊状态，显示人数、午别提示及基本信息。医生可进行叫号、过号、重呼、诊出等操作，并可取消看诊以调整错诊患者。支持查看并复用患者既往就诊的病历、诊断及医嘱信息等。</w:t>
      </w:r>
    </w:p>
    <w:p w14:paraId="78845F07">
      <w:pPr>
        <w:pStyle w:val="7"/>
        <w:rPr>
          <w:rFonts w:hint="eastAsia"/>
          <w:highlight w:val="none"/>
        </w:rPr>
      </w:pPr>
      <w:bookmarkStart w:id="35" w:name="_Toc197780053"/>
      <w:r>
        <w:rPr>
          <w:rFonts w:hint="eastAsia"/>
          <w:highlight w:val="none"/>
        </w:rPr>
        <w:t>诊断履历</w:t>
      </w:r>
      <w:bookmarkEnd w:id="35"/>
    </w:p>
    <w:p w14:paraId="0D83496A">
      <w:pPr>
        <w:pStyle w:val="12"/>
        <w:shd w:val="clear" w:color="auto" w:fill="auto"/>
        <w:ind w:firstLine="480"/>
        <w:rPr>
          <w:rFonts w:hint="eastAsia"/>
          <w:highlight w:val="none"/>
        </w:rPr>
      </w:pPr>
      <w:r>
        <w:rPr>
          <w:rFonts w:hint="eastAsia"/>
          <w:highlight w:val="none"/>
        </w:rPr>
        <w:t>诊断履历供医生查看患者历次诊疗信息，支持按门诊、急诊、住院及时间倒序展示</w:t>
      </w:r>
      <w:r>
        <w:rPr>
          <w:rFonts w:hint="eastAsia"/>
          <w:highlight w:val="none"/>
        </w:rPr>
        <w:t>。</w:t>
      </w:r>
    </w:p>
    <w:p w14:paraId="09FA6355">
      <w:pPr>
        <w:pStyle w:val="7"/>
        <w:rPr>
          <w:rFonts w:hint="eastAsia"/>
          <w:highlight w:val="none"/>
        </w:rPr>
      </w:pPr>
      <w:bookmarkStart w:id="36" w:name="_Toc197780054"/>
      <w:r>
        <w:rPr>
          <w:rFonts w:hint="eastAsia"/>
          <w:highlight w:val="none"/>
        </w:rPr>
        <w:t>患者组件</w:t>
      </w:r>
      <w:bookmarkEnd w:id="36"/>
    </w:p>
    <w:p w14:paraId="1B80E69F">
      <w:pPr>
        <w:pStyle w:val="12"/>
        <w:shd w:val="clear" w:color="auto" w:fill="auto"/>
        <w:ind w:firstLine="480"/>
        <w:rPr>
          <w:rFonts w:hint="eastAsia"/>
          <w:highlight w:val="none"/>
        </w:rPr>
      </w:pPr>
      <w:r>
        <w:rPr>
          <w:rFonts w:hint="eastAsia"/>
          <w:highlight w:val="none"/>
        </w:rPr>
        <w:t>患者组件用于展示患者基本信息与特殊信息，支持医生快速查看档案、挂号及联系人。需按性别年龄显示对应头像，展示姓名、年龄、地址、费用类别等。支持查看本次就诊医嘱总费用及明细。提供过敏信息管理功能，包括过敏源和严重程度的录入与查看。支持诊疗笔记的自定义记录，含待办、已办、提醒等功能。可显示患者警示信息，如成瘾药物使用、传染病及不良行为，并支持自定义提示。支持患者标签的添加、查看、删除及自定义标记，便于特殊管理。</w:t>
      </w:r>
    </w:p>
    <w:p w14:paraId="33DDF2FE">
      <w:pPr>
        <w:pStyle w:val="7"/>
        <w:rPr>
          <w:rFonts w:hint="eastAsia"/>
          <w:highlight w:val="none"/>
        </w:rPr>
      </w:pPr>
      <w:bookmarkStart w:id="37" w:name="_Toc197780055"/>
      <w:r>
        <w:rPr>
          <w:rFonts w:hint="eastAsia"/>
          <w:highlight w:val="none"/>
        </w:rPr>
        <w:t>门诊医嘱</w:t>
      </w:r>
      <w:bookmarkEnd w:id="37"/>
    </w:p>
    <w:p w14:paraId="5EBD86B1">
      <w:pPr>
        <w:pStyle w:val="12"/>
        <w:shd w:val="clear" w:color="auto" w:fill="auto"/>
        <w:ind w:firstLine="480"/>
        <w:rPr>
          <w:rFonts w:hint="eastAsia"/>
          <w:highlight w:val="none"/>
        </w:rPr>
      </w:pPr>
      <w:r>
        <w:rPr>
          <w:rFonts w:hint="eastAsia"/>
          <w:highlight w:val="none"/>
        </w:rPr>
        <w:t>支持医生开立门诊各类医嘱（西药、检查、检验、治疗、手术、病理、中成药、中草药等），可编辑、删除已开医嘱，查看历史医嘱并存为组套、复制或一键开立，支持执行情况查看与金额计算；具备性别、过敏源等校验功能。</w:t>
      </w:r>
    </w:p>
    <w:p w14:paraId="0C72D5A1">
      <w:pPr>
        <w:pStyle w:val="12"/>
        <w:shd w:val="clear" w:color="auto" w:fill="auto"/>
        <w:ind w:firstLine="480"/>
        <w:rPr>
          <w:rFonts w:hint="eastAsia"/>
          <w:highlight w:val="none"/>
        </w:rPr>
      </w:pPr>
      <w:r>
        <w:rPr>
          <w:rFonts w:hint="eastAsia"/>
          <w:highlight w:val="none"/>
        </w:rPr>
        <w:t>医嘱开立支持快速下达医疗指令，联动护士、药房及医技科室，记录治疗方案。支持普通、慢病、特病等看诊序列及病种、诊断、结算类型绑定；可批量开立多类型医嘱，兼容鼠标与键盘操作；展示药品名称、规格、剂型、价格、属性、库存等信息，自动显示默认用法；支持不均等给药、协定处方、辅材绑定、静滴滴速精确录入；提供快捷开立与多种查询方式（精准、模糊）；支持暂存不签名；开立时校验过敏史、性别，保存时校验库存与权限，提示不足或冲突；重复或超量开立时提醒。</w:t>
      </w:r>
    </w:p>
    <w:p w14:paraId="048DADDD">
      <w:pPr>
        <w:pStyle w:val="12"/>
        <w:shd w:val="clear" w:color="auto" w:fill="auto"/>
        <w:ind w:firstLine="480"/>
        <w:rPr>
          <w:rFonts w:hint="eastAsia"/>
          <w:highlight w:val="none"/>
        </w:rPr>
      </w:pPr>
      <w:r>
        <w:rPr>
          <w:rFonts w:hint="eastAsia"/>
          <w:highlight w:val="none"/>
        </w:rPr>
        <w:t>检查申请单支持医嘱与申请单互生，快速切换CT、超声、X线等类型；常用项目可复用，按部位检索；可编辑患者简要病史，插入图片并标注特殊部位或注意事项；支持自定义检查目的与备注；可标记绿色通道、隔离、单病种、轮椅等信息；支持项目及费用预览与数量调整；可按检查类型、方法、科室、部位自动分单；支持基于人体部位图示开立检查。</w:t>
      </w:r>
    </w:p>
    <w:p w14:paraId="4E2BA4B5">
      <w:pPr>
        <w:pStyle w:val="12"/>
        <w:shd w:val="clear" w:color="auto" w:fill="auto"/>
        <w:ind w:firstLine="480"/>
        <w:rPr>
          <w:rFonts w:hint="eastAsia"/>
          <w:highlight w:val="none"/>
        </w:rPr>
      </w:pPr>
      <w:r>
        <w:rPr>
          <w:rFonts w:hint="eastAsia"/>
          <w:highlight w:val="none"/>
        </w:rPr>
        <w:t>检验申请单支持快速切换类型（如生化、基础检验），常用项目查询复用，项目及费用预览与调整，并按检验类型、科室、样本自动分单。</w:t>
      </w:r>
    </w:p>
    <w:p w14:paraId="38BE8189">
      <w:pPr>
        <w:pStyle w:val="12"/>
        <w:shd w:val="clear" w:color="auto" w:fill="auto"/>
        <w:ind w:firstLine="480"/>
        <w:rPr>
          <w:rFonts w:hint="eastAsia"/>
          <w:highlight w:val="none"/>
        </w:rPr>
      </w:pPr>
      <w:r>
        <w:rPr>
          <w:rFonts w:hint="eastAsia"/>
          <w:highlight w:val="none"/>
        </w:rPr>
        <w:t>中草药开立支持按草药类型（中草药、三九方、颗粒等）或药房筛选；支持全键盘与鼠标操作；支持处方复用与快速插入药物；可按基本或最小剂量单位开方；支持特殊煎法、代煎自煎组合；支持君臣佐使统计、秘方组套、多种跳转顺序及条目数量与字体自适应配置；提供保存后快捷查看详细处方功能。</w:t>
      </w:r>
    </w:p>
    <w:p w14:paraId="2BD752FF">
      <w:pPr>
        <w:pStyle w:val="12"/>
        <w:shd w:val="clear" w:color="auto" w:fill="auto"/>
        <w:ind w:firstLine="480"/>
        <w:rPr>
          <w:rFonts w:hint="eastAsia"/>
          <w:highlight w:val="none"/>
        </w:rPr>
      </w:pPr>
      <w:r>
        <w:rPr>
          <w:rFonts w:hint="eastAsia"/>
          <w:highlight w:val="none"/>
        </w:rPr>
        <w:t>支持医嘱组合、拆组及大输液与子医嘱自动成组。</w:t>
      </w:r>
    </w:p>
    <w:p w14:paraId="70C4C9E0">
      <w:pPr>
        <w:pStyle w:val="12"/>
        <w:shd w:val="clear" w:color="auto" w:fill="auto"/>
        <w:ind w:firstLine="480"/>
        <w:rPr>
          <w:rFonts w:hint="eastAsia"/>
          <w:highlight w:val="none"/>
        </w:rPr>
      </w:pPr>
      <w:r>
        <w:rPr>
          <w:rFonts w:hint="eastAsia"/>
          <w:highlight w:val="none"/>
        </w:rPr>
        <w:t>历史医嘱支持查看门诊与住院记录，按类型、类别、关键词搜索；可保存为组套并复制至当前诊疗；支持一键导入既往病历、诊断与医嘱。</w:t>
      </w:r>
    </w:p>
    <w:p w14:paraId="4D3DF5C8">
      <w:pPr>
        <w:pStyle w:val="12"/>
        <w:shd w:val="clear" w:color="auto" w:fill="auto"/>
        <w:ind w:firstLine="480"/>
        <w:rPr>
          <w:rFonts w:hint="eastAsia"/>
          <w:highlight w:val="none"/>
        </w:rPr>
      </w:pPr>
      <w:r>
        <w:rPr>
          <w:rFonts w:hint="eastAsia"/>
          <w:highlight w:val="none"/>
        </w:rPr>
        <w:t>医嘱计算器支持自动导入患者性别、身高、体重，内置体表面积、肾小球滤过率、肌酐清除率、胰岛素用量、高血糖钠校正等公式，实现快速计算。</w:t>
      </w:r>
    </w:p>
    <w:p w14:paraId="47266831">
      <w:pPr>
        <w:pStyle w:val="12"/>
        <w:shd w:val="clear" w:color="auto" w:fill="auto"/>
        <w:ind w:firstLine="480"/>
        <w:rPr>
          <w:rFonts w:hint="eastAsia"/>
          <w:highlight w:val="none"/>
        </w:rPr>
      </w:pPr>
      <w:r>
        <w:rPr>
          <w:rFonts w:hint="eastAsia"/>
          <w:highlight w:val="none"/>
        </w:rPr>
        <w:t>门诊医嘱保存后可自动插入病历指定区域，同步合理用药、CDSS及上报平台信息，支持CA加密保存。</w:t>
      </w:r>
    </w:p>
    <w:p w14:paraId="75D84EDF">
      <w:pPr>
        <w:pStyle w:val="12"/>
        <w:shd w:val="clear" w:color="auto" w:fill="auto"/>
        <w:ind w:firstLine="480"/>
        <w:rPr>
          <w:rFonts w:hint="eastAsia"/>
          <w:highlight w:val="none"/>
        </w:rPr>
      </w:pPr>
      <w:r>
        <w:rPr>
          <w:rFonts w:hint="eastAsia"/>
          <w:highlight w:val="none"/>
        </w:rPr>
        <w:t>未收费医嘱可删除并同步清除病历内容，收费后可作废。</w:t>
      </w:r>
    </w:p>
    <w:p w14:paraId="29D0E45E">
      <w:pPr>
        <w:pStyle w:val="12"/>
        <w:shd w:val="clear" w:color="auto" w:fill="auto"/>
        <w:ind w:firstLine="480"/>
        <w:rPr>
          <w:rFonts w:hint="eastAsia"/>
          <w:highlight w:val="none"/>
        </w:rPr>
      </w:pPr>
      <w:r>
        <w:rPr>
          <w:rFonts w:hint="eastAsia"/>
          <w:highlight w:val="none"/>
        </w:rPr>
        <w:t>支持查看医嘱闭环流程与执行状态。</w:t>
      </w:r>
    </w:p>
    <w:p w14:paraId="1A116F17">
      <w:pPr>
        <w:pStyle w:val="12"/>
        <w:shd w:val="clear" w:color="auto" w:fill="auto"/>
        <w:ind w:firstLine="480"/>
        <w:rPr>
          <w:rFonts w:hint="eastAsia"/>
          <w:highlight w:val="none"/>
        </w:rPr>
      </w:pPr>
      <w:r>
        <w:rPr>
          <w:rFonts w:hint="eastAsia"/>
          <w:highlight w:val="none"/>
        </w:rPr>
        <w:t>医嘱组套管理支持多种检索方式（组套名、拼音首字母、五笔码等）查找；支持多类型组套，按角色权限编辑；新增组套自动生成检索关键字，可定义使用方式；支持将已开医嘱保存为组套，整合药品、检查、检验等项目；可在原组套基础上追加内容；按角色与药理作用分类提供常用组套快捷开立。</w:t>
      </w:r>
    </w:p>
    <w:p w14:paraId="6EB8F32C">
      <w:pPr>
        <w:pStyle w:val="12"/>
        <w:shd w:val="clear" w:color="auto" w:fill="auto"/>
        <w:ind w:firstLine="480"/>
        <w:rPr>
          <w:rFonts w:hint="eastAsia"/>
          <w:highlight w:val="none"/>
        </w:rPr>
      </w:pPr>
      <w:r>
        <w:rPr>
          <w:rFonts w:hint="eastAsia"/>
          <w:highlight w:val="none"/>
        </w:rPr>
        <w:t>医嘱门诊日志支持显示患者基本信息与接诊过程，录入诊毕去向与时间。</w:t>
      </w:r>
    </w:p>
    <w:p w14:paraId="5A11B607">
      <w:pPr>
        <w:pStyle w:val="12"/>
        <w:shd w:val="clear" w:color="auto" w:fill="auto"/>
        <w:ind w:firstLine="480"/>
        <w:rPr>
          <w:rFonts w:hint="eastAsia"/>
          <w:highlight w:val="none"/>
        </w:rPr>
      </w:pPr>
      <w:r>
        <w:rPr>
          <w:rFonts w:hint="eastAsia"/>
          <w:highlight w:val="none"/>
        </w:rPr>
        <w:t>医嘱开立设置支持默认展开组套树、配置跳转顺序、每行草药味数（1–5味）、草药开立顺序及菜单顺序自定义。</w:t>
      </w:r>
    </w:p>
    <w:p w14:paraId="03B73037">
      <w:pPr>
        <w:pStyle w:val="12"/>
        <w:shd w:val="clear" w:color="auto" w:fill="auto"/>
        <w:ind w:firstLine="480"/>
        <w:rPr>
          <w:rFonts w:hint="eastAsia"/>
          <w:highlight w:val="none"/>
        </w:rPr>
      </w:pPr>
      <w:r>
        <w:rPr>
          <w:rFonts w:hint="eastAsia"/>
          <w:highlight w:val="none"/>
        </w:rPr>
        <w:t>开立毒麻药时自动提醒录入代办人信息。</w:t>
      </w:r>
    </w:p>
    <w:p w14:paraId="4C0F6821">
      <w:pPr>
        <w:pStyle w:val="12"/>
        <w:shd w:val="clear" w:color="auto" w:fill="auto"/>
        <w:ind w:firstLine="480"/>
        <w:rPr>
          <w:rFonts w:hint="eastAsia"/>
          <w:highlight w:val="none"/>
        </w:rPr>
      </w:pPr>
      <w:r>
        <w:rPr>
          <w:rFonts w:hint="eastAsia"/>
          <w:highlight w:val="none"/>
        </w:rPr>
        <w:t>开立非限制级、限制级抗生素时自动提醒录入治疗、预防及联合用药信息；支持各级抗生素权限管理及急诊特殊级紧急开立流程。</w:t>
      </w:r>
    </w:p>
    <w:p w14:paraId="66C502A5">
      <w:pPr>
        <w:pStyle w:val="12"/>
        <w:shd w:val="clear" w:color="auto" w:fill="auto"/>
        <w:ind w:firstLine="480"/>
        <w:rPr>
          <w:rFonts w:hint="eastAsia"/>
          <w:highlight w:val="none"/>
        </w:rPr>
      </w:pPr>
      <w:r>
        <w:rPr>
          <w:rFonts w:hint="eastAsia"/>
          <w:highlight w:val="none"/>
        </w:rPr>
        <w:t>支持西药、草药、毒麻精一精二处方打印，以及指引单、治疗单、检查检验申请单打印。</w:t>
      </w:r>
    </w:p>
    <w:p w14:paraId="4FD2E46B">
      <w:pPr>
        <w:pStyle w:val="7"/>
        <w:rPr>
          <w:rFonts w:hint="eastAsia"/>
          <w:highlight w:val="none"/>
        </w:rPr>
      </w:pPr>
      <w:bookmarkStart w:id="38" w:name="_Toc197780056"/>
      <w:r>
        <w:rPr>
          <w:rFonts w:hint="eastAsia"/>
          <w:highlight w:val="none"/>
        </w:rPr>
        <w:t>门诊病历</w:t>
      </w:r>
      <w:bookmarkEnd w:id="38"/>
    </w:p>
    <w:p w14:paraId="78A4206C">
      <w:pPr>
        <w:pStyle w:val="12"/>
        <w:shd w:val="clear" w:color="auto" w:fill="auto"/>
        <w:ind w:firstLine="480"/>
        <w:rPr>
          <w:rFonts w:hint="eastAsia"/>
          <w:highlight w:val="none"/>
        </w:rPr>
      </w:pPr>
      <w:r>
        <w:rPr>
          <w:rFonts w:hint="eastAsia"/>
          <w:highlight w:val="none"/>
        </w:rPr>
        <w:t>门诊电子病历应医嘱体现治疗方案，病历记录诊疗全过程。医生通过病历描述病情、检查、治疗及病情变化，完整呈现门诊就诊过程。</w:t>
      </w:r>
    </w:p>
    <w:p w14:paraId="557536CF">
      <w:pPr>
        <w:pStyle w:val="12"/>
        <w:shd w:val="clear" w:color="auto" w:fill="auto"/>
        <w:ind w:firstLine="480"/>
        <w:rPr>
          <w:rFonts w:hint="eastAsia"/>
          <w:highlight w:val="none"/>
        </w:rPr>
      </w:pPr>
      <w:r>
        <w:rPr>
          <w:rFonts w:hint="eastAsia"/>
          <w:highlight w:val="none"/>
        </w:rPr>
        <w:t>支持初诊与复诊模板，适配不同场景；可快速调用病历组套，复用历史病历；自动导入患者信息；实现结构化录入与点选书写；支持医嘱联动、检验结果插入、图片及特殊符号添加，并可嵌入公式计算（如肌酐清除率）。</w:t>
      </w:r>
    </w:p>
    <w:p w14:paraId="438B6C3D">
      <w:pPr>
        <w:pStyle w:val="12"/>
        <w:shd w:val="clear" w:color="auto" w:fill="auto"/>
        <w:ind w:firstLine="480"/>
        <w:rPr>
          <w:rFonts w:hint="eastAsia"/>
          <w:highlight w:val="none"/>
        </w:rPr>
      </w:pPr>
      <w:r>
        <w:rPr>
          <w:rFonts w:hint="eastAsia"/>
          <w:highlight w:val="none"/>
        </w:rPr>
        <w:t>支持CA电子签名，病历可暂存；保存或签名时校验必填项，提示主诉字数，显示院方水印；签名后锁定，可申请解锁。</w:t>
      </w:r>
    </w:p>
    <w:p w14:paraId="586C23FD">
      <w:pPr>
        <w:pStyle w:val="12"/>
        <w:shd w:val="clear" w:color="auto" w:fill="auto"/>
        <w:ind w:firstLine="480"/>
        <w:rPr>
          <w:rFonts w:hint="eastAsia"/>
          <w:highlight w:val="none"/>
        </w:rPr>
      </w:pPr>
      <w:r>
        <w:rPr>
          <w:rFonts w:hint="eastAsia"/>
          <w:highlight w:val="none"/>
        </w:rPr>
        <w:t>支持单份及批量打印，打印后不可修改，修改需审批；打印件带水印。</w:t>
      </w:r>
    </w:p>
    <w:p w14:paraId="743B1A7C">
      <w:pPr>
        <w:pStyle w:val="12"/>
        <w:shd w:val="clear" w:color="auto" w:fill="auto"/>
        <w:ind w:firstLine="480"/>
        <w:rPr>
          <w:rFonts w:hint="eastAsia"/>
          <w:highlight w:val="none"/>
        </w:rPr>
      </w:pPr>
      <w:r>
        <w:rPr>
          <w:rFonts w:hint="eastAsia"/>
          <w:highlight w:val="none"/>
        </w:rPr>
        <w:t>未签名病历可删除，支持操作记录查询与病历恢复。</w:t>
      </w:r>
    </w:p>
    <w:p w14:paraId="19F45476">
      <w:pPr>
        <w:pStyle w:val="12"/>
        <w:shd w:val="clear" w:color="auto" w:fill="auto"/>
        <w:ind w:firstLine="480"/>
        <w:rPr>
          <w:rFonts w:hint="eastAsia"/>
          <w:highlight w:val="none"/>
        </w:rPr>
      </w:pPr>
      <w:r>
        <w:rPr>
          <w:rFonts w:hint="eastAsia"/>
          <w:highlight w:val="none"/>
        </w:rPr>
        <w:t>病历组套分个人、科室、全院三级管理，支持模板与元素组套，可一键保存病历为组套，指定医师维护科室组套，支持命名、排序及设为常用。</w:t>
      </w:r>
    </w:p>
    <w:p w14:paraId="32FE1BB9">
      <w:pPr>
        <w:pStyle w:val="12"/>
        <w:shd w:val="clear" w:color="auto" w:fill="auto"/>
        <w:ind w:firstLine="480"/>
        <w:rPr>
          <w:rFonts w:hint="eastAsia"/>
          <w:highlight w:val="none"/>
        </w:rPr>
      </w:pPr>
      <w:r>
        <w:rPr>
          <w:rFonts w:hint="eastAsia"/>
          <w:highlight w:val="none"/>
        </w:rPr>
        <w:t>知情同意书按类型展示，显示状态（待创建、暂存、签名等），自动填充患者信息，支持医患双方电子签名。</w:t>
      </w:r>
    </w:p>
    <w:p w14:paraId="0557BD3F">
      <w:pPr>
        <w:pStyle w:val="12"/>
        <w:shd w:val="clear" w:color="auto" w:fill="auto"/>
        <w:ind w:firstLine="480"/>
        <w:rPr>
          <w:rFonts w:hint="eastAsia"/>
          <w:highlight w:val="none"/>
        </w:rPr>
      </w:pPr>
      <w:r>
        <w:rPr>
          <w:rFonts w:hint="eastAsia"/>
          <w:highlight w:val="none"/>
        </w:rPr>
        <w:t>医生站支持开具疾病证明（病假单）。</w:t>
      </w:r>
    </w:p>
    <w:p w14:paraId="555B3A0E">
      <w:pPr>
        <w:pStyle w:val="7"/>
        <w:rPr>
          <w:rFonts w:hint="eastAsia"/>
          <w:highlight w:val="none"/>
        </w:rPr>
      </w:pPr>
      <w:bookmarkStart w:id="39" w:name="_Toc197780057"/>
      <w:r>
        <w:rPr>
          <w:rFonts w:hint="eastAsia"/>
          <w:highlight w:val="none"/>
        </w:rPr>
        <w:t>门诊诊断</w:t>
      </w:r>
      <w:bookmarkEnd w:id="39"/>
    </w:p>
    <w:p w14:paraId="602C91A0">
      <w:pPr>
        <w:pStyle w:val="12"/>
        <w:shd w:val="clear" w:color="auto" w:fill="auto"/>
        <w:ind w:firstLine="480"/>
        <w:rPr>
          <w:rFonts w:hint="eastAsia"/>
          <w:highlight w:val="none"/>
        </w:rPr>
      </w:pPr>
      <w:r>
        <w:rPr>
          <w:rFonts w:hint="eastAsia"/>
          <w:highlight w:val="none"/>
        </w:rPr>
        <w:t>住院诊断用于依据ICD-10明确患者就诊疾病。支持常规、组套及复用历史诊断，提供结构化录入、前后缀编辑，可标记主要或疑似诊断，具备性别校验与医保对照功能。中医诊断需支持“病”与“证候”结构化录入。未签名诊断可删除，已签名可作废。传染病诊断自动关联上报。系统根据使用频率生成常用诊断组套，并支持个人及科室级维护。</w:t>
      </w:r>
    </w:p>
    <w:p w14:paraId="29713001">
      <w:pPr>
        <w:pStyle w:val="7"/>
        <w:rPr>
          <w:rFonts w:hint="eastAsia"/>
          <w:highlight w:val="none"/>
        </w:rPr>
      </w:pPr>
      <w:bookmarkStart w:id="40" w:name="_Toc197780058"/>
      <w:r>
        <w:rPr>
          <w:rFonts w:hint="eastAsia"/>
          <w:highlight w:val="none"/>
        </w:rPr>
        <w:t>门诊报告查看</w:t>
      </w:r>
      <w:bookmarkEnd w:id="40"/>
    </w:p>
    <w:p w14:paraId="3B550F9A">
      <w:pPr>
        <w:pStyle w:val="12"/>
        <w:shd w:val="clear" w:color="auto" w:fill="auto"/>
        <w:ind w:firstLine="480"/>
        <w:rPr>
          <w:rFonts w:hint="eastAsia"/>
          <w:highlight w:val="none"/>
        </w:rPr>
      </w:pPr>
      <w:r>
        <w:rPr>
          <w:rFonts w:hint="eastAsia"/>
          <w:highlight w:val="none"/>
        </w:rPr>
        <w:t>支持在医生站内查看门诊检查、检验报告及影像，包括多结果时序趋势，无需切换系统。</w:t>
      </w:r>
    </w:p>
    <w:p w14:paraId="07D83BDA">
      <w:pPr>
        <w:pStyle w:val="7"/>
        <w:rPr>
          <w:rFonts w:hint="eastAsia"/>
          <w:highlight w:val="none"/>
        </w:rPr>
      </w:pPr>
      <w:bookmarkStart w:id="41" w:name="_Toc197780059"/>
      <w:r>
        <w:rPr>
          <w:rFonts w:hint="eastAsia"/>
          <w:highlight w:val="none"/>
        </w:rPr>
        <w:t>办理入院</w:t>
      </w:r>
      <w:bookmarkEnd w:id="41"/>
    </w:p>
    <w:p w14:paraId="4A5AB8AC">
      <w:pPr>
        <w:pStyle w:val="12"/>
        <w:shd w:val="clear" w:color="auto" w:fill="auto"/>
        <w:ind w:firstLine="480"/>
        <w:rPr>
          <w:rFonts w:hint="eastAsia"/>
          <w:highlight w:val="none"/>
        </w:rPr>
      </w:pPr>
      <w:r>
        <w:rPr>
          <w:rFonts w:hint="eastAsia"/>
          <w:highlight w:val="none"/>
        </w:rPr>
        <w:t>支持开立住院通知单时自动带入患者基本信息（病历号、费用类别、姓名、性别、年龄、出生日期）和门诊主诊断；默认提供入院情况（危/急/一般）及处理项目，可本地化增减信息项。</w:t>
      </w:r>
    </w:p>
    <w:p w14:paraId="064A48E1">
      <w:pPr>
        <w:pStyle w:val="7"/>
        <w:rPr>
          <w:rFonts w:hint="eastAsia"/>
          <w:highlight w:val="none"/>
        </w:rPr>
      </w:pPr>
      <w:bookmarkStart w:id="42" w:name="_Toc197780060"/>
      <w:r>
        <w:rPr>
          <w:rFonts w:hint="eastAsia"/>
          <w:highlight w:val="none"/>
        </w:rPr>
        <w:t>会诊</w:t>
      </w:r>
      <w:bookmarkEnd w:id="42"/>
    </w:p>
    <w:p w14:paraId="385BCB29">
      <w:pPr>
        <w:pStyle w:val="12"/>
        <w:shd w:val="clear" w:color="auto" w:fill="auto"/>
        <w:ind w:firstLine="480"/>
        <w:rPr>
          <w:rFonts w:hint="eastAsia"/>
          <w:highlight w:val="none"/>
        </w:rPr>
      </w:pPr>
      <w:r>
        <w:rPr>
          <w:rFonts w:hint="eastAsia"/>
          <w:highlight w:val="none"/>
        </w:rPr>
        <w:t>支持科间及急会诊申请，可查看已申请患者的处理状态；支持会诊与医嘱联动，自动生单，处理前可查阅患者信息，可接收并填写意见或拒绝并注明理由；支持双方互评，评价内容仅己方可见，具备查询、分析及自定义维护功能。</w:t>
      </w:r>
    </w:p>
    <w:p w14:paraId="50C92761">
      <w:pPr>
        <w:pStyle w:val="7"/>
        <w:rPr>
          <w:rFonts w:hint="eastAsia"/>
          <w:highlight w:val="none"/>
        </w:rPr>
      </w:pPr>
      <w:bookmarkStart w:id="43" w:name="_Toc197780061"/>
      <w:r>
        <w:rPr>
          <w:rFonts w:hint="eastAsia"/>
          <w:highlight w:val="none"/>
        </w:rPr>
        <w:t>门诊病历归档</w:t>
      </w:r>
      <w:bookmarkEnd w:id="43"/>
    </w:p>
    <w:p w14:paraId="14A285BD">
      <w:pPr>
        <w:pStyle w:val="12"/>
        <w:shd w:val="clear" w:color="auto" w:fill="auto"/>
        <w:ind w:firstLine="480"/>
        <w:rPr>
          <w:rFonts w:hint="eastAsia"/>
          <w:highlight w:val="none"/>
        </w:rPr>
      </w:pPr>
      <w:r>
        <w:rPr>
          <w:rFonts w:hint="eastAsia"/>
          <w:highlight w:val="none"/>
        </w:rPr>
        <w:t>支持门诊病历定时归档、医生申请解归档及门诊部审批接归档。</w:t>
      </w:r>
    </w:p>
    <w:p w14:paraId="30133B59">
      <w:pPr>
        <w:pStyle w:val="6"/>
        <w:rPr>
          <w:rFonts w:hint="eastAsia"/>
          <w:highlight w:val="none"/>
        </w:rPr>
      </w:pPr>
      <w:bookmarkStart w:id="44" w:name="_Toc197780062"/>
      <w:r>
        <w:rPr>
          <w:rFonts w:hint="eastAsia"/>
          <w:highlight w:val="none"/>
        </w:rPr>
        <w:t>住院医生工作站</w:t>
      </w:r>
      <w:bookmarkEnd w:id="44"/>
    </w:p>
    <w:p w14:paraId="5F3E8C33">
      <w:pPr>
        <w:pStyle w:val="12"/>
        <w:shd w:val="clear" w:color="auto" w:fill="auto"/>
        <w:ind w:firstLine="480"/>
        <w:rPr>
          <w:rFonts w:hint="eastAsia"/>
          <w:highlight w:val="none"/>
        </w:rPr>
      </w:pPr>
      <w:r>
        <w:rPr>
          <w:rFonts w:hint="eastAsia"/>
          <w:highlight w:val="none"/>
        </w:rPr>
        <w:t>住院医生工作站支持医生高效完成患者诊疗工作。系统需具备患者列表、医嘱与诊断开立、病历书写等核心功能，全面集成患者信息、治疗记录及历史诊疗数据，支持快速查询定位。以医生为中心整合检查、检验、输血、手术等资源，通过医嘱（药品、治疗、材料、申请单等）实现全流程诊疗管理。主要功能包括住院医生站、患者组件、医嘱管理、电子病历、诊断管理、报告查看及会诊等。</w:t>
      </w:r>
    </w:p>
    <w:p w14:paraId="7C71BED6">
      <w:pPr>
        <w:pStyle w:val="7"/>
        <w:rPr>
          <w:rFonts w:hint="eastAsia"/>
          <w:highlight w:val="none"/>
        </w:rPr>
      </w:pPr>
      <w:r>
        <w:rPr>
          <w:rFonts w:hint="eastAsia"/>
          <w:highlight w:val="none"/>
        </w:rPr>
        <w:t>住院患者列表</w:t>
      </w:r>
    </w:p>
    <w:p w14:paraId="31F8A69B">
      <w:pPr>
        <w:pStyle w:val="12"/>
        <w:shd w:val="clear" w:color="auto" w:fill="auto"/>
        <w:ind w:firstLine="480"/>
        <w:rPr>
          <w:rFonts w:hint="eastAsia"/>
          <w:highlight w:val="none"/>
        </w:rPr>
      </w:pPr>
      <w:r>
        <w:rPr>
          <w:rFonts w:hint="eastAsia"/>
          <w:highlight w:val="none"/>
        </w:rPr>
        <w:t>支持按患者来源（分管、全科、授权、转出、转入）和状态（在院、出院）等多种方式快速筛选，并可自定义扩展分类（如日间手术、预住院、血透）；支持快捷查询会诊患者，按时间、病区、科室过滤及排序；可标记危重、手术、婴儿等特殊患者并筛选；支持住院患者分类联动、信息导出；详细显示床号、姓名、年龄、病历号、入院信息、诊断、护理级别及责任医护，并可自定义显示内容、顺序与宽度；提供治疗入口查看历史就诊，显著提示攻击性、传染病、财务警告等风险；集成病历创建修改快捷入口（如病程、入院、手术记录），支持查看医嘱、检查检验结果及体温、血压、血糖变化趋势。</w:t>
      </w:r>
    </w:p>
    <w:p w14:paraId="26EE258D">
      <w:pPr>
        <w:pStyle w:val="7"/>
        <w:rPr>
          <w:rFonts w:hint="eastAsia"/>
          <w:highlight w:val="none"/>
        </w:rPr>
      </w:pPr>
      <w:bookmarkStart w:id="45" w:name="_Toc197780064"/>
      <w:r>
        <w:rPr>
          <w:rFonts w:hint="eastAsia"/>
          <w:highlight w:val="none"/>
        </w:rPr>
        <w:t>患者组件</w:t>
      </w:r>
      <w:bookmarkEnd w:id="45"/>
    </w:p>
    <w:p w14:paraId="7F3ADA2C">
      <w:pPr>
        <w:pStyle w:val="12"/>
        <w:shd w:val="clear" w:color="auto" w:fill="auto"/>
        <w:ind w:firstLine="480"/>
        <w:rPr>
          <w:rFonts w:hint="eastAsia"/>
          <w:highlight w:val="none"/>
        </w:rPr>
      </w:pPr>
      <w:r>
        <w:rPr>
          <w:rFonts w:hint="eastAsia"/>
          <w:highlight w:val="none"/>
        </w:rPr>
        <w:t>患者组件支持查看患者档案（含基本信息、联系人）和个性化名片（按性别、年龄显示对应头像，展示姓名、年龄、地址、费用类别）。支持查看本次就诊医嘱费用总额及明细。过敏信息管理需支持录入、查看和维护过敏原及严重程度。支持显示患者待办数量并可点击跳转待办列表。医生可对患者添加、编辑、删除标签（如特殊关怀、攻击性等）。待办列表需分类展示病历质控、检查检验报告、会诊、危急值、皮试结果、代签病历、处方点评等任务，支持标记已读/未读，提供快捷跳转功能，包括问题病历修改、报告查看及各级病历签名操作。</w:t>
      </w:r>
    </w:p>
    <w:p w14:paraId="14522B57">
      <w:pPr>
        <w:pStyle w:val="7"/>
        <w:rPr>
          <w:rFonts w:hint="eastAsia"/>
          <w:highlight w:val="none"/>
        </w:rPr>
      </w:pPr>
      <w:bookmarkStart w:id="46" w:name="_Toc197780065"/>
      <w:r>
        <w:rPr>
          <w:rFonts w:hint="eastAsia"/>
          <w:highlight w:val="none"/>
        </w:rPr>
        <w:t>住院医嘱</w:t>
      </w:r>
      <w:bookmarkEnd w:id="46"/>
    </w:p>
    <w:p w14:paraId="1E8F3003">
      <w:pPr>
        <w:pStyle w:val="12"/>
        <w:shd w:val="clear" w:color="auto" w:fill="auto"/>
        <w:ind w:firstLine="480"/>
        <w:rPr>
          <w:rFonts w:hint="eastAsia"/>
          <w:highlight w:val="none"/>
        </w:rPr>
      </w:pPr>
      <w:r>
        <w:rPr>
          <w:rFonts w:hint="eastAsia"/>
          <w:highlight w:val="none"/>
        </w:rPr>
        <w:t>住院医嘱支持西药、中成药、草药、检查、检验、手术、用血、护理、膳食、转科、出院等各类项目开立，支持编辑、删除、查看历史医嘱及再次开立，可查询执行状态与费用，具备性别、过敏原校验及合理用药提示功能。</w:t>
      </w:r>
    </w:p>
    <w:p w14:paraId="7F66CDF2">
      <w:pPr>
        <w:pStyle w:val="12"/>
        <w:shd w:val="clear" w:color="auto" w:fill="auto"/>
        <w:ind w:firstLine="480"/>
        <w:rPr>
          <w:rFonts w:hint="eastAsia"/>
          <w:highlight w:val="none"/>
        </w:rPr>
      </w:pPr>
      <w:r>
        <w:rPr>
          <w:rFonts w:hint="eastAsia"/>
          <w:highlight w:val="none"/>
        </w:rPr>
        <w:t>医嘱开立需支持快速录入模式，允许多项医嘱批量开立，兼容鼠标与键盘操作；提供药品名称、规格、价格、库存、皮试要求等信息展示，提示默认频次用法，支持术语快捷输入与多种检索方式；长期医嘱自动计算总量，检验项目设默认标本部位，非药品医嘱指定执行科室，药品指定取药药房；支持不均等给药、协定处方调用、首末日用药设置；组合医嘱时校验频次一致性，保存时进行合理用药、过敏、性别、权限、库存校验，支持暂存不签名。</w:t>
      </w:r>
    </w:p>
    <w:p w14:paraId="442303F4">
      <w:pPr>
        <w:pStyle w:val="12"/>
        <w:shd w:val="clear" w:color="auto" w:fill="auto"/>
        <w:ind w:firstLine="480"/>
        <w:rPr>
          <w:rFonts w:hint="eastAsia"/>
          <w:highlight w:val="none"/>
        </w:rPr>
      </w:pPr>
      <w:r>
        <w:rPr>
          <w:rFonts w:hint="eastAsia"/>
          <w:highlight w:val="none"/>
        </w:rPr>
        <w:t>检查申请单支持医嘱生成申请单或反之，可快速切换类型（CT、超声等），查询常用项目并复用，按部位检索，查看并编辑病史，自定义检查目的、备注，插入图片说明，标记绿色通道、隔离等特殊信息，自动分单，并基于人体图开立检查。</w:t>
      </w:r>
    </w:p>
    <w:p w14:paraId="1A102D31">
      <w:pPr>
        <w:pStyle w:val="12"/>
        <w:shd w:val="clear" w:color="auto" w:fill="auto"/>
        <w:ind w:firstLine="480"/>
        <w:rPr>
          <w:rFonts w:hint="eastAsia"/>
          <w:highlight w:val="none"/>
        </w:rPr>
      </w:pPr>
      <w:r>
        <w:rPr>
          <w:rFonts w:hint="eastAsia"/>
          <w:highlight w:val="none"/>
        </w:rPr>
        <w:t>检验申请单同样支持双向生成，分类切换（生化、免疫等），常用项目查询与复用，预览增减项目及费用，自动按类型、科室、样本分单，趋势图显示多次结果变化。</w:t>
      </w:r>
    </w:p>
    <w:p w14:paraId="5844D654">
      <w:pPr>
        <w:pStyle w:val="12"/>
        <w:shd w:val="clear" w:color="auto" w:fill="auto"/>
        <w:ind w:firstLine="480"/>
        <w:rPr>
          <w:rFonts w:hint="eastAsia"/>
          <w:highlight w:val="none"/>
        </w:rPr>
      </w:pPr>
      <w:r>
        <w:rPr>
          <w:rFonts w:hint="eastAsia"/>
          <w:highlight w:val="none"/>
        </w:rPr>
        <w:t>手术申请单可关联医嘱，校验传染病、术前讨论、知情同意情况；用血申请单联动医嘱，提示输血前体征和知情同意书状态。</w:t>
      </w:r>
    </w:p>
    <w:p w14:paraId="38DD9444">
      <w:pPr>
        <w:pStyle w:val="12"/>
        <w:shd w:val="clear" w:color="auto" w:fill="auto"/>
        <w:ind w:firstLine="480"/>
        <w:rPr>
          <w:rFonts w:hint="eastAsia"/>
          <w:highlight w:val="none"/>
        </w:rPr>
      </w:pPr>
      <w:r>
        <w:rPr>
          <w:rFonts w:hint="eastAsia"/>
          <w:highlight w:val="none"/>
        </w:rPr>
        <w:t>中草药开立支持按类型或药房过滤，键盘/鼠标操作，复用上次处方，中途插药，按剂量单位开立，录入特殊煎法，区分代煎自煎，支持药引、治则治法录入与自定义，方剂展开查看，君臣佐使统计，秘方组套，多跳转顺序及界面配置。</w:t>
      </w:r>
    </w:p>
    <w:p w14:paraId="74535293">
      <w:pPr>
        <w:pStyle w:val="12"/>
        <w:shd w:val="clear" w:color="auto" w:fill="auto"/>
        <w:ind w:firstLine="480"/>
        <w:rPr>
          <w:rFonts w:hint="eastAsia"/>
          <w:highlight w:val="none"/>
        </w:rPr>
      </w:pPr>
      <w:r>
        <w:rPr>
          <w:rFonts w:hint="eastAsia"/>
          <w:highlight w:val="none"/>
        </w:rPr>
        <w:t>支持医嘱组合与拆分，大输液与子医嘱自动成组；抗生素分级开立，特级药越级、紧急开立及多级审批，联合用药管理，长期用药警示天数设置；抗肿瘤药分限制级与非限制级权限管理。</w:t>
      </w:r>
    </w:p>
    <w:p w14:paraId="40AC32F0">
      <w:pPr>
        <w:pStyle w:val="12"/>
        <w:shd w:val="clear" w:color="auto" w:fill="auto"/>
        <w:ind w:firstLine="480"/>
        <w:rPr>
          <w:rFonts w:hint="eastAsia"/>
          <w:highlight w:val="none"/>
        </w:rPr>
      </w:pPr>
      <w:r>
        <w:rPr>
          <w:rFonts w:hint="eastAsia"/>
          <w:highlight w:val="none"/>
        </w:rPr>
        <w:t>历史医嘱可跨门诊、住院、急诊场景查看，按类型搜索，存为组套或直接复制使用。</w:t>
      </w:r>
    </w:p>
    <w:p w14:paraId="62164535">
      <w:pPr>
        <w:pStyle w:val="12"/>
        <w:shd w:val="clear" w:color="auto" w:fill="auto"/>
        <w:ind w:firstLine="480"/>
        <w:rPr>
          <w:rFonts w:hint="eastAsia"/>
          <w:highlight w:val="none"/>
        </w:rPr>
      </w:pPr>
      <w:r>
        <w:rPr>
          <w:rFonts w:hint="eastAsia"/>
          <w:highlight w:val="none"/>
        </w:rPr>
        <w:t>医嘱保存支持暂存、提交，自动同步合理用药、CDSS、上报平台数据，CA加密存储；删除限护士未接收前，长期医嘱接收后可停止，临时医嘱可作废，未审核的可撤销，术后可一键恢复术前医嘱。</w:t>
      </w:r>
    </w:p>
    <w:p w14:paraId="1623F00D">
      <w:pPr>
        <w:pStyle w:val="12"/>
        <w:shd w:val="clear" w:color="auto" w:fill="auto"/>
        <w:ind w:firstLine="480"/>
        <w:rPr>
          <w:rFonts w:hint="eastAsia"/>
          <w:highlight w:val="none"/>
        </w:rPr>
      </w:pPr>
      <w:r>
        <w:rPr>
          <w:rFonts w:hint="eastAsia"/>
          <w:highlight w:val="none"/>
        </w:rPr>
        <w:t>可实时查询医嘱执行状态与闭环流程；医嘱计算器自动获取患者基本信息，内置体表面积、肾功能、胰岛素用量等公式。</w:t>
      </w:r>
    </w:p>
    <w:p w14:paraId="3C8AEB53">
      <w:pPr>
        <w:pStyle w:val="12"/>
        <w:shd w:val="clear" w:color="auto" w:fill="auto"/>
        <w:ind w:firstLine="480"/>
        <w:rPr>
          <w:rFonts w:hint="eastAsia"/>
          <w:highlight w:val="none"/>
        </w:rPr>
      </w:pPr>
      <w:r>
        <w:rPr>
          <w:rFonts w:hint="eastAsia"/>
          <w:highlight w:val="none"/>
        </w:rPr>
        <w:t>医嘱组套支持多种方式创建、重命名、编辑、删除，按名称、拼音、五笔检索，分类管理，权限控制，新增时自动生成关键字与使用方式定义，支持将已开医嘱保存为组套，跨类型整合（药+检+查），追加内容，按角色或药理作用快捷调用。</w:t>
      </w:r>
    </w:p>
    <w:p w14:paraId="33B33C9B">
      <w:pPr>
        <w:pStyle w:val="12"/>
        <w:shd w:val="clear" w:color="auto" w:fill="auto"/>
        <w:ind w:firstLine="480"/>
        <w:rPr>
          <w:rFonts w:hint="eastAsia"/>
          <w:highlight w:val="none"/>
        </w:rPr>
      </w:pPr>
      <w:r>
        <w:rPr>
          <w:rFonts w:hint="eastAsia"/>
          <w:highlight w:val="none"/>
        </w:rPr>
        <w:t>开立设置支持默认展开组套树、自定义跳转顺序、每行草药味数（1–5）、草药输入格式设定（如药-量交替或集中输入），以及功能菜单排序个性化。</w:t>
      </w:r>
    </w:p>
    <w:p w14:paraId="7024555F">
      <w:pPr>
        <w:pStyle w:val="7"/>
        <w:rPr>
          <w:rFonts w:hint="eastAsia"/>
          <w:highlight w:val="none"/>
        </w:rPr>
      </w:pPr>
      <w:bookmarkStart w:id="47" w:name="_Toc197780066"/>
      <w:r>
        <w:rPr>
          <w:rFonts w:hint="eastAsia"/>
          <w:highlight w:val="none"/>
        </w:rPr>
        <w:t>住院电子病历</w:t>
      </w:r>
      <w:bookmarkEnd w:id="47"/>
    </w:p>
    <w:p w14:paraId="57CF17CA">
      <w:pPr>
        <w:pStyle w:val="12"/>
        <w:shd w:val="clear" w:color="auto" w:fill="auto"/>
        <w:ind w:firstLine="480"/>
        <w:rPr>
          <w:rFonts w:hint="eastAsia"/>
          <w:highlight w:val="none"/>
        </w:rPr>
      </w:pPr>
      <w:r>
        <w:rPr>
          <w:rFonts w:hint="eastAsia"/>
          <w:highlight w:val="none"/>
        </w:rPr>
        <w:t>住院电子病历。医生通过病历记录患者病情、检查、治疗方案及执行中的变化，完整展现住院期间医疗全过程。</w:t>
      </w:r>
    </w:p>
    <w:p w14:paraId="32B5CFED">
      <w:pPr>
        <w:pStyle w:val="12"/>
        <w:shd w:val="clear" w:color="auto" w:fill="auto"/>
        <w:ind w:firstLine="480"/>
        <w:rPr>
          <w:rFonts w:hint="eastAsia"/>
          <w:highlight w:val="none"/>
        </w:rPr>
      </w:pPr>
      <w:r>
        <w:rPr>
          <w:rFonts w:hint="eastAsia"/>
          <w:highlight w:val="none"/>
        </w:rPr>
        <w:t>支持创建各类住院病历，如入院、出院、死亡记录等。书写时可使用个人或科室组套快捷录入，复用高频内容及既往病历，自动插入检查检验结果、医嘱、节气等信息，支持插入图片、表格、公式、批注、鉴别诊断及中医治则，实现分区域权限管理、内容追加、病历封存与审批解锁，并关联抢救/病危医嘱，显示水印和结构化数据，支持文本定位、替换与痕迹查看。</w:t>
      </w:r>
    </w:p>
    <w:p w14:paraId="16A201AB">
      <w:pPr>
        <w:pStyle w:val="12"/>
        <w:shd w:val="clear" w:color="auto" w:fill="auto"/>
        <w:ind w:firstLine="480"/>
        <w:rPr>
          <w:rFonts w:hint="eastAsia"/>
          <w:highlight w:val="none"/>
        </w:rPr>
      </w:pPr>
      <w:r>
        <w:rPr>
          <w:rFonts w:hint="eastAsia"/>
          <w:highlight w:val="none"/>
        </w:rPr>
        <w:t>书写过程中可暂存，完成后电子签名并保存，支持解签修改，校验必填项，提示主诉字数，支持规培医师签名及上下级审签，上级可批量审签，支持CA电子签名。</w:t>
      </w:r>
    </w:p>
    <w:p w14:paraId="25D87492">
      <w:pPr>
        <w:pStyle w:val="12"/>
        <w:shd w:val="clear" w:color="auto" w:fill="auto"/>
        <w:ind w:firstLine="480"/>
        <w:rPr>
          <w:rFonts w:hint="eastAsia"/>
          <w:highlight w:val="none"/>
        </w:rPr>
      </w:pPr>
      <w:r>
        <w:rPr>
          <w:rFonts w:hint="eastAsia"/>
          <w:highlight w:val="none"/>
        </w:rPr>
        <w:t>打印支持续打、单页或全部打印，带水印输出。可删除无用病历并恢复，异常断电时可恢复近期记录。</w:t>
      </w:r>
    </w:p>
    <w:p w14:paraId="7D7121D3">
      <w:pPr>
        <w:pStyle w:val="12"/>
        <w:shd w:val="clear" w:color="auto" w:fill="auto"/>
        <w:ind w:firstLine="480"/>
        <w:rPr>
          <w:rFonts w:hint="eastAsia"/>
          <w:highlight w:val="none"/>
        </w:rPr>
      </w:pPr>
      <w:r>
        <w:rPr>
          <w:rFonts w:hint="eastAsia"/>
          <w:highlight w:val="none"/>
        </w:rPr>
        <w:t>组套管理支持文字和病历组套的存储、编辑与分级（个人、科室、全院），支持文件夹调整、整体替换、复制等功能。</w:t>
      </w:r>
    </w:p>
    <w:p w14:paraId="45CD44E4">
      <w:pPr>
        <w:pStyle w:val="12"/>
        <w:shd w:val="clear" w:color="auto" w:fill="auto"/>
        <w:ind w:firstLine="480"/>
        <w:rPr>
          <w:rFonts w:hint="eastAsia"/>
          <w:highlight w:val="none"/>
        </w:rPr>
      </w:pPr>
      <w:r>
        <w:rPr>
          <w:rFonts w:hint="eastAsia"/>
          <w:highlight w:val="none"/>
        </w:rPr>
        <w:t>病程记录涵盖首次病程、查房、日常记录、操作、交接班、术前小结、疑难讨论、抢救记录等，可自定义时间、手动分页、整体编辑、顺序重置，支持大纲展示、危急值关联、模板排序，输血申请自动生成病程，上级可批量审查查房记录等。</w:t>
      </w:r>
    </w:p>
    <w:p w14:paraId="08560CB4">
      <w:pPr>
        <w:pStyle w:val="12"/>
        <w:shd w:val="clear" w:color="auto" w:fill="auto"/>
        <w:ind w:firstLine="480"/>
        <w:rPr>
          <w:rFonts w:hint="eastAsia"/>
          <w:highlight w:val="none"/>
        </w:rPr>
      </w:pPr>
      <w:r>
        <w:rPr>
          <w:rFonts w:hint="eastAsia"/>
          <w:highlight w:val="none"/>
        </w:rPr>
        <w:t>知情同意书支持组套设置，批量创建与操作，按类型分类展示、检索，统一查看名称与状态。</w:t>
      </w:r>
    </w:p>
    <w:p w14:paraId="72988935">
      <w:pPr>
        <w:pStyle w:val="7"/>
        <w:rPr>
          <w:rFonts w:hint="eastAsia"/>
          <w:highlight w:val="none"/>
        </w:rPr>
      </w:pPr>
      <w:bookmarkStart w:id="48" w:name="_Toc197780067"/>
      <w:r>
        <w:rPr>
          <w:rFonts w:hint="eastAsia"/>
          <w:highlight w:val="none"/>
        </w:rPr>
        <w:t>住院诊断管理</w:t>
      </w:r>
      <w:bookmarkEnd w:id="48"/>
    </w:p>
    <w:p w14:paraId="2133D892">
      <w:pPr>
        <w:pStyle w:val="12"/>
        <w:shd w:val="clear" w:color="auto" w:fill="auto"/>
        <w:ind w:firstLine="480"/>
        <w:rPr>
          <w:rFonts w:hint="eastAsia"/>
          <w:highlight w:val="none"/>
        </w:rPr>
      </w:pPr>
      <w:r>
        <w:rPr>
          <w:rFonts w:hint="eastAsia"/>
          <w:highlight w:val="none"/>
        </w:rPr>
        <w:t>住院诊断应基于ICD-10标准。支持全键盘操作、历史诊断复用及首字母检索西医诊断，并可按疾病分类筛选；支持入院、出院、术前、术后、病理、死亡、临床等多种诊断类型录入；可设置主诊、疑似诊断及入院病情、转归信息；支持多条诊断顺序显示与上下调整，子诊断开立，以及医嘱、申请单等自动带入已录诊断；支持按性别校验诊断合理性、医保对照、中西医诊断分开展示。已录入诊断可作废并追溯作废人和时间。传染病诊断自动关联报告卡。系统可自动生成常用诊断组套，支持个人、科室、全院级组套管理。中医诊断支持“病”“证候”结构化录入。肿瘤诊断在ICD-10基础上兼容专科需求，标识分期和转移部位，支持结构化录入，按癌种配置编码及TNM、CNLC、FIGO等分期体系，支持分期规则配置。开立时弹出分期界面，识别癌种，填写转移与各分期信息，自动计算总分期，查看历史分期、检查结果及诊疗指南。</w:t>
      </w:r>
    </w:p>
    <w:p w14:paraId="179AA235">
      <w:pPr>
        <w:pStyle w:val="7"/>
        <w:rPr>
          <w:rFonts w:hint="eastAsia"/>
          <w:highlight w:val="none"/>
        </w:rPr>
      </w:pPr>
      <w:bookmarkStart w:id="49" w:name="_Toc197780068"/>
      <w:r>
        <w:rPr>
          <w:rFonts w:hint="eastAsia"/>
          <w:highlight w:val="none"/>
        </w:rPr>
        <w:t>住院报告查看</w:t>
      </w:r>
      <w:bookmarkEnd w:id="49"/>
    </w:p>
    <w:p w14:paraId="2CF80C52">
      <w:pPr>
        <w:pStyle w:val="12"/>
        <w:shd w:val="clear" w:color="auto" w:fill="auto"/>
        <w:ind w:firstLine="480"/>
        <w:rPr>
          <w:rFonts w:hint="eastAsia"/>
          <w:highlight w:val="none"/>
        </w:rPr>
      </w:pPr>
      <w:r>
        <w:rPr>
          <w:rFonts w:hint="eastAsia"/>
          <w:highlight w:val="none"/>
        </w:rPr>
        <w:t>在医生站内直接查看住院检查、检验报告及影像，无需切换系统。</w:t>
      </w:r>
    </w:p>
    <w:p w14:paraId="5F8BE720">
      <w:pPr>
        <w:pStyle w:val="7"/>
        <w:rPr>
          <w:rFonts w:hint="eastAsia"/>
          <w:highlight w:val="none"/>
        </w:rPr>
      </w:pPr>
      <w:bookmarkStart w:id="50" w:name="_Toc197780069"/>
      <w:r>
        <w:rPr>
          <w:rFonts w:hint="eastAsia"/>
          <w:highlight w:val="none"/>
        </w:rPr>
        <w:t>会诊</w:t>
      </w:r>
      <w:bookmarkEnd w:id="50"/>
    </w:p>
    <w:p w14:paraId="489AE980">
      <w:pPr>
        <w:pStyle w:val="12"/>
        <w:shd w:val="clear" w:color="auto" w:fill="auto"/>
        <w:ind w:firstLine="480"/>
        <w:rPr>
          <w:rFonts w:hint="eastAsia"/>
          <w:highlight w:val="none"/>
        </w:rPr>
      </w:pPr>
      <w:r>
        <w:rPr>
          <w:rFonts w:hint="eastAsia"/>
          <w:highlight w:val="none"/>
        </w:rPr>
        <w:t>会诊支持科间、急会诊及院外会诊，可查看申请状态并自动生成会诊医嘱。接收前可查阅患者治疗信息，接收后可书写意见、开立医嘱、生成计费医嘱及病历权限，支持取消接收与计费；可拒绝并填写理由。会诊完成后自动生成HIS收费及待完成病程记录。支持会诊双方互评，评价内容仅本方可见，且可自定义维护。院内多科室会诊需支持申请、审批（含医务干预）、处理及相同接收/拒绝功能，并自动生成医嘱和病程记录。</w:t>
      </w:r>
    </w:p>
    <w:p w14:paraId="7B381C7C">
      <w:pPr>
        <w:pStyle w:val="7"/>
        <w:rPr>
          <w:rFonts w:hint="eastAsia"/>
          <w:highlight w:val="none"/>
        </w:rPr>
      </w:pPr>
      <w:bookmarkStart w:id="51" w:name="_Toc197780070"/>
      <w:r>
        <w:rPr>
          <w:rFonts w:hint="eastAsia"/>
          <w:highlight w:val="none"/>
        </w:rPr>
        <w:t>手术</w:t>
      </w:r>
      <w:bookmarkEnd w:id="51"/>
    </w:p>
    <w:p w14:paraId="557D34C7">
      <w:pPr>
        <w:pStyle w:val="12"/>
        <w:shd w:val="clear" w:color="auto" w:fill="auto"/>
        <w:ind w:firstLine="480"/>
        <w:rPr>
          <w:rFonts w:hint="eastAsia"/>
          <w:highlight w:val="none"/>
        </w:rPr>
      </w:pPr>
      <w:r>
        <w:rPr>
          <w:rFonts w:hint="eastAsia"/>
          <w:highlight w:val="none"/>
        </w:rPr>
        <w:t>手术术语维护支持ICD-9字典管理，以台账形式展示手术编码、名称、等级、切口等级、是否重大手术及有效性等信息；支持按编码、名称、拼音码、五笔码查询，可按有效性批量过滤；支持新增与编辑明细，包括编码、名称、类别、等级、切口等级、重大手术标识、默认部位、性别与技术适用性、中医适用性、抗生素使用建议及有效性。</w:t>
      </w:r>
    </w:p>
    <w:p w14:paraId="7BE3D8A5">
      <w:pPr>
        <w:pStyle w:val="12"/>
        <w:shd w:val="clear" w:color="auto" w:fill="auto"/>
        <w:ind w:firstLine="480"/>
        <w:rPr>
          <w:rFonts w:hint="eastAsia"/>
          <w:highlight w:val="none"/>
        </w:rPr>
      </w:pPr>
      <w:r>
        <w:rPr>
          <w:rFonts w:hint="eastAsia"/>
          <w:highlight w:val="none"/>
        </w:rPr>
        <w:t>手术权限管理支持一至四级手术权限分配，结合医师职级、科室和人员进行简化分配，同时支持按医师与具体ICD-9术式匹配的精细化管理，并允许超出职级但具备资格的特殊权限设置。</w:t>
      </w:r>
    </w:p>
    <w:p w14:paraId="004FB975">
      <w:pPr>
        <w:pStyle w:val="12"/>
        <w:shd w:val="clear" w:color="auto" w:fill="auto"/>
        <w:ind w:firstLine="480"/>
        <w:rPr>
          <w:rFonts w:hint="eastAsia"/>
          <w:highlight w:val="none"/>
        </w:rPr>
      </w:pPr>
      <w:r>
        <w:rPr>
          <w:rFonts w:hint="eastAsia"/>
          <w:highlight w:val="none"/>
        </w:rPr>
        <w:t>手术计划支持创建、修改、删除；计划名称和拟手术名称须通过选择手术自动生成并以“+”连接；支持维护术前、术中、术后相关病历模板，如术前小结、讨论记录、知情同意书、手术记录、术后病程等。</w:t>
      </w:r>
    </w:p>
    <w:p w14:paraId="63AD1A98">
      <w:pPr>
        <w:pStyle w:val="12"/>
        <w:shd w:val="clear" w:color="auto" w:fill="auto"/>
        <w:ind w:firstLine="480"/>
        <w:rPr>
          <w:rFonts w:hint="eastAsia"/>
          <w:highlight w:val="none"/>
        </w:rPr>
      </w:pPr>
      <w:r>
        <w:rPr>
          <w:rFonts w:hint="eastAsia"/>
          <w:highlight w:val="none"/>
        </w:rPr>
        <w:t>手术申请基于计划开立，关联围术期文书，实现数据同源与逻辑关联；支持申请单填写、作废及校验，内容涵盖患者信息、术前诊断、手术类型（择期、急诊、日间）、手术详情、手术室、麻醉医师、ASA分级、隔离情况、参观人员等；支持一单多术式，每行独立填写手术名称、部位、侧位、体位、切口与手术等级、手术团队及是否越级，并可标识主手术；支持关键检验项目（血型、乙肝、HIV、梅毒等）医嘱开立与结果校验；实时校验手术医师资格；支持重大手术和非计划再手术的审批流程；急诊手术可越级申请；支持与输血申请单和病理申请单关联开立与查看，辅助备血与标本准备。</w:t>
      </w:r>
    </w:p>
    <w:p w14:paraId="48672DFC">
      <w:pPr>
        <w:pStyle w:val="12"/>
        <w:shd w:val="clear" w:color="auto" w:fill="auto"/>
        <w:ind w:firstLine="480"/>
        <w:rPr>
          <w:rFonts w:hint="eastAsia"/>
          <w:highlight w:val="none"/>
        </w:rPr>
      </w:pPr>
      <w:r>
        <w:rPr>
          <w:rFonts w:hint="eastAsia"/>
          <w:highlight w:val="none"/>
        </w:rPr>
        <w:t>手术相关记录支持在计划节点下创建术前小结、讨论记录、知情同意书、手术记录、术后病程等；书写手术记录前可确认、提取、编辑、调整手术信息，支持主子手术设置与刷新，手术信息自动带入记录。</w:t>
      </w:r>
    </w:p>
    <w:p w14:paraId="2C8F6C9E">
      <w:pPr>
        <w:pStyle w:val="6"/>
        <w:rPr>
          <w:rFonts w:hint="eastAsia"/>
          <w:highlight w:val="none"/>
        </w:rPr>
      </w:pPr>
      <w:bookmarkStart w:id="52" w:name="_Toc197780071"/>
      <w:r>
        <w:rPr>
          <w:rFonts w:hint="eastAsia"/>
          <w:highlight w:val="none"/>
        </w:rPr>
        <w:t>病历模版管理</w:t>
      </w:r>
      <w:bookmarkEnd w:id="52"/>
    </w:p>
    <w:p w14:paraId="7AE1041C">
      <w:pPr>
        <w:pStyle w:val="12"/>
        <w:shd w:val="clear" w:color="auto" w:fill="auto"/>
        <w:ind w:firstLine="480"/>
        <w:rPr>
          <w:rFonts w:hint="eastAsia"/>
          <w:highlight w:val="none"/>
        </w:rPr>
      </w:pPr>
      <w:r>
        <w:rPr>
          <w:rFonts w:hint="eastAsia"/>
          <w:highlight w:val="none"/>
        </w:rPr>
        <w:t>病历文书基于“病历模板”创建，需通过结构化模板实现电子病历规范化。模板以“病历元素”为核心，支持文本框、下拉框、复选框、单选框、时间框等类型，实现多元化录入与一元化管理，并支持元素引用，避免重复录入。</w:t>
      </w:r>
    </w:p>
    <w:p w14:paraId="5A18E202">
      <w:pPr>
        <w:pStyle w:val="12"/>
        <w:shd w:val="clear" w:color="auto" w:fill="auto"/>
        <w:ind w:firstLine="480"/>
        <w:rPr>
          <w:rFonts w:hint="eastAsia"/>
          <w:highlight w:val="none"/>
        </w:rPr>
      </w:pPr>
      <w:r>
        <w:rPr>
          <w:rFonts w:hint="eastAsia"/>
          <w:highlight w:val="none"/>
        </w:rPr>
        <w:t>模板由元素、元素节和区域构成，支持自定义与可视化维护，并可分配至指定科室使用。系统支持元素复用，便于患者复诊时调用历史信息。</w:t>
      </w:r>
    </w:p>
    <w:p w14:paraId="58CD7ED6">
      <w:pPr>
        <w:pStyle w:val="12"/>
        <w:shd w:val="clear" w:color="auto" w:fill="auto"/>
        <w:ind w:firstLine="480"/>
        <w:rPr>
          <w:rFonts w:hint="eastAsia"/>
          <w:highlight w:val="none"/>
        </w:rPr>
      </w:pPr>
      <w:r>
        <w:rPr>
          <w:rFonts w:hint="eastAsia"/>
          <w:highlight w:val="none"/>
        </w:rPr>
        <w:t>建立院级与科室级元素及模板的层级管理机制，科室模板基于院级模板继承并扩展。设置模板申请审批流程，留存审批日志以便追溯。</w:t>
      </w:r>
    </w:p>
    <w:p w14:paraId="58D65654">
      <w:pPr>
        <w:pStyle w:val="12"/>
        <w:shd w:val="clear" w:color="auto" w:fill="auto"/>
        <w:ind w:firstLine="480"/>
        <w:rPr>
          <w:rFonts w:hint="eastAsia"/>
          <w:highlight w:val="none"/>
        </w:rPr>
      </w:pPr>
      <w:r>
        <w:rPr>
          <w:rFonts w:hint="eastAsia"/>
          <w:highlight w:val="none"/>
        </w:rPr>
        <w:t>同时建设病历模板知识库，涵盖互联互通标准模板、专科模板及各级医疗机构整理模板。</w:t>
      </w:r>
    </w:p>
    <w:p w14:paraId="5E320216">
      <w:pPr>
        <w:pStyle w:val="6"/>
        <w:rPr>
          <w:rFonts w:hint="eastAsia"/>
          <w:highlight w:val="none"/>
        </w:rPr>
      </w:pPr>
      <w:bookmarkStart w:id="53" w:name="_Toc197780078"/>
      <w:r>
        <w:rPr>
          <w:rFonts w:hint="eastAsia"/>
          <w:highlight w:val="none"/>
        </w:rPr>
        <w:t>临床数据应用视图</w:t>
      </w:r>
      <w:bookmarkEnd w:id="53"/>
    </w:p>
    <w:p w14:paraId="0A2FCB0F">
      <w:pPr>
        <w:pStyle w:val="12"/>
        <w:shd w:val="clear" w:color="auto" w:fill="auto"/>
        <w:ind w:firstLine="480"/>
        <w:rPr>
          <w:rFonts w:hint="eastAsia"/>
          <w:highlight w:val="none"/>
        </w:rPr>
      </w:pPr>
      <w:r>
        <w:rPr>
          <w:rFonts w:hint="eastAsia"/>
          <w:highlight w:val="none"/>
        </w:rPr>
        <w:t>系统支持按时间倒序及就诊场景（门诊、住院、手术、MDT会诊、放疗、化疗等）展示患者历次就诊时间与摘要，并可查询指定就医记录。支持快速查看就诊节点关联的检验、检查报告，展示门诊、急诊及住院病历（含入院、出院、病程、护理、手术记录等），以及历史医嘱信息，支持医嘱复制至开立页面。可查看常规及细菌检验结果，支持检验结果曲线分析，展示CT、DR、心电、病理、内窥镜等检查报告，并支持复制报告内容用于病历书写。</w:t>
      </w:r>
    </w:p>
    <w:p w14:paraId="27B6BE02">
      <w:pPr>
        <w:pStyle w:val="6"/>
        <w:rPr>
          <w:rFonts w:hint="eastAsia"/>
          <w:highlight w:val="none"/>
        </w:rPr>
      </w:pPr>
      <w:bookmarkStart w:id="54" w:name="_Toc197780080"/>
      <w:r>
        <w:rPr>
          <w:rFonts w:hint="eastAsia"/>
          <w:highlight w:val="none"/>
        </w:rPr>
        <w:t>Web病历</w:t>
      </w:r>
      <w:bookmarkEnd w:id="54"/>
    </w:p>
    <w:p w14:paraId="050A420E">
      <w:pPr>
        <w:pStyle w:val="12"/>
        <w:shd w:val="clear" w:color="auto" w:fill="auto"/>
        <w:ind w:firstLine="480"/>
        <w:rPr>
          <w:rFonts w:hint="eastAsia"/>
          <w:highlight w:val="none"/>
        </w:rPr>
      </w:pPr>
      <w:r>
        <w:rPr>
          <w:rFonts w:hint="eastAsia"/>
          <w:highlight w:val="none"/>
        </w:rPr>
        <w:t>Web病历是电子病历的延伸，通过浏览器实现跨科室、跨医生便捷查看患者病历，支持无编辑权限的医技和辅助科室查阅信息以协助诊疗，并适用于第三方系统的灵活展示。</w:t>
      </w:r>
    </w:p>
    <w:p w14:paraId="58BBAF19">
      <w:pPr>
        <w:pStyle w:val="12"/>
        <w:shd w:val="clear" w:color="auto" w:fill="auto"/>
        <w:ind w:firstLine="480"/>
        <w:rPr>
          <w:rFonts w:hint="eastAsia"/>
          <w:highlight w:val="none"/>
        </w:rPr>
      </w:pPr>
      <w:r>
        <w:rPr>
          <w:rFonts w:hint="eastAsia"/>
          <w:highlight w:val="none"/>
        </w:rPr>
        <w:t>系统支持住院和门诊患者列表显示；医生可查看入院记录、病程记录、手术记录、知情告知书、出院记录、会诊记录及病案首页；护士可查看体温单、护理记录和入院评估单；同时支持检验、检查、医嘱（长期与临时）、既往病历、申请单、发药信息及医嘱执行记录的查看。</w:t>
      </w:r>
    </w:p>
    <w:p w14:paraId="63313AF0">
      <w:pPr>
        <w:pStyle w:val="6"/>
        <w:rPr>
          <w:rFonts w:hint="eastAsia"/>
          <w:highlight w:val="none"/>
        </w:rPr>
      </w:pPr>
      <w:bookmarkStart w:id="55" w:name="_Toc197780091"/>
      <w:r>
        <w:rPr>
          <w:rFonts w:hint="eastAsia"/>
          <w:highlight w:val="none"/>
        </w:rPr>
        <w:t>病历质控</w:t>
      </w:r>
      <w:bookmarkEnd w:id="55"/>
    </w:p>
    <w:p w14:paraId="5CC9F9DA">
      <w:pPr>
        <w:pStyle w:val="7"/>
        <w:rPr>
          <w:rFonts w:hint="eastAsia"/>
          <w:highlight w:val="none"/>
        </w:rPr>
      </w:pPr>
      <w:bookmarkStart w:id="56" w:name="_Toc197780092"/>
      <w:r>
        <w:rPr>
          <w:rFonts w:hint="eastAsia"/>
          <w:highlight w:val="none"/>
        </w:rPr>
        <w:t>门诊病历质控</w:t>
      </w:r>
      <w:bookmarkEnd w:id="56"/>
    </w:p>
    <w:p w14:paraId="0B1C0788">
      <w:pPr>
        <w:pStyle w:val="12"/>
        <w:shd w:val="clear" w:color="auto" w:fill="auto"/>
        <w:ind w:firstLine="480"/>
        <w:rPr>
          <w:rFonts w:hint="eastAsia"/>
          <w:highlight w:val="none"/>
        </w:rPr>
      </w:pPr>
      <w:r>
        <w:rPr>
          <w:rFonts w:hint="eastAsia"/>
          <w:highlight w:val="none"/>
        </w:rPr>
        <w:t>门诊病历质控支持人工检查与系统自动评分两种方式，具备质控标准维护及结果综合查询功能。系统应内置层级化质控规则库，包含规则项、细项、评分标准，并支持对规则的启用、停用及分值调整。规则标准包括分类、描述、总分、细项分、扣分方式和否决标识。评分项目基于规则库构建，可按科室配置，支持手工添加扣分项，设置单项分、重复扣分及最高扣分上限。部分规则可设为自动评分，通过系统工具实现门诊病历自动打分。质控员可依据标准对病历评分，手工录入缺陷内容与扣分原因，支持单项、多项扣分及否决评分。系统提供质控结果综合查询，可检索指定时间段内个人或全体质控员的工作情况。</w:t>
      </w:r>
    </w:p>
    <w:p w14:paraId="02F53439">
      <w:pPr>
        <w:pStyle w:val="7"/>
        <w:rPr>
          <w:rFonts w:hint="eastAsia"/>
          <w:highlight w:val="none"/>
        </w:rPr>
      </w:pPr>
      <w:bookmarkStart w:id="57" w:name="_Toc197780093"/>
      <w:r>
        <w:rPr>
          <w:rFonts w:hint="eastAsia"/>
          <w:highlight w:val="none"/>
        </w:rPr>
        <w:t>终末闭环质控</w:t>
      </w:r>
      <w:bookmarkEnd w:id="57"/>
    </w:p>
    <w:p w14:paraId="0C3C26CE">
      <w:pPr>
        <w:pStyle w:val="12"/>
        <w:shd w:val="clear" w:color="auto" w:fill="auto"/>
        <w:ind w:firstLine="480"/>
        <w:rPr>
          <w:rFonts w:hint="eastAsia"/>
          <w:highlight w:val="none"/>
        </w:rPr>
      </w:pPr>
      <w:r>
        <w:rPr>
          <w:rFonts w:hint="eastAsia"/>
          <w:highlight w:val="none"/>
        </w:rPr>
        <w:t>系统支持终末质控员的设置与管理，包括指定科室群、权限范围及人员增删改；支持按任务量、评分标准或科室比率自动或随机分配病案，并可追踪已分配病案的评分状态。支持按科室、诊断、住院天数及患者类型（如手术、抢救、死亡等）检索，并可对已分配病案重新分配或随机抽样。质控员可依据标准进行评分，手动录入缺陷及扣分原因，执行单项、多项或否决评分，系统可自动扣分。病案问题可驳回并标记状态，返修消息在列表中提醒，支持查看和处理所有返修信息，可跳转医生站修改病历。系统支持返修病历的时间、状态跟踪及最终提交，并可查看所有已完成质控的病案。</w:t>
      </w:r>
    </w:p>
    <w:p w14:paraId="224EC9FA">
      <w:pPr>
        <w:pStyle w:val="7"/>
        <w:rPr>
          <w:rFonts w:hint="eastAsia"/>
          <w:highlight w:val="none"/>
        </w:rPr>
      </w:pPr>
      <w:bookmarkStart w:id="58" w:name="_Toc197780094"/>
      <w:r>
        <w:rPr>
          <w:rFonts w:hint="eastAsia"/>
          <w:highlight w:val="none"/>
        </w:rPr>
        <w:t>运行病历环节质控</w:t>
      </w:r>
      <w:bookmarkEnd w:id="58"/>
    </w:p>
    <w:p w14:paraId="01F1BE53">
      <w:pPr>
        <w:pStyle w:val="12"/>
        <w:shd w:val="clear" w:color="auto" w:fill="auto"/>
        <w:ind w:firstLine="480"/>
        <w:rPr>
          <w:rFonts w:hint="eastAsia"/>
          <w:highlight w:val="none"/>
        </w:rPr>
      </w:pPr>
      <w:r>
        <w:rPr>
          <w:rFonts w:hint="eastAsia"/>
          <w:highlight w:val="none"/>
        </w:rPr>
        <w:t>系统支持按科室、诊断等条件抽取运行病历进行质控。质控员可依据标准对病历评分，手工录入缺陷及扣分原因，并将结果反馈给医生。质控返修消息在患者列表中闪烁提醒，可查看并修改，或直接进入医生站处理。系统可跟踪返修病历的时间、状态及完成情况，并支持问题病案修改后的最终提交。同时，可管理常用自动筛查项目，增删改查。已评分病案及其结果可随时查看。</w:t>
      </w:r>
    </w:p>
    <w:p w14:paraId="325DFCB5">
      <w:pPr>
        <w:pStyle w:val="7"/>
        <w:rPr>
          <w:rFonts w:hint="eastAsia"/>
          <w:highlight w:val="none"/>
        </w:rPr>
      </w:pPr>
      <w:bookmarkStart w:id="59" w:name="_Toc197780095"/>
      <w:r>
        <w:rPr>
          <w:rFonts w:hint="eastAsia"/>
          <w:highlight w:val="none"/>
        </w:rPr>
        <w:t>质控统计分析</w:t>
      </w:r>
      <w:bookmarkEnd w:id="59"/>
    </w:p>
    <w:p w14:paraId="6CF40D56">
      <w:pPr>
        <w:pStyle w:val="12"/>
        <w:shd w:val="clear" w:color="auto" w:fill="auto"/>
        <w:ind w:firstLine="480"/>
        <w:rPr>
          <w:rFonts w:hint="eastAsia"/>
          <w:highlight w:val="none"/>
        </w:rPr>
      </w:pPr>
      <w:r>
        <w:rPr>
          <w:rFonts w:hint="eastAsia"/>
          <w:highlight w:val="none"/>
        </w:rPr>
        <w:t>质控缺陷统计分析：系统根据评分结果分析病历缺陷分布，通过表格、饼图、柏拉图展示各问题占比，识别主次原因，明确改进目标。</w:t>
      </w:r>
    </w:p>
    <w:p w14:paraId="63769AF3">
      <w:pPr>
        <w:pStyle w:val="12"/>
        <w:shd w:val="clear" w:color="auto" w:fill="auto"/>
        <w:ind w:firstLine="480"/>
        <w:rPr>
          <w:rFonts w:hint="eastAsia"/>
          <w:highlight w:val="none"/>
        </w:rPr>
      </w:pPr>
      <w:r>
        <w:rPr>
          <w:rFonts w:hint="eastAsia"/>
          <w:highlight w:val="none"/>
        </w:rPr>
        <w:t>病案率统计：支持按全院或科室查询病案合格率，可自定义合格标准，数据源自终末质控评分。</w:t>
      </w:r>
    </w:p>
    <w:p w14:paraId="077EEA88">
      <w:pPr>
        <w:pStyle w:val="12"/>
        <w:shd w:val="clear" w:color="auto" w:fill="auto"/>
        <w:ind w:firstLine="480"/>
        <w:rPr>
          <w:rFonts w:hint="eastAsia"/>
          <w:highlight w:val="none"/>
        </w:rPr>
      </w:pPr>
      <w:r>
        <w:rPr>
          <w:rFonts w:hint="eastAsia"/>
          <w:highlight w:val="none"/>
        </w:rPr>
        <w:t>质控提醒查询：支持查询环节质控中患者的缺陷记录，具备事前提醒与事后提示功能。</w:t>
      </w:r>
    </w:p>
    <w:p w14:paraId="7FD07CBE">
      <w:pPr>
        <w:pStyle w:val="7"/>
        <w:rPr>
          <w:rFonts w:hint="eastAsia"/>
          <w:highlight w:val="none"/>
        </w:rPr>
      </w:pPr>
      <w:bookmarkStart w:id="60" w:name="_Toc197780096"/>
      <w:r>
        <w:rPr>
          <w:rFonts w:hint="eastAsia"/>
          <w:highlight w:val="none"/>
        </w:rPr>
        <w:t>自动评分质控引擎</w:t>
      </w:r>
      <w:bookmarkEnd w:id="60"/>
    </w:p>
    <w:p w14:paraId="55BF9CCD">
      <w:pPr>
        <w:pStyle w:val="12"/>
        <w:shd w:val="clear" w:color="auto" w:fill="auto"/>
        <w:ind w:firstLine="480"/>
        <w:rPr>
          <w:rFonts w:hint="eastAsia"/>
          <w:highlight w:val="none"/>
        </w:rPr>
      </w:pPr>
      <w:r>
        <w:rPr>
          <w:rFonts w:hint="eastAsia"/>
          <w:highlight w:val="none"/>
        </w:rPr>
        <w:t>系统支持病历书写时效性（单次、循环）校验、病历及内容缺失判断、完成度评估、以诊断为基础的质量规则判断，以及自动执行环节质控任务并反馈缺陷给医生。</w:t>
      </w:r>
    </w:p>
    <w:p w14:paraId="0522BE71">
      <w:pPr>
        <w:pStyle w:val="7"/>
        <w:rPr>
          <w:rFonts w:hint="eastAsia"/>
          <w:highlight w:val="none"/>
        </w:rPr>
      </w:pPr>
      <w:bookmarkStart w:id="61" w:name="_Toc197780097"/>
      <w:r>
        <w:rPr>
          <w:rFonts w:hint="eastAsia"/>
          <w:highlight w:val="none"/>
        </w:rPr>
        <w:t>质控规则维护</w:t>
      </w:r>
      <w:bookmarkEnd w:id="61"/>
    </w:p>
    <w:p w14:paraId="375BDE0A">
      <w:pPr>
        <w:pStyle w:val="12"/>
        <w:shd w:val="clear" w:color="auto" w:fill="auto"/>
        <w:ind w:firstLine="480"/>
        <w:rPr>
          <w:rFonts w:hint="eastAsia"/>
          <w:highlight w:val="none"/>
        </w:rPr>
      </w:pPr>
      <w:r>
        <w:rPr>
          <w:rFonts w:hint="eastAsia"/>
          <w:highlight w:val="none"/>
        </w:rPr>
        <w:t>系统支持维护医院评分标准、项目、扣分规则及方式，并支持手工与自动扣分项目的维护，以及扣分项目与病案章节的关联维护。</w:t>
      </w:r>
    </w:p>
    <w:p w14:paraId="2B5A40AE">
      <w:pPr>
        <w:pStyle w:val="7"/>
        <w:rPr>
          <w:rFonts w:hint="eastAsia"/>
          <w:highlight w:val="none"/>
        </w:rPr>
      </w:pPr>
      <w:bookmarkStart w:id="62" w:name="_Toc197780098"/>
      <w:r>
        <w:rPr>
          <w:rFonts w:hint="eastAsia"/>
          <w:highlight w:val="none"/>
        </w:rPr>
        <w:t>自动质控评分工具</w:t>
      </w:r>
      <w:bookmarkEnd w:id="62"/>
    </w:p>
    <w:p w14:paraId="10D86837">
      <w:pPr>
        <w:pStyle w:val="12"/>
        <w:shd w:val="clear" w:color="auto" w:fill="auto"/>
        <w:ind w:firstLine="480"/>
        <w:rPr>
          <w:rFonts w:hint="eastAsia"/>
          <w:highlight w:val="none"/>
        </w:rPr>
      </w:pPr>
      <w:r>
        <w:rPr>
          <w:rFonts w:hint="eastAsia"/>
          <w:highlight w:val="none"/>
        </w:rPr>
        <w:t>系统支持自动任务关联到指定的评分标准，根据评分标准中的自动计算项目进行计算。</w:t>
      </w:r>
    </w:p>
    <w:p w14:paraId="069ABB84">
      <w:pPr>
        <w:pStyle w:val="6"/>
        <w:rPr>
          <w:rFonts w:hint="eastAsia"/>
          <w:highlight w:val="none"/>
        </w:rPr>
      </w:pPr>
      <w:bookmarkStart w:id="63" w:name="_Toc197780099"/>
      <w:r>
        <w:rPr>
          <w:rFonts w:hint="eastAsia"/>
          <w:highlight w:val="none"/>
        </w:rPr>
        <w:t>病历结构化检索</w:t>
      </w:r>
      <w:bookmarkEnd w:id="63"/>
    </w:p>
    <w:p w14:paraId="0CFDBDCA">
      <w:pPr>
        <w:pStyle w:val="12"/>
        <w:shd w:val="clear" w:color="auto" w:fill="auto"/>
        <w:ind w:firstLine="480"/>
        <w:rPr>
          <w:rFonts w:hint="eastAsia"/>
          <w:highlight w:val="none"/>
        </w:rPr>
      </w:pPr>
      <w:r>
        <w:rPr>
          <w:rFonts w:hint="eastAsia"/>
          <w:highlight w:val="none"/>
        </w:rPr>
        <w:t>门诊及住院病历结构化检索系统支持科研角色医生按结构化项目检索病历，并查看内容；支持对病历内容、体征、过敏、诊断/手术信息的标准化检索；支持检验结果按明细项目及结果范围、检查结果按明细项目及影像描述与诊断信息进行组合条件查询；系统需具备管理部门对检索操作的跟踪管理功能，包括使用人员、终端、时间及查询条件记录等。</w:t>
      </w:r>
    </w:p>
    <w:p w14:paraId="0FFB576A">
      <w:pPr>
        <w:pStyle w:val="6"/>
        <w:rPr>
          <w:rFonts w:hint="eastAsia"/>
          <w:highlight w:val="none"/>
        </w:rPr>
      </w:pPr>
      <w:bookmarkStart w:id="64" w:name="_Toc197780102"/>
      <w:r>
        <w:rPr>
          <w:rFonts w:hint="eastAsia"/>
          <w:highlight w:val="none"/>
        </w:rPr>
        <w:t>病历编辑器</w:t>
      </w:r>
      <w:bookmarkEnd w:id="64"/>
    </w:p>
    <w:p w14:paraId="05289DAD">
      <w:pPr>
        <w:pStyle w:val="12"/>
        <w:shd w:val="clear" w:color="auto" w:fill="auto"/>
        <w:ind w:firstLine="480"/>
        <w:rPr>
          <w:rFonts w:hint="eastAsia"/>
          <w:highlight w:val="none"/>
        </w:rPr>
      </w:pPr>
      <w:r>
        <w:rPr>
          <w:rFonts w:hint="eastAsia"/>
          <w:highlight w:val="none"/>
        </w:rPr>
        <w:t>系统具备：MDT团队创建、看诊资源管理、会诊申请单、患者管理、看诊工作站和患者追溯。</w:t>
      </w:r>
    </w:p>
    <w:p w14:paraId="3433AB92">
      <w:pPr>
        <w:pStyle w:val="12"/>
        <w:shd w:val="clear" w:color="auto" w:fill="auto"/>
        <w:ind w:firstLine="480"/>
        <w:rPr>
          <w:rFonts w:hint="eastAsia"/>
          <w:highlight w:val="none"/>
        </w:rPr>
      </w:pPr>
      <w:r>
        <w:rPr>
          <w:rFonts w:hint="eastAsia"/>
          <w:highlight w:val="none"/>
        </w:rPr>
        <w:t>MDT团队创建：支持团队信息维护，包括专家成员、秘书、负责病种（可关联多个诊断编码）、会诊要求（如必备病理报告、CT等资料）及会诊地点。</w:t>
      </w:r>
    </w:p>
    <w:p w14:paraId="09156C56">
      <w:pPr>
        <w:pStyle w:val="12"/>
        <w:shd w:val="clear" w:color="auto" w:fill="auto"/>
        <w:ind w:firstLine="480"/>
        <w:rPr>
          <w:rFonts w:hint="eastAsia"/>
          <w:highlight w:val="none"/>
        </w:rPr>
      </w:pPr>
      <w:r>
        <w:rPr>
          <w:rFonts w:hint="eastAsia"/>
          <w:highlight w:val="none"/>
        </w:rPr>
        <w:t>会诊排班管理：支持批量或手动排班，设置看诊时间、限额与间隔，灵活应对节假日等特殊安排。</w:t>
      </w:r>
    </w:p>
    <w:p w14:paraId="022DC1AA">
      <w:pPr>
        <w:pStyle w:val="12"/>
        <w:shd w:val="clear" w:color="auto" w:fill="auto"/>
        <w:ind w:firstLine="480"/>
        <w:rPr>
          <w:rFonts w:hint="eastAsia"/>
          <w:highlight w:val="none"/>
        </w:rPr>
      </w:pPr>
      <w:r>
        <w:rPr>
          <w:rFonts w:hint="eastAsia"/>
          <w:highlight w:val="none"/>
        </w:rPr>
        <w:t>申请单模板设置：基于医院电子病历模板构建MDT申请单，兼容现有系统，支持自定义样式与内容。</w:t>
      </w:r>
    </w:p>
    <w:p w14:paraId="1699413F">
      <w:pPr>
        <w:pStyle w:val="12"/>
        <w:shd w:val="clear" w:color="auto" w:fill="auto"/>
        <w:ind w:firstLine="480"/>
        <w:rPr>
          <w:rFonts w:hint="eastAsia"/>
          <w:highlight w:val="none"/>
        </w:rPr>
      </w:pPr>
      <w:r>
        <w:rPr>
          <w:rFonts w:hint="eastAsia"/>
          <w:highlight w:val="none"/>
        </w:rPr>
        <w:t>患者列表与权限管理：按团队授权，按日期查看待/已会诊患者，标记重点关注患者并生成专属关注列表。</w:t>
      </w:r>
    </w:p>
    <w:p w14:paraId="0D9F10D2">
      <w:pPr>
        <w:pStyle w:val="12"/>
        <w:shd w:val="clear" w:color="auto" w:fill="auto"/>
        <w:ind w:firstLine="480"/>
        <w:rPr>
          <w:rFonts w:hint="eastAsia"/>
          <w:highlight w:val="none"/>
        </w:rPr>
      </w:pPr>
      <w:r>
        <w:rPr>
          <w:rFonts w:hint="eastAsia"/>
          <w:highlight w:val="none"/>
        </w:rPr>
        <w:t>病历整合与查阅：自动汇总患者病史，支持查看申请单、会诊意见、全部病历（门诊、住院、医嘱、护理记录）、检查检验报告，并链接PACS查看影像；支持检验指标历史对比和关键治疗事件概览。</w:t>
      </w:r>
    </w:p>
    <w:p w14:paraId="083DAA4D">
      <w:pPr>
        <w:pStyle w:val="12"/>
        <w:shd w:val="clear" w:color="auto" w:fill="auto"/>
        <w:ind w:firstLine="480"/>
        <w:rPr>
          <w:rFonts w:hint="eastAsia"/>
          <w:highlight w:val="none"/>
        </w:rPr>
      </w:pPr>
      <w:r>
        <w:rPr>
          <w:rFonts w:hint="eastAsia"/>
          <w:highlight w:val="none"/>
        </w:rPr>
        <w:t>会诊操作支持：支持录入会诊意见，按时间倒序展示检查结果，对接叫号系统实现有序看诊，并跟踪关注患者的后续治疗情况。</w:t>
      </w:r>
    </w:p>
    <w:p w14:paraId="4D18EF00">
      <w:pPr>
        <w:pStyle w:val="6"/>
        <w:rPr>
          <w:rFonts w:hint="eastAsia"/>
          <w:highlight w:val="none"/>
        </w:rPr>
      </w:pPr>
      <w:bookmarkStart w:id="65" w:name="_Toc197780108"/>
      <w:r>
        <w:rPr>
          <w:rFonts w:hint="eastAsia"/>
          <w:highlight w:val="none"/>
        </w:rPr>
        <w:t>医生交接班</w:t>
      </w:r>
      <w:bookmarkEnd w:id="65"/>
    </w:p>
    <w:p w14:paraId="7479366F">
      <w:pPr>
        <w:pStyle w:val="12"/>
        <w:shd w:val="clear" w:color="auto" w:fill="auto"/>
        <w:ind w:firstLine="480"/>
        <w:rPr>
          <w:rFonts w:hint="eastAsia"/>
          <w:highlight w:val="none"/>
        </w:rPr>
      </w:pPr>
      <w:r>
        <w:rPr>
          <w:rFonts w:hint="eastAsia"/>
          <w:highlight w:val="none"/>
        </w:rPr>
        <w:t>系统功能包括：班次维护与术语维护、交接簿生成、交接信息查看、患者信息编辑、病程引用、签名与解签、备注与打印。</w:t>
      </w:r>
    </w:p>
    <w:p w14:paraId="6F9B9442">
      <w:pPr>
        <w:pStyle w:val="12"/>
        <w:shd w:val="clear" w:color="auto" w:fill="auto"/>
        <w:ind w:firstLine="480"/>
        <w:rPr>
          <w:rFonts w:hint="eastAsia"/>
          <w:highlight w:val="none"/>
        </w:rPr>
      </w:pPr>
      <w:r>
        <w:rPr>
          <w:rFonts w:hint="eastAsia"/>
          <w:highlight w:val="none"/>
        </w:rPr>
        <w:t>班次与术语维护：支持设置多个班次（含起止时间），维护常用交班术语和患者标签，并可在编辑时引用。</w:t>
      </w:r>
    </w:p>
    <w:p w14:paraId="36DF7191">
      <w:pPr>
        <w:pStyle w:val="12"/>
        <w:shd w:val="clear" w:color="auto" w:fill="auto"/>
        <w:ind w:firstLine="480"/>
        <w:rPr>
          <w:rFonts w:hint="eastAsia"/>
          <w:highlight w:val="none"/>
        </w:rPr>
      </w:pPr>
      <w:r>
        <w:rPr>
          <w:rFonts w:hint="eastAsia"/>
          <w:highlight w:val="none"/>
        </w:rPr>
        <w:t>交接簿生成：以科室为单位自动生成7天（可选近一个月）的交接簿，显示科室、时间、人员、备注等信息。</w:t>
      </w:r>
    </w:p>
    <w:p w14:paraId="56CA7FDC">
      <w:pPr>
        <w:pStyle w:val="12"/>
        <w:shd w:val="clear" w:color="auto" w:fill="auto"/>
        <w:ind w:firstLine="480"/>
        <w:rPr>
          <w:rFonts w:hint="eastAsia"/>
          <w:highlight w:val="none"/>
        </w:rPr>
      </w:pPr>
      <w:r>
        <w:rPr>
          <w:rFonts w:hint="eastAsia"/>
          <w:highlight w:val="none"/>
        </w:rPr>
        <w:t>交接信息查看：自动筛选必须交班患者（如新入院、手术、病危等），并支持手动添加其他患者；展示患者基本信息、诊断、病情摘要、交接内容及标签；显示科室患者总数及签名状态。</w:t>
      </w:r>
    </w:p>
    <w:p w14:paraId="769099BD">
      <w:pPr>
        <w:pStyle w:val="12"/>
        <w:shd w:val="clear" w:color="auto" w:fill="auto"/>
        <w:ind w:firstLine="480"/>
        <w:rPr>
          <w:rFonts w:hint="eastAsia"/>
          <w:highlight w:val="none"/>
        </w:rPr>
      </w:pPr>
      <w:r>
        <w:rPr>
          <w:rFonts w:hint="eastAsia"/>
          <w:highlight w:val="none"/>
        </w:rPr>
        <w:t>患者信息编辑：可编辑患者标签、诊断、手术信息、病情摘要和交接内容。</w:t>
      </w:r>
    </w:p>
    <w:p w14:paraId="3164BA53">
      <w:pPr>
        <w:pStyle w:val="12"/>
        <w:shd w:val="clear" w:color="auto" w:fill="auto"/>
        <w:ind w:firstLine="480"/>
        <w:rPr>
          <w:rFonts w:hint="eastAsia"/>
          <w:highlight w:val="none"/>
        </w:rPr>
      </w:pPr>
      <w:r>
        <w:rPr>
          <w:rFonts w:hint="eastAsia"/>
          <w:highlight w:val="none"/>
        </w:rPr>
        <w:t>病程引用：支持按日期查询病程记录，并复制至交接信息中。</w:t>
      </w:r>
    </w:p>
    <w:p w14:paraId="2FA19FB0">
      <w:pPr>
        <w:pStyle w:val="12"/>
        <w:shd w:val="clear" w:color="auto" w:fill="auto"/>
        <w:ind w:firstLine="480"/>
        <w:rPr>
          <w:rFonts w:hint="eastAsia"/>
          <w:highlight w:val="none"/>
        </w:rPr>
      </w:pPr>
      <w:r>
        <w:rPr>
          <w:rFonts w:hint="eastAsia"/>
          <w:highlight w:val="none"/>
        </w:rPr>
        <w:t>签名与解签：支持交班/接班签名及解签；签名后记录不可修改；接班需密码验证；解签须核对医生身份。</w:t>
      </w:r>
    </w:p>
    <w:p w14:paraId="538620F8">
      <w:pPr>
        <w:pStyle w:val="12"/>
        <w:shd w:val="clear" w:color="auto" w:fill="auto"/>
        <w:ind w:firstLine="480"/>
        <w:rPr>
          <w:rFonts w:hint="eastAsia"/>
          <w:highlight w:val="none"/>
        </w:rPr>
      </w:pPr>
      <w:r>
        <w:rPr>
          <w:rFonts w:hint="eastAsia"/>
          <w:highlight w:val="none"/>
        </w:rPr>
        <w:t>备注与打印：交班医生可填写备注并显示在交接簿上；支持打印完整交接表单，含日期、签名、患者分类、备注等内容。</w:t>
      </w:r>
    </w:p>
    <w:p w14:paraId="72AD91F2">
      <w:pPr>
        <w:pStyle w:val="5"/>
        <w:rPr>
          <w:rFonts w:hint="eastAsia"/>
          <w:highlight w:val="none"/>
        </w:rPr>
      </w:pPr>
      <w:r>
        <w:rPr>
          <w:rFonts w:hint="eastAsia"/>
          <w:highlight w:val="none"/>
        </w:rPr>
        <w:t>移动查房</w:t>
      </w:r>
    </w:p>
    <w:p w14:paraId="79568FFB">
      <w:pPr>
        <w:pStyle w:val="12"/>
        <w:shd w:val="clear" w:color="auto" w:fill="auto"/>
        <w:ind w:firstLine="480"/>
        <w:rPr>
          <w:rFonts w:hint="eastAsia"/>
          <w:highlight w:val="none"/>
        </w:rPr>
      </w:pPr>
      <w:r>
        <w:rPr>
          <w:rFonts w:hint="eastAsia"/>
          <w:highlight w:val="none"/>
        </w:rPr>
        <w:t>系统功能需包括权限管理、住院患者一览、查房便签、病历查看、医嘱查看、检验报告、检查报告、生命体征，具体要求如下：</w:t>
      </w:r>
    </w:p>
    <w:p w14:paraId="4BF89D0B">
      <w:pPr>
        <w:pStyle w:val="6"/>
        <w:rPr>
          <w:rFonts w:hint="eastAsia"/>
          <w:highlight w:val="none"/>
        </w:rPr>
      </w:pPr>
      <w:bookmarkStart w:id="66" w:name="_Toc197780338"/>
      <w:r>
        <w:rPr>
          <w:rFonts w:hint="eastAsia"/>
          <w:highlight w:val="none"/>
        </w:rPr>
        <w:t>权限管理</w:t>
      </w:r>
      <w:bookmarkEnd w:id="66"/>
    </w:p>
    <w:p w14:paraId="7EC7A6BD">
      <w:pPr>
        <w:pStyle w:val="12"/>
        <w:shd w:val="clear" w:color="auto" w:fill="auto"/>
        <w:ind w:firstLine="480"/>
        <w:rPr>
          <w:rFonts w:hint="eastAsia"/>
          <w:highlight w:val="none"/>
        </w:rPr>
      </w:pPr>
      <w:r>
        <w:rPr>
          <w:rFonts w:hint="eastAsia"/>
          <w:highlight w:val="none"/>
        </w:rPr>
        <w:t>支持移动端运行，提供独立登录入口，通过账号密码加验证码验证，用户名密码与HIS一致；并根据HIS用户科室权限选择对应科室。</w:t>
      </w:r>
    </w:p>
    <w:p w14:paraId="5C53E994">
      <w:pPr>
        <w:pStyle w:val="6"/>
        <w:rPr>
          <w:rFonts w:hint="eastAsia"/>
          <w:highlight w:val="none"/>
        </w:rPr>
      </w:pPr>
      <w:bookmarkStart w:id="67" w:name="_Toc197780339"/>
      <w:r>
        <w:rPr>
          <w:rFonts w:hint="eastAsia"/>
          <w:highlight w:val="none"/>
        </w:rPr>
        <w:t>住院患者管理</w:t>
      </w:r>
      <w:bookmarkEnd w:id="67"/>
    </w:p>
    <w:p w14:paraId="68CF5687">
      <w:pPr>
        <w:pStyle w:val="12"/>
        <w:shd w:val="clear" w:color="auto" w:fill="auto"/>
        <w:ind w:firstLine="480"/>
        <w:rPr>
          <w:rFonts w:hint="eastAsia"/>
          <w:highlight w:val="none"/>
        </w:rPr>
      </w:pPr>
      <w:r>
        <w:rPr>
          <w:rFonts w:hint="eastAsia"/>
          <w:highlight w:val="none"/>
        </w:rPr>
        <w:t>支持以卡片形式图形化显示所选科室所有在院患者的基本信息，如床号、姓名、入院日期、主诊断、护理级别及患者状态（新入院、病危、病重、术后、转入等）。可通过头像区分患者年龄与性别（儿童男/女、成人男/女、老年男/女）。支持按全科或分管患者筛选，并可按姓名、住院号、床号等进行检索。</w:t>
      </w:r>
    </w:p>
    <w:p w14:paraId="1AE0EDCC">
      <w:pPr>
        <w:pStyle w:val="6"/>
        <w:rPr>
          <w:rFonts w:hint="eastAsia"/>
          <w:highlight w:val="none"/>
        </w:rPr>
      </w:pPr>
      <w:bookmarkStart w:id="68" w:name="_Toc197780340"/>
      <w:r>
        <w:rPr>
          <w:rFonts w:hint="eastAsia"/>
          <w:highlight w:val="none"/>
        </w:rPr>
        <w:t>查房便签</w:t>
      </w:r>
      <w:bookmarkEnd w:id="68"/>
    </w:p>
    <w:p w14:paraId="099DEC3E">
      <w:pPr>
        <w:pStyle w:val="12"/>
        <w:shd w:val="clear" w:color="auto" w:fill="auto"/>
        <w:ind w:firstLine="480"/>
        <w:rPr>
          <w:rFonts w:hint="eastAsia"/>
          <w:highlight w:val="none"/>
        </w:rPr>
      </w:pPr>
      <w:r>
        <w:rPr>
          <w:rFonts w:hint="eastAsia"/>
          <w:highlight w:val="none"/>
        </w:rPr>
        <w:t>支持医生在查房时通过PC端或移动端快速录入查房信息，实现两端数据同步。PC端可维护二级结构的便签组套。病程记录辅助书写模块可嵌入便签，支持新增、删除、修改、内容复制、图片预览、语音转文字，并可将便签内容写入病程记录。</w:t>
      </w:r>
    </w:p>
    <w:p w14:paraId="221E646D">
      <w:pPr>
        <w:pStyle w:val="6"/>
        <w:rPr>
          <w:rFonts w:hint="eastAsia"/>
          <w:highlight w:val="none"/>
        </w:rPr>
      </w:pPr>
      <w:bookmarkStart w:id="69" w:name="_Toc197780341"/>
      <w:r>
        <w:rPr>
          <w:rFonts w:hint="eastAsia"/>
          <w:highlight w:val="none"/>
        </w:rPr>
        <w:t>病历查看</w:t>
      </w:r>
      <w:bookmarkEnd w:id="69"/>
    </w:p>
    <w:p w14:paraId="3CCF9A60">
      <w:pPr>
        <w:pStyle w:val="12"/>
        <w:shd w:val="clear" w:color="auto" w:fill="auto"/>
        <w:ind w:firstLine="480"/>
        <w:rPr>
          <w:rFonts w:hint="eastAsia"/>
          <w:highlight w:val="none"/>
        </w:rPr>
      </w:pPr>
      <w:r>
        <w:rPr>
          <w:rFonts w:hint="eastAsia"/>
          <w:highlight w:val="none"/>
        </w:rPr>
        <w:t>支持查看患者在本院门诊及住院的历次病历，默认显示当前就诊信息。病历以卡片形式展示：住院病历含入院记录、病程记录、会诊记录、手术记录，非当前住院病历还需包含出院记录；切换至门诊则显示相应门诊病历。病历内容支持PDF格式展示，样式与医生站一致。病程记录按三级目录展示，包括首次、近三天及全部病程记录，后者按时间倒序排列。会诊记录和手术记录分别以二级目录展示，前者含会诊时间、医生、邀请科室，后者含手术名称、时间。</w:t>
      </w:r>
    </w:p>
    <w:p w14:paraId="2EEA88D0">
      <w:pPr>
        <w:pStyle w:val="6"/>
        <w:rPr>
          <w:rFonts w:hint="eastAsia"/>
          <w:highlight w:val="none"/>
        </w:rPr>
      </w:pPr>
      <w:bookmarkStart w:id="70" w:name="_Toc197780342"/>
      <w:r>
        <w:rPr>
          <w:rFonts w:hint="eastAsia"/>
          <w:highlight w:val="none"/>
        </w:rPr>
        <w:t>医嘱查看</w:t>
      </w:r>
      <w:bookmarkEnd w:id="70"/>
    </w:p>
    <w:p w14:paraId="7A31726C">
      <w:pPr>
        <w:pStyle w:val="12"/>
        <w:shd w:val="clear" w:color="auto" w:fill="auto"/>
        <w:ind w:firstLine="480"/>
        <w:rPr>
          <w:rFonts w:hint="eastAsia"/>
          <w:highlight w:val="none"/>
        </w:rPr>
      </w:pPr>
      <w:r>
        <w:rPr>
          <w:rFonts w:hint="eastAsia"/>
          <w:highlight w:val="none"/>
        </w:rPr>
        <w:t>支持查看病人在院期间全部医嘱，显示关键信息：状态（停、签、核、执、废）、起止时间、医嘱类型、分组、名称、每次量、总量、金额、频次、用法、开立人；区分长期与临时医嘱，以颜色标识状态（同医生站一致），按时间倒序显示，默认展示近一周。支持刷新获取最新数据，并提供按术语类型（药品、检查等）、医嘱状态（有效、废止、待执行）和医嘱类型（长期、临时）的过滤功能。</w:t>
      </w:r>
    </w:p>
    <w:p w14:paraId="7B2B2941">
      <w:pPr>
        <w:pStyle w:val="6"/>
        <w:rPr>
          <w:rFonts w:hint="eastAsia"/>
          <w:highlight w:val="none"/>
        </w:rPr>
      </w:pPr>
      <w:bookmarkStart w:id="71" w:name="_Toc197780343"/>
      <w:r>
        <w:rPr>
          <w:rFonts w:hint="eastAsia"/>
          <w:highlight w:val="none"/>
        </w:rPr>
        <w:t>检验报告</w:t>
      </w:r>
      <w:bookmarkEnd w:id="71"/>
    </w:p>
    <w:p w14:paraId="6798F93B">
      <w:pPr>
        <w:pStyle w:val="12"/>
        <w:shd w:val="clear" w:color="auto" w:fill="auto"/>
        <w:ind w:firstLine="480"/>
        <w:rPr>
          <w:rFonts w:hint="eastAsia"/>
          <w:highlight w:val="none"/>
        </w:rPr>
      </w:pPr>
      <w:r>
        <w:rPr>
          <w:rFonts w:hint="eastAsia"/>
          <w:highlight w:val="none"/>
        </w:rPr>
        <w:t>检验报告需支持与LIS系统对接，可查询浏览患者报告，并按时间倒序列表显示。涵盖常规及微生物检验报告，内容依类型动态展示。常规报告包括项目、结果、参考值、单位和结果状态，异常需明显标识，并支持指标趋势图查看。微生物报告包含短报告和药敏结果。</w:t>
      </w:r>
    </w:p>
    <w:p w14:paraId="7F3585C7">
      <w:pPr>
        <w:pStyle w:val="6"/>
        <w:rPr>
          <w:rFonts w:hint="eastAsia"/>
          <w:highlight w:val="none"/>
        </w:rPr>
      </w:pPr>
      <w:bookmarkStart w:id="72" w:name="_Toc197780344"/>
      <w:r>
        <w:rPr>
          <w:rFonts w:hint="eastAsia"/>
          <w:highlight w:val="none"/>
        </w:rPr>
        <w:t>检查报告</w:t>
      </w:r>
      <w:bookmarkEnd w:id="72"/>
    </w:p>
    <w:p w14:paraId="26328316">
      <w:pPr>
        <w:pStyle w:val="12"/>
        <w:shd w:val="clear" w:color="auto" w:fill="auto"/>
        <w:ind w:firstLine="480"/>
        <w:rPr>
          <w:rFonts w:hint="eastAsia"/>
          <w:highlight w:val="none"/>
        </w:rPr>
      </w:pPr>
      <w:r>
        <w:rPr>
          <w:rFonts w:hint="eastAsia"/>
          <w:highlight w:val="none"/>
        </w:rPr>
        <w:t>支持与PACS系统对接，查询浏览患者检查报告，并按时间倒序以列表展示历史报告；支持显示文字报告（含报告名称、部位、医生、时间、检查所见及意见）和图像报告。</w:t>
      </w:r>
    </w:p>
    <w:p w14:paraId="326C3056">
      <w:pPr>
        <w:pStyle w:val="6"/>
        <w:rPr>
          <w:rFonts w:hint="eastAsia"/>
          <w:highlight w:val="none"/>
        </w:rPr>
      </w:pPr>
      <w:bookmarkStart w:id="73" w:name="_Toc197780345"/>
      <w:r>
        <w:rPr>
          <w:rFonts w:hint="eastAsia"/>
          <w:highlight w:val="none"/>
        </w:rPr>
        <w:t>生命体征</w:t>
      </w:r>
      <w:bookmarkEnd w:id="73"/>
    </w:p>
    <w:p w14:paraId="1E739257">
      <w:pPr>
        <w:pStyle w:val="12"/>
        <w:shd w:val="clear" w:color="auto" w:fill="auto"/>
        <w:ind w:firstLine="480"/>
        <w:rPr>
          <w:rFonts w:hint="eastAsia"/>
          <w:highlight w:val="none"/>
        </w:rPr>
      </w:pPr>
      <w:r>
        <w:rPr>
          <w:rFonts w:hint="eastAsia"/>
          <w:highlight w:val="none"/>
        </w:rPr>
        <w:t>需支持与护理系统对接，查看患者全部生命体征；提供院级配置并全院共享；支持体温、脉搏、呼吸、血压的图表展示，可按周查看；支持自由选择体征数据，按科室记忆设置，并支持关键字检索。</w:t>
      </w:r>
    </w:p>
    <w:p w14:paraId="0B034F70">
      <w:pPr>
        <w:pStyle w:val="5"/>
        <w:rPr>
          <w:rFonts w:hint="eastAsia"/>
          <w:highlight w:val="none"/>
        </w:rPr>
      </w:pPr>
      <w:bookmarkStart w:id="74" w:name="_Hlk208346275"/>
      <w:r>
        <w:rPr>
          <w:rFonts w:hint="eastAsia"/>
          <w:highlight w:val="none"/>
        </w:rPr>
        <w:t>临床路径系统</w:t>
      </w:r>
    </w:p>
    <w:p w14:paraId="33E4A88B">
      <w:pPr>
        <w:pStyle w:val="6"/>
        <w:rPr>
          <w:rFonts w:hint="eastAsia"/>
          <w:highlight w:val="none"/>
        </w:rPr>
      </w:pPr>
      <w:bookmarkStart w:id="75" w:name="_Toc97708839"/>
      <w:bookmarkStart w:id="76" w:name="_Toc65597504"/>
      <w:bookmarkStart w:id="77" w:name="_Toc66262585"/>
      <w:r>
        <w:rPr>
          <w:rFonts w:hint="eastAsia"/>
          <w:highlight w:val="none"/>
        </w:rPr>
        <w:t>基础功能</w:t>
      </w:r>
      <w:bookmarkEnd w:id="75"/>
      <w:bookmarkEnd w:id="76"/>
      <w:bookmarkEnd w:id="77"/>
    </w:p>
    <w:p w14:paraId="5B115FC6">
      <w:pPr>
        <w:pStyle w:val="12"/>
        <w:shd w:val="clear" w:color="auto" w:fill="auto"/>
        <w:ind w:firstLine="480"/>
        <w:rPr>
          <w:rFonts w:hint="eastAsia"/>
          <w:highlight w:val="none"/>
        </w:rPr>
      </w:pPr>
      <w:r>
        <w:rPr>
          <w:rFonts w:hint="eastAsia"/>
          <w:highlight w:val="none"/>
        </w:rPr>
        <w:t>系统支持路径项目及阶段列头颜色配置，用于状态区分；</w:t>
      </w:r>
    </w:p>
    <w:p w14:paraId="4F019F73">
      <w:pPr>
        <w:pStyle w:val="12"/>
        <w:shd w:val="clear" w:color="auto" w:fill="auto"/>
        <w:ind w:firstLine="480"/>
        <w:rPr>
          <w:rFonts w:hint="eastAsia"/>
          <w:highlight w:val="none"/>
        </w:rPr>
      </w:pPr>
      <w:r>
        <w:rPr>
          <w:rFonts w:hint="eastAsia"/>
          <w:highlight w:val="none"/>
        </w:rPr>
        <w:t>支持路径流程中关键节点的启用与关闭；</w:t>
      </w:r>
    </w:p>
    <w:p w14:paraId="287E0FA0">
      <w:pPr>
        <w:pStyle w:val="12"/>
        <w:shd w:val="clear" w:color="auto" w:fill="auto"/>
        <w:ind w:firstLine="480"/>
        <w:rPr>
          <w:rFonts w:hint="eastAsia"/>
          <w:highlight w:val="none"/>
        </w:rPr>
      </w:pPr>
      <w:r>
        <w:rPr>
          <w:rFonts w:hint="eastAsia"/>
          <w:highlight w:val="none"/>
        </w:rPr>
        <w:t>支持角色及操作员权限的细粒度配置，并提供默认角色权限；</w:t>
      </w:r>
    </w:p>
    <w:p w14:paraId="4099C056">
      <w:pPr>
        <w:pStyle w:val="12"/>
        <w:shd w:val="clear" w:color="auto" w:fill="auto"/>
        <w:ind w:firstLine="480"/>
        <w:rPr>
          <w:rFonts w:hint="eastAsia"/>
          <w:highlight w:val="none"/>
        </w:rPr>
      </w:pPr>
      <w:r>
        <w:rPr>
          <w:rFonts w:hint="eastAsia"/>
          <w:highlight w:val="none"/>
        </w:rPr>
        <w:t>支持ICD诊断码与病种、病种专业与科室的对照，以及变异信息的维护；</w:t>
      </w:r>
    </w:p>
    <w:p w14:paraId="5957DD96">
      <w:pPr>
        <w:pStyle w:val="12"/>
        <w:shd w:val="clear" w:color="auto" w:fill="auto"/>
        <w:ind w:firstLine="480"/>
        <w:rPr>
          <w:rFonts w:hint="eastAsia"/>
          <w:highlight w:val="none"/>
        </w:rPr>
      </w:pPr>
      <w:r>
        <w:rPr>
          <w:rFonts w:hint="eastAsia"/>
          <w:highlight w:val="none"/>
        </w:rPr>
        <w:t>▲系统支持门诊医生站使用门诊路径功能。</w:t>
      </w:r>
    </w:p>
    <w:p w14:paraId="0A356DFA">
      <w:pPr>
        <w:pStyle w:val="6"/>
        <w:rPr>
          <w:rFonts w:hint="eastAsia"/>
          <w:highlight w:val="none"/>
        </w:rPr>
      </w:pPr>
      <w:r>
        <w:rPr>
          <w:rFonts w:hint="eastAsia"/>
          <w:highlight w:val="none"/>
        </w:rPr>
        <w:t>路径模板管理</w:t>
      </w:r>
    </w:p>
    <w:p w14:paraId="12954A7D">
      <w:pPr>
        <w:pStyle w:val="12"/>
        <w:shd w:val="clear" w:color="auto" w:fill="auto"/>
        <w:ind w:firstLine="480"/>
        <w:rPr>
          <w:rFonts w:hint="eastAsia"/>
          <w:highlight w:val="none"/>
        </w:rPr>
      </w:pPr>
      <w:r>
        <w:rPr>
          <w:rFonts w:hint="eastAsia"/>
          <w:highlight w:val="none"/>
        </w:rPr>
        <w:t>系统支持模板创建、编辑、审核、版本管理、权限控制、医嘱维护、路径校验、变异分析及模板复用等。</w:t>
      </w:r>
    </w:p>
    <w:p w14:paraId="1CA27C2E">
      <w:pPr>
        <w:pStyle w:val="12"/>
        <w:shd w:val="clear" w:color="auto" w:fill="auto"/>
        <w:ind w:firstLine="480"/>
        <w:rPr>
          <w:rFonts w:hint="eastAsia"/>
          <w:highlight w:val="none"/>
        </w:rPr>
      </w:pPr>
      <w:r>
        <w:rPr>
          <w:rFonts w:hint="eastAsia"/>
          <w:highlight w:val="none"/>
        </w:rPr>
        <w:t>支持新建和维护门诊路径模板，包含准入/准出标准、入径条件等基本信息；涵盖诊疗、医嘱、护理、住院天数与费用等项目，支持多阶段设置、分支路径、排序、必选/可选配置及急诊转住院模式；</w:t>
      </w:r>
    </w:p>
    <w:p w14:paraId="779BE433">
      <w:pPr>
        <w:pStyle w:val="12"/>
        <w:shd w:val="clear" w:color="auto" w:fill="auto"/>
        <w:ind w:firstLine="480"/>
        <w:rPr>
          <w:rFonts w:hint="eastAsia"/>
          <w:highlight w:val="none"/>
        </w:rPr>
      </w:pPr>
      <w:r>
        <w:rPr>
          <w:rFonts w:hint="eastAsia"/>
          <w:highlight w:val="none"/>
        </w:rPr>
        <w:t>具备重做、复制、剪切、粘贴、导出（Excel/XML）、打印、覆盖、作废、暂存、提交等功能；支持等效药、阶段合并与评估、ICD与医嘱校验、智能天数判断；</w:t>
      </w:r>
    </w:p>
    <w:p w14:paraId="25C44C01">
      <w:pPr>
        <w:pStyle w:val="12"/>
        <w:shd w:val="clear" w:color="auto" w:fill="auto"/>
        <w:ind w:firstLine="480"/>
        <w:rPr>
          <w:rFonts w:hint="eastAsia"/>
          <w:highlight w:val="none"/>
        </w:rPr>
      </w:pPr>
      <w:r>
        <w:rPr>
          <w:rFonts w:hint="eastAsia"/>
          <w:highlight w:val="none"/>
        </w:rPr>
        <w:t>▲系统支持医生根生成路径的新版本时，可以通过变异分析功能，获得上一版本路径使用过程中变异数量前五的医嘱信息并支持快速添加；</w:t>
      </w:r>
    </w:p>
    <w:p w14:paraId="5DC6FC6C">
      <w:pPr>
        <w:pStyle w:val="12"/>
        <w:shd w:val="clear" w:color="auto" w:fill="auto"/>
        <w:ind w:firstLine="480"/>
        <w:rPr>
          <w:rFonts w:hint="eastAsia"/>
          <w:highlight w:val="none"/>
        </w:rPr>
      </w:pPr>
      <w:r>
        <w:rPr>
          <w:rFonts w:hint="eastAsia"/>
          <w:highlight w:val="none"/>
        </w:rPr>
        <w:t>实现模板版本克隆、升级与多版本共存，支持基于变异分析生成新版本；提供多级权限管理与审核机制，确保模板安全可控；内置标准模板，支持导入导出与批量操作，提升模板复用性与维护效率。</w:t>
      </w:r>
    </w:p>
    <w:p w14:paraId="6C5904B8">
      <w:pPr>
        <w:pStyle w:val="12"/>
        <w:shd w:val="clear" w:color="auto" w:fill="auto"/>
        <w:ind w:firstLine="480"/>
        <w:rPr>
          <w:rFonts w:hint="eastAsia"/>
          <w:highlight w:val="none"/>
        </w:rPr>
      </w:pPr>
      <w:r>
        <w:rPr>
          <w:rFonts w:hint="eastAsia"/>
          <w:highlight w:val="none"/>
        </w:rPr>
        <w:t>▲系统支持批量替换所有路径模版中的指定医嘱项目。</w:t>
      </w:r>
    </w:p>
    <w:p w14:paraId="2BE42933">
      <w:pPr>
        <w:pStyle w:val="6"/>
        <w:rPr>
          <w:rFonts w:hint="eastAsia"/>
          <w:highlight w:val="none"/>
        </w:rPr>
      </w:pPr>
      <w:r>
        <w:rPr>
          <w:rFonts w:hint="eastAsia"/>
          <w:highlight w:val="none"/>
        </w:rPr>
        <w:t>住院路径执行</w:t>
      </w:r>
    </w:p>
    <w:p w14:paraId="30D33917">
      <w:pPr>
        <w:pStyle w:val="12"/>
        <w:shd w:val="clear" w:color="auto" w:fill="auto"/>
        <w:ind w:firstLine="480"/>
        <w:rPr>
          <w:rFonts w:hint="eastAsia"/>
          <w:highlight w:val="none"/>
        </w:rPr>
      </w:pPr>
      <w:r>
        <w:rPr>
          <w:rFonts w:hint="eastAsia"/>
          <w:highlight w:val="none"/>
        </w:rPr>
        <w:t>系统支持根据ICD-10编码自动推荐路径，并允许医生自主选择本科室路径，通过“路径门户”统一管理登记；准入评估中，必选项不满足时自动退出，非必选项记录后可继续；</w:t>
      </w:r>
    </w:p>
    <w:p w14:paraId="43BA8B31">
      <w:pPr>
        <w:pStyle w:val="12"/>
        <w:shd w:val="clear" w:color="auto" w:fill="auto"/>
        <w:ind w:firstLine="480"/>
        <w:rPr>
          <w:rFonts w:hint="eastAsia"/>
          <w:highlight w:val="none"/>
        </w:rPr>
      </w:pPr>
      <w:r>
        <w:rPr>
          <w:rFonts w:hint="eastAsia"/>
          <w:highlight w:val="none"/>
        </w:rPr>
        <w:t>支持不入径审核及查看入径标准。过程管理需展示各阶段执行情况、任务列表及医嘱状态，支持自由跳转、调整阶段、中途退出与治愈，并控制权限与流程；</w:t>
      </w:r>
    </w:p>
    <w:p w14:paraId="2A2E0E63">
      <w:pPr>
        <w:pStyle w:val="12"/>
        <w:shd w:val="clear" w:color="auto" w:fill="auto"/>
        <w:ind w:firstLine="480"/>
        <w:rPr>
          <w:rFonts w:hint="eastAsia"/>
          <w:highlight w:val="none"/>
        </w:rPr>
      </w:pPr>
      <w:r>
        <w:rPr>
          <w:rFonts w:hint="eastAsia"/>
          <w:highlight w:val="none"/>
        </w:rPr>
        <w:t>支持修改执行日期、对照长期医嘱、医嘱闭环及一键开立当日医嘱，可自定义变异标准（如费用、天数、非路径医嘱等），并按颜色标识变异，支持批量执行、模板打印、操作留痕、精准匹配频次用量，灵活添加医嘱细项或多元素同步执行，提供费用预估和医嘱移动功能。</w:t>
      </w:r>
    </w:p>
    <w:p w14:paraId="69823482">
      <w:pPr>
        <w:pStyle w:val="12"/>
        <w:shd w:val="clear" w:color="auto" w:fill="auto"/>
        <w:ind w:firstLine="480"/>
        <w:rPr>
          <w:rFonts w:hint="eastAsia"/>
          <w:highlight w:val="none"/>
        </w:rPr>
      </w:pPr>
      <w:r>
        <w:rPr>
          <w:rFonts w:hint="eastAsia"/>
          <w:highlight w:val="none"/>
        </w:rPr>
        <w:t>变异录入直观显示、批量处理，支持归属项目选择及阶段级录入删除。支持智能关联医嘱、双向执行、作废提示替换、临时医嘱复查。自动对接电子病历实现双向交互；</w:t>
      </w:r>
    </w:p>
    <w:p w14:paraId="50A293EE">
      <w:pPr>
        <w:pStyle w:val="12"/>
        <w:shd w:val="clear" w:color="auto" w:fill="auto"/>
        <w:ind w:firstLine="480"/>
        <w:rPr>
          <w:rFonts w:hint="eastAsia"/>
          <w:highlight w:val="none"/>
        </w:rPr>
      </w:pPr>
      <w:r>
        <w:rPr>
          <w:rFonts w:hint="eastAsia"/>
          <w:highlight w:val="none"/>
        </w:rPr>
        <w:t>▲系统支持开立医嘱时，自动匹配等效药。</w:t>
      </w:r>
    </w:p>
    <w:p w14:paraId="5108CADA">
      <w:pPr>
        <w:pStyle w:val="12"/>
        <w:shd w:val="clear" w:color="auto" w:fill="auto"/>
        <w:ind w:firstLine="480"/>
        <w:rPr>
          <w:rFonts w:hint="eastAsia"/>
          <w:highlight w:val="none"/>
        </w:rPr>
      </w:pPr>
      <w:r>
        <w:rPr>
          <w:rFonts w:hint="eastAsia"/>
          <w:highlight w:val="none"/>
        </w:rPr>
        <w:t>具备费用与执行天数超标提醒功能。</w:t>
      </w:r>
    </w:p>
    <w:p w14:paraId="153446DC">
      <w:pPr>
        <w:pStyle w:val="12"/>
        <w:shd w:val="clear" w:color="auto" w:fill="auto"/>
        <w:ind w:firstLine="480"/>
        <w:rPr>
          <w:rFonts w:hint="eastAsia"/>
          <w:highlight w:val="none"/>
        </w:rPr>
      </w:pPr>
      <w:r>
        <w:rPr>
          <w:rFonts w:hint="eastAsia"/>
          <w:highlight w:val="none"/>
        </w:rPr>
        <w:t>退出路径医嘱时应提示确认。</w:t>
      </w:r>
    </w:p>
    <w:p w14:paraId="42537B39">
      <w:pPr>
        <w:pStyle w:val="12"/>
        <w:shd w:val="clear" w:color="auto" w:fill="auto"/>
        <w:ind w:firstLine="480"/>
        <w:rPr>
          <w:rFonts w:hint="eastAsia"/>
          <w:highlight w:val="none"/>
        </w:rPr>
      </w:pPr>
      <w:r>
        <w:rPr>
          <w:rFonts w:hint="eastAsia"/>
          <w:highlight w:val="none"/>
        </w:rPr>
        <w:t>支持根据病情选择分支路径，使用中可变更路径模板。阶段评估未通过则禁止进入下一阶段；准出评估不达标时自动记录。支持国家标准格式的告知单按天打印，以及治疗单无纸化传输。</w:t>
      </w:r>
    </w:p>
    <w:p w14:paraId="6E480594">
      <w:pPr>
        <w:pStyle w:val="6"/>
        <w:rPr>
          <w:rFonts w:hint="eastAsia"/>
          <w:highlight w:val="none"/>
        </w:rPr>
      </w:pPr>
      <w:r>
        <w:rPr>
          <w:rFonts w:hint="eastAsia"/>
          <w:highlight w:val="none"/>
        </w:rPr>
        <w:t>门诊路径执行</w:t>
      </w:r>
    </w:p>
    <w:p w14:paraId="34921037">
      <w:pPr>
        <w:pStyle w:val="12"/>
        <w:shd w:val="clear" w:color="auto" w:fill="auto"/>
        <w:ind w:firstLine="480"/>
        <w:rPr>
          <w:rFonts w:hint="eastAsia"/>
          <w:highlight w:val="none"/>
        </w:rPr>
      </w:pPr>
      <w:r>
        <w:rPr>
          <w:rFonts w:hint="eastAsia"/>
          <w:highlight w:val="none"/>
        </w:rPr>
        <w:t>1.路径门户</w:t>
      </w:r>
    </w:p>
    <w:p w14:paraId="19BCAED4">
      <w:pPr>
        <w:pStyle w:val="12"/>
        <w:shd w:val="clear" w:color="auto" w:fill="auto"/>
        <w:ind w:firstLine="480"/>
        <w:rPr>
          <w:rFonts w:hint="eastAsia"/>
          <w:highlight w:val="none"/>
        </w:rPr>
      </w:pPr>
      <w:r>
        <w:rPr>
          <w:rFonts w:hint="eastAsia"/>
          <w:highlight w:val="none"/>
        </w:rPr>
        <w:t>医生可自主选择科室对应路径，系统通过“路径门户”窗体管理路径登记，并支持不入路径的审核机制，提升路径使用率。</w:t>
      </w:r>
    </w:p>
    <w:p w14:paraId="49EAE421">
      <w:pPr>
        <w:pStyle w:val="12"/>
        <w:shd w:val="clear" w:color="auto" w:fill="auto"/>
        <w:ind w:firstLine="480"/>
        <w:rPr>
          <w:rFonts w:hint="eastAsia"/>
          <w:highlight w:val="none"/>
        </w:rPr>
      </w:pPr>
      <w:r>
        <w:rPr>
          <w:rFonts w:hint="eastAsia"/>
          <w:highlight w:val="none"/>
        </w:rPr>
        <w:t>2.过程管理</w:t>
      </w:r>
    </w:p>
    <w:p w14:paraId="54D477A3">
      <w:pPr>
        <w:pStyle w:val="12"/>
        <w:shd w:val="clear" w:color="auto" w:fill="auto"/>
        <w:ind w:firstLine="480"/>
        <w:rPr>
          <w:rFonts w:hint="eastAsia"/>
          <w:highlight w:val="none"/>
        </w:rPr>
      </w:pPr>
      <w:r>
        <w:rPr>
          <w:rFonts w:hint="eastAsia"/>
          <w:highlight w:val="none"/>
        </w:rPr>
        <w:t>系统支持查看各阶段执行情况，显示完整路径进度，提供任务列表提示未完成工作，允许自由选择路径阶段及中途退出，并控制相关权限与流程。支持调整执行日期、自动对照长期医嘱天数、医嘱闭环操作、一键开立当日医嘱，并可控制医嘱的开立、停止与变更。变异项目可自定义颜色显示，支持模板打印，诊疗项目完成后自动记录操作人。支持按频次、用法、用量精确匹配，在不维护细项时仍可执行多个医嘱或诊疗项目。路径中可移动医嘱至任意阶段日，支持同日多阶段跳转，适用于手术日不固定情况。</w:t>
      </w:r>
    </w:p>
    <w:p w14:paraId="39D1D534">
      <w:pPr>
        <w:pStyle w:val="12"/>
        <w:shd w:val="clear" w:color="auto" w:fill="auto"/>
        <w:ind w:firstLine="480"/>
        <w:rPr>
          <w:rFonts w:hint="eastAsia"/>
          <w:highlight w:val="none"/>
        </w:rPr>
      </w:pPr>
      <w:r>
        <w:rPr>
          <w:rFonts w:hint="eastAsia"/>
          <w:highlight w:val="none"/>
        </w:rPr>
        <w:t>3.变异录入</w:t>
      </w:r>
    </w:p>
    <w:p w14:paraId="0D885A95">
      <w:pPr>
        <w:pStyle w:val="12"/>
        <w:shd w:val="clear" w:color="auto" w:fill="auto"/>
        <w:ind w:firstLine="480"/>
        <w:rPr>
          <w:rFonts w:hint="eastAsia"/>
          <w:highlight w:val="none"/>
        </w:rPr>
      </w:pPr>
      <w:r>
        <w:rPr>
          <w:rFonts w:hint="eastAsia"/>
          <w:highlight w:val="none"/>
        </w:rPr>
        <w:t>支持直接录入变异原因并直观显示，可批量录入医嘱变异信息。</w:t>
      </w:r>
    </w:p>
    <w:p w14:paraId="007FF594">
      <w:pPr>
        <w:pStyle w:val="12"/>
        <w:shd w:val="clear" w:color="auto" w:fill="auto"/>
        <w:ind w:firstLine="480"/>
        <w:rPr>
          <w:rFonts w:hint="eastAsia"/>
          <w:highlight w:val="none"/>
        </w:rPr>
      </w:pPr>
      <w:r>
        <w:rPr>
          <w:rFonts w:hint="eastAsia"/>
          <w:highlight w:val="none"/>
        </w:rPr>
        <w:t>4.关联医嘱</w:t>
      </w:r>
    </w:p>
    <w:p w14:paraId="45C76D03">
      <w:pPr>
        <w:pStyle w:val="12"/>
        <w:shd w:val="clear" w:color="auto" w:fill="auto"/>
        <w:ind w:firstLine="480"/>
        <w:rPr>
          <w:rFonts w:hint="eastAsia"/>
          <w:highlight w:val="none"/>
        </w:rPr>
      </w:pPr>
      <w:r>
        <w:rPr>
          <w:rFonts w:hint="eastAsia"/>
          <w:highlight w:val="none"/>
        </w:rPr>
        <w:t>支持智能关联医嘱项目及双向执行。</w:t>
      </w:r>
    </w:p>
    <w:p w14:paraId="1C9F8C9B">
      <w:pPr>
        <w:pStyle w:val="12"/>
        <w:shd w:val="clear" w:color="auto" w:fill="auto"/>
        <w:ind w:firstLine="480"/>
        <w:rPr>
          <w:rFonts w:hint="eastAsia"/>
          <w:highlight w:val="none"/>
        </w:rPr>
      </w:pPr>
      <w:r>
        <w:rPr>
          <w:rFonts w:hint="eastAsia"/>
          <w:highlight w:val="none"/>
        </w:rPr>
        <w:t>5.分支路径</w:t>
      </w:r>
    </w:p>
    <w:p w14:paraId="3629B487">
      <w:pPr>
        <w:pStyle w:val="12"/>
        <w:shd w:val="clear" w:color="auto" w:fill="auto"/>
        <w:ind w:firstLine="480"/>
        <w:rPr>
          <w:rFonts w:hint="eastAsia"/>
          <w:highlight w:val="none"/>
        </w:rPr>
      </w:pPr>
      <w:r>
        <w:rPr>
          <w:rFonts w:hint="eastAsia"/>
          <w:highlight w:val="none"/>
        </w:rPr>
        <w:t>可根据患者病情在路径模板中选择相应分支阶段。</w:t>
      </w:r>
    </w:p>
    <w:p w14:paraId="5C84A42B">
      <w:pPr>
        <w:pStyle w:val="12"/>
        <w:shd w:val="clear" w:color="auto" w:fill="auto"/>
        <w:ind w:firstLine="480"/>
        <w:rPr>
          <w:rFonts w:hint="eastAsia"/>
          <w:highlight w:val="none"/>
        </w:rPr>
      </w:pPr>
      <w:r>
        <w:rPr>
          <w:rFonts w:hint="eastAsia"/>
          <w:highlight w:val="none"/>
        </w:rPr>
        <w:t>6.变更路径</w:t>
      </w:r>
    </w:p>
    <w:p w14:paraId="4EE82A04">
      <w:pPr>
        <w:pStyle w:val="12"/>
        <w:shd w:val="clear" w:color="auto" w:fill="auto"/>
        <w:ind w:firstLine="480"/>
        <w:rPr>
          <w:rFonts w:hint="eastAsia"/>
          <w:highlight w:val="none"/>
        </w:rPr>
      </w:pPr>
      <w:r>
        <w:rPr>
          <w:rFonts w:hint="eastAsia"/>
          <w:highlight w:val="none"/>
        </w:rPr>
        <w:t>使用模板时支持路径变更。</w:t>
      </w:r>
    </w:p>
    <w:p w14:paraId="476EEC13">
      <w:pPr>
        <w:pStyle w:val="6"/>
        <w:rPr>
          <w:rFonts w:hint="eastAsia"/>
          <w:highlight w:val="none"/>
        </w:rPr>
      </w:pPr>
      <w:bookmarkStart w:id="78" w:name="_Toc97708869"/>
      <w:bookmarkStart w:id="79" w:name="_Toc66262615"/>
      <w:bookmarkStart w:id="80" w:name="_Toc34755176"/>
      <w:bookmarkStart w:id="81" w:name="_Toc65597587"/>
      <w:r>
        <w:rPr>
          <w:rFonts w:hint="eastAsia"/>
          <w:highlight w:val="none"/>
        </w:rPr>
        <w:t>路径质量控制</w:t>
      </w:r>
      <w:bookmarkEnd w:id="78"/>
      <w:bookmarkEnd w:id="79"/>
      <w:bookmarkEnd w:id="80"/>
      <w:bookmarkEnd w:id="81"/>
    </w:p>
    <w:p w14:paraId="51D0757E">
      <w:pPr>
        <w:pStyle w:val="12"/>
        <w:shd w:val="clear" w:color="auto" w:fill="auto"/>
        <w:ind w:firstLine="480"/>
        <w:rPr>
          <w:rFonts w:hint="eastAsia"/>
          <w:highlight w:val="none"/>
        </w:rPr>
      </w:pPr>
      <w:r>
        <w:rPr>
          <w:rFonts w:hint="eastAsia"/>
          <w:highlight w:val="none"/>
        </w:rPr>
        <w:t>系统支持自定义评分规则及多级评分机制，用于评估路径操作，并基于规则对医生路径使用质量进行监控，生成医生综合评分、单病种得分及分管患者得分明细表。</w:t>
      </w:r>
    </w:p>
    <w:p w14:paraId="016720C5">
      <w:pPr>
        <w:pStyle w:val="6"/>
        <w:rPr>
          <w:rFonts w:hint="eastAsia"/>
          <w:highlight w:val="none"/>
        </w:rPr>
      </w:pPr>
      <w:bookmarkStart w:id="82" w:name="_Toc346540241"/>
      <w:bookmarkStart w:id="83" w:name="_Toc65597591"/>
      <w:bookmarkStart w:id="84" w:name="_Toc66262618"/>
      <w:bookmarkStart w:id="85" w:name="_Toc34755179"/>
      <w:bookmarkStart w:id="86" w:name="_Toc97708872"/>
      <w:r>
        <w:rPr>
          <w:rFonts w:hint="eastAsia"/>
          <w:highlight w:val="none"/>
        </w:rPr>
        <w:t>统计</w:t>
      </w:r>
      <w:bookmarkEnd w:id="82"/>
      <w:r>
        <w:rPr>
          <w:rFonts w:hint="eastAsia"/>
          <w:highlight w:val="none"/>
        </w:rPr>
        <w:t>分析</w:t>
      </w:r>
      <w:bookmarkEnd w:id="83"/>
      <w:bookmarkEnd w:id="84"/>
      <w:bookmarkEnd w:id="85"/>
      <w:bookmarkEnd w:id="86"/>
    </w:p>
    <w:p w14:paraId="1750B73B">
      <w:pPr>
        <w:pStyle w:val="12"/>
        <w:shd w:val="clear" w:color="auto" w:fill="auto"/>
        <w:ind w:firstLine="480"/>
        <w:rPr>
          <w:rFonts w:hint="eastAsia"/>
          <w:highlight w:val="none"/>
        </w:rPr>
      </w:pPr>
      <w:r>
        <w:rPr>
          <w:rFonts w:hint="eastAsia"/>
          <w:highlight w:val="none"/>
        </w:rPr>
        <w:t>系统支持统一路径的四项关键指标（如平均费用、执行情况、平均住院日及变异原因）的图形化展示，直观呈现执行状况；支持各科室路径执行情况的整体横向汇总与分析；支持关键指标的跨科室趋势对比，并以图表形式展示；支持统计结果追溯至个人；同时满足国家上报所需的各类统计表单生成。</w:t>
      </w:r>
    </w:p>
    <w:bookmarkEnd w:id="74"/>
    <w:p w14:paraId="21B7AC7E">
      <w:pPr>
        <w:pStyle w:val="5"/>
        <w:rPr>
          <w:rFonts w:hint="eastAsia"/>
          <w:highlight w:val="none"/>
        </w:rPr>
      </w:pPr>
      <w:r>
        <w:rPr>
          <w:rFonts w:hint="eastAsia"/>
          <w:highlight w:val="none"/>
        </w:rPr>
        <w:t>护理业务</w:t>
      </w:r>
    </w:p>
    <w:p w14:paraId="570F8001">
      <w:pPr>
        <w:pStyle w:val="6"/>
        <w:rPr>
          <w:rFonts w:hint="eastAsia"/>
          <w:highlight w:val="none"/>
        </w:rPr>
      </w:pPr>
      <w:r>
        <w:rPr>
          <w:rFonts w:hint="eastAsia"/>
          <w:highlight w:val="none"/>
        </w:rPr>
        <w:t>护理计划</w:t>
      </w:r>
    </w:p>
    <w:p w14:paraId="5AC7A8E7">
      <w:pPr>
        <w:pStyle w:val="12"/>
        <w:shd w:val="clear" w:color="auto" w:fill="auto"/>
        <w:ind w:firstLine="480"/>
        <w:rPr>
          <w:rFonts w:hint="eastAsia"/>
          <w:highlight w:val="none"/>
        </w:rPr>
      </w:pPr>
      <w:r>
        <w:rPr>
          <w:rFonts w:hint="eastAsia"/>
          <w:highlight w:val="none"/>
        </w:rPr>
        <w:t>系统支持护理循证思维和医院临床业务知识积累，基于患者生命体征或护理评估结果，自动产生护理诊断，推导护理计划，监督护理执行，实现目标评价，完成对护理计划全闭环管理。包含护理计划知识库、患者护理诊断管理、患者护理计划管理、患者护理措施管理、患者目标评价管理、无纸化支持、EMR系统智能支持。</w:t>
      </w:r>
    </w:p>
    <w:p w14:paraId="61D4C6D9">
      <w:pPr>
        <w:pStyle w:val="12"/>
        <w:shd w:val="clear" w:color="auto" w:fill="auto"/>
        <w:ind w:firstLine="480"/>
        <w:rPr>
          <w:rFonts w:hint="eastAsia"/>
          <w:highlight w:val="none"/>
        </w:rPr>
      </w:pPr>
      <w:r>
        <w:rPr>
          <w:rFonts w:hint="eastAsia"/>
          <w:highlight w:val="none"/>
        </w:rPr>
        <w:t>▲系统支持基于患者护理评估结果，自动产生护理诊断，推导护理计划，监督护理执行，实现目标评价，完成对护理计划全闭环管理。</w:t>
      </w:r>
    </w:p>
    <w:p w14:paraId="00F97B4D">
      <w:pPr>
        <w:pStyle w:val="7"/>
        <w:rPr>
          <w:rFonts w:hint="eastAsia"/>
          <w:highlight w:val="none"/>
        </w:rPr>
      </w:pPr>
      <w:bookmarkStart w:id="87" w:name="_Toc197780157"/>
      <w:r>
        <w:rPr>
          <w:rFonts w:hint="eastAsia"/>
          <w:highlight w:val="none"/>
        </w:rPr>
        <w:t>护理计划知识库</w:t>
      </w:r>
      <w:bookmarkEnd w:id="87"/>
    </w:p>
    <w:p w14:paraId="25426924">
      <w:pPr>
        <w:pStyle w:val="12"/>
        <w:shd w:val="clear" w:color="auto" w:fill="auto"/>
        <w:ind w:firstLine="480"/>
        <w:rPr>
          <w:rFonts w:hint="eastAsia"/>
          <w:highlight w:val="none"/>
        </w:rPr>
      </w:pPr>
      <w:r>
        <w:rPr>
          <w:rFonts w:hint="eastAsia"/>
          <w:highlight w:val="none"/>
        </w:rPr>
        <w:t>护理计划知识库支持制定过程中的数据匹配，自动推荐适宜的护理诊断，并支持按科室维护护理计划组套及用户自定义完善。</w:t>
      </w:r>
    </w:p>
    <w:p w14:paraId="3965DAB2">
      <w:pPr>
        <w:pStyle w:val="12"/>
        <w:shd w:val="clear" w:color="auto" w:fill="auto"/>
        <w:ind w:firstLine="480"/>
        <w:rPr>
          <w:rFonts w:hint="eastAsia"/>
          <w:highlight w:val="none"/>
        </w:rPr>
      </w:pPr>
      <w:r>
        <w:rPr>
          <w:rFonts w:hint="eastAsia"/>
          <w:highlight w:val="none"/>
        </w:rPr>
        <w:t>系统具备护理评估与诊断映射、诊断术语、标准诊断库、诊断分组、诊断与相关因素、措施、预期目标关系的维护功能。</w:t>
      </w:r>
    </w:p>
    <w:p w14:paraId="35A317AD">
      <w:pPr>
        <w:pStyle w:val="12"/>
        <w:shd w:val="clear" w:color="auto" w:fill="auto"/>
        <w:ind w:firstLine="480"/>
        <w:rPr>
          <w:rFonts w:hint="eastAsia"/>
          <w:highlight w:val="none"/>
        </w:rPr>
      </w:pPr>
      <w:r>
        <w:rPr>
          <w:rFonts w:hint="eastAsia"/>
          <w:highlight w:val="none"/>
        </w:rPr>
        <w:t>相关因素、护理措施、预期目标均应有标准化结构和术语定义。</w:t>
      </w:r>
    </w:p>
    <w:p w14:paraId="023EFFC5">
      <w:pPr>
        <w:pStyle w:val="12"/>
        <w:shd w:val="clear" w:color="auto" w:fill="auto"/>
        <w:ind w:firstLine="480"/>
        <w:rPr>
          <w:rFonts w:hint="eastAsia"/>
          <w:highlight w:val="none"/>
        </w:rPr>
      </w:pPr>
      <w:r>
        <w:rPr>
          <w:rFonts w:hint="eastAsia"/>
          <w:highlight w:val="none"/>
        </w:rPr>
        <w:t>支持科室根据病情或事件划分个性化护理计划组套。</w:t>
      </w:r>
    </w:p>
    <w:p w14:paraId="597B3350">
      <w:pPr>
        <w:pStyle w:val="12"/>
        <w:shd w:val="clear" w:color="auto" w:fill="auto"/>
        <w:ind w:firstLine="480"/>
        <w:rPr>
          <w:rFonts w:hint="eastAsia"/>
          <w:highlight w:val="none"/>
        </w:rPr>
      </w:pPr>
      <w:r>
        <w:rPr>
          <w:rFonts w:hint="eastAsia"/>
          <w:highlight w:val="none"/>
        </w:rPr>
        <w:t>规则引擎应支持评估、生命体征与诊断间的逻辑运算，涵盖常见风险评估与诊断关联，支持重复诊断处理、相似诊断互斥管理，并可动态提示或更新护理问题，实现持续性计划跟踪。</w:t>
      </w:r>
    </w:p>
    <w:p w14:paraId="1D8CB658">
      <w:pPr>
        <w:pStyle w:val="7"/>
        <w:rPr>
          <w:rFonts w:hint="eastAsia"/>
          <w:highlight w:val="none"/>
        </w:rPr>
      </w:pPr>
      <w:bookmarkStart w:id="88" w:name="_Toc197780164"/>
      <w:r>
        <w:rPr>
          <w:rFonts w:hint="eastAsia"/>
          <w:highlight w:val="none"/>
        </w:rPr>
        <w:t>患者护理诊断管理</w:t>
      </w:r>
      <w:bookmarkEnd w:id="88"/>
    </w:p>
    <w:p w14:paraId="29A946B2">
      <w:pPr>
        <w:pStyle w:val="12"/>
        <w:shd w:val="clear" w:color="auto" w:fill="auto"/>
        <w:ind w:firstLine="480"/>
        <w:rPr>
          <w:rFonts w:hint="eastAsia"/>
          <w:highlight w:val="none"/>
        </w:rPr>
      </w:pPr>
      <w:r>
        <w:rPr>
          <w:rFonts w:hint="eastAsia"/>
          <w:highlight w:val="none"/>
        </w:rPr>
        <w:t>患者护理诊断管理支持基于评估结果或生命体征异常自动推荐护理诊断，护士可确认或手动添加诊断。系统记录诊断的创建人、时间及状态，并提供患者住院期间全部护理诊断的历史追溯，包括诊断来源、相关因素、开立与结束信息等。对于未完成计划的诊断，系统统一纳入待诊断列表管理，便于后续继续创建或根据实际情况删除。</w:t>
      </w:r>
    </w:p>
    <w:p w14:paraId="647F886E">
      <w:pPr>
        <w:pStyle w:val="7"/>
        <w:rPr>
          <w:rFonts w:hint="eastAsia"/>
          <w:highlight w:val="none"/>
        </w:rPr>
      </w:pPr>
      <w:bookmarkStart w:id="89" w:name="_Toc197780168"/>
      <w:r>
        <w:rPr>
          <w:rFonts w:hint="eastAsia"/>
          <w:highlight w:val="none"/>
        </w:rPr>
        <w:t>患者护理计划管理</w:t>
      </w:r>
      <w:bookmarkEnd w:id="89"/>
    </w:p>
    <w:p w14:paraId="63624743">
      <w:pPr>
        <w:pStyle w:val="12"/>
        <w:shd w:val="clear" w:color="auto" w:fill="auto"/>
        <w:ind w:firstLine="480"/>
        <w:rPr>
          <w:rFonts w:hint="eastAsia"/>
          <w:highlight w:val="none"/>
        </w:rPr>
      </w:pPr>
      <w:r>
        <w:rPr>
          <w:rFonts w:hint="eastAsia"/>
          <w:highlight w:val="none"/>
        </w:rPr>
        <w:t>患者护理计划管理用于制定和跟踪护理计划。系统根据患者护理问题自动生成护理诊断、匹配护理措施及预期目标，并支持护士根据实际情况调整。支持查看和追踪护理计划执行情况。</w:t>
      </w:r>
    </w:p>
    <w:p w14:paraId="4074846D">
      <w:pPr>
        <w:pStyle w:val="12"/>
        <w:shd w:val="clear" w:color="auto" w:fill="auto"/>
        <w:ind w:firstLine="480"/>
        <w:rPr>
          <w:rFonts w:hint="eastAsia"/>
          <w:highlight w:val="none"/>
        </w:rPr>
      </w:pPr>
      <w:r>
        <w:rPr>
          <w:rFonts w:hint="eastAsia"/>
          <w:highlight w:val="none"/>
        </w:rPr>
        <w:t>护理计划创建：系统基于知识库自动生成诊断与建议措施，护士可增改或删除措施；自动生成预期目标并支持护士维护，完成计划创建。</w:t>
      </w:r>
    </w:p>
    <w:p w14:paraId="05F31968">
      <w:pPr>
        <w:pStyle w:val="12"/>
        <w:shd w:val="clear" w:color="auto" w:fill="auto"/>
        <w:ind w:firstLine="480"/>
        <w:rPr>
          <w:rFonts w:hint="eastAsia"/>
          <w:highlight w:val="none"/>
        </w:rPr>
      </w:pPr>
      <w:r>
        <w:rPr>
          <w:rFonts w:hint="eastAsia"/>
          <w:highlight w:val="none"/>
        </w:rPr>
        <w:t>护理计划追踪：系统显示患者当前的护理问题、措施执行情况、目标评价及计划状态，支持查询历史记录和执行清单，并允许对未执行的措施或目标进行变更，提升计划灵活性。</w:t>
      </w:r>
    </w:p>
    <w:p w14:paraId="7A3308DB">
      <w:pPr>
        <w:pStyle w:val="7"/>
        <w:rPr>
          <w:rFonts w:hint="eastAsia"/>
          <w:highlight w:val="none"/>
        </w:rPr>
      </w:pPr>
      <w:bookmarkStart w:id="90" w:name="_Toc197780171"/>
      <w:r>
        <w:rPr>
          <w:rFonts w:hint="eastAsia"/>
          <w:highlight w:val="none"/>
        </w:rPr>
        <w:t>患者护理措施管理</w:t>
      </w:r>
      <w:bookmarkEnd w:id="90"/>
    </w:p>
    <w:p w14:paraId="716F74CD">
      <w:pPr>
        <w:pStyle w:val="12"/>
        <w:shd w:val="clear" w:color="auto" w:fill="auto"/>
        <w:ind w:firstLine="480"/>
        <w:rPr>
          <w:rFonts w:hint="eastAsia"/>
          <w:highlight w:val="none"/>
        </w:rPr>
      </w:pPr>
      <w:r>
        <w:rPr>
          <w:rFonts w:hint="eastAsia"/>
          <w:highlight w:val="none"/>
        </w:rPr>
        <w:t>系统提供护理措施的跟踪管理功能，支持规则校验、执行情况查看及电脑端执行与批量操作。可按护理诊断或措施一览表浏览患者待执行措施。支持设置护理措施必选项目的校验规则。执行时可记录时间、执行人及执行次数，支持批量执行和取消已执行措施。</w:t>
      </w:r>
    </w:p>
    <w:p w14:paraId="48F827E4">
      <w:pPr>
        <w:pStyle w:val="7"/>
        <w:rPr>
          <w:rFonts w:hint="eastAsia"/>
          <w:highlight w:val="none"/>
        </w:rPr>
      </w:pPr>
      <w:bookmarkStart w:id="91" w:name="_Toc197780175"/>
      <w:r>
        <w:rPr>
          <w:rFonts w:hint="eastAsia"/>
          <w:highlight w:val="none"/>
        </w:rPr>
        <w:t>护理目标评价管理</w:t>
      </w:r>
      <w:bookmarkEnd w:id="91"/>
    </w:p>
    <w:p w14:paraId="4286BE1D">
      <w:pPr>
        <w:pStyle w:val="12"/>
        <w:shd w:val="clear" w:color="auto" w:fill="auto"/>
        <w:ind w:firstLine="480"/>
        <w:rPr>
          <w:rFonts w:hint="eastAsia"/>
          <w:highlight w:val="none"/>
        </w:rPr>
      </w:pPr>
      <w:r>
        <w:rPr>
          <w:rFonts w:hint="eastAsia"/>
          <w:highlight w:val="none"/>
        </w:rPr>
        <w:t>护理目标评价用于评估患者预期目标的达成情况，支持护士在护理措施完成后判断目标是否实现，并决定是否调整或结束护理计划。系统支持按护理诊断查看待评价目标，或通过目标一览表统一展示。护士可进行单个或批量评价，记录评价时间、评价人及结果，并可取消已评价目标。系统还支持根据评价结果终止诊断计划，并录入评价原因。</w:t>
      </w:r>
    </w:p>
    <w:p w14:paraId="3F502EDA">
      <w:pPr>
        <w:pStyle w:val="7"/>
        <w:rPr>
          <w:rFonts w:hint="eastAsia"/>
          <w:highlight w:val="none"/>
        </w:rPr>
      </w:pPr>
      <w:bookmarkStart w:id="92" w:name="_Toc197780179"/>
      <w:r>
        <w:rPr>
          <w:rFonts w:hint="eastAsia"/>
          <w:highlight w:val="none"/>
        </w:rPr>
        <w:t>无纸化支持</w:t>
      </w:r>
      <w:bookmarkEnd w:id="92"/>
    </w:p>
    <w:p w14:paraId="18480983">
      <w:pPr>
        <w:pStyle w:val="12"/>
        <w:shd w:val="clear" w:color="auto" w:fill="auto"/>
        <w:ind w:firstLine="480"/>
        <w:rPr>
          <w:rFonts w:hint="eastAsia"/>
          <w:highlight w:val="none"/>
        </w:rPr>
      </w:pPr>
      <w:r>
        <w:rPr>
          <w:rFonts w:hint="eastAsia"/>
          <w:highlight w:val="none"/>
        </w:rPr>
        <w:t>系统支持护理计划制定与执行后，自动生成并展示患者的护理计划单和记录单，实现无纸化归档。</w:t>
      </w:r>
    </w:p>
    <w:p w14:paraId="46F34C51">
      <w:pPr>
        <w:pStyle w:val="7"/>
        <w:rPr>
          <w:rFonts w:hint="eastAsia"/>
          <w:highlight w:val="none"/>
        </w:rPr>
      </w:pPr>
      <w:bookmarkStart w:id="93" w:name="_Toc197780182"/>
      <w:r>
        <w:rPr>
          <w:rFonts w:hint="eastAsia"/>
          <w:highlight w:val="none"/>
        </w:rPr>
        <w:t>EMR系统智能支持</w:t>
      </w:r>
      <w:bookmarkEnd w:id="93"/>
    </w:p>
    <w:p w14:paraId="239503D3">
      <w:pPr>
        <w:pStyle w:val="12"/>
        <w:shd w:val="clear" w:color="auto" w:fill="auto"/>
        <w:ind w:firstLine="480"/>
        <w:rPr>
          <w:rFonts w:hint="eastAsia"/>
          <w:highlight w:val="none"/>
        </w:rPr>
      </w:pPr>
      <w:r>
        <w:rPr>
          <w:rFonts w:hint="eastAsia"/>
          <w:highlight w:val="none"/>
        </w:rPr>
        <w:t>系统支持与EMR对接，基于体温单、护理记录单的体征数据及护理评估单的评估结果，自动生成护理诊断与护理计划，并支持护理措施执行记录和预期目标评价记录的自动引用与生成。</w:t>
      </w:r>
    </w:p>
    <w:p w14:paraId="13867BEA">
      <w:pPr>
        <w:pStyle w:val="6"/>
        <w:rPr>
          <w:rFonts w:hint="eastAsia"/>
          <w:highlight w:val="none"/>
        </w:rPr>
      </w:pPr>
      <w:r>
        <w:rPr>
          <w:rFonts w:hint="eastAsia"/>
          <w:highlight w:val="none"/>
        </w:rPr>
        <w:t>护理病历</w:t>
      </w:r>
    </w:p>
    <w:p w14:paraId="26F3AC58">
      <w:pPr>
        <w:pStyle w:val="12"/>
        <w:shd w:val="clear" w:color="auto" w:fill="auto"/>
        <w:ind w:firstLine="480"/>
        <w:rPr>
          <w:rFonts w:hint="eastAsia"/>
          <w:highlight w:val="none"/>
        </w:rPr>
      </w:pPr>
      <w:r>
        <w:rPr>
          <w:rFonts w:hint="eastAsia"/>
          <w:highlight w:val="none"/>
        </w:rPr>
        <w:t>护理病历系统主要帮助医院实现护理病历信息化应用，支持对患者数据进行结构化、一元化管理，支持智能评估管理，支持评估风险预警。系统功能包括模板配置、权限配置、患者信息一览、一元化护理病历、护理评估等。</w:t>
      </w:r>
    </w:p>
    <w:p w14:paraId="43C2AD26">
      <w:pPr>
        <w:pStyle w:val="7"/>
        <w:rPr>
          <w:rFonts w:hint="eastAsia"/>
          <w:highlight w:val="none"/>
        </w:rPr>
      </w:pPr>
      <w:bookmarkStart w:id="94" w:name="_Toc197780120"/>
      <w:r>
        <w:rPr>
          <w:rFonts w:hint="eastAsia"/>
          <w:highlight w:val="none"/>
        </w:rPr>
        <w:t>模板管理</w:t>
      </w:r>
      <w:bookmarkEnd w:id="94"/>
    </w:p>
    <w:p w14:paraId="4C550919">
      <w:pPr>
        <w:pStyle w:val="12"/>
        <w:shd w:val="clear" w:color="auto" w:fill="auto"/>
        <w:ind w:firstLine="480"/>
        <w:rPr>
          <w:rFonts w:hint="eastAsia"/>
          <w:highlight w:val="none"/>
        </w:rPr>
      </w:pPr>
      <w:r>
        <w:rPr>
          <w:rFonts w:hint="eastAsia"/>
          <w:highlight w:val="none"/>
        </w:rPr>
        <w:t>模板配置用于管理护理病历模板，支持模板元素与样式的设置，按科室分配模板，实现科室定制化管理。系统通过病历元素实现数据的结构化存储、多元录入和统一管理；支持按纸质病历样式自定义和可视化维护模板，可配置元素、元素组及区域；并可将模板分配至指定科室，供护理人员使用。</w:t>
      </w:r>
    </w:p>
    <w:p w14:paraId="57789718">
      <w:pPr>
        <w:pStyle w:val="7"/>
        <w:rPr>
          <w:rFonts w:hint="eastAsia"/>
          <w:highlight w:val="none"/>
        </w:rPr>
      </w:pPr>
      <w:bookmarkStart w:id="95" w:name="_Toc197780124"/>
      <w:r>
        <w:rPr>
          <w:rFonts w:hint="eastAsia"/>
          <w:highlight w:val="none"/>
        </w:rPr>
        <w:t>权限管理</w:t>
      </w:r>
      <w:bookmarkEnd w:id="95"/>
    </w:p>
    <w:p w14:paraId="72158A2E">
      <w:pPr>
        <w:pStyle w:val="12"/>
        <w:shd w:val="clear" w:color="auto" w:fill="auto"/>
        <w:ind w:firstLine="480"/>
        <w:rPr>
          <w:rFonts w:hint="eastAsia"/>
          <w:highlight w:val="none"/>
        </w:rPr>
      </w:pPr>
      <w:r>
        <w:rPr>
          <w:rFonts w:hint="eastAsia"/>
          <w:highlight w:val="none"/>
        </w:rPr>
        <w:t>权限配置用于管理人员对护理病历的操作权限，支持按角色分配权限及维护护士电子签名。系统支持人员赋角色、角色权限维护，并实现与CA系统对接，进行手写签名验证。</w:t>
      </w:r>
    </w:p>
    <w:p w14:paraId="5EF9E4EA">
      <w:pPr>
        <w:pStyle w:val="7"/>
        <w:rPr>
          <w:rFonts w:hint="eastAsia"/>
          <w:highlight w:val="none"/>
        </w:rPr>
      </w:pPr>
      <w:bookmarkStart w:id="96" w:name="_Toc197780128"/>
      <w:r>
        <w:rPr>
          <w:rFonts w:hint="eastAsia"/>
          <w:highlight w:val="none"/>
        </w:rPr>
        <w:t>临床护理门户</w:t>
      </w:r>
      <w:bookmarkEnd w:id="96"/>
    </w:p>
    <w:p w14:paraId="19282F18">
      <w:pPr>
        <w:pStyle w:val="12"/>
        <w:shd w:val="clear" w:color="auto" w:fill="auto"/>
        <w:ind w:firstLine="480"/>
        <w:rPr>
          <w:rFonts w:hint="eastAsia"/>
          <w:highlight w:val="none"/>
        </w:rPr>
      </w:pPr>
      <w:r>
        <w:rPr>
          <w:rFonts w:hint="eastAsia"/>
          <w:highlight w:val="none"/>
        </w:rPr>
        <w:t>临床护理门户支持病区患者实时状态管理，实现患者信息采集与整体监控，并提供快速病历录入功能。主要功能包括在院、出院、转出及授权患者的分类展示，以及生命体征的高效录入与管理。</w:t>
      </w:r>
    </w:p>
    <w:p w14:paraId="1ACFE085">
      <w:pPr>
        <w:pStyle w:val="12"/>
        <w:shd w:val="clear" w:color="auto" w:fill="auto"/>
        <w:ind w:firstLine="480"/>
        <w:rPr>
          <w:rFonts w:hint="eastAsia"/>
          <w:highlight w:val="none"/>
        </w:rPr>
      </w:pPr>
      <w:r>
        <w:rPr>
          <w:rFonts w:hint="eastAsia"/>
          <w:highlight w:val="none"/>
        </w:rPr>
        <w:t>系统提供在院患者全卡、简卡、列表三种视图，支持母子卡合并显示；可标注关注患者，并按护理等级、病情状态（如病危、手术、过敏等）及各类风险（压疮、跌倒、血栓等）智能标识并筛选，风险提示基于评估结果自动更新；卡片需显示病历号、姓名、诊断、护理等级等关键信息，支持查看联系方式、责任护士等详情，并具备欠费标识、责任组筛选和精确查找功能。</w:t>
      </w:r>
    </w:p>
    <w:p w14:paraId="11476727">
      <w:pPr>
        <w:pStyle w:val="12"/>
        <w:shd w:val="clear" w:color="auto" w:fill="auto"/>
        <w:ind w:firstLine="480"/>
        <w:rPr>
          <w:rFonts w:hint="eastAsia"/>
          <w:highlight w:val="none"/>
        </w:rPr>
      </w:pPr>
      <w:r>
        <w:rPr>
          <w:rFonts w:hint="eastAsia"/>
          <w:highlight w:val="none"/>
        </w:rPr>
        <w:t>出院患者、转出患者及授权患者均以列表形式展示，支持按住院号、床号、姓名精准定位，并依出院/转科时间、医生、护士、归档状态等条件筛选。出院与转出列表需包含基本信息及诊疗归属信息，支持护理病历提交与撤销。</w:t>
      </w:r>
    </w:p>
    <w:p w14:paraId="47DC933E">
      <w:pPr>
        <w:pStyle w:val="12"/>
        <w:shd w:val="clear" w:color="auto" w:fill="auto"/>
        <w:ind w:firstLine="480"/>
        <w:rPr>
          <w:rFonts w:hint="eastAsia"/>
          <w:highlight w:val="none"/>
        </w:rPr>
      </w:pPr>
      <w:r>
        <w:rPr>
          <w:rFonts w:hint="eastAsia"/>
          <w:highlight w:val="none"/>
        </w:rPr>
        <w:t>系统支持多患者生命体征及体温单批量录入，提供单患者快速录入入口，并集成体温待测提醒功能。支持预设测量规则并本地化配置，自动提示待测患者，生成待测清单并与移动护理系统共享。同时支持对体温、血压、脉搏、呼吸等体征设置上下限阈值，实现体征规则化管理。</w:t>
      </w:r>
    </w:p>
    <w:p w14:paraId="05D9A34C">
      <w:pPr>
        <w:pStyle w:val="7"/>
        <w:rPr>
          <w:rFonts w:hint="eastAsia"/>
          <w:highlight w:val="none"/>
        </w:rPr>
      </w:pPr>
      <w:bookmarkStart w:id="97" w:name="_Toc197780136"/>
      <w:r>
        <w:rPr>
          <w:rFonts w:hint="eastAsia"/>
          <w:highlight w:val="none"/>
        </w:rPr>
        <w:t>一元化护理病历</w:t>
      </w:r>
      <w:bookmarkEnd w:id="97"/>
    </w:p>
    <w:p w14:paraId="2AB2FDE2">
      <w:pPr>
        <w:pStyle w:val="12"/>
        <w:shd w:val="clear" w:color="auto" w:fill="auto"/>
        <w:ind w:firstLine="480"/>
        <w:rPr>
          <w:rFonts w:hint="eastAsia"/>
          <w:highlight w:val="none"/>
        </w:rPr>
      </w:pPr>
      <w:r>
        <w:rPr>
          <w:rFonts w:hint="eastAsia"/>
          <w:highlight w:val="none"/>
        </w:rPr>
        <w:t>一元化护理病历实现结构化、标准化管理，支持结构化选择与自由文本结合录入，并按医院需求定制专科模板。依托护理术语标准，辅助生成病历。系统功能包括：集成式护理工作台、体温单与婴儿体温单管理、护理记录单、智能化文书引擎、入院评估、血糖单、产程图、告知书、其他护理文书、医生病历查看、检验检查结果查看、病历授权与提交等。</w:t>
      </w:r>
    </w:p>
    <w:p w14:paraId="4F7570B5">
      <w:pPr>
        <w:pStyle w:val="12"/>
        <w:shd w:val="clear" w:color="auto" w:fill="auto"/>
        <w:ind w:firstLine="480"/>
        <w:rPr>
          <w:rFonts w:hint="eastAsia"/>
          <w:highlight w:val="none"/>
        </w:rPr>
      </w:pPr>
      <w:r>
        <w:rPr>
          <w:rFonts w:hint="eastAsia"/>
          <w:highlight w:val="none"/>
        </w:rPr>
        <w:t>集成工作台支持查看患者基本信息、费用、身高体重BMI、风险标识及过敏史（医护共享），支持快速切换患者和树形展示住院病历，可按习惯自定义显示。体温单支持样式设置、数据自动提取、生命体征录入与曲线绘制，提供多种显示及打印模式，并开放数据接口供外部系统读写。婴儿体温单支持模板维护与书写。护理记录单支持自定义格式、结构化录入，可插入评估、措施、医嘱、危急值等，支持历史追溯、与体温单数据同步、跨表出入量汇总，支持组套保存、CA签名、护士长审核及多种打印方式，并提供数据接口。智能化引擎实现文书间数据共享，支持自然语言生成、自动引用内容、评估结论、护理措施、目标评价及医嘱执行的智能生成。入院评估单、血糖单、产程图、告知书及其他护理文书均支持录入、显示、签名与打印，告知书可插入过敏史。支持在系统内查看医生病历及检验检查结果（含影像报告）。支持病历授权给治疗科室护士书写，并支持提交后不可修改的归档管理。</w:t>
      </w:r>
    </w:p>
    <w:p w14:paraId="6EB819EE">
      <w:pPr>
        <w:pStyle w:val="7"/>
        <w:rPr>
          <w:rFonts w:hint="eastAsia"/>
          <w:highlight w:val="none"/>
        </w:rPr>
      </w:pPr>
      <w:bookmarkStart w:id="98" w:name="_Toc197780151"/>
      <w:r>
        <w:rPr>
          <w:rFonts w:hint="eastAsia"/>
          <w:highlight w:val="none"/>
        </w:rPr>
        <w:t>护理评估管理</w:t>
      </w:r>
      <w:bookmarkEnd w:id="98"/>
    </w:p>
    <w:p w14:paraId="42C78FB9">
      <w:pPr>
        <w:pStyle w:val="12"/>
        <w:shd w:val="clear" w:color="auto" w:fill="auto"/>
        <w:ind w:firstLine="480"/>
        <w:rPr>
          <w:rFonts w:hint="eastAsia"/>
          <w:highlight w:val="none"/>
        </w:rPr>
      </w:pPr>
      <w:r>
        <w:rPr>
          <w:rFonts w:hint="eastAsia"/>
          <w:highlight w:val="none"/>
        </w:rPr>
        <w:t>护理评估管理支持场景化评估、实时监控与风险预警，根据患者年龄自动推送适配的评估工具，涵盖评估管理、量表分析、知识库及任务引擎。系统支持入院、日常、出院等各类评估，按年龄自动分配量表，实现评估套餐化管理，统一多系统评估规则，取代分散填表模式，自动生成风险标识，并支持历史追溯、未完成提醒及评估续填。提供外部系统接口，用于评估数据录入、结果查询和风险信息调用。量表分析支持Barthel指数、Morse、HumptyDumpty、FLACC、CRIES等表格展示与定制打印。知识库需包含2000项以上标准化术语、专科评估模型（如疼痛、营养、功能等）及标准工具（如NRS2002）。评估任务引擎依据结果动态生成并更新定时评估任务，实现智能化管理。</w:t>
      </w:r>
    </w:p>
    <w:p w14:paraId="48DF00C8">
      <w:pPr>
        <w:pStyle w:val="6"/>
        <w:rPr>
          <w:rFonts w:hint="eastAsia"/>
          <w:highlight w:val="none"/>
        </w:rPr>
      </w:pPr>
      <w:r>
        <w:rPr>
          <w:rFonts w:hint="eastAsia"/>
          <w:highlight w:val="none"/>
        </w:rPr>
        <w:t>移动护理</w:t>
      </w:r>
    </w:p>
    <w:p w14:paraId="7A49BE4E">
      <w:pPr>
        <w:pStyle w:val="12"/>
        <w:shd w:val="clear" w:color="auto" w:fill="auto"/>
        <w:ind w:firstLine="480"/>
        <w:rPr>
          <w:rFonts w:hint="eastAsia"/>
          <w:highlight w:val="none"/>
        </w:rPr>
      </w:pPr>
      <w:r>
        <w:rPr>
          <w:rFonts w:hint="eastAsia"/>
          <w:highlight w:val="none"/>
        </w:rPr>
        <w:t>移动护理工作站基于医院核心系统，支持医嘱全生命周期管理，满足护理人员实时获取患者信息、执行医嘱、记录护理、控制输液、沟通协作与知识获取的需求，同时支持管理者实时监管、决策与任务执行。主要功能包括权限、条码、患者、医嘱、皮试、体征、护理记录、配药、巡视、用血、手术交接、待办任务、查询、标本、关注患者、静配核收、体征待测及离线管理等。</w:t>
      </w:r>
    </w:p>
    <w:p w14:paraId="3DF94D99">
      <w:pPr>
        <w:pStyle w:val="7"/>
        <w:rPr>
          <w:rFonts w:hint="eastAsia"/>
          <w:highlight w:val="none"/>
        </w:rPr>
      </w:pPr>
      <w:bookmarkStart w:id="99" w:name="_Toc197780187"/>
      <w:r>
        <w:rPr>
          <w:rFonts w:hint="eastAsia"/>
          <w:highlight w:val="none"/>
        </w:rPr>
        <w:t>配置管理</w:t>
      </w:r>
      <w:bookmarkEnd w:id="99"/>
    </w:p>
    <w:p w14:paraId="3D7EB020">
      <w:pPr>
        <w:pStyle w:val="12"/>
        <w:shd w:val="clear" w:color="auto" w:fill="auto"/>
        <w:ind w:firstLine="480"/>
        <w:rPr>
          <w:rFonts w:hint="eastAsia"/>
          <w:highlight w:val="none"/>
        </w:rPr>
      </w:pPr>
      <w:r>
        <w:rPr>
          <w:rFonts w:hint="eastAsia"/>
          <w:highlight w:val="none"/>
        </w:rPr>
        <w:t>权限管理用于验证和切换护士登录权限，支持用户名、密码及权限与HIS系统同步，并按权限选择对应病区。条码管理支持护士自助打印用于扫码登录的二维码工牌。</w:t>
      </w:r>
    </w:p>
    <w:p w14:paraId="3DF814AE">
      <w:pPr>
        <w:pStyle w:val="7"/>
        <w:rPr>
          <w:rFonts w:hint="eastAsia"/>
          <w:highlight w:val="none"/>
        </w:rPr>
      </w:pPr>
      <w:bookmarkStart w:id="100" w:name="_Toc197780190"/>
      <w:r>
        <w:rPr>
          <w:rFonts w:hint="eastAsia"/>
          <w:highlight w:val="none"/>
        </w:rPr>
        <w:t>患者管理</w:t>
      </w:r>
      <w:bookmarkEnd w:id="100"/>
    </w:p>
    <w:p w14:paraId="444FC917">
      <w:pPr>
        <w:pStyle w:val="12"/>
        <w:shd w:val="clear" w:color="auto" w:fill="auto"/>
        <w:ind w:firstLine="480"/>
        <w:rPr>
          <w:rFonts w:hint="eastAsia"/>
          <w:highlight w:val="none"/>
        </w:rPr>
      </w:pPr>
      <w:r>
        <w:rPr>
          <w:rFonts w:hint="eastAsia"/>
          <w:highlight w:val="none"/>
        </w:rPr>
        <w:t>系统支持查看按护理组筛选的病区患者列表，护士可设置关注患者并据此筛选。列表显示患者姓名、性别、护理等级、状态（如新入、危重、手术、过敏、输液、输血、欠费等）、年龄、诊断和医保类型，并支持按基本信息筛选及扫描腕带快速定位患者。</w:t>
      </w:r>
    </w:p>
    <w:p w14:paraId="20BE8B8C">
      <w:pPr>
        <w:pStyle w:val="7"/>
        <w:rPr>
          <w:rFonts w:hint="eastAsia"/>
          <w:highlight w:val="none"/>
        </w:rPr>
      </w:pPr>
      <w:bookmarkStart w:id="101" w:name="_Toc197780193"/>
      <w:r>
        <w:rPr>
          <w:rFonts w:hint="eastAsia"/>
          <w:highlight w:val="none"/>
        </w:rPr>
        <w:t>患者流转</w:t>
      </w:r>
      <w:bookmarkEnd w:id="101"/>
    </w:p>
    <w:p w14:paraId="30FEFE46">
      <w:pPr>
        <w:pStyle w:val="12"/>
        <w:shd w:val="clear" w:color="auto" w:fill="auto"/>
        <w:ind w:firstLine="480"/>
        <w:rPr>
          <w:rFonts w:hint="eastAsia"/>
          <w:highlight w:val="none"/>
        </w:rPr>
      </w:pPr>
      <w:r>
        <w:rPr>
          <w:rFonts w:hint="eastAsia"/>
          <w:highlight w:val="none"/>
        </w:rPr>
        <w:t>系统支持手术患者流转管理，通过PDA完成每次交接时的身份核对及交接人、时间记录。从病区至手术室、复苏室，视病情转入ICU或直接返回病区，各环节均需按规范流程进行，确保信息准确记录与实时传递。</w:t>
      </w:r>
    </w:p>
    <w:p w14:paraId="0F44D09E">
      <w:pPr>
        <w:pStyle w:val="7"/>
        <w:rPr>
          <w:rFonts w:hint="eastAsia"/>
          <w:highlight w:val="none"/>
        </w:rPr>
      </w:pPr>
      <w:bookmarkStart w:id="102" w:name="_Toc197780195"/>
      <w:r>
        <w:rPr>
          <w:rFonts w:hint="eastAsia"/>
          <w:highlight w:val="none"/>
        </w:rPr>
        <w:t>医嘱标准化流程管理</w:t>
      </w:r>
      <w:bookmarkEnd w:id="102"/>
    </w:p>
    <w:p w14:paraId="1FFF0406">
      <w:pPr>
        <w:pStyle w:val="12"/>
        <w:shd w:val="clear" w:color="auto" w:fill="auto"/>
        <w:ind w:firstLine="480"/>
        <w:rPr>
          <w:rFonts w:hint="eastAsia"/>
          <w:highlight w:val="none"/>
        </w:rPr>
      </w:pPr>
      <w:r>
        <w:rPr>
          <w:rFonts w:hint="eastAsia"/>
          <w:highlight w:val="none"/>
        </w:rPr>
        <w:t>静配药品核收：系统支持病区接收静配中心配送的药品，护士通过系统核对药品名称、剂量、剂型等信息，确保与医嘱一致，并完成签收。</w:t>
      </w:r>
    </w:p>
    <w:p w14:paraId="66F1BF26">
      <w:pPr>
        <w:pStyle w:val="12"/>
        <w:shd w:val="clear" w:color="auto" w:fill="auto"/>
        <w:ind w:firstLine="480"/>
        <w:rPr>
          <w:rFonts w:hint="eastAsia"/>
          <w:highlight w:val="none"/>
        </w:rPr>
      </w:pPr>
      <w:r>
        <w:rPr>
          <w:rFonts w:hint="eastAsia"/>
          <w:highlight w:val="none"/>
        </w:rPr>
        <w:t>病区配药管理：系统支持治疗室配药全过程管理，涵盖摆药、核对、配置、复核四个环节，记录操作人及时间，数据实时同步至电脑端，便于查看配药明细。</w:t>
      </w:r>
    </w:p>
    <w:p w14:paraId="283E8A67">
      <w:pPr>
        <w:pStyle w:val="12"/>
        <w:shd w:val="clear" w:color="auto" w:fill="auto"/>
        <w:ind w:firstLine="480"/>
        <w:rPr>
          <w:rFonts w:hint="eastAsia"/>
          <w:highlight w:val="none"/>
        </w:rPr>
      </w:pPr>
      <w:r>
        <w:rPr>
          <w:rFonts w:hint="eastAsia"/>
          <w:highlight w:val="none"/>
        </w:rPr>
        <w:t>医嘱执行：系统实时同步HIS医嘱数据，按执行时间排序，支持长期和临时医嘱执行。护士扫描患者腕带和医嘱条码确认身份并执行，系统记录执行信息（医嘱名称、状态、执行人、时间等），高危药品执行时弹出颜色警示，支持执行记录同步至护理记录，可查询历史医嘱并按条件筛选，支持单/多路输注，错误操作可拦截警告。</w:t>
      </w:r>
    </w:p>
    <w:p w14:paraId="587A2D31">
      <w:pPr>
        <w:pStyle w:val="12"/>
        <w:shd w:val="clear" w:color="auto" w:fill="auto"/>
        <w:ind w:firstLine="480"/>
        <w:rPr>
          <w:rFonts w:hint="eastAsia"/>
          <w:highlight w:val="none"/>
        </w:rPr>
      </w:pPr>
      <w:r>
        <w:rPr>
          <w:rFonts w:hint="eastAsia"/>
          <w:highlight w:val="none"/>
        </w:rPr>
        <w:t>皮试管理：系统支持扫码执行皮试医嘱，设定结果查看提醒，PDA自动提醒到期查看，支持双签确认（特殊情况医生代签），皮试结果可回写HIS。</w:t>
      </w:r>
    </w:p>
    <w:p w14:paraId="73B6A3B0">
      <w:pPr>
        <w:pStyle w:val="12"/>
        <w:shd w:val="clear" w:color="auto" w:fill="auto"/>
        <w:ind w:firstLine="480"/>
        <w:rPr>
          <w:rFonts w:hint="eastAsia"/>
          <w:highlight w:val="none"/>
        </w:rPr>
      </w:pPr>
      <w:r>
        <w:rPr>
          <w:rFonts w:hint="eastAsia"/>
          <w:highlight w:val="none"/>
        </w:rPr>
        <w:t>巡回管理：系统支持常规巡视、输液巡视和病房整体巡视。扫描患者腕带或药品二维码，记录巡视时间、人员、患者状态、输液情况等信息，支持数据查看。</w:t>
      </w:r>
    </w:p>
    <w:p w14:paraId="1BF403D1">
      <w:pPr>
        <w:pStyle w:val="12"/>
        <w:shd w:val="clear" w:color="auto" w:fill="auto"/>
        <w:ind w:firstLine="480"/>
        <w:rPr>
          <w:rFonts w:hint="eastAsia"/>
          <w:highlight w:val="none"/>
        </w:rPr>
      </w:pPr>
      <w:r>
        <w:rPr>
          <w:rFonts w:hint="eastAsia"/>
          <w:highlight w:val="none"/>
        </w:rPr>
        <w:t>用血管理：系统支持扫描血袋条码完成签收，输血前扫码核对患者与血袋信息（血型、有效期等），按预设时间节点提醒各流程（如开始、巡视频次、结束等），实现全流程安全管控，用血信息同步至护理记录。</w:t>
      </w:r>
    </w:p>
    <w:p w14:paraId="6887CB66">
      <w:pPr>
        <w:pStyle w:val="12"/>
        <w:shd w:val="clear" w:color="auto" w:fill="auto"/>
        <w:ind w:firstLine="480"/>
        <w:rPr>
          <w:rFonts w:hint="eastAsia"/>
          <w:highlight w:val="none"/>
        </w:rPr>
      </w:pPr>
      <w:r>
        <w:rPr>
          <w:rFonts w:hint="eastAsia"/>
          <w:highlight w:val="none"/>
        </w:rPr>
        <w:t>标本交接：系统支持血液、尿便痰等标本交接，护士采集后扫描标本标签与接收方信息，快速完成交接确认。</w:t>
      </w:r>
    </w:p>
    <w:p w14:paraId="49639E09">
      <w:pPr>
        <w:pStyle w:val="7"/>
        <w:rPr>
          <w:rFonts w:hint="eastAsia"/>
          <w:highlight w:val="none"/>
        </w:rPr>
      </w:pPr>
      <w:bookmarkStart w:id="103" w:name="_Toc197780203"/>
      <w:r>
        <w:rPr>
          <w:rFonts w:hint="eastAsia"/>
          <w:highlight w:val="none"/>
        </w:rPr>
        <w:t>记录书写</w:t>
      </w:r>
      <w:bookmarkEnd w:id="103"/>
    </w:p>
    <w:p w14:paraId="110A5549">
      <w:pPr>
        <w:pStyle w:val="12"/>
        <w:shd w:val="clear" w:color="auto" w:fill="auto"/>
        <w:ind w:firstLine="480"/>
        <w:rPr>
          <w:rFonts w:hint="eastAsia"/>
          <w:highlight w:val="none"/>
        </w:rPr>
      </w:pPr>
      <w:r>
        <w:rPr>
          <w:rFonts w:hint="eastAsia"/>
          <w:highlight w:val="none"/>
        </w:rPr>
        <w:t>系统支持护士通过移动设备在床旁录入患者体温、呼吸、脉搏、血压等体征信息，数据实时同步至体温单并生成曲线；异常体征可触发护理诊断推送至电脑端。支持PDA进行床旁护理记录，信息实时更新至相应护理记录单，并同步生命体征至体温单，支持表单创建与随时查看。护士可查看并执行体征待测任务，选择患者及体征类型连续录入，结果自动同步。在网络不佳时支持离线采集和保存体征、评估及护理记录数据，待网络恢复后手动提交。</w:t>
      </w:r>
    </w:p>
    <w:p w14:paraId="21302F6A">
      <w:pPr>
        <w:pStyle w:val="7"/>
        <w:rPr>
          <w:rFonts w:hint="eastAsia"/>
          <w:highlight w:val="none"/>
        </w:rPr>
      </w:pPr>
      <w:bookmarkStart w:id="104" w:name="_Toc197780208"/>
      <w:r>
        <w:rPr>
          <w:rFonts w:hint="eastAsia"/>
          <w:highlight w:val="none"/>
        </w:rPr>
        <w:t>查询统计</w:t>
      </w:r>
      <w:bookmarkEnd w:id="104"/>
    </w:p>
    <w:p w14:paraId="1A33696A">
      <w:pPr>
        <w:pStyle w:val="12"/>
        <w:shd w:val="clear" w:color="auto" w:fill="auto"/>
        <w:ind w:firstLine="480"/>
        <w:rPr>
          <w:rFonts w:hint="eastAsia"/>
          <w:highlight w:val="none"/>
        </w:rPr>
      </w:pPr>
      <w:r>
        <w:rPr>
          <w:rFonts w:hint="eastAsia"/>
          <w:highlight w:val="none"/>
        </w:rPr>
        <w:t>系统支持病区护士查阅患者基本信息（如姓名、性别、年龄、入院日期、过敏药物）及费用信息，便于查询与结算。可查看患者在院期间的全部医嘱，按类别（长期、临时等）和状态过滤，并以颜色区分医嘱类型与状态。支持查询患者最新及历史检验结果，按时间筛选，显示异常项目数，异常项以标识突出。同时可查看患者检查报告，包括检查部位、结果及诊断结论。</w:t>
      </w:r>
    </w:p>
    <w:p w14:paraId="32F0EDBC">
      <w:pPr>
        <w:pStyle w:val="7"/>
        <w:rPr>
          <w:rFonts w:hint="eastAsia"/>
          <w:highlight w:val="none"/>
        </w:rPr>
      </w:pPr>
      <w:bookmarkStart w:id="105" w:name="_Toc197780213"/>
      <w:r>
        <w:rPr>
          <w:rFonts w:hint="eastAsia"/>
          <w:highlight w:val="none"/>
        </w:rPr>
        <w:t>任务管理</w:t>
      </w:r>
      <w:bookmarkEnd w:id="105"/>
    </w:p>
    <w:p w14:paraId="32F8F7C9">
      <w:pPr>
        <w:pStyle w:val="12"/>
        <w:shd w:val="clear" w:color="auto" w:fill="auto"/>
        <w:ind w:firstLine="480"/>
        <w:rPr>
          <w:rFonts w:hint="eastAsia"/>
          <w:highlight w:val="none"/>
        </w:rPr>
      </w:pPr>
      <w:r>
        <w:rPr>
          <w:rFonts w:hint="eastAsia"/>
          <w:highlight w:val="none"/>
        </w:rPr>
        <w:t>系统提供待办任务列表，提醒责任护士当日需关注的患者事项，如新医嘱、待诊断、未确认皮试结果、未完成输血及手术流转患者等，并支持从列表直接进入执行界面完成任务。</w:t>
      </w:r>
    </w:p>
    <w:p w14:paraId="6CFAE9D1">
      <w:pPr>
        <w:pStyle w:val="7"/>
        <w:rPr>
          <w:rFonts w:hint="eastAsia"/>
          <w:highlight w:val="none"/>
        </w:rPr>
      </w:pPr>
      <w:bookmarkStart w:id="106" w:name="_Toc197780215"/>
      <w:r>
        <w:rPr>
          <w:rFonts w:hint="eastAsia"/>
          <w:highlight w:val="none"/>
        </w:rPr>
        <w:t>报表查询</w:t>
      </w:r>
      <w:bookmarkEnd w:id="106"/>
    </w:p>
    <w:p w14:paraId="288F01B9">
      <w:pPr>
        <w:pStyle w:val="12"/>
        <w:shd w:val="clear" w:color="auto" w:fill="auto"/>
        <w:ind w:firstLine="480"/>
        <w:rPr>
          <w:rFonts w:hint="eastAsia"/>
          <w:highlight w:val="none"/>
        </w:rPr>
      </w:pPr>
      <w:r>
        <w:rPr>
          <w:rFonts w:hint="eastAsia"/>
          <w:highlight w:val="none"/>
        </w:rPr>
        <w:t>系统支持在电脑端查看护理执行明细、巡视报表及输血执行信息。</w:t>
      </w:r>
    </w:p>
    <w:p w14:paraId="5B923A91">
      <w:pPr>
        <w:pStyle w:val="5"/>
        <w:rPr>
          <w:rFonts w:hint="eastAsia"/>
          <w:highlight w:val="none"/>
        </w:rPr>
      </w:pPr>
      <w:r>
        <w:rPr>
          <w:rFonts w:hint="eastAsia"/>
          <w:highlight w:val="none"/>
        </w:rPr>
        <w:t>急诊医学信息管理系统</w:t>
      </w:r>
    </w:p>
    <w:p w14:paraId="547A8EF8">
      <w:pPr>
        <w:pStyle w:val="6"/>
        <w:rPr>
          <w:rFonts w:hint="eastAsia"/>
          <w:highlight w:val="none"/>
        </w:rPr>
      </w:pPr>
      <w:bookmarkStart w:id="107" w:name="_Toc190942294"/>
      <w:bookmarkStart w:id="108" w:name="_Toc26047"/>
      <w:bookmarkStart w:id="109" w:name="_Toc126572980"/>
      <w:bookmarkStart w:id="110" w:name="_Toc128142259"/>
      <w:bookmarkStart w:id="111" w:name="_Toc128145196"/>
      <w:r>
        <w:rPr>
          <w:rFonts w:hint="eastAsia"/>
          <w:highlight w:val="none"/>
        </w:rPr>
        <w:t>一体化工作台</w:t>
      </w:r>
      <w:bookmarkEnd w:id="107"/>
      <w:bookmarkEnd w:id="108"/>
    </w:p>
    <w:p w14:paraId="44ED3876">
      <w:pPr>
        <w:pStyle w:val="12"/>
        <w:shd w:val="clear" w:color="auto" w:fill="auto"/>
        <w:ind w:firstLine="480"/>
        <w:rPr>
          <w:rFonts w:hint="eastAsia"/>
          <w:highlight w:val="none"/>
        </w:rPr>
      </w:pPr>
      <w:r>
        <w:rPr>
          <w:rFonts w:hint="eastAsia"/>
          <w:highlight w:val="none"/>
        </w:rPr>
        <w:t>一体化工作台支持多院区科室/人员权限统一配置，跨院区查看留观/抢救床位状态，以及急诊患者流转信息（如足迹、生命体征、转接时间等）。</w:t>
      </w:r>
    </w:p>
    <w:p w14:paraId="25612A99">
      <w:pPr>
        <w:pStyle w:val="12"/>
        <w:shd w:val="clear" w:color="auto" w:fill="auto"/>
        <w:ind w:firstLine="480"/>
        <w:rPr>
          <w:rFonts w:hint="eastAsia"/>
          <w:highlight w:val="none"/>
        </w:rPr>
      </w:pPr>
      <w:r>
        <w:rPr>
          <w:rFonts w:hint="eastAsia"/>
          <w:highlight w:val="none"/>
        </w:rPr>
        <w:t>组织机构管理涵盖院区、科室、床位卡及诊疗区域配置。支持多院区独立管理；科室信息通过HIS同步或手动创建，维护编码、名称、类型等；床位卡适用于留观、抢救、EICU等区域，支持批量设置编号、所属区、显示顺序等；诊疗区域关联分诊去向和各类时效参数，如预检、挂号、召回时效及最大医嘱天数等。</w:t>
      </w:r>
    </w:p>
    <w:p w14:paraId="53C8D982">
      <w:pPr>
        <w:pStyle w:val="12"/>
        <w:shd w:val="clear" w:color="auto" w:fill="auto"/>
        <w:ind w:firstLine="480"/>
        <w:rPr>
          <w:rFonts w:hint="eastAsia"/>
          <w:highlight w:val="none"/>
        </w:rPr>
      </w:pPr>
      <w:r>
        <w:rPr>
          <w:rFonts w:hint="eastAsia"/>
          <w:highlight w:val="none"/>
        </w:rPr>
        <w:t>基础配置支持账号信息管理，同步人员编码、职务、职级，调整科室与角色以匹配权限需求，支持Key认证与电子签名；角色权限可动态调整，便于应对组织变动；系统菜单可通过父级分类、类型、排序等自定义界面布局；操作权限如护理文书删除、模板编辑、计费项目新建等与角色联动管理；字典项目可同步全院主数据或独立维护。</w:t>
      </w:r>
    </w:p>
    <w:p w14:paraId="690D681F">
      <w:pPr>
        <w:pStyle w:val="12"/>
        <w:shd w:val="clear" w:color="auto" w:fill="auto"/>
        <w:ind w:firstLine="480"/>
        <w:rPr>
          <w:rFonts w:hint="eastAsia"/>
          <w:highlight w:val="none"/>
        </w:rPr>
      </w:pPr>
      <w:r>
        <w:rPr>
          <w:rFonts w:hint="eastAsia"/>
          <w:highlight w:val="none"/>
        </w:rPr>
        <w:t>打印模板支持自定义腕带、输液卡、评估单等格式内容，符合临床规范与法规要求；提供拖拽式可视化编辑，自由调整布局与样式，关联系统字段实现自动填充</w:t>
      </w:r>
      <w:r>
        <w:rPr>
          <w:rFonts w:hint="eastAsia"/>
          <w:highlight w:val="none"/>
        </w:rPr>
        <w:t>。</w:t>
      </w:r>
    </w:p>
    <w:p w14:paraId="1B6A080E">
      <w:pPr>
        <w:pStyle w:val="12"/>
        <w:shd w:val="clear" w:color="auto" w:fill="auto"/>
        <w:ind w:firstLine="480"/>
        <w:rPr>
          <w:rFonts w:hint="eastAsia"/>
          <w:highlight w:val="none"/>
        </w:rPr>
      </w:pPr>
      <w:r>
        <w:rPr>
          <w:rFonts w:hint="eastAsia"/>
          <w:highlight w:val="none"/>
        </w:rPr>
        <w:t>处方权限确保医疗质量，限制非急诊医生开具急救药，支持多科协作开方并留存操作记录；按职级配置处方权、特殊药品及抗菌药物使用权限。</w:t>
      </w:r>
    </w:p>
    <w:p w14:paraId="0759E81B">
      <w:pPr>
        <w:pStyle w:val="12"/>
        <w:shd w:val="clear" w:color="auto" w:fill="auto"/>
        <w:ind w:firstLine="480"/>
        <w:rPr>
          <w:rFonts w:hint="eastAsia"/>
          <w:highlight w:val="none"/>
        </w:rPr>
      </w:pPr>
      <w:r>
        <w:rPr>
          <w:rFonts w:hint="eastAsia"/>
          <w:highlight w:val="none"/>
        </w:rPr>
        <w:t>登录日志记录账号、姓名、科室、IP、时间、客户端ID、授权方式及登录结果，支持检索</w:t>
      </w:r>
      <w:r>
        <w:rPr>
          <w:rFonts w:hint="eastAsia"/>
          <w:highlight w:val="none"/>
        </w:rPr>
        <w:t>。</w:t>
      </w:r>
    </w:p>
    <w:p w14:paraId="59E1500A">
      <w:pPr>
        <w:pStyle w:val="6"/>
        <w:rPr>
          <w:rFonts w:hint="eastAsia"/>
          <w:highlight w:val="none"/>
        </w:rPr>
      </w:pPr>
      <w:bookmarkStart w:id="112" w:name="_Toc16201"/>
      <w:bookmarkStart w:id="113" w:name="_Toc190942295"/>
      <w:r>
        <w:rPr>
          <w:rFonts w:hint="eastAsia"/>
          <w:highlight w:val="none"/>
        </w:rPr>
        <w:t>预检分诊系统</w:t>
      </w:r>
      <w:bookmarkEnd w:id="112"/>
      <w:bookmarkEnd w:id="113"/>
    </w:p>
    <w:p w14:paraId="6C342912">
      <w:pPr>
        <w:pStyle w:val="12"/>
        <w:shd w:val="clear" w:color="auto" w:fill="auto"/>
        <w:ind w:firstLine="480"/>
        <w:rPr>
          <w:rFonts w:hint="eastAsia"/>
          <w:highlight w:val="none"/>
        </w:rPr>
      </w:pPr>
      <w:bookmarkStart w:id="114" w:name="_Toc91664823"/>
      <w:bookmarkStart w:id="115" w:name="_Toc51859785"/>
      <w:r>
        <w:rPr>
          <w:rFonts w:hint="eastAsia"/>
          <w:highlight w:val="none"/>
        </w:rPr>
        <w:t>患者信息登记需支持对接身份证、就诊卡、医保卡、电子码等识别设备，一键读取患者档案；未建档者可手动录入姓名、性别、出生日期、联系方式、费别、来源等基本信息并同步至全院档案库。支持120、自行来院、他院转入、110送医等多种来源登记，其中120记录车牌号，110记录警号，他院转入注明医院名称。支持“三无患者”自动生成姓名与证件号，并自动开启绿色通道。支持群伤、批量患者及婴幼儿建档。绿色通道患者可通过监护设备自动采集生命体征，关联分诊流程。</w:t>
      </w:r>
    </w:p>
    <w:p w14:paraId="442D1484">
      <w:pPr>
        <w:pStyle w:val="12"/>
        <w:shd w:val="clear" w:color="auto" w:fill="auto"/>
        <w:ind w:firstLine="480"/>
        <w:rPr>
          <w:rFonts w:hint="eastAsia"/>
          <w:highlight w:val="none"/>
        </w:rPr>
      </w:pPr>
      <w:r>
        <w:rPr>
          <w:rFonts w:hint="eastAsia"/>
          <w:highlight w:val="none"/>
        </w:rPr>
        <w:t>系统支持GCS、创伤指数、早期预警等常用评分，可自定义配置项目并设置启用状态。评估表可结构化配置，实现从已录体征数据自动取值评分，并根据总分生成等级、颜色和描述结论。</w:t>
      </w:r>
    </w:p>
    <w:p w14:paraId="580F385C">
      <w:pPr>
        <w:pStyle w:val="12"/>
        <w:shd w:val="clear" w:color="auto" w:fill="auto"/>
        <w:ind w:firstLine="480"/>
        <w:rPr>
          <w:rFonts w:hint="eastAsia"/>
          <w:highlight w:val="none"/>
        </w:rPr>
      </w:pPr>
      <w:r>
        <w:rPr>
          <w:rFonts w:hint="eastAsia"/>
          <w:highlight w:val="none"/>
        </w:rPr>
        <w:t>预检分诊通过症状快捷选择实现自动化分级，按“红黄绿”显示病情等级，自动匹配抢救、留观离开等去向，留观可分配床位。系统可采集监护设备数据，结合意识状态（清醒、昏迷等）进行智能分级。支持人工修改分级并记录原因，超时未接诊自动提醒再次分诊。支持先分诊后挂号或先挂号后分诊模式。分诊后可打印腕带或分诊条，信息可配置。</w:t>
      </w:r>
    </w:p>
    <w:p w14:paraId="1E9D0FD9">
      <w:pPr>
        <w:pStyle w:val="12"/>
        <w:shd w:val="clear" w:color="auto" w:fill="auto"/>
        <w:ind w:firstLine="480"/>
        <w:rPr>
          <w:rFonts w:hint="eastAsia"/>
          <w:highlight w:val="none"/>
        </w:rPr>
      </w:pPr>
      <w:r>
        <w:rPr>
          <w:rFonts w:hint="eastAsia"/>
          <w:highlight w:val="none"/>
        </w:rPr>
        <w:t>内置三区四级、四区四级等分诊知识库，支持主诉、判断依据维护，授权人员可自定义更新。提供分诊统计功能，包括患者级别比例、绿色通道使用、群体事件分布、科室分布等，支持定制指标与数据导出。支持院前信息（基本信息、生命体征、评分、病历等）直接导入预检系统。</w:t>
      </w:r>
    </w:p>
    <w:p w14:paraId="60854027">
      <w:pPr>
        <w:pStyle w:val="12"/>
        <w:shd w:val="clear" w:color="auto" w:fill="auto"/>
        <w:ind w:firstLine="480"/>
        <w:rPr>
          <w:rFonts w:hint="eastAsia"/>
          <w:highlight w:val="none"/>
        </w:rPr>
      </w:pPr>
      <w:r>
        <w:rPr>
          <w:rFonts w:hint="eastAsia"/>
          <w:highlight w:val="none"/>
        </w:rPr>
        <w:t>绿色通道支持预检时自动开启，完成自动挂号、费别变更与欠费标识，快速识别胸痛、卒中、创伤等绿通患者，类型可自定义。病情评估支持多类评分联动生命体征数据自动计算。体征采集后可自动分级，允许手工调整。</w:t>
      </w:r>
    </w:p>
    <w:bookmarkEnd w:id="114"/>
    <w:bookmarkEnd w:id="115"/>
    <w:p w14:paraId="572E7239">
      <w:pPr>
        <w:pStyle w:val="6"/>
        <w:rPr>
          <w:rFonts w:hint="eastAsia"/>
          <w:highlight w:val="none"/>
        </w:rPr>
      </w:pPr>
      <w:bookmarkStart w:id="116" w:name="_Toc190942303"/>
      <w:bookmarkStart w:id="117" w:name="_Toc21341"/>
      <w:r>
        <w:rPr>
          <w:rFonts w:hint="eastAsia"/>
          <w:highlight w:val="none"/>
        </w:rPr>
        <w:t>护士工作站（门急诊/抢救区/留观区）</w:t>
      </w:r>
      <w:bookmarkEnd w:id="116"/>
      <w:bookmarkEnd w:id="117"/>
    </w:p>
    <w:p w14:paraId="7FCEEC60">
      <w:pPr>
        <w:pStyle w:val="12"/>
        <w:shd w:val="clear" w:color="auto" w:fill="auto"/>
        <w:ind w:firstLine="480"/>
        <w:rPr>
          <w:rFonts w:hint="eastAsia"/>
          <w:highlight w:val="none"/>
        </w:rPr>
      </w:pPr>
      <w:r>
        <w:rPr>
          <w:rFonts w:hint="eastAsia"/>
          <w:highlight w:val="none"/>
        </w:rPr>
        <w:t>诊疗区域切换支持在门急诊、抢救区、留观区之间快速切换，展示对应患者信息，留/抢区可切换列表与卡片视图。</w:t>
      </w:r>
    </w:p>
    <w:p w14:paraId="7BF1815D">
      <w:pPr>
        <w:pStyle w:val="12"/>
        <w:shd w:val="clear" w:color="auto" w:fill="auto"/>
        <w:ind w:firstLine="480"/>
        <w:rPr>
          <w:rFonts w:hint="eastAsia"/>
          <w:highlight w:val="none"/>
        </w:rPr>
      </w:pPr>
      <w:r>
        <w:rPr>
          <w:rFonts w:hint="eastAsia"/>
          <w:highlight w:val="none"/>
        </w:rPr>
        <w:t>支持患者入区、出区、转床、换床、床位锁定及床头卡打印，出区后可补充修改病历。</w:t>
      </w:r>
    </w:p>
    <w:p w14:paraId="018B1DC9">
      <w:pPr>
        <w:pStyle w:val="12"/>
        <w:shd w:val="clear" w:color="auto" w:fill="auto"/>
        <w:ind w:firstLine="480"/>
        <w:rPr>
          <w:rFonts w:hint="eastAsia"/>
          <w:highlight w:val="none"/>
        </w:rPr>
      </w:pPr>
      <w:r>
        <w:rPr>
          <w:rFonts w:hint="eastAsia"/>
          <w:highlight w:val="none"/>
        </w:rPr>
        <w:t>提供基本与高级查询功能，可按主诉、在区状态、转归去向等条件筛选患者。</w:t>
      </w:r>
    </w:p>
    <w:p w14:paraId="0FBA1CF2">
      <w:pPr>
        <w:pStyle w:val="12"/>
        <w:shd w:val="clear" w:color="auto" w:fill="auto"/>
        <w:ind w:firstLine="480"/>
        <w:rPr>
          <w:rFonts w:hint="eastAsia"/>
          <w:highlight w:val="none"/>
        </w:rPr>
      </w:pPr>
      <w:r>
        <w:rPr>
          <w:rFonts w:hint="eastAsia"/>
          <w:highlight w:val="none"/>
        </w:rPr>
        <w:t>支持急诊费用管理，对医嘱进行新增、作废、关联操作，实时查看医嘱状态（已提交、已收费、已停止等）。</w:t>
      </w:r>
    </w:p>
    <w:p w14:paraId="58165C57">
      <w:pPr>
        <w:pStyle w:val="12"/>
        <w:shd w:val="clear" w:color="auto" w:fill="auto"/>
        <w:ind w:firstLine="480"/>
        <w:rPr>
          <w:rFonts w:hint="eastAsia"/>
          <w:highlight w:val="none"/>
        </w:rPr>
      </w:pPr>
      <w:r>
        <w:rPr>
          <w:rFonts w:hint="eastAsia"/>
          <w:highlight w:val="none"/>
        </w:rPr>
        <w:t>医嘱管理涵盖审核、计费、配液、打印输液标签及执行，支持按时间、区域、类别过滤医嘱，已收费医嘱不可退回。</w:t>
      </w:r>
    </w:p>
    <w:p w14:paraId="0C54D07E">
      <w:pPr>
        <w:pStyle w:val="12"/>
        <w:shd w:val="clear" w:color="auto" w:fill="auto"/>
        <w:ind w:firstLine="480"/>
        <w:rPr>
          <w:rFonts w:hint="eastAsia"/>
          <w:highlight w:val="none"/>
        </w:rPr>
      </w:pPr>
      <w:r>
        <w:rPr>
          <w:rFonts w:hint="eastAsia"/>
          <w:highlight w:val="none"/>
        </w:rPr>
        <w:t>支持按多种条件过滤并打印医嘱，执行时可按时间、区域、状态等筛选。</w:t>
      </w:r>
    </w:p>
    <w:p w14:paraId="200000C6">
      <w:pPr>
        <w:pStyle w:val="12"/>
        <w:shd w:val="clear" w:color="auto" w:fill="auto"/>
        <w:ind w:firstLine="480"/>
        <w:rPr>
          <w:rFonts w:hint="eastAsia"/>
          <w:highlight w:val="none"/>
        </w:rPr>
      </w:pPr>
      <w:r>
        <w:rPr>
          <w:rFonts w:hint="eastAsia"/>
          <w:highlight w:val="none"/>
        </w:rPr>
        <w:t>护理任务包括监控图表（支持自定义配置和监护仪数据接入）、液体平衡（自动同步入量、图示显示出入量）、导管护理（记录插拔管时间、倒计时提醒）及病情描述（支持模板录入、引用生命体征与检验数据，权限控制修改）。</w:t>
      </w:r>
    </w:p>
    <w:p w14:paraId="6D915180">
      <w:pPr>
        <w:pStyle w:val="12"/>
        <w:shd w:val="clear" w:color="auto" w:fill="auto"/>
        <w:ind w:firstLine="480"/>
        <w:rPr>
          <w:rFonts w:hint="eastAsia"/>
          <w:highlight w:val="none"/>
        </w:rPr>
      </w:pPr>
      <w:r>
        <w:rPr>
          <w:rFonts w:hint="eastAsia"/>
          <w:highlight w:val="none"/>
        </w:rPr>
        <w:t>患者信息总览集成监控、液体、导管、描述等数据，便于统一查看与修改。</w:t>
      </w:r>
    </w:p>
    <w:p w14:paraId="16A924E0">
      <w:pPr>
        <w:pStyle w:val="12"/>
        <w:shd w:val="clear" w:color="auto" w:fill="auto"/>
        <w:ind w:firstLine="480"/>
        <w:rPr>
          <w:rFonts w:hint="eastAsia"/>
          <w:highlight w:val="none"/>
        </w:rPr>
      </w:pPr>
      <w:r>
        <w:rPr>
          <w:rFonts w:hint="eastAsia"/>
          <w:highlight w:val="none"/>
        </w:rPr>
        <w:t>护理文书支持模板定制、引用医嘱，实现护理评估自动评分，体温单与护理单按区域生成曲线及小结，支持续打与合并打印。</w:t>
      </w:r>
    </w:p>
    <w:p w14:paraId="29A7442B">
      <w:pPr>
        <w:pStyle w:val="12"/>
        <w:shd w:val="clear" w:color="auto" w:fill="auto"/>
        <w:ind w:firstLine="480"/>
        <w:rPr>
          <w:rFonts w:hint="eastAsia"/>
          <w:highlight w:val="none"/>
        </w:rPr>
      </w:pPr>
      <w:r>
        <w:rPr>
          <w:rFonts w:hint="eastAsia"/>
          <w:highlight w:val="none"/>
        </w:rPr>
        <w:t>可调阅本次急诊所有检查检验结果，同步医生端病历。</w:t>
      </w:r>
    </w:p>
    <w:p w14:paraId="053522A4">
      <w:pPr>
        <w:pStyle w:val="12"/>
        <w:shd w:val="clear" w:color="auto" w:fill="auto"/>
        <w:ind w:firstLine="480"/>
        <w:rPr>
          <w:rFonts w:hint="eastAsia"/>
          <w:highlight w:val="none"/>
        </w:rPr>
      </w:pPr>
      <w:r>
        <w:rPr>
          <w:rFonts w:hint="eastAsia"/>
          <w:highlight w:val="none"/>
        </w:rPr>
        <w:t>计费模板支持按范围、状态、名称搜索与编辑，权限分级管理个人与科室模板，按适用区域维护显示内容。</w:t>
      </w:r>
    </w:p>
    <w:p w14:paraId="53777406">
      <w:pPr>
        <w:pStyle w:val="6"/>
        <w:rPr>
          <w:rFonts w:hint="eastAsia"/>
          <w:highlight w:val="none"/>
        </w:rPr>
      </w:pPr>
      <w:bookmarkStart w:id="118" w:name="_Toc7599"/>
      <w:bookmarkStart w:id="119" w:name="_Toc190942328"/>
      <w:r>
        <w:rPr>
          <w:rFonts w:hint="eastAsia"/>
          <w:highlight w:val="none"/>
        </w:rPr>
        <w:t>输液管理</w:t>
      </w:r>
      <w:bookmarkEnd w:id="118"/>
      <w:bookmarkEnd w:id="119"/>
    </w:p>
    <w:p w14:paraId="049CE2EB">
      <w:pPr>
        <w:pStyle w:val="12"/>
        <w:shd w:val="clear" w:color="auto" w:fill="auto"/>
        <w:ind w:firstLine="480"/>
        <w:rPr>
          <w:rFonts w:hint="eastAsia"/>
          <w:highlight w:val="none"/>
        </w:rPr>
      </w:pPr>
      <w:r>
        <w:rPr>
          <w:rFonts w:hint="eastAsia"/>
          <w:highlight w:val="none"/>
        </w:rPr>
        <w:t>支持通过刷卡核对患者身份，确保与医嘱一致。可统计当前输液、治疗、待穿刺、皮试及皮试结束的患者人次。</w:t>
      </w:r>
    </w:p>
    <w:p w14:paraId="5DAEF59E">
      <w:pPr>
        <w:pStyle w:val="12"/>
        <w:shd w:val="clear" w:color="auto" w:fill="auto"/>
        <w:ind w:firstLine="480"/>
        <w:rPr>
          <w:rFonts w:hint="eastAsia"/>
          <w:highlight w:val="none"/>
        </w:rPr>
      </w:pPr>
      <w:r>
        <w:rPr>
          <w:rFonts w:hint="eastAsia"/>
          <w:highlight w:val="none"/>
        </w:rPr>
        <w:t>支持查看门诊处方列表，包含组标志、医嘱内容、用法、频次、滴速、药品总量、执行状态、医生信息、诊断等，并支持按频次分解医嘱，批量执行并修改执行数量，自动计算已/未执行量，执行时可一键打印对应数量瓶签。</w:t>
      </w:r>
    </w:p>
    <w:p w14:paraId="445C3D8B">
      <w:pPr>
        <w:pStyle w:val="12"/>
        <w:shd w:val="clear" w:color="auto" w:fill="auto"/>
        <w:ind w:firstLine="480"/>
        <w:rPr>
          <w:rFonts w:hint="eastAsia"/>
          <w:highlight w:val="none"/>
        </w:rPr>
      </w:pPr>
      <w:r>
        <w:rPr>
          <w:rFonts w:hint="eastAsia"/>
          <w:highlight w:val="none"/>
        </w:rPr>
        <w:t>支持查看输液全过程执行记录，包括各阶段状态（如配液、穿刺、巡视、拔针等）、执行人及时间。</w:t>
      </w:r>
    </w:p>
    <w:p w14:paraId="724892E3">
      <w:pPr>
        <w:pStyle w:val="12"/>
        <w:shd w:val="clear" w:color="auto" w:fill="auto"/>
        <w:ind w:firstLine="480"/>
        <w:rPr>
          <w:rFonts w:hint="eastAsia"/>
          <w:highlight w:val="none"/>
        </w:rPr>
      </w:pPr>
      <w:r>
        <w:rPr>
          <w:rFonts w:hint="eastAsia"/>
          <w:highlight w:val="none"/>
        </w:rPr>
        <w:t>支持对接收费系统，实现输液室收费及材料补费。</w:t>
      </w:r>
    </w:p>
    <w:p w14:paraId="64127849">
      <w:pPr>
        <w:pStyle w:val="12"/>
        <w:shd w:val="clear" w:color="auto" w:fill="auto"/>
        <w:ind w:firstLine="480"/>
        <w:rPr>
          <w:rFonts w:hint="eastAsia"/>
          <w:highlight w:val="none"/>
        </w:rPr>
      </w:pPr>
      <w:r>
        <w:rPr>
          <w:rFonts w:hint="eastAsia"/>
          <w:highlight w:val="none"/>
        </w:rPr>
        <w:t>皮试结果阴性显示“阴性”标识，阳性药品不显示在处方中，患者信息栏展示皮试结果。</w:t>
      </w:r>
    </w:p>
    <w:p w14:paraId="2E3D11DD">
      <w:pPr>
        <w:pStyle w:val="12"/>
        <w:shd w:val="clear" w:color="auto" w:fill="auto"/>
        <w:ind w:firstLine="480"/>
        <w:rPr>
          <w:rFonts w:hint="eastAsia"/>
          <w:highlight w:val="none"/>
        </w:rPr>
      </w:pPr>
      <w:r>
        <w:rPr>
          <w:rFonts w:hint="eastAsia"/>
          <w:highlight w:val="none"/>
        </w:rPr>
        <w:t>支持按日期查询每日工作量报表，统计内容包括时间段、3岁以上及以下输液人数、总输液数、注射人数、皮试人数等。</w:t>
      </w:r>
    </w:p>
    <w:p w14:paraId="473EAB67">
      <w:pPr>
        <w:pStyle w:val="6"/>
        <w:rPr>
          <w:rFonts w:hint="eastAsia"/>
          <w:highlight w:val="none"/>
        </w:rPr>
      </w:pPr>
      <w:bookmarkStart w:id="120" w:name="_Toc14670"/>
      <w:bookmarkStart w:id="121" w:name="_Toc190942339"/>
      <w:r>
        <w:rPr>
          <w:highlight w:val="none"/>
        </w:rPr>
        <w:t>质控管理</w:t>
      </w:r>
      <w:bookmarkEnd w:id="120"/>
      <w:bookmarkEnd w:id="121"/>
    </w:p>
    <w:p w14:paraId="6A3E2DBE">
      <w:pPr>
        <w:pStyle w:val="12"/>
        <w:shd w:val="clear" w:color="auto" w:fill="auto"/>
        <w:ind w:firstLine="480"/>
        <w:rPr>
          <w:rFonts w:hint="eastAsia"/>
          <w:highlight w:val="none"/>
        </w:rPr>
      </w:pPr>
      <w:r>
        <w:rPr>
          <w:rFonts w:hint="eastAsia"/>
          <w:highlight w:val="none"/>
        </w:rPr>
        <w:t>支持急诊质控指标管理，包括：抢救室滞留时间（中位数）、分诊执行率、急诊四级患者静脉输液使用率、心肺复苏质控检测率、院内外心脏骤停复苏成功率及出院存活率、EICU脓毒性休克病死率、1小时内抗菌药物使用率、中心静脉管早期并发症率、上呼吸道感染抗菌药物使用率、急性上消化道出血完成胃镜检查例数与总例数、急性中毒病死率、抢救室创伤患者总数；并支持展示急诊分布、分诊区域、年龄分布及今日分诊数据等。</w:t>
      </w:r>
    </w:p>
    <w:p w14:paraId="6E558F82">
      <w:pPr>
        <w:pStyle w:val="6"/>
        <w:rPr>
          <w:rFonts w:hint="eastAsia"/>
          <w:highlight w:val="none"/>
        </w:rPr>
      </w:pPr>
      <w:bookmarkStart w:id="122" w:name="_Toc190942340"/>
      <w:bookmarkStart w:id="123" w:name="_Toc18232"/>
      <w:r>
        <w:rPr>
          <w:highlight w:val="none"/>
        </w:rPr>
        <w:t>接口</w:t>
      </w:r>
      <w:bookmarkEnd w:id="122"/>
      <w:bookmarkEnd w:id="123"/>
      <w:r>
        <w:rPr>
          <w:rFonts w:hint="eastAsia"/>
          <w:highlight w:val="none"/>
        </w:rPr>
        <w:t>对接</w:t>
      </w:r>
    </w:p>
    <w:p w14:paraId="7D9EC9AF">
      <w:pPr>
        <w:pStyle w:val="12"/>
        <w:shd w:val="clear" w:color="auto" w:fill="auto"/>
        <w:ind w:firstLine="480"/>
        <w:rPr>
          <w:rFonts w:hint="eastAsia"/>
          <w:highlight w:val="none"/>
        </w:rPr>
      </w:pPr>
      <w:r>
        <w:rPr>
          <w:rFonts w:hint="eastAsia"/>
          <w:highlight w:val="none"/>
        </w:rPr>
        <w:t>支持根据业务需求对接HIS、EMR、PACS、LIS、医院信息平台等系统。</w:t>
      </w:r>
    </w:p>
    <w:p w14:paraId="45FBD2CC">
      <w:pPr>
        <w:pStyle w:val="6"/>
        <w:rPr>
          <w:rFonts w:hint="eastAsia"/>
          <w:highlight w:val="none"/>
        </w:rPr>
      </w:pPr>
      <w:bookmarkStart w:id="124" w:name="_Toc12540"/>
      <w:bookmarkStart w:id="125" w:name="_Toc190942341"/>
      <w:r>
        <w:rPr>
          <w:highlight w:val="none"/>
        </w:rPr>
        <w:t>设备连接</w:t>
      </w:r>
      <w:bookmarkEnd w:id="124"/>
      <w:bookmarkEnd w:id="125"/>
    </w:p>
    <w:p w14:paraId="668FD054">
      <w:pPr>
        <w:pStyle w:val="12"/>
        <w:shd w:val="clear" w:color="auto" w:fill="auto"/>
        <w:ind w:firstLine="480"/>
        <w:rPr>
          <w:rFonts w:hint="eastAsia"/>
          <w:highlight w:val="none"/>
        </w:rPr>
      </w:pPr>
      <w:r>
        <w:rPr>
          <w:rFonts w:hint="eastAsia"/>
          <w:highlight w:val="none"/>
        </w:rPr>
        <w:t>支持连接急诊的监护仪，呼吸机等设备，获取设备采集数据。</w:t>
      </w:r>
    </w:p>
    <w:bookmarkEnd w:id="109"/>
    <w:bookmarkEnd w:id="110"/>
    <w:bookmarkEnd w:id="111"/>
    <w:p w14:paraId="0581B169">
      <w:pPr>
        <w:pStyle w:val="6"/>
        <w:rPr>
          <w:rFonts w:hint="eastAsia"/>
          <w:highlight w:val="none"/>
        </w:rPr>
      </w:pPr>
      <w:bookmarkStart w:id="126" w:name="_Toc190942342"/>
      <w:bookmarkStart w:id="127" w:name="_Toc8021"/>
      <w:r>
        <w:rPr>
          <w:rFonts w:hint="eastAsia"/>
          <w:highlight w:val="none"/>
        </w:rPr>
        <w:t>系统配置</w:t>
      </w:r>
      <w:bookmarkEnd w:id="126"/>
      <w:bookmarkEnd w:id="127"/>
    </w:p>
    <w:p w14:paraId="48732F55">
      <w:pPr>
        <w:pStyle w:val="12"/>
        <w:shd w:val="clear" w:color="auto" w:fill="auto"/>
        <w:ind w:firstLine="480"/>
        <w:rPr>
          <w:rFonts w:hint="eastAsia"/>
          <w:highlight w:val="none"/>
        </w:rPr>
      </w:pPr>
      <w:r>
        <w:rPr>
          <w:rFonts w:hint="eastAsia"/>
          <w:highlight w:val="none"/>
        </w:rPr>
        <w:t>1.登录管理：支持查询登录信息、修改角色及账号统一管理。</w:t>
      </w:r>
    </w:p>
    <w:p w14:paraId="39E1B8CE">
      <w:pPr>
        <w:pStyle w:val="12"/>
        <w:shd w:val="clear" w:color="auto" w:fill="auto"/>
        <w:ind w:firstLine="480"/>
        <w:rPr>
          <w:rFonts w:hint="eastAsia"/>
          <w:highlight w:val="none"/>
        </w:rPr>
      </w:pPr>
      <w:r>
        <w:rPr>
          <w:rFonts w:hint="eastAsia"/>
          <w:highlight w:val="none"/>
        </w:rPr>
        <w:t>2.菜单管理：维护系统功能菜单，支持增删改操作。</w:t>
      </w:r>
    </w:p>
    <w:p w14:paraId="652E4243">
      <w:pPr>
        <w:pStyle w:val="12"/>
        <w:shd w:val="clear" w:color="auto" w:fill="auto"/>
        <w:ind w:firstLine="480"/>
        <w:rPr>
          <w:rFonts w:hint="eastAsia"/>
          <w:highlight w:val="none"/>
        </w:rPr>
      </w:pPr>
      <w:r>
        <w:rPr>
          <w:rFonts w:hint="eastAsia"/>
          <w:highlight w:val="none"/>
        </w:rPr>
        <w:t>3.角色管理：支持系统角色的增删改。</w:t>
      </w:r>
    </w:p>
    <w:p w14:paraId="0CA25535">
      <w:pPr>
        <w:pStyle w:val="12"/>
        <w:shd w:val="clear" w:color="auto" w:fill="auto"/>
        <w:ind w:firstLine="480"/>
        <w:rPr>
          <w:rFonts w:hint="eastAsia"/>
          <w:highlight w:val="none"/>
        </w:rPr>
      </w:pPr>
      <w:r>
        <w:rPr>
          <w:rFonts w:hint="eastAsia"/>
          <w:highlight w:val="none"/>
        </w:rPr>
        <w:t>4.权限分配：按角色分配菜单，实现菜单权限控制。</w:t>
      </w:r>
    </w:p>
    <w:p w14:paraId="001BFB95">
      <w:pPr>
        <w:pStyle w:val="12"/>
        <w:shd w:val="clear" w:color="auto" w:fill="auto"/>
        <w:ind w:firstLine="480"/>
        <w:rPr>
          <w:rFonts w:hint="eastAsia"/>
          <w:highlight w:val="none"/>
        </w:rPr>
      </w:pPr>
      <w:r>
        <w:rPr>
          <w:rFonts w:hint="eastAsia"/>
          <w:highlight w:val="none"/>
        </w:rPr>
        <w:t>5.编码管理：维护系统编码类别及其项目。</w:t>
      </w:r>
    </w:p>
    <w:p w14:paraId="674E1D15">
      <w:pPr>
        <w:pStyle w:val="12"/>
        <w:shd w:val="clear" w:color="auto" w:fill="auto"/>
        <w:ind w:firstLine="480"/>
        <w:rPr>
          <w:rFonts w:hint="eastAsia"/>
          <w:highlight w:val="none"/>
        </w:rPr>
      </w:pPr>
      <w:r>
        <w:rPr>
          <w:rFonts w:hint="eastAsia"/>
          <w:highlight w:val="none"/>
        </w:rPr>
        <w:t>6.项目配置：支持项目、对照项目及给药方法维护。</w:t>
      </w:r>
    </w:p>
    <w:p w14:paraId="70A05511">
      <w:pPr>
        <w:pStyle w:val="12"/>
        <w:shd w:val="clear" w:color="auto" w:fill="auto"/>
        <w:ind w:firstLine="480"/>
        <w:rPr>
          <w:rFonts w:hint="eastAsia"/>
          <w:highlight w:val="none"/>
        </w:rPr>
      </w:pPr>
      <w:r>
        <w:rPr>
          <w:rFonts w:hint="eastAsia"/>
          <w:highlight w:val="none"/>
        </w:rPr>
        <w:t>7.病床管理：维护科室病区病床信息。</w:t>
      </w:r>
    </w:p>
    <w:p w14:paraId="7EFDC494">
      <w:pPr>
        <w:pStyle w:val="12"/>
        <w:shd w:val="clear" w:color="auto" w:fill="auto"/>
        <w:ind w:firstLine="480"/>
        <w:rPr>
          <w:rFonts w:hint="eastAsia"/>
          <w:highlight w:val="none"/>
        </w:rPr>
      </w:pPr>
      <w:r>
        <w:rPr>
          <w:rFonts w:hint="eastAsia"/>
          <w:highlight w:val="none"/>
        </w:rPr>
        <w:t>8.导管管理：维护导管分类及所属项目信息。</w:t>
      </w:r>
    </w:p>
    <w:p w14:paraId="7FC5BAE4">
      <w:pPr>
        <w:pStyle w:val="5"/>
        <w:rPr>
          <w:rFonts w:hint="eastAsia"/>
          <w:highlight w:val="none"/>
        </w:rPr>
      </w:pPr>
      <w:r>
        <w:rPr>
          <w:rFonts w:hint="eastAsia"/>
          <w:highlight w:val="none"/>
        </w:rPr>
        <w:t>放疗系统</w:t>
      </w:r>
    </w:p>
    <w:p w14:paraId="2F46FFBF">
      <w:pPr>
        <w:pStyle w:val="12"/>
        <w:shd w:val="clear" w:color="auto" w:fill="auto"/>
        <w:ind w:firstLine="480"/>
        <w:rPr>
          <w:rFonts w:hint="eastAsia"/>
          <w:highlight w:val="none"/>
        </w:rPr>
      </w:pPr>
      <w:r>
        <w:rPr>
          <w:rFonts w:hint="eastAsia"/>
          <w:highlight w:val="none"/>
        </w:rPr>
        <w:t>放疗管理：</w:t>
      </w:r>
    </w:p>
    <w:p w14:paraId="254BB79A">
      <w:pPr>
        <w:pStyle w:val="12"/>
        <w:shd w:val="clear" w:color="auto" w:fill="auto"/>
        <w:ind w:firstLine="480"/>
        <w:rPr>
          <w:rFonts w:hint="eastAsia"/>
          <w:highlight w:val="none"/>
        </w:rPr>
      </w:pPr>
      <w:r>
        <w:rPr>
          <w:rFonts w:hint="eastAsia"/>
          <w:highlight w:val="none"/>
        </w:rPr>
        <w:t>1.支持基本放疗治疗过程管理，包括医嘱开立（申请）、预约排班、记录治疗过程信息。</w:t>
      </w:r>
    </w:p>
    <w:p w14:paraId="540347A3">
      <w:pPr>
        <w:pStyle w:val="12"/>
        <w:shd w:val="clear" w:color="auto" w:fill="auto"/>
        <w:ind w:firstLine="480"/>
        <w:rPr>
          <w:rFonts w:hint="eastAsia"/>
          <w:highlight w:val="none"/>
        </w:rPr>
      </w:pPr>
      <w:r>
        <w:rPr>
          <w:rFonts w:hint="eastAsia"/>
          <w:highlight w:val="none"/>
        </w:rPr>
        <w:t>2.支持对放疗治疗过程进行详细的治疗记录。如放疗时间、放疗师、放疗项目、放疗过程描述等。</w:t>
      </w:r>
    </w:p>
    <w:p w14:paraId="63C4E30E">
      <w:pPr>
        <w:pStyle w:val="12"/>
        <w:shd w:val="clear" w:color="auto" w:fill="auto"/>
        <w:ind w:firstLine="480"/>
        <w:rPr>
          <w:rFonts w:hint="eastAsia"/>
          <w:highlight w:val="none"/>
        </w:rPr>
      </w:pPr>
      <w:r>
        <w:rPr>
          <w:rFonts w:hint="eastAsia"/>
          <w:highlight w:val="none"/>
        </w:rPr>
        <w:t>3.支持放疗治疗系统能查看多次治疗记录列表，调阅治疗记录明细。</w:t>
      </w:r>
    </w:p>
    <w:p w14:paraId="22C390AB">
      <w:pPr>
        <w:pStyle w:val="12"/>
        <w:shd w:val="clear" w:color="auto" w:fill="auto"/>
        <w:ind w:firstLine="480"/>
        <w:rPr>
          <w:rFonts w:hint="eastAsia"/>
          <w:highlight w:val="none"/>
        </w:rPr>
      </w:pPr>
      <w:r>
        <w:rPr>
          <w:rFonts w:hint="eastAsia"/>
          <w:highlight w:val="none"/>
        </w:rPr>
        <w:t>4.支持放疗治疗系统可通过集成视图能查看多次放疗记录列表，调阅放疗记录明细。</w:t>
      </w:r>
    </w:p>
    <w:p w14:paraId="34A2B25D">
      <w:pPr>
        <w:pStyle w:val="12"/>
        <w:shd w:val="clear" w:color="auto" w:fill="auto"/>
        <w:ind w:firstLine="480"/>
        <w:rPr>
          <w:rFonts w:hint="eastAsia"/>
          <w:highlight w:val="none"/>
        </w:rPr>
      </w:pPr>
      <w:r>
        <w:rPr>
          <w:rFonts w:hint="eastAsia"/>
          <w:highlight w:val="none"/>
        </w:rPr>
        <w:t>放疗评估：</w:t>
      </w:r>
    </w:p>
    <w:p w14:paraId="1E2F260D">
      <w:pPr>
        <w:pStyle w:val="12"/>
        <w:shd w:val="clear" w:color="auto" w:fill="auto"/>
        <w:ind w:firstLine="480"/>
        <w:rPr>
          <w:rFonts w:hint="eastAsia"/>
          <w:highlight w:val="none"/>
        </w:rPr>
      </w:pPr>
      <w:r>
        <w:rPr>
          <w:rFonts w:hint="eastAsia"/>
          <w:highlight w:val="none"/>
        </w:rPr>
        <w:t>1.支持对放疗治疗情况的评估进行记录。</w:t>
      </w:r>
    </w:p>
    <w:p w14:paraId="71130D3F">
      <w:pPr>
        <w:pStyle w:val="12"/>
        <w:shd w:val="clear" w:color="auto" w:fill="auto"/>
        <w:ind w:firstLine="480"/>
        <w:rPr>
          <w:rFonts w:hint="eastAsia"/>
          <w:highlight w:val="none"/>
        </w:rPr>
      </w:pPr>
      <w:r>
        <w:rPr>
          <w:rFonts w:hint="eastAsia"/>
          <w:highlight w:val="none"/>
        </w:rPr>
        <w:t>2.放疗系统需支持对多次评估记录可查询。</w:t>
      </w:r>
    </w:p>
    <w:p w14:paraId="7C3AFBA8">
      <w:pPr>
        <w:pStyle w:val="12"/>
        <w:shd w:val="clear" w:color="auto" w:fill="auto"/>
        <w:ind w:firstLine="480"/>
        <w:rPr>
          <w:rFonts w:hint="eastAsia"/>
          <w:highlight w:val="none"/>
        </w:rPr>
      </w:pPr>
      <w:r>
        <w:rPr>
          <w:rFonts w:hint="eastAsia"/>
          <w:highlight w:val="none"/>
        </w:rPr>
        <w:t>接口对接：</w:t>
      </w:r>
    </w:p>
    <w:p w14:paraId="1A1CC71B">
      <w:pPr>
        <w:pStyle w:val="12"/>
        <w:shd w:val="clear" w:color="auto" w:fill="auto"/>
        <w:ind w:firstLine="480"/>
        <w:rPr>
          <w:rFonts w:hint="eastAsia"/>
          <w:highlight w:val="none"/>
        </w:rPr>
      </w:pPr>
      <w:r>
        <w:rPr>
          <w:rFonts w:hint="eastAsia"/>
          <w:highlight w:val="none"/>
        </w:rPr>
        <w:t>将放疗系统放疗相关记录嵌入到全院WEB病历/360视图中，并且在其他系统进行WEB病历/360视图展示时，可以看到患者放疗记录、放疗评估。</w:t>
      </w:r>
    </w:p>
    <w:p w14:paraId="497B9C64">
      <w:pPr>
        <w:pStyle w:val="5"/>
        <w:rPr>
          <w:rFonts w:hint="eastAsia"/>
          <w:highlight w:val="none"/>
        </w:rPr>
      </w:pPr>
      <w:r>
        <w:rPr>
          <w:rFonts w:hint="eastAsia"/>
          <w:highlight w:val="none"/>
          <w:lang w:val="en-US" w:eastAsia="zh-CN"/>
        </w:rPr>
        <w:t xml:space="preserve"> </w:t>
      </w:r>
      <w:r>
        <w:rPr>
          <w:rFonts w:hint="eastAsia"/>
          <w:highlight w:val="none"/>
        </w:rPr>
        <w:t>VTE静脉血栓栓塞症系统</w:t>
      </w:r>
    </w:p>
    <w:p w14:paraId="260E82BB">
      <w:pPr>
        <w:pStyle w:val="12"/>
        <w:shd w:val="clear" w:color="auto" w:fill="auto"/>
        <w:ind w:firstLine="480"/>
        <w:rPr>
          <w:rFonts w:hint="eastAsia"/>
          <w:highlight w:val="none"/>
        </w:rPr>
      </w:pPr>
      <w:r>
        <w:rPr>
          <w:rFonts w:hint="eastAsia"/>
          <w:highlight w:val="none"/>
        </w:rPr>
        <w:t>系统功能包括VTE患者管理、基础数据治理、AI智能引擎、VTE量表评估、VTE辅助决策、VTE质控管理，系统集成等功能模块。</w:t>
      </w:r>
    </w:p>
    <w:p w14:paraId="0EA996EB">
      <w:pPr>
        <w:pStyle w:val="6"/>
        <w:rPr>
          <w:rFonts w:hint="eastAsia"/>
          <w:highlight w:val="none"/>
        </w:rPr>
      </w:pPr>
      <w:bookmarkStart w:id="128" w:name="_Toc197780454"/>
      <w:r>
        <w:rPr>
          <w:rFonts w:hint="eastAsia"/>
          <w:highlight w:val="none"/>
          <w:lang w:val="en-US" w:eastAsia="zh-CN"/>
        </w:rPr>
        <w:t xml:space="preserve"> </w:t>
      </w:r>
      <w:r>
        <w:rPr>
          <w:rFonts w:hint="eastAsia"/>
          <w:highlight w:val="none"/>
        </w:rPr>
        <w:t>VTE患者管理</w:t>
      </w:r>
      <w:bookmarkEnd w:id="128"/>
    </w:p>
    <w:p w14:paraId="3EBFC60D">
      <w:pPr>
        <w:pStyle w:val="12"/>
        <w:shd w:val="clear" w:color="auto" w:fill="auto"/>
        <w:ind w:firstLine="480"/>
        <w:rPr>
          <w:rFonts w:hint="eastAsia"/>
          <w:highlight w:val="none"/>
        </w:rPr>
      </w:pPr>
      <w:r>
        <w:rPr>
          <w:rFonts w:hint="eastAsia"/>
          <w:highlight w:val="none"/>
        </w:rPr>
        <w:t>系统利用人工智能，自动扫描在院病历，对入院24小时内患者进行VTE风险评估，识别高、中、低危患者并自动标识高危者，推送预警至医护人员。</w:t>
      </w:r>
    </w:p>
    <w:p w14:paraId="5FD5FF03">
      <w:pPr>
        <w:pStyle w:val="6"/>
        <w:rPr>
          <w:rFonts w:hint="eastAsia"/>
          <w:highlight w:val="none"/>
        </w:rPr>
      </w:pPr>
      <w:bookmarkStart w:id="129" w:name="_Toc197780456"/>
      <w:r>
        <w:rPr>
          <w:rFonts w:hint="eastAsia"/>
          <w:highlight w:val="none"/>
          <w:lang w:val="en-US" w:eastAsia="zh-CN"/>
        </w:rPr>
        <w:t xml:space="preserve"> </w:t>
      </w:r>
      <w:r>
        <w:rPr>
          <w:rFonts w:hint="eastAsia"/>
          <w:highlight w:val="none"/>
        </w:rPr>
        <w:t>基础数据治理</w:t>
      </w:r>
      <w:bookmarkEnd w:id="129"/>
    </w:p>
    <w:p w14:paraId="776218F6">
      <w:pPr>
        <w:pStyle w:val="12"/>
        <w:shd w:val="clear" w:color="auto" w:fill="auto"/>
        <w:ind w:firstLine="480"/>
        <w:rPr>
          <w:rFonts w:hint="eastAsia"/>
          <w:highlight w:val="none"/>
        </w:rPr>
      </w:pPr>
      <w:r>
        <w:rPr>
          <w:rFonts w:hint="eastAsia"/>
          <w:highlight w:val="none"/>
        </w:rPr>
        <w:t>系统集成HIS、LIS、PACS、手麻、电子病历等系统的诊疗数据，利用人工智能技术对海量临床数据进行结构化、标准化处理，实现医疗术语与国家标准或行业标准的映射，构建VTE数据库，为临床路径、智能评估、运营分析和科研提供数据支持。</w:t>
      </w:r>
    </w:p>
    <w:p w14:paraId="7C7FD59A">
      <w:pPr>
        <w:pStyle w:val="6"/>
        <w:rPr>
          <w:rFonts w:hint="eastAsia"/>
          <w:highlight w:val="none"/>
        </w:rPr>
      </w:pPr>
      <w:bookmarkStart w:id="130" w:name="_Toc197780461"/>
      <w:r>
        <w:rPr>
          <w:rFonts w:hint="eastAsia"/>
          <w:highlight w:val="none"/>
          <w:lang w:val="en-US" w:eastAsia="zh-CN"/>
        </w:rPr>
        <w:t xml:space="preserve"> </w:t>
      </w:r>
      <w:r>
        <w:rPr>
          <w:rFonts w:hint="eastAsia"/>
          <w:highlight w:val="none"/>
        </w:rPr>
        <w:t>AI智能引擎</w:t>
      </w:r>
      <w:bookmarkEnd w:id="130"/>
    </w:p>
    <w:p w14:paraId="7BA59BA4">
      <w:pPr>
        <w:pStyle w:val="12"/>
        <w:shd w:val="clear" w:color="auto" w:fill="auto"/>
        <w:ind w:firstLine="480"/>
        <w:rPr>
          <w:rFonts w:hint="eastAsia"/>
          <w:highlight w:val="none"/>
        </w:rPr>
      </w:pPr>
      <w:r>
        <w:rPr>
          <w:rFonts w:hint="eastAsia"/>
          <w:highlight w:val="none"/>
        </w:rPr>
        <w:t>系统对在院患者进行VTE风险、出血及临床可能性评估，并据此指导规范化的预防、诊断与治疗。模块包含VTE量表智能推荐、智能评估和智能预警功能。</w:t>
      </w:r>
    </w:p>
    <w:p w14:paraId="6236D6C3">
      <w:pPr>
        <w:pStyle w:val="12"/>
        <w:shd w:val="clear" w:color="auto" w:fill="auto"/>
        <w:ind w:firstLine="480"/>
        <w:rPr>
          <w:rFonts w:hint="eastAsia"/>
          <w:highlight w:val="none"/>
        </w:rPr>
      </w:pPr>
      <w:r>
        <w:rPr>
          <w:rFonts w:hint="eastAsia"/>
          <w:highlight w:val="none"/>
        </w:rPr>
        <w:t>VTE量表智能推荐：基于VTE、DVT、PTE三个管控阶段的内置规则，系统在相应阶段或特定时间/事件节点自动提示关联量表。</w:t>
      </w:r>
    </w:p>
    <w:p w14:paraId="70D70F3D">
      <w:pPr>
        <w:pStyle w:val="12"/>
        <w:shd w:val="clear" w:color="auto" w:fill="auto"/>
        <w:ind w:firstLine="480"/>
        <w:rPr>
          <w:rFonts w:hint="eastAsia"/>
          <w:highlight w:val="none"/>
        </w:rPr>
      </w:pPr>
      <w:r>
        <w:rPr>
          <w:rFonts w:hint="eastAsia"/>
          <w:highlight w:val="none"/>
        </w:rPr>
        <w:t>VTE量表智能评估：系统从HIS、EMR等系统自动采集数据，结合自然语言处理与规则引擎，智能填充量表内容，自动评分并展示结果，要求预填率达100%，准确率不低于95%。</w:t>
      </w:r>
    </w:p>
    <w:p w14:paraId="3906EA4A">
      <w:pPr>
        <w:pStyle w:val="12"/>
        <w:shd w:val="clear" w:color="auto" w:fill="auto"/>
        <w:ind w:firstLine="480"/>
        <w:rPr>
          <w:rFonts w:hint="eastAsia"/>
          <w:highlight w:val="none"/>
        </w:rPr>
      </w:pPr>
      <w:r>
        <w:rPr>
          <w:rFonts w:hint="eastAsia"/>
          <w:highlight w:val="none"/>
        </w:rPr>
        <w:t>VTE智能预警提醒：支持医院按自身流程设置评估结果的提醒方式，满足VTE监管需求。</w:t>
      </w:r>
    </w:p>
    <w:p w14:paraId="36776100">
      <w:pPr>
        <w:pStyle w:val="12"/>
        <w:shd w:val="clear" w:color="auto" w:fill="auto"/>
        <w:ind w:firstLine="480"/>
        <w:rPr>
          <w:rFonts w:hint="eastAsia"/>
          <w:highlight w:val="none"/>
        </w:rPr>
      </w:pPr>
      <w:r>
        <w:rPr>
          <w:rFonts w:hint="eastAsia"/>
          <w:highlight w:val="none"/>
        </w:rPr>
        <w:t>自然语言处理：对病历和影像报告进行结构化处理，提取关键变量，支撑VTE智能评定。</w:t>
      </w:r>
    </w:p>
    <w:p w14:paraId="0E2C5D96">
      <w:pPr>
        <w:pStyle w:val="6"/>
        <w:rPr>
          <w:rFonts w:hint="eastAsia"/>
          <w:highlight w:val="none"/>
        </w:rPr>
      </w:pPr>
      <w:bookmarkStart w:id="131" w:name="_Toc197780466"/>
      <w:r>
        <w:rPr>
          <w:rFonts w:hint="eastAsia"/>
          <w:highlight w:val="none"/>
          <w:lang w:val="en-US" w:eastAsia="zh-CN"/>
        </w:rPr>
        <w:t xml:space="preserve"> </w:t>
      </w:r>
      <w:r>
        <w:rPr>
          <w:rFonts w:hint="eastAsia"/>
          <w:highlight w:val="none"/>
        </w:rPr>
        <w:t>VTE量表评估</w:t>
      </w:r>
      <w:bookmarkEnd w:id="131"/>
    </w:p>
    <w:p w14:paraId="2D6D8A23">
      <w:pPr>
        <w:pStyle w:val="12"/>
        <w:shd w:val="clear" w:color="auto" w:fill="auto"/>
        <w:ind w:firstLine="480"/>
        <w:rPr>
          <w:rFonts w:hint="eastAsia"/>
          <w:highlight w:val="none"/>
        </w:rPr>
      </w:pPr>
      <w:r>
        <w:rPr>
          <w:rFonts w:hint="eastAsia"/>
          <w:highlight w:val="none"/>
        </w:rPr>
        <w:t>系统辅助医护人员开展多维度评估，提供全面病情视图，支持制定更合理的治疗方案。模块包含VTE量表评估工具、评估结果、人机对照和评估总览四大功能。</w:t>
      </w:r>
    </w:p>
    <w:p w14:paraId="4E3F5169">
      <w:pPr>
        <w:pStyle w:val="12"/>
        <w:shd w:val="clear" w:color="auto" w:fill="auto"/>
        <w:ind w:firstLine="480"/>
        <w:rPr>
          <w:rFonts w:hint="eastAsia"/>
          <w:highlight w:val="none"/>
        </w:rPr>
      </w:pPr>
      <w:r>
        <w:rPr>
          <w:rFonts w:hint="eastAsia"/>
          <w:highlight w:val="none"/>
        </w:rPr>
        <w:t>VTE量表评估工具覆盖不低于160项评估内容，统一院内评估标准，提升评估覆盖率；系统自动完成在院患者的风险、出血及临床可能性评估，展示结果与风险等级，并提醒医生及时确认；人机对照功能在同一界面显示人工与系统评估结果，支持一键追溯评估依据，确保评估可溯源；评估总览以患者为中心，通过列表形式集中展示评估结果及历史变化趋势。</w:t>
      </w:r>
    </w:p>
    <w:p w14:paraId="1D7F540E">
      <w:pPr>
        <w:pStyle w:val="6"/>
        <w:rPr>
          <w:rFonts w:hint="eastAsia"/>
          <w:highlight w:val="none"/>
        </w:rPr>
      </w:pPr>
      <w:bookmarkStart w:id="132" w:name="_Toc197780471"/>
      <w:r>
        <w:rPr>
          <w:rFonts w:hint="eastAsia"/>
          <w:highlight w:val="none"/>
          <w:lang w:val="en-US" w:eastAsia="zh-CN"/>
        </w:rPr>
        <w:t xml:space="preserve"> </w:t>
      </w:r>
      <w:r>
        <w:rPr>
          <w:rFonts w:hint="eastAsia"/>
          <w:highlight w:val="none"/>
        </w:rPr>
        <w:t>VTE辅助决策</w:t>
      </w:r>
      <w:bookmarkEnd w:id="132"/>
    </w:p>
    <w:p w14:paraId="6C4174CF">
      <w:pPr>
        <w:pStyle w:val="12"/>
        <w:shd w:val="clear" w:color="auto" w:fill="auto"/>
        <w:ind w:firstLine="480"/>
        <w:rPr>
          <w:rFonts w:hint="eastAsia"/>
          <w:highlight w:val="none"/>
        </w:rPr>
      </w:pPr>
      <w:r>
        <w:rPr>
          <w:rFonts w:hint="eastAsia"/>
          <w:highlight w:val="none"/>
        </w:rPr>
        <w:t>系统根据VTE评估结果和患者在院情况，智能推荐预防或治疗方案，并支持以医嘱形式直接开立至医嘱界面。</w:t>
      </w:r>
    </w:p>
    <w:p w14:paraId="3BD11C4A">
      <w:pPr>
        <w:pStyle w:val="6"/>
        <w:rPr>
          <w:rFonts w:hint="eastAsia"/>
          <w:highlight w:val="none"/>
        </w:rPr>
      </w:pPr>
      <w:bookmarkStart w:id="133" w:name="_Toc197780473"/>
      <w:r>
        <w:rPr>
          <w:rFonts w:hint="eastAsia"/>
          <w:highlight w:val="none"/>
          <w:lang w:val="en-US" w:eastAsia="zh-CN"/>
        </w:rPr>
        <w:t xml:space="preserve"> </w:t>
      </w:r>
      <w:r>
        <w:rPr>
          <w:rFonts w:hint="eastAsia"/>
          <w:highlight w:val="none"/>
        </w:rPr>
        <w:t>VTE质控管理</w:t>
      </w:r>
      <w:bookmarkEnd w:id="133"/>
    </w:p>
    <w:p w14:paraId="4F81A488">
      <w:pPr>
        <w:pStyle w:val="12"/>
        <w:shd w:val="clear" w:color="auto" w:fill="auto"/>
        <w:ind w:firstLine="480"/>
        <w:rPr>
          <w:rFonts w:hint="eastAsia"/>
          <w:highlight w:val="none"/>
        </w:rPr>
      </w:pPr>
      <w:r>
        <w:rPr>
          <w:rFonts w:hint="eastAsia"/>
          <w:highlight w:val="none"/>
        </w:rPr>
        <w:t>系统面向全院终末病例，统计VTE相关指标，支持医务部门按周、月、年导出报表，并提供病例查询功能，助力精细化管理与科室建设。模块包含VTE指标统计和防治报表上报两部分。</w:t>
      </w:r>
    </w:p>
    <w:p w14:paraId="26142545">
      <w:pPr>
        <w:pStyle w:val="12"/>
        <w:shd w:val="clear" w:color="auto" w:fill="auto"/>
        <w:ind w:firstLine="480"/>
        <w:rPr>
          <w:rFonts w:hint="eastAsia"/>
          <w:highlight w:val="none"/>
        </w:rPr>
      </w:pPr>
      <w:r>
        <w:rPr>
          <w:rFonts w:hint="eastAsia"/>
          <w:highlight w:val="none"/>
        </w:rPr>
        <w:t>指标统计涵盖风险评估、预防、诊断、治疗、结局及成本类数据，辅助管理者降低VTE发生率与病死率。</w:t>
      </w:r>
    </w:p>
    <w:p w14:paraId="3A363D0D">
      <w:pPr>
        <w:pStyle w:val="12"/>
        <w:shd w:val="clear" w:color="auto" w:fill="auto"/>
        <w:ind w:firstLine="480"/>
        <w:rPr>
          <w:rFonts w:hint="eastAsia"/>
          <w:highlight w:val="none"/>
        </w:rPr>
      </w:pPr>
      <w:r>
        <w:rPr>
          <w:rFonts w:hint="eastAsia"/>
          <w:highlight w:val="none"/>
        </w:rPr>
        <w:t>防治报表上报支持按国家要求进行多维度数据汇总、分析与趋势反馈，提升管理效能。</w:t>
      </w:r>
    </w:p>
    <w:p w14:paraId="0C610E01">
      <w:pPr>
        <w:pStyle w:val="6"/>
        <w:rPr>
          <w:rFonts w:hint="eastAsia"/>
          <w:highlight w:val="none"/>
        </w:rPr>
      </w:pPr>
      <w:bookmarkStart w:id="134" w:name="_Toc197780476"/>
      <w:r>
        <w:rPr>
          <w:rFonts w:hint="eastAsia"/>
          <w:highlight w:val="none"/>
          <w:lang w:val="en-US" w:eastAsia="zh-CN"/>
        </w:rPr>
        <w:t xml:space="preserve"> </w:t>
      </w:r>
      <w:r>
        <w:rPr>
          <w:rFonts w:hint="eastAsia"/>
          <w:highlight w:val="none"/>
        </w:rPr>
        <w:t>系统集成</w:t>
      </w:r>
      <w:bookmarkEnd w:id="134"/>
    </w:p>
    <w:p w14:paraId="432C24E1">
      <w:pPr>
        <w:pStyle w:val="12"/>
        <w:shd w:val="clear" w:color="auto" w:fill="auto"/>
        <w:ind w:firstLine="480"/>
        <w:rPr>
          <w:rFonts w:hint="eastAsia"/>
          <w:highlight w:val="none"/>
        </w:rPr>
      </w:pPr>
      <w:r>
        <w:rPr>
          <w:rFonts w:hint="eastAsia"/>
          <w:highlight w:val="none"/>
        </w:rPr>
        <w:t>VTE业务需与HIS、医生站、医嘱等系统深度集成，覆盖住院患者评估、预防、诊断、治疗及质控全过程，实现“全场景智能化闭环管理”。系统在医生开立医嘱时，通过弹窗推送个性化评估与防治建议，辅助临床决策。在医生站可设置VTE质控标识，高危患者自动标记，便于重点关注与排查。护士站同步集成，提供预警与护理提醒。通过对接医院集成平台及电子病历系统，满足数据互通要求，实现临床与质控数据共享，支持VTE智能预警与决策。</w:t>
      </w:r>
    </w:p>
    <w:p w14:paraId="2A24A6EC">
      <w:pPr>
        <w:pStyle w:val="5"/>
        <w:rPr>
          <w:rFonts w:hint="eastAsia"/>
          <w:highlight w:val="none"/>
        </w:rPr>
      </w:pPr>
      <w:r>
        <w:rPr>
          <w:rFonts w:hint="eastAsia"/>
          <w:highlight w:val="none"/>
          <w:lang w:val="en-US" w:eastAsia="zh-CN"/>
        </w:rPr>
        <w:t xml:space="preserve"> </w:t>
      </w:r>
      <w:r>
        <w:rPr>
          <w:rFonts w:hint="eastAsia"/>
          <w:highlight w:val="none"/>
        </w:rPr>
        <w:t>临床辅助决策支持系统</w:t>
      </w:r>
    </w:p>
    <w:p w14:paraId="5D3B510B">
      <w:pPr>
        <w:pStyle w:val="12"/>
        <w:shd w:val="clear" w:color="auto" w:fill="auto"/>
        <w:ind w:firstLine="480"/>
        <w:rPr>
          <w:rFonts w:hint="eastAsia"/>
          <w:highlight w:val="none"/>
        </w:rPr>
      </w:pPr>
      <w:r>
        <w:rPr>
          <w:rFonts w:hint="eastAsia"/>
          <w:highlight w:val="none"/>
        </w:rPr>
        <w:t>临床决策支持系统（CDSS）由知识库、AI组件、交互场景三部分组成，系统覆盖辅助诊断、鉴别诊断、检验检查分析、推荐治疗方案、推荐手术、质控提醒等临床业务，支持对医嘱类结构化临床数据、病历文书类非结构化数据的智能辅助和决策支持。</w:t>
      </w:r>
    </w:p>
    <w:p w14:paraId="2D2C80C5">
      <w:pPr>
        <w:pStyle w:val="6"/>
        <w:rPr>
          <w:rFonts w:hint="eastAsia"/>
          <w:highlight w:val="none"/>
        </w:rPr>
      </w:pPr>
      <w:bookmarkStart w:id="135" w:name="_Toc197780250"/>
      <w:r>
        <w:rPr>
          <w:rFonts w:hint="eastAsia"/>
          <w:highlight w:val="none"/>
          <w:lang w:val="en-US" w:eastAsia="zh-CN"/>
        </w:rPr>
        <w:t xml:space="preserve"> </w:t>
      </w:r>
      <w:r>
        <w:rPr>
          <w:rFonts w:hint="eastAsia"/>
          <w:highlight w:val="none"/>
        </w:rPr>
        <w:t>知识库</w:t>
      </w:r>
      <w:bookmarkEnd w:id="135"/>
    </w:p>
    <w:p w14:paraId="4C90165C">
      <w:pPr>
        <w:pStyle w:val="12"/>
        <w:shd w:val="clear" w:color="auto" w:fill="auto"/>
        <w:ind w:firstLine="480"/>
        <w:rPr>
          <w:rFonts w:hint="eastAsia"/>
          <w:highlight w:val="none"/>
        </w:rPr>
      </w:pPr>
      <w:r>
        <w:rPr>
          <w:rFonts w:hint="eastAsia"/>
          <w:highlight w:val="none"/>
        </w:rPr>
        <w:t>知识库支持疾病和症状主题结构，涵盖30个以上临床学科及3000种以上ICD-10疾病诊断，内置指南、量表等资料，并具备检索功能；同时支持内容定期更新。</w:t>
      </w:r>
    </w:p>
    <w:p w14:paraId="162CB883">
      <w:pPr>
        <w:pStyle w:val="6"/>
        <w:rPr>
          <w:rFonts w:hint="eastAsia"/>
          <w:highlight w:val="none"/>
        </w:rPr>
      </w:pPr>
      <w:bookmarkStart w:id="136" w:name="_Toc197780253"/>
      <w:r>
        <w:rPr>
          <w:rFonts w:hint="eastAsia"/>
          <w:highlight w:val="none"/>
          <w:lang w:val="en-US" w:eastAsia="zh-CN"/>
        </w:rPr>
        <w:t xml:space="preserve"> </w:t>
      </w:r>
      <w:r>
        <w:rPr>
          <w:rFonts w:hint="eastAsia"/>
          <w:highlight w:val="none"/>
        </w:rPr>
        <w:t>AI智能引擎</w:t>
      </w:r>
      <w:bookmarkEnd w:id="136"/>
    </w:p>
    <w:p w14:paraId="2AFAF75C">
      <w:pPr>
        <w:pStyle w:val="12"/>
        <w:shd w:val="clear" w:color="auto" w:fill="auto"/>
        <w:ind w:firstLine="480"/>
        <w:rPr>
          <w:rFonts w:hint="eastAsia"/>
          <w:highlight w:val="none"/>
        </w:rPr>
      </w:pPr>
      <w:r>
        <w:rPr>
          <w:rFonts w:hint="eastAsia"/>
          <w:highlight w:val="none"/>
        </w:rPr>
        <w:t>医学NLP系统支持中文分词、词性标注及可视化处理；知识图谱需基于循证医学案例，结合神经网络与认知计算等技术构建智能医学库，并支持可视化展示。</w:t>
      </w:r>
    </w:p>
    <w:p w14:paraId="3B70A4C3">
      <w:pPr>
        <w:pStyle w:val="6"/>
        <w:rPr>
          <w:rFonts w:hint="eastAsia"/>
          <w:highlight w:val="none"/>
        </w:rPr>
      </w:pPr>
      <w:bookmarkStart w:id="137" w:name="_Toc197780256"/>
      <w:r>
        <w:rPr>
          <w:rFonts w:hint="eastAsia"/>
          <w:highlight w:val="none"/>
          <w:lang w:val="en-US" w:eastAsia="zh-CN"/>
        </w:rPr>
        <w:t xml:space="preserve"> </w:t>
      </w:r>
      <w:r>
        <w:rPr>
          <w:rFonts w:hint="eastAsia"/>
          <w:highlight w:val="none"/>
        </w:rPr>
        <w:t>规则引擎</w:t>
      </w:r>
      <w:bookmarkEnd w:id="137"/>
    </w:p>
    <w:p w14:paraId="4EC78287">
      <w:pPr>
        <w:pStyle w:val="12"/>
        <w:shd w:val="clear" w:color="auto" w:fill="auto"/>
        <w:ind w:firstLine="480"/>
        <w:rPr>
          <w:rFonts w:hint="eastAsia"/>
          <w:highlight w:val="none"/>
        </w:rPr>
      </w:pPr>
      <w:r>
        <w:rPr>
          <w:rFonts w:hint="eastAsia"/>
          <w:highlight w:val="none"/>
        </w:rPr>
        <w:t>系统支持根据医院及专科特点补充完善知识库，提供维护工具用于检查、检验、治疗知识的个性化配置与场景应用。支持统计与提醒功能，记录知识使用及提醒情况。可维护禁忌症状、疾病、病史、过敏史、药物、项目冲突及患者注意事项等多维知识，按检查项目/类别、检验标本/大项/小项进行知识管理，涵盖正常值、危急值、药物与疾病影响等内容，并支持治疗相关禁忌与注意事项的配置。系统可在新开医嘱、标本签收与采集等环节启用提醒。后台支持统计服务医生数量与次数、质控与推荐次数、热搜词条及各类提醒数据，提供知识库规则与属性的初始化数量汇总与使用总览。</w:t>
      </w:r>
    </w:p>
    <w:p w14:paraId="00164182">
      <w:pPr>
        <w:pStyle w:val="6"/>
        <w:rPr>
          <w:rFonts w:hint="eastAsia"/>
          <w:highlight w:val="none"/>
        </w:rPr>
      </w:pPr>
      <w:bookmarkStart w:id="138" w:name="_Toc197780257"/>
      <w:r>
        <w:rPr>
          <w:rFonts w:hint="eastAsia"/>
          <w:highlight w:val="none"/>
          <w:lang w:val="en-US" w:eastAsia="zh-CN"/>
        </w:rPr>
        <w:t xml:space="preserve"> </w:t>
      </w:r>
      <w:r>
        <w:rPr>
          <w:rFonts w:hint="eastAsia"/>
          <w:highlight w:val="none"/>
        </w:rPr>
        <w:t>辅助决策</w:t>
      </w:r>
      <w:bookmarkEnd w:id="138"/>
    </w:p>
    <w:p w14:paraId="77E32D5F">
      <w:pPr>
        <w:pStyle w:val="12"/>
        <w:shd w:val="clear" w:color="auto" w:fill="auto"/>
        <w:ind w:firstLine="480"/>
        <w:rPr>
          <w:rFonts w:hint="eastAsia"/>
          <w:highlight w:val="none"/>
        </w:rPr>
      </w:pPr>
      <w:r>
        <w:rPr>
          <w:rFonts w:hint="eastAsia"/>
          <w:highlight w:val="none"/>
        </w:rPr>
        <w:t>系统支持基于诱因、症状、体征、检验、检查、病史、过敏史、用药史、手术史、家族史、婚育史、个人史等12个维度进行疑似诊断推荐，并按可能性从高到低排序。支持依据疾病与症状体征的相关性，推荐该疾病的常见表现。能根据性别、年龄、症状、体征、诊断、妊娠状态及既往结果等信息推荐鉴别诊断、适宜药品、检查检验项目及评估表。同时，根据初诊诊断及患者基本信息、病史、检查检验结果等，推荐用于确诊、鉴别或治疗的检查项目和手术方案。</w:t>
      </w:r>
    </w:p>
    <w:p w14:paraId="02A88A4A">
      <w:pPr>
        <w:pStyle w:val="6"/>
        <w:rPr>
          <w:rFonts w:hint="eastAsia"/>
          <w:highlight w:val="none"/>
        </w:rPr>
      </w:pPr>
      <w:bookmarkStart w:id="139" w:name="_Toc197780258"/>
      <w:r>
        <w:rPr>
          <w:rFonts w:hint="eastAsia"/>
          <w:highlight w:val="none"/>
          <w:lang w:val="en-US" w:eastAsia="zh-CN"/>
        </w:rPr>
        <w:t xml:space="preserve"> </w:t>
      </w:r>
      <w:r>
        <w:rPr>
          <w:rFonts w:hint="eastAsia"/>
          <w:highlight w:val="none"/>
        </w:rPr>
        <w:t>过程质量监控</w:t>
      </w:r>
      <w:bookmarkEnd w:id="139"/>
    </w:p>
    <w:p w14:paraId="7CE5414E">
      <w:pPr>
        <w:pStyle w:val="12"/>
        <w:shd w:val="clear" w:color="auto" w:fill="auto"/>
        <w:ind w:firstLine="480"/>
        <w:rPr>
          <w:rFonts w:hint="eastAsia"/>
          <w:highlight w:val="none"/>
        </w:rPr>
      </w:pPr>
      <w:r>
        <w:rPr>
          <w:rFonts w:hint="eastAsia"/>
          <w:highlight w:val="none"/>
        </w:rPr>
        <w:t>系统支持医生在下达检验、检查及其他类医嘱时，基于患者性别、年龄、诊断、病史、用药、妊娠状态、检验/检查结果、血型、体征等信息，自动审核申请合理性并提示问题。</w:t>
      </w:r>
    </w:p>
    <w:p w14:paraId="34A58B44">
      <w:pPr>
        <w:pStyle w:val="12"/>
        <w:shd w:val="clear" w:color="auto" w:fill="auto"/>
        <w:ind w:firstLine="480"/>
        <w:rPr>
          <w:rFonts w:hint="eastAsia"/>
          <w:highlight w:val="none"/>
        </w:rPr>
      </w:pPr>
      <w:r>
        <w:rPr>
          <w:rFonts w:hint="eastAsia"/>
          <w:highlight w:val="none"/>
        </w:rPr>
        <w:t>输血申请需结合诊断、病史、血型、身高体重等进行合理性校验；治疗类医嘱（包括高压氧、血透）需根据性别、年龄、妊娠状态、诊断等进行自动提醒；血透方案可依据检验结果和体征提供辅助建议。</w:t>
      </w:r>
    </w:p>
    <w:p w14:paraId="1F94609A">
      <w:pPr>
        <w:pStyle w:val="12"/>
        <w:shd w:val="clear" w:color="auto" w:fill="auto"/>
        <w:ind w:firstLine="480"/>
        <w:rPr>
          <w:rFonts w:hint="eastAsia"/>
          <w:highlight w:val="none"/>
        </w:rPr>
      </w:pPr>
      <w:r>
        <w:rPr>
          <w:rFonts w:hint="eastAsia"/>
          <w:highlight w:val="none"/>
        </w:rPr>
        <w:t>系统对接重症系统，实时监测异常体征并发出风险预警；护士采样时，系统根据生理周期、诊断、用药判断标本有效性；医技科接收标本时，结合患者信息进行检验合理性与风险分析。</w:t>
      </w:r>
    </w:p>
    <w:p w14:paraId="66B19BF0">
      <w:pPr>
        <w:pStyle w:val="12"/>
        <w:shd w:val="clear" w:color="auto" w:fill="auto"/>
        <w:ind w:firstLine="480"/>
        <w:rPr>
          <w:rFonts w:hint="eastAsia"/>
          <w:highlight w:val="none"/>
        </w:rPr>
      </w:pPr>
      <w:r>
        <w:rPr>
          <w:rFonts w:hint="eastAsia"/>
          <w:highlight w:val="none"/>
        </w:rPr>
        <w:t>执行医嘱时，CDSS依据病历信息识别风险，重点质控高危医嘱的给药时间、妊娠冲突及过敏史，并提醒护士关注血压、症状等注意事项。</w:t>
      </w:r>
    </w:p>
    <w:p w14:paraId="5790081C">
      <w:pPr>
        <w:pStyle w:val="12"/>
        <w:shd w:val="clear" w:color="auto" w:fill="auto"/>
        <w:ind w:firstLine="480"/>
        <w:rPr>
          <w:rFonts w:hint="eastAsia"/>
          <w:highlight w:val="none"/>
        </w:rPr>
      </w:pPr>
      <w:r>
        <w:rPr>
          <w:rFonts w:hint="eastAsia"/>
          <w:highlight w:val="none"/>
        </w:rPr>
        <w:t>系统还结合检验、检查结果、评估信息与知识库，对高风险手术提供预警提示。</w:t>
      </w:r>
    </w:p>
    <w:p w14:paraId="6977EDFC">
      <w:pPr>
        <w:pStyle w:val="6"/>
        <w:rPr>
          <w:rFonts w:hint="eastAsia"/>
          <w:highlight w:val="none"/>
        </w:rPr>
      </w:pPr>
      <w:bookmarkStart w:id="140" w:name="_Toc197780263"/>
      <w:r>
        <w:rPr>
          <w:rFonts w:hint="eastAsia"/>
          <w:highlight w:val="none"/>
          <w:lang w:val="en-US" w:eastAsia="zh-CN"/>
        </w:rPr>
        <w:t xml:space="preserve"> </w:t>
      </w:r>
      <w:r>
        <w:rPr>
          <w:rFonts w:hint="eastAsia"/>
          <w:highlight w:val="none"/>
        </w:rPr>
        <w:t>统计分析</w:t>
      </w:r>
      <w:bookmarkEnd w:id="140"/>
    </w:p>
    <w:p w14:paraId="7C62AA52">
      <w:pPr>
        <w:pStyle w:val="12"/>
        <w:shd w:val="clear" w:color="auto" w:fill="auto"/>
        <w:ind w:firstLine="480"/>
        <w:rPr>
          <w:rFonts w:hint="eastAsia"/>
          <w:highlight w:val="none"/>
        </w:rPr>
      </w:pPr>
      <w:r>
        <w:rPr>
          <w:rFonts w:hint="eastAsia"/>
          <w:highlight w:val="none"/>
        </w:rPr>
        <w:t>系统支持CDSS质控提醒的统计，涵盖检查、检验、诊断、手术、用血、康复等内容，可查看时间趋势、科室预警TOP10、预警类型及规则TOP10；同时支持点击量分析，包括医生点击、患者覆盖、智能推荐次数，以及时间趋势、科室和医生点击量TOP10。</w:t>
      </w:r>
    </w:p>
    <w:p w14:paraId="3E42D3D9">
      <w:pPr>
        <w:pStyle w:val="5"/>
        <w:rPr>
          <w:rFonts w:hint="eastAsia"/>
          <w:highlight w:val="none"/>
        </w:rPr>
      </w:pPr>
      <w:r>
        <w:rPr>
          <w:rFonts w:hint="eastAsia"/>
          <w:highlight w:val="none"/>
          <w:lang w:val="en-US" w:eastAsia="zh-CN"/>
        </w:rPr>
        <w:t xml:space="preserve"> </w:t>
      </w:r>
      <w:r>
        <w:rPr>
          <w:rFonts w:hint="eastAsia"/>
          <w:highlight w:val="none"/>
        </w:rPr>
        <w:t>AI大模型</w:t>
      </w:r>
    </w:p>
    <w:p w14:paraId="20079802">
      <w:pPr>
        <w:pStyle w:val="6"/>
        <w:rPr>
          <w:rFonts w:hint="eastAsia"/>
          <w:highlight w:val="none"/>
        </w:rPr>
      </w:pPr>
      <w:r>
        <w:rPr>
          <w:rFonts w:hint="eastAsia"/>
          <w:highlight w:val="none"/>
          <w:lang w:val="en-US" w:eastAsia="zh-CN"/>
        </w:rPr>
        <w:t xml:space="preserve"> </w:t>
      </w:r>
      <w:r>
        <w:rPr>
          <w:rFonts w:hint="eastAsia"/>
          <w:highlight w:val="none"/>
        </w:rPr>
        <w:t>病历服务智能体</w:t>
      </w:r>
    </w:p>
    <w:p w14:paraId="5132E1D5">
      <w:pPr>
        <w:pStyle w:val="7"/>
        <w:rPr>
          <w:rFonts w:hint="eastAsia"/>
          <w:highlight w:val="none"/>
        </w:rPr>
      </w:pPr>
      <w:bookmarkStart w:id="141" w:name="_Toc97072215"/>
      <w:r>
        <w:rPr>
          <w:rFonts w:hint="eastAsia"/>
          <w:highlight w:val="none"/>
          <w:lang w:val="en-US" w:eastAsia="zh-CN"/>
        </w:rPr>
        <w:t xml:space="preserve"> </w:t>
      </w:r>
      <w:r>
        <w:rPr>
          <w:rFonts w:hint="eastAsia"/>
          <w:highlight w:val="none"/>
        </w:rPr>
        <w:t>病历点评</w:t>
      </w:r>
    </w:p>
    <w:bookmarkEnd w:id="141"/>
    <w:p w14:paraId="2050D3AF">
      <w:pPr>
        <w:pStyle w:val="12"/>
        <w:shd w:val="clear" w:color="auto" w:fill="auto"/>
        <w:ind w:firstLine="480"/>
        <w:rPr>
          <w:rFonts w:hint="eastAsia"/>
          <w:highlight w:val="none"/>
        </w:rPr>
      </w:pPr>
      <w:r>
        <w:rPr>
          <w:rFonts w:hint="eastAsia"/>
          <w:highlight w:val="none"/>
        </w:rPr>
        <w:t>病历点评引擎基于DeepSeek等成熟开源大语言模型，具备语言理解与逻辑推理能力；可快速识别病历中的错别字、语句不通等语言问题，并依据《病历书写基本规范》等标准检测医学缺陷；支持错误溯源，定位原文并关联规范要求，提供修改建议；可在书写过程中实时点评，显示缺陷、原文、理由、建议及依据，支持医生判断点评合理性，并实现缺陷一键跳转定位。</w:t>
      </w:r>
    </w:p>
    <w:p w14:paraId="16B9E7B3">
      <w:pPr>
        <w:pStyle w:val="7"/>
        <w:rPr>
          <w:rFonts w:hint="eastAsia"/>
          <w:highlight w:val="none"/>
        </w:rPr>
      </w:pPr>
      <w:r>
        <w:rPr>
          <w:rFonts w:hint="eastAsia"/>
          <w:highlight w:val="none"/>
          <w:lang w:val="en-US" w:eastAsia="zh-CN"/>
        </w:rPr>
        <w:t xml:space="preserve"> </w:t>
      </w:r>
      <w:r>
        <w:rPr>
          <w:rFonts w:hint="eastAsia"/>
          <w:highlight w:val="none"/>
        </w:rPr>
        <w:t>病历生成</w:t>
      </w:r>
    </w:p>
    <w:p w14:paraId="60A14582">
      <w:pPr>
        <w:pStyle w:val="8"/>
        <w:rPr>
          <w:rFonts w:hint="eastAsia"/>
          <w:highlight w:val="none"/>
        </w:rPr>
      </w:pPr>
      <w:r>
        <w:rPr>
          <w:rFonts w:hint="eastAsia"/>
          <w:highlight w:val="none"/>
          <w:lang w:val="en-US" w:eastAsia="zh-CN"/>
        </w:rPr>
        <w:t xml:space="preserve"> </w:t>
      </w:r>
      <w:r>
        <w:rPr>
          <w:rFonts w:hint="eastAsia"/>
          <w:highlight w:val="none"/>
        </w:rPr>
        <w:t>病历生成引擎</w:t>
      </w:r>
    </w:p>
    <w:p w14:paraId="3A21FF38">
      <w:pPr>
        <w:pStyle w:val="12"/>
        <w:shd w:val="clear" w:color="auto" w:fill="auto"/>
        <w:ind w:firstLine="480"/>
        <w:rPr>
          <w:rFonts w:hint="eastAsia"/>
          <w:highlight w:val="none"/>
        </w:rPr>
      </w:pPr>
      <w:r>
        <w:rPr>
          <w:highlight w:val="none"/>
        </w:rPr>
        <w:t>支持采用成熟的开源大语言模型为底座，如DeepSeek、Qwen等，具备强大的语言理解和逻辑推理能力；</w:t>
      </w:r>
    </w:p>
    <w:p w14:paraId="4F5651F3">
      <w:pPr>
        <w:pStyle w:val="12"/>
        <w:shd w:val="clear" w:color="auto" w:fill="auto"/>
        <w:ind w:firstLine="480"/>
        <w:rPr>
          <w:rFonts w:hint="eastAsia"/>
          <w:highlight w:val="none"/>
        </w:rPr>
      </w:pPr>
      <w:r>
        <w:rPr>
          <w:highlight w:val="none"/>
        </w:rPr>
        <w:t>支持快速生成符合《病历书写基本规范》和业内相关标准的多种临床场景病历；</w:t>
      </w:r>
    </w:p>
    <w:p w14:paraId="199B6E7A">
      <w:pPr>
        <w:pStyle w:val="12"/>
        <w:shd w:val="clear" w:color="auto" w:fill="auto"/>
        <w:ind w:firstLine="480"/>
        <w:rPr>
          <w:rFonts w:hint="eastAsia"/>
          <w:highlight w:val="none"/>
        </w:rPr>
      </w:pPr>
      <w:r>
        <w:rPr>
          <w:highlight w:val="none"/>
        </w:rPr>
        <w:t>支持病历生成个性化调整，确保生成的病历适应不同医院、科室等临床场景的需求；</w:t>
      </w:r>
    </w:p>
    <w:p w14:paraId="5FB444CB">
      <w:pPr>
        <w:pStyle w:val="12"/>
        <w:shd w:val="clear" w:color="auto" w:fill="auto"/>
        <w:ind w:firstLine="480"/>
        <w:rPr>
          <w:rFonts w:hint="eastAsia"/>
          <w:highlight w:val="none"/>
        </w:rPr>
      </w:pPr>
      <w:r>
        <w:rPr>
          <w:highlight w:val="none"/>
        </w:rPr>
        <w:t>支持病历溯源机制，可以逐句查看生成病历的数据来源，确保病历的可验证性与合规性；</w:t>
      </w:r>
    </w:p>
    <w:p w14:paraId="7CFC368D">
      <w:pPr>
        <w:pStyle w:val="8"/>
        <w:rPr>
          <w:rFonts w:hint="eastAsia"/>
          <w:highlight w:val="none"/>
        </w:rPr>
      </w:pPr>
      <w:r>
        <w:rPr>
          <w:rFonts w:hint="eastAsia"/>
          <w:highlight w:val="none"/>
          <w:lang w:val="en-US" w:eastAsia="zh-CN"/>
        </w:rPr>
        <w:t xml:space="preserve"> </w:t>
      </w:r>
      <w:r>
        <w:rPr>
          <w:rFonts w:hint="eastAsia"/>
          <w:highlight w:val="none"/>
        </w:rPr>
        <w:t>出院小结</w:t>
      </w:r>
    </w:p>
    <w:p w14:paraId="405CF8B2">
      <w:pPr>
        <w:pStyle w:val="12"/>
        <w:shd w:val="clear" w:color="auto" w:fill="auto"/>
        <w:ind w:firstLine="480"/>
        <w:rPr>
          <w:rFonts w:hint="eastAsia"/>
          <w:highlight w:val="none"/>
        </w:rPr>
      </w:pPr>
      <w:r>
        <w:rPr>
          <w:rFonts w:hint="eastAsia"/>
          <w:highlight w:val="none"/>
        </w:rPr>
        <w:t>支持医生书写出院小结时参考病历生成的内容。</w:t>
      </w:r>
    </w:p>
    <w:p w14:paraId="6218C9EC">
      <w:pPr>
        <w:pStyle w:val="12"/>
        <w:shd w:val="clear" w:color="auto" w:fill="auto"/>
        <w:ind w:firstLine="480"/>
        <w:rPr>
          <w:rFonts w:hint="eastAsia"/>
          <w:highlight w:val="none"/>
        </w:rPr>
      </w:pPr>
      <w:r>
        <w:rPr>
          <w:rFonts w:hint="eastAsia"/>
          <w:highlight w:val="none"/>
        </w:rPr>
        <w:t>支持生成的内容至少包括入院情况、诊疗经过、出院情况三个章节。</w:t>
      </w:r>
    </w:p>
    <w:p w14:paraId="3237A036">
      <w:pPr>
        <w:pStyle w:val="12"/>
        <w:shd w:val="clear" w:color="auto" w:fill="auto"/>
        <w:ind w:firstLine="480"/>
        <w:rPr>
          <w:rFonts w:hint="eastAsia"/>
          <w:highlight w:val="none"/>
        </w:rPr>
      </w:pPr>
      <w:r>
        <w:rPr>
          <w:rFonts w:hint="eastAsia"/>
          <w:highlight w:val="none"/>
        </w:rPr>
        <w:t>支持生成的内容写入病历中。</w:t>
      </w:r>
    </w:p>
    <w:p w14:paraId="4FC7CBE5">
      <w:pPr>
        <w:pStyle w:val="12"/>
        <w:shd w:val="clear" w:color="auto" w:fill="auto"/>
        <w:ind w:firstLine="480"/>
        <w:rPr>
          <w:rFonts w:hint="eastAsia"/>
          <w:highlight w:val="none"/>
        </w:rPr>
      </w:pPr>
      <w:r>
        <w:rPr>
          <w:rFonts w:hint="eastAsia"/>
          <w:highlight w:val="none"/>
        </w:rPr>
        <w:t>支持对结果进行评价。</w:t>
      </w:r>
    </w:p>
    <w:p w14:paraId="2C4E14EA">
      <w:pPr>
        <w:pStyle w:val="12"/>
        <w:shd w:val="clear" w:color="auto" w:fill="auto"/>
        <w:ind w:firstLine="480"/>
        <w:rPr>
          <w:rFonts w:hint="eastAsia"/>
          <w:highlight w:val="none"/>
        </w:rPr>
      </w:pPr>
      <w:r>
        <w:rPr>
          <w:rFonts w:hint="eastAsia"/>
          <w:highlight w:val="none"/>
        </w:rPr>
        <w:t>支持生成的内容追溯数据来源，用于医生判断数据可信性。</w:t>
      </w:r>
    </w:p>
    <w:p w14:paraId="6C13094E">
      <w:pPr>
        <w:pStyle w:val="7"/>
        <w:rPr>
          <w:rFonts w:hint="eastAsia"/>
          <w:highlight w:val="none"/>
        </w:rPr>
      </w:pPr>
      <w:r>
        <w:rPr>
          <w:rFonts w:hint="eastAsia"/>
          <w:highlight w:val="none"/>
          <w:lang w:val="en-US" w:eastAsia="zh-CN"/>
        </w:rPr>
        <w:t xml:space="preserve"> </w:t>
      </w:r>
      <w:r>
        <w:rPr>
          <w:rFonts w:hint="eastAsia"/>
          <w:highlight w:val="none"/>
        </w:rPr>
        <w:t>内涵质控</w:t>
      </w:r>
    </w:p>
    <w:p w14:paraId="35549956">
      <w:pPr>
        <w:pStyle w:val="8"/>
        <w:rPr>
          <w:rFonts w:hint="eastAsia"/>
          <w:highlight w:val="none"/>
        </w:rPr>
      </w:pPr>
      <w:r>
        <w:rPr>
          <w:rFonts w:hint="eastAsia"/>
          <w:highlight w:val="none"/>
          <w:lang w:val="en-US" w:eastAsia="zh-CN"/>
        </w:rPr>
        <w:t xml:space="preserve"> </w:t>
      </w:r>
      <w:r>
        <w:rPr>
          <w:highlight w:val="none"/>
        </w:rPr>
        <w:t>人工智能引擎</w:t>
      </w:r>
    </w:p>
    <w:p w14:paraId="6F55080C">
      <w:pPr>
        <w:pStyle w:val="12"/>
        <w:shd w:val="clear" w:color="auto" w:fill="auto"/>
        <w:ind w:firstLine="480"/>
        <w:rPr>
          <w:rFonts w:hint="eastAsia"/>
          <w:highlight w:val="none"/>
        </w:rPr>
      </w:pPr>
      <w:r>
        <w:rPr>
          <w:highlight w:val="none"/>
        </w:rPr>
        <w:t>基于主流开源大语言模型（如DeepSeek、Qwen等）构建智能推理引擎，具备Transformer核心组件，以实现高效的自然语言处理任务。</w:t>
      </w:r>
    </w:p>
    <w:p w14:paraId="7E5A761C">
      <w:pPr>
        <w:pStyle w:val="12"/>
        <w:shd w:val="clear" w:color="auto" w:fill="auto"/>
        <w:ind w:firstLine="480"/>
        <w:rPr>
          <w:rFonts w:hint="eastAsia"/>
          <w:highlight w:val="none"/>
        </w:rPr>
      </w:pPr>
      <w:r>
        <w:rPr>
          <w:highlight w:val="none"/>
        </w:rPr>
        <w:t>支持复杂病历的逻辑矛盾检测，确保病历内容的严谨性和科学性。</w:t>
      </w:r>
    </w:p>
    <w:p w14:paraId="31154C06">
      <w:pPr>
        <w:pStyle w:val="12"/>
        <w:shd w:val="clear" w:color="auto" w:fill="auto"/>
        <w:ind w:firstLine="480"/>
        <w:rPr>
          <w:rFonts w:hint="eastAsia"/>
          <w:highlight w:val="none"/>
        </w:rPr>
      </w:pPr>
      <w:r>
        <w:rPr>
          <w:highlight w:val="none"/>
        </w:rPr>
        <w:t>利用检索增强生成机制，从大规模语料库中检索与训练样本相关的信息，丰富训练数据的上下文，提升模型对复杂语义和领域知识的理解与生成能力。</w:t>
      </w:r>
    </w:p>
    <w:p w14:paraId="65EA35B3">
      <w:pPr>
        <w:pStyle w:val="12"/>
        <w:shd w:val="clear" w:color="auto" w:fill="auto"/>
        <w:ind w:firstLine="480"/>
        <w:rPr>
          <w:rFonts w:hint="eastAsia"/>
          <w:highlight w:val="none"/>
        </w:rPr>
      </w:pPr>
      <w:r>
        <w:rPr>
          <w:rFonts w:hint="eastAsia"/>
          <w:highlight w:val="none"/>
        </w:rPr>
        <w:t>引擎系统具备高效</w:t>
      </w:r>
      <w:r>
        <w:rPr>
          <w:highlight w:val="none"/>
        </w:rPr>
        <w:t>处理效率，单份病历分析响应时间≤2秒（从数据输入到缺陷输出）</w:t>
      </w:r>
      <w:r>
        <w:rPr>
          <w:rFonts w:hint="eastAsia"/>
          <w:highlight w:val="none"/>
        </w:rPr>
        <w:t>。</w:t>
      </w:r>
    </w:p>
    <w:p w14:paraId="206CB206">
      <w:pPr>
        <w:pStyle w:val="12"/>
        <w:shd w:val="clear" w:color="auto" w:fill="auto"/>
        <w:ind w:firstLine="480"/>
        <w:rPr>
          <w:rFonts w:hint="eastAsia"/>
          <w:highlight w:val="none"/>
        </w:rPr>
      </w:pPr>
      <w:r>
        <w:rPr>
          <w:rFonts w:hint="eastAsia"/>
          <w:highlight w:val="none"/>
        </w:rPr>
        <w:t>引擎系统具备</w:t>
      </w:r>
      <w:r>
        <w:rPr>
          <w:highlight w:val="none"/>
        </w:rPr>
        <w:t>批量处理</w:t>
      </w:r>
      <w:r>
        <w:rPr>
          <w:rFonts w:hint="eastAsia"/>
          <w:highlight w:val="none"/>
        </w:rPr>
        <w:t>能力，</w:t>
      </w:r>
      <w:r>
        <w:rPr>
          <w:highlight w:val="none"/>
        </w:rPr>
        <w:t>支持每小时处理≥10,000份病历，并发线程数≥200。</w:t>
      </w:r>
    </w:p>
    <w:p w14:paraId="1FF3F2E2">
      <w:pPr>
        <w:pStyle w:val="12"/>
        <w:shd w:val="clear" w:color="auto" w:fill="auto"/>
        <w:ind w:firstLine="480"/>
        <w:rPr>
          <w:rFonts w:hint="eastAsia"/>
          <w:highlight w:val="none"/>
        </w:rPr>
      </w:pPr>
      <w:r>
        <w:rPr>
          <w:highlight w:val="none"/>
        </w:rPr>
        <w:t>支持国产化环境</w:t>
      </w:r>
      <w:r>
        <w:rPr>
          <w:rFonts w:hint="eastAsia"/>
          <w:highlight w:val="none"/>
        </w:rPr>
        <w:t>,</w:t>
      </w:r>
      <w:r>
        <w:rPr>
          <w:highlight w:val="none"/>
        </w:rPr>
        <w:t>适配鲲鹏、昇腾芯片及统信UOS操作系统</w:t>
      </w:r>
      <w:r>
        <w:rPr>
          <w:rFonts w:hint="eastAsia"/>
          <w:highlight w:val="none"/>
        </w:rPr>
        <w:t>。</w:t>
      </w:r>
    </w:p>
    <w:p w14:paraId="5E4EF6EB">
      <w:pPr>
        <w:pStyle w:val="12"/>
        <w:shd w:val="clear" w:color="auto" w:fill="auto"/>
        <w:ind w:firstLine="480"/>
        <w:rPr>
          <w:rFonts w:hint="eastAsia"/>
          <w:highlight w:val="none"/>
        </w:rPr>
      </w:pPr>
      <w:r>
        <w:rPr>
          <w:rFonts w:hint="eastAsia"/>
          <w:highlight w:val="none"/>
        </w:rPr>
        <w:t>支持</w:t>
      </w:r>
      <w:r>
        <w:rPr>
          <w:highlight w:val="none"/>
        </w:rPr>
        <w:t>微服务架构</w:t>
      </w:r>
      <w:r>
        <w:rPr>
          <w:rFonts w:hint="eastAsia"/>
          <w:highlight w:val="none"/>
        </w:rPr>
        <w:t>，</w:t>
      </w:r>
      <w:r>
        <w:rPr>
          <w:highlight w:val="none"/>
        </w:rPr>
        <w:t>提供RESTful API接口，支持与医院EMR、HIS系统无缝集成。</w:t>
      </w:r>
    </w:p>
    <w:p w14:paraId="464335D0">
      <w:pPr>
        <w:pStyle w:val="8"/>
        <w:rPr>
          <w:rFonts w:hint="eastAsia"/>
          <w:highlight w:val="none"/>
        </w:rPr>
      </w:pPr>
      <w:r>
        <w:rPr>
          <w:rFonts w:hint="eastAsia"/>
          <w:highlight w:val="none"/>
          <w:lang w:val="en-US" w:eastAsia="zh-CN"/>
        </w:rPr>
        <w:t xml:space="preserve"> </w:t>
      </w:r>
      <w:r>
        <w:rPr>
          <w:highlight w:val="none"/>
        </w:rPr>
        <w:t>规则知识库</w:t>
      </w:r>
    </w:p>
    <w:p w14:paraId="6E37D3EA">
      <w:pPr>
        <w:pStyle w:val="12"/>
        <w:shd w:val="clear" w:color="auto" w:fill="auto"/>
        <w:ind w:firstLine="480"/>
        <w:rPr>
          <w:rFonts w:hint="eastAsia"/>
          <w:highlight w:val="none"/>
        </w:rPr>
      </w:pPr>
      <w:r>
        <w:rPr>
          <w:rFonts w:hint="eastAsia"/>
          <w:highlight w:val="none"/>
        </w:rPr>
        <w:t>系统涵盖一致性、相似性、内容完整性、合理性、规范性多维度质控规则。</w:t>
      </w:r>
    </w:p>
    <w:p w14:paraId="670FC36F">
      <w:pPr>
        <w:pStyle w:val="12"/>
        <w:shd w:val="clear" w:color="auto" w:fill="auto"/>
        <w:ind w:firstLine="480"/>
        <w:rPr>
          <w:rFonts w:hint="eastAsia"/>
          <w:highlight w:val="none"/>
        </w:rPr>
      </w:pPr>
      <w:r>
        <w:rPr>
          <w:rFonts w:hint="eastAsia"/>
          <w:highlight w:val="none"/>
        </w:rPr>
        <w:t>质控规则从出入院到出院，覆盖多种病历类型，包括但不限于入院记录、病程记录、手术记录、出院小结。</w:t>
      </w:r>
    </w:p>
    <w:p w14:paraId="01D49AF8">
      <w:pPr>
        <w:pStyle w:val="12"/>
        <w:shd w:val="clear" w:color="auto" w:fill="auto"/>
        <w:ind w:firstLine="480"/>
        <w:rPr>
          <w:rFonts w:hint="eastAsia"/>
          <w:highlight w:val="none"/>
        </w:rPr>
      </w:pPr>
      <w:r>
        <w:rPr>
          <w:rFonts w:hint="eastAsia"/>
          <w:highlight w:val="none"/>
        </w:rPr>
        <w:t>支持单份病历文书内容中前后一致性校验，如</w:t>
      </w:r>
      <w:r>
        <w:rPr>
          <w:highlight w:val="none"/>
        </w:rPr>
        <w:t>入院记录</w:t>
      </w:r>
      <w:r>
        <w:rPr>
          <w:rFonts w:hint="eastAsia"/>
          <w:highlight w:val="none"/>
        </w:rPr>
        <w:t>中</w:t>
      </w:r>
      <w:r>
        <w:rPr>
          <w:highlight w:val="none"/>
        </w:rPr>
        <w:t>主诉与现病史症状</w:t>
      </w:r>
      <w:r>
        <w:rPr>
          <w:rFonts w:hint="eastAsia"/>
          <w:highlight w:val="none"/>
        </w:rPr>
        <w:t>描述</w:t>
      </w:r>
      <w:r>
        <w:rPr>
          <w:highlight w:val="none"/>
        </w:rPr>
        <w:t>不一致</w:t>
      </w:r>
      <w:r>
        <w:rPr>
          <w:rFonts w:hint="eastAsia"/>
          <w:highlight w:val="none"/>
        </w:rPr>
        <w:t>。</w:t>
      </w:r>
    </w:p>
    <w:p w14:paraId="06ADFDEA">
      <w:pPr>
        <w:pStyle w:val="12"/>
        <w:shd w:val="clear" w:color="auto" w:fill="auto"/>
        <w:ind w:firstLine="480"/>
        <w:rPr>
          <w:rFonts w:hint="eastAsia"/>
          <w:highlight w:val="none"/>
        </w:rPr>
      </w:pPr>
      <w:r>
        <w:rPr>
          <w:rFonts w:hint="eastAsia"/>
          <w:highlight w:val="none"/>
        </w:rPr>
        <w:t>支持跨文书一致性校验，将入院记录、首次病程记录、日常病程记录、手术记录、出院记录等病历文书进行内容比对是否一致，如入院记录主诉症状与首次病程记录症状不一致，</w:t>
      </w:r>
      <w:r>
        <w:rPr>
          <w:highlight w:val="none"/>
        </w:rPr>
        <w:t>出院记录</w:t>
      </w:r>
      <w:r>
        <w:rPr>
          <w:rFonts w:hint="eastAsia"/>
          <w:highlight w:val="none"/>
        </w:rPr>
        <w:t>中</w:t>
      </w:r>
      <w:r>
        <w:rPr>
          <w:highlight w:val="none"/>
        </w:rPr>
        <w:t>诊疗经过中的手术名称与手术记录</w:t>
      </w:r>
      <w:r>
        <w:rPr>
          <w:rFonts w:hint="eastAsia"/>
          <w:highlight w:val="none"/>
        </w:rPr>
        <w:t>中的</w:t>
      </w:r>
      <w:r>
        <w:rPr>
          <w:highlight w:val="none"/>
        </w:rPr>
        <w:t>不一致</w:t>
      </w:r>
      <w:r>
        <w:rPr>
          <w:rFonts w:hint="eastAsia"/>
          <w:highlight w:val="none"/>
        </w:rPr>
        <w:t>。</w:t>
      </w:r>
    </w:p>
    <w:p w14:paraId="7A38F9F2">
      <w:pPr>
        <w:pStyle w:val="12"/>
        <w:shd w:val="clear" w:color="auto" w:fill="auto"/>
        <w:ind w:firstLine="480"/>
        <w:rPr>
          <w:rFonts w:hint="eastAsia"/>
          <w:highlight w:val="none"/>
        </w:rPr>
      </w:pPr>
      <w:r>
        <w:rPr>
          <w:rFonts w:hint="eastAsia"/>
          <w:highlight w:val="none"/>
        </w:rPr>
        <w:t>支持医嘱的病情变化与文书内容记录进行校验，如病危医嘱</w:t>
      </w:r>
      <w:r>
        <w:rPr>
          <w:highlight w:val="none"/>
        </w:rPr>
        <w:t>执行后</w:t>
      </w:r>
      <w:r>
        <w:rPr>
          <w:rFonts w:hint="eastAsia"/>
          <w:highlight w:val="none"/>
        </w:rPr>
        <w:t>未在2</w:t>
      </w:r>
      <w:r>
        <w:rPr>
          <w:highlight w:val="none"/>
        </w:rPr>
        <w:t>4</w:t>
      </w:r>
      <w:r>
        <w:rPr>
          <w:rFonts w:hint="eastAsia"/>
          <w:highlight w:val="none"/>
        </w:rPr>
        <w:t>小时内的</w:t>
      </w:r>
      <w:r>
        <w:rPr>
          <w:highlight w:val="none"/>
        </w:rPr>
        <w:t>病程</w:t>
      </w:r>
      <w:r>
        <w:rPr>
          <w:rFonts w:hint="eastAsia"/>
          <w:highlight w:val="none"/>
        </w:rPr>
        <w:t>记录中</w:t>
      </w:r>
      <w:r>
        <w:rPr>
          <w:highlight w:val="none"/>
        </w:rPr>
        <w:t>体现相应描述</w:t>
      </w:r>
      <w:r>
        <w:rPr>
          <w:rFonts w:hint="eastAsia"/>
          <w:highlight w:val="none"/>
        </w:rPr>
        <w:t>。</w:t>
      </w:r>
    </w:p>
    <w:p w14:paraId="24B0D617">
      <w:pPr>
        <w:pStyle w:val="12"/>
        <w:shd w:val="clear" w:color="auto" w:fill="auto"/>
        <w:ind w:firstLine="480"/>
        <w:rPr>
          <w:rFonts w:hint="eastAsia"/>
          <w:highlight w:val="none"/>
        </w:rPr>
      </w:pPr>
      <w:r>
        <w:rPr>
          <w:rFonts w:hint="eastAsia"/>
          <w:highlight w:val="none"/>
        </w:rPr>
        <w:t>支持分析医嘱数据，对具体患者的医疗文书记录完整性进行校验，如开立死亡医嘱未书写死亡记录，开立抢救医嘱未写抢救病程记录。</w:t>
      </w:r>
    </w:p>
    <w:p w14:paraId="62716B78">
      <w:pPr>
        <w:pStyle w:val="12"/>
        <w:shd w:val="clear" w:color="auto" w:fill="auto"/>
        <w:ind w:firstLine="480"/>
        <w:rPr>
          <w:rFonts w:hint="eastAsia"/>
          <w:highlight w:val="none"/>
        </w:rPr>
      </w:pPr>
      <w:r>
        <w:rPr>
          <w:rFonts w:hint="eastAsia"/>
          <w:highlight w:val="none"/>
        </w:rPr>
        <w:t>支持诊断与病历文书中记录的内容逻辑一致性校验，如</w:t>
      </w:r>
      <w:r>
        <w:rPr>
          <w:highlight w:val="none"/>
        </w:rPr>
        <w:t>诊断与</w:t>
      </w:r>
      <w:r>
        <w:rPr>
          <w:rFonts w:hint="eastAsia"/>
          <w:highlight w:val="none"/>
        </w:rPr>
        <w:t>入院记录中</w:t>
      </w:r>
      <w:r>
        <w:rPr>
          <w:highlight w:val="none"/>
        </w:rPr>
        <w:t>主诉的部位</w:t>
      </w:r>
      <w:r>
        <w:rPr>
          <w:rFonts w:hint="eastAsia"/>
          <w:highlight w:val="none"/>
        </w:rPr>
        <w:t>（方位）</w:t>
      </w:r>
      <w:r>
        <w:rPr>
          <w:highlight w:val="none"/>
        </w:rPr>
        <w:t>不相符</w:t>
      </w:r>
      <w:r>
        <w:rPr>
          <w:rFonts w:hint="eastAsia"/>
          <w:highlight w:val="none"/>
        </w:rPr>
        <w:t>。</w:t>
      </w:r>
    </w:p>
    <w:p w14:paraId="38914B25">
      <w:pPr>
        <w:pStyle w:val="12"/>
        <w:shd w:val="clear" w:color="auto" w:fill="auto"/>
        <w:ind w:firstLine="480"/>
        <w:rPr>
          <w:rFonts w:hint="eastAsia"/>
          <w:highlight w:val="none"/>
        </w:rPr>
      </w:pPr>
      <w:r>
        <w:rPr>
          <w:rFonts w:hint="eastAsia"/>
          <w:highlight w:val="none"/>
        </w:rPr>
        <w:t>支持病历书写内容的规范性校验，如</w:t>
      </w:r>
      <w:r>
        <w:rPr>
          <w:highlight w:val="none"/>
        </w:rPr>
        <w:t>主诉中的数字未使用阿拉伯数字</w:t>
      </w:r>
      <w:r>
        <w:rPr>
          <w:rFonts w:hint="eastAsia"/>
          <w:highlight w:val="none"/>
        </w:rPr>
        <w:t>。</w:t>
      </w:r>
    </w:p>
    <w:p w14:paraId="073A5DF5">
      <w:pPr>
        <w:pStyle w:val="12"/>
        <w:shd w:val="clear" w:color="auto" w:fill="auto"/>
        <w:ind w:firstLine="480"/>
        <w:rPr>
          <w:rFonts w:hint="eastAsia"/>
          <w:highlight w:val="none"/>
        </w:rPr>
      </w:pPr>
      <w:r>
        <w:rPr>
          <w:rFonts w:hint="eastAsia"/>
          <w:highlight w:val="none"/>
        </w:rPr>
        <w:t>支持病历书写内容的合理性校验，如</w:t>
      </w:r>
      <w:r>
        <w:rPr>
          <w:highlight w:val="none"/>
        </w:rPr>
        <w:t>首次病程记录症状表述与患者性别不相符</w:t>
      </w:r>
      <w:r>
        <w:rPr>
          <w:rFonts w:hint="eastAsia"/>
          <w:highlight w:val="none"/>
        </w:rPr>
        <w:t>。</w:t>
      </w:r>
    </w:p>
    <w:p w14:paraId="06228C65">
      <w:pPr>
        <w:pStyle w:val="12"/>
        <w:shd w:val="clear" w:color="auto" w:fill="auto"/>
        <w:ind w:firstLine="480"/>
        <w:rPr>
          <w:rFonts w:hint="eastAsia"/>
          <w:highlight w:val="none"/>
        </w:rPr>
      </w:pPr>
      <w:r>
        <w:rPr>
          <w:rFonts w:hint="eastAsia"/>
          <w:highlight w:val="none"/>
        </w:rPr>
        <w:t>支持病历书写内容的完整性校验，如</w:t>
      </w:r>
      <w:r>
        <w:rPr>
          <w:highlight w:val="none"/>
        </w:rPr>
        <w:t>入院记录</w:t>
      </w:r>
      <w:r>
        <w:rPr>
          <w:rFonts w:hint="eastAsia"/>
          <w:highlight w:val="none"/>
        </w:rPr>
        <w:t>中</w:t>
      </w:r>
      <w:r>
        <w:rPr>
          <w:highlight w:val="none"/>
        </w:rPr>
        <w:t>现病史描述缺诱因</w:t>
      </w:r>
      <w:r>
        <w:rPr>
          <w:rFonts w:hint="eastAsia"/>
          <w:highlight w:val="none"/>
        </w:rPr>
        <w:t>。</w:t>
      </w:r>
    </w:p>
    <w:p w14:paraId="3EE76564">
      <w:pPr>
        <w:pStyle w:val="12"/>
        <w:shd w:val="clear" w:color="auto" w:fill="auto"/>
        <w:ind w:firstLine="480"/>
        <w:rPr>
          <w:rFonts w:hint="eastAsia"/>
          <w:highlight w:val="none"/>
        </w:rPr>
      </w:pPr>
      <w:r>
        <w:rPr>
          <w:rFonts w:hint="eastAsia"/>
          <w:highlight w:val="none"/>
        </w:rPr>
        <w:t>支持不同病历文书之间内容相似性校验，如两份以上日常病程记录内容重复，并支持对相似度阈值进行设置，如9</w:t>
      </w:r>
      <w:r>
        <w:rPr>
          <w:highlight w:val="none"/>
        </w:rPr>
        <w:t>0%</w:t>
      </w:r>
      <w:r>
        <w:rPr>
          <w:rFonts w:hint="eastAsia"/>
          <w:highlight w:val="none"/>
        </w:rPr>
        <w:t>以上内容重复则认定为相似病历。</w:t>
      </w:r>
    </w:p>
    <w:p w14:paraId="6FDFA108">
      <w:pPr>
        <w:pStyle w:val="12"/>
        <w:shd w:val="clear" w:color="auto" w:fill="auto"/>
        <w:ind w:firstLine="480"/>
        <w:rPr>
          <w:rFonts w:hint="eastAsia"/>
          <w:highlight w:val="none"/>
        </w:rPr>
      </w:pPr>
      <w:r>
        <w:rPr>
          <w:rFonts w:hint="eastAsia"/>
          <w:highlight w:val="none"/>
        </w:rPr>
        <w:t>支持单份病历文书中不同结构化数据内容相似性校验，如首次病程记录中</w:t>
      </w:r>
      <w:r>
        <w:rPr>
          <w:highlight w:val="none"/>
        </w:rPr>
        <w:t>病历特点</w:t>
      </w:r>
      <w:r>
        <w:rPr>
          <w:rFonts w:hint="eastAsia"/>
          <w:highlight w:val="none"/>
        </w:rPr>
        <w:t>与</w:t>
      </w:r>
      <w:r>
        <w:rPr>
          <w:highlight w:val="none"/>
        </w:rPr>
        <w:t>诊断依据</w:t>
      </w:r>
      <w:r>
        <w:rPr>
          <w:rFonts w:hint="eastAsia"/>
          <w:highlight w:val="none"/>
        </w:rPr>
        <w:t>完全重复。</w:t>
      </w:r>
    </w:p>
    <w:p w14:paraId="6162FEF1">
      <w:pPr>
        <w:pStyle w:val="8"/>
        <w:rPr>
          <w:rFonts w:hint="eastAsia"/>
          <w:highlight w:val="none"/>
        </w:rPr>
      </w:pPr>
      <w:r>
        <w:rPr>
          <w:rFonts w:hint="eastAsia"/>
          <w:highlight w:val="none"/>
          <w:lang w:val="en-US" w:eastAsia="zh-CN"/>
        </w:rPr>
        <w:t xml:space="preserve"> </w:t>
      </w:r>
      <w:r>
        <w:rPr>
          <w:highlight w:val="none"/>
        </w:rPr>
        <w:t>病历自动</w:t>
      </w:r>
      <w:r>
        <w:rPr>
          <w:rFonts w:hint="eastAsia"/>
          <w:highlight w:val="none"/>
        </w:rPr>
        <w:t>检查</w:t>
      </w:r>
      <w:r>
        <w:rPr>
          <w:highlight w:val="none"/>
        </w:rPr>
        <w:t>工具</w:t>
      </w:r>
    </w:p>
    <w:p w14:paraId="4A975874">
      <w:pPr>
        <w:pStyle w:val="12"/>
        <w:shd w:val="clear" w:color="auto" w:fill="auto"/>
        <w:ind w:firstLine="480"/>
        <w:rPr>
          <w:rFonts w:hint="eastAsia"/>
          <w:highlight w:val="none"/>
        </w:rPr>
      </w:pPr>
      <w:r>
        <w:rPr>
          <w:rFonts w:hint="eastAsia"/>
          <w:highlight w:val="none"/>
        </w:rPr>
        <w:t>结合质控规则和人工智能引擎，支持病历各环节的自动化评分，覆盖在院病历和出院病历。</w:t>
      </w:r>
    </w:p>
    <w:p w14:paraId="02F5A3BA">
      <w:pPr>
        <w:pStyle w:val="12"/>
        <w:shd w:val="clear" w:color="auto" w:fill="auto"/>
        <w:ind w:firstLine="480"/>
        <w:rPr>
          <w:rFonts w:hint="eastAsia"/>
          <w:highlight w:val="none"/>
        </w:rPr>
      </w:pPr>
      <w:r>
        <w:rPr>
          <w:rFonts w:hint="eastAsia"/>
          <w:highlight w:val="none"/>
        </w:rPr>
        <w:t>支持定时运行病历质控，自动检测质控问题，用于提醒或监管运行病历。</w:t>
      </w:r>
    </w:p>
    <w:p w14:paraId="1A34B5B5">
      <w:pPr>
        <w:pStyle w:val="12"/>
        <w:shd w:val="clear" w:color="auto" w:fill="auto"/>
        <w:ind w:firstLine="480"/>
        <w:rPr>
          <w:rFonts w:hint="eastAsia"/>
          <w:highlight w:val="none"/>
        </w:rPr>
      </w:pPr>
      <w:r>
        <w:rPr>
          <w:rFonts w:hint="eastAsia"/>
          <w:highlight w:val="none"/>
        </w:rPr>
        <w:t>支持对在院病历进行实时打分，为监管部门提供环节病历质量的实时反馈。</w:t>
      </w:r>
    </w:p>
    <w:p w14:paraId="70A3D30D">
      <w:pPr>
        <w:pStyle w:val="12"/>
        <w:shd w:val="clear" w:color="auto" w:fill="auto"/>
        <w:ind w:firstLine="480"/>
        <w:rPr>
          <w:rFonts w:hint="eastAsia"/>
          <w:highlight w:val="none"/>
        </w:rPr>
      </w:pPr>
      <w:r>
        <w:rPr>
          <w:rFonts w:hint="eastAsia"/>
          <w:highlight w:val="none"/>
        </w:rPr>
        <w:t>支持对住院患者病历进行综合打分，确保终末病历质量。</w:t>
      </w:r>
    </w:p>
    <w:p w14:paraId="01D6C118">
      <w:pPr>
        <w:pStyle w:val="8"/>
        <w:rPr>
          <w:rFonts w:hint="eastAsia"/>
          <w:highlight w:val="none"/>
        </w:rPr>
      </w:pPr>
      <w:r>
        <w:rPr>
          <w:rFonts w:hint="eastAsia"/>
          <w:highlight w:val="none"/>
          <w:lang w:val="en-US" w:eastAsia="zh-CN"/>
        </w:rPr>
        <w:t xml:space="preserve"> </w:t>
      </w:r>
      <w:r>
        <w:rPr>
          <w:highlight w:val="none"/>
        </w:rPr>
        <w:t>病历缺陷提醒</w:t>
      </w:r>
    </w:p>
    <w:p w14:paraId="0A7AB2EE">
      <w:pPr>
        <w:pStyle w:val="12"/>
        <w:shd w:val="clear" w:color="auto" w:fill="auto"/>
        <w:ind w:firstLine="480"/>
        <w:rPr>
          <w:rFonts w:hint="eastAsia"/>
          <w:highlight w:val="none"/>
        </w:rPr>
      </w:pPr>
      <w:r>
        <w:rPr>
          <w:rFonts w:hint="eastAsia"/>
          <w:highlight w:val="none"/>
        </w:rPr>
        <w:t>支持将自动检查工具生成的质控结果实时推送至相关医生，确保医生能够及时获取病历缺陷信息并完成修改。</w:t>
      </w:r>
    </w:p>
    <w:p w14:paraId="0B3C4758">
      <w:pPr>
        <w:pStyle w:val="12"/>
        <w:shd w:val="clear" w:color="auto" w:fill="auto"/>
        <w:ind w:firstLine="480"/>
        <w:rPr>
          <w:rFonts w:hint="eastAsia"/>
          <w:highlight w:val="none"/>
        </w:rPr>
      </w:pPr>
      <w:r>
        <w:rPr>
          <w:rFonts w:hint="eastAsia"/>
          <w:highlight w:val="none"/>
        </w:rPr>
        <w:t>记录医生对质控信息的反馈内容，包括但不限于对自动质控结果的认可情况，便于后续跟踪与分析。</w:t>
      </w:r>
    </w:p>
    <w:p w14:paraId="4690B2CD">
      <w:pPr>
        <w:pStyle w:val="12"/>
        <w:shd w:val="clear" w:color="auto" w:fill="auto"/>
        <w:ind w:firstLine="480"/>
        <w:rPr>
          <w:rFonts w:hint="eastAsia"/>
          <w:highlight w:val="none"/>
        </w:rPr>
      </w:pPr>
      <w:r>
        <w:rPr>
          <w:rFonts w:hint="eastAsia"/>
          <w:highlight w:val="none"/>
        </w:rPr>
        <w:t>支持点击对应缺陷问题可直接跳转至病历位置，便于医生修改病历。</w:t>
      </w:r>
    </w:p>
    <w:p w14:paraId="5A2E4E9C">
      <w:pPr>
        <w:pStyle w:val="8"/>
        <w:rPr>
          <w:rFonts w:hint="eastAsia"/>
          <w:highlight w:val="none"/>
        </w:rPr>
      </w:pPr>
      <w:r>
        <w:rPr>
          <w:rFonts w:hint="eastAsia"/>
          <w:highlight w:val="none"/>
          <w:lang w:val="en-US" w:eastAsia="zh-CN"/>
        </w:rPr>
        <w:t xml:space="preserve"> </w:t>
      </w:r>
      <w:r>
        <w:rPr>
          <w:rFonts w:hint="eastAsia"/>
          <w:highlight w:val="none"/>
        </w:rPr>
        <w:t>环节/终末质控参考</w:t>
      </w:r>
    </w:p>
    <w:p w14:paraId="269C49C7">
      <w:pPr>
        <w:pStyle w:val="12"/>
        <w:shd w:val="clear" w:color="auto" w:fill="auto"/>
        <w:ind w:firstLine="480"/>
        <w:rPr>
          <w:rFonts w:hint="eastAsia"/>
          <w:highlight w:val="none"/>
        </w:rPr>
      </w:pPr>
      <w:r>
        <w:rPr>
          <w:rFonts w:hint="eastAsia"/>
          <w:highlight w:val="none"/>
        </w:rPr>
        <w:t>支持将终末自动质控数据与终末评分系统联动，自动质控结果可自动带入到人工评分，质控员可参考内涵质控结果，对患者病历进行抽查复评。</w:t>
      </w:r>
    </w:p>
    <w:p w14:paraId="68394EDA">
      <w:pPr>
        <w:pStyle w:val="12"/>
        <w:shd w:val="clear" w:color="auto" w:fill="auto"/>
        <w:ind w:firstLine="480"/>
        <w:rPr>
          <w:rFonts w:hint="eastAsia"/>
          <w:highlight w:val="none"/>
        </w:rPr>
      </w:pPr>
      <w:r>
        <w:rPr>
          <w:rFonts w:hint="eastAsia"/>
          <w:highlight w:val="none"/>
        </w:rPr>
        <w:t>支持质控员手动执行自动质控项目，并对自动扣分项目进行标注，便于质控员区分缺陷类型。</w:t>
      </w:r>
    </w:p>
    <w:p w14:paraId="55153405">
      <w:pPr>
        <w:pStyle w:val="8"/>
        <w:rPr>
          <w:rFonts w:hint="eastAsia"/>
          <w:highlight w:val="none"/>
        </w:rPr>
      </w:pPr>
      <w:r>
        <w:rPr>
          <w:rFonts w:hint="eastAsia"/>
          <w:highlight w:val="none"/>
          <w:lang w:val="en-US" w:eastAsia="zh-CN"/>
        </w:rPr>
        <w:t xml:space="preserve"> </w:t>
      </w:r>
      <w:r>
        <w:rPr>
          <w:highlight w:val="none"/>
        </w:rPr>
        <w:t>质控缺陷统计分析</w:t>
      </w:r>
    </w:p>
    <w:p w14:paraId="57E60207">
      <w:pPr>
        <w:pStyle w:val="12"/>
        <w:shd w:val="clear" w:color="auto" w:fill="auto"/>
        <w:ind w:firstLine="480"/>
        <w:rPr>
          <w:rFonts w:hint="eastAsia"/>
          <w:highlight w:val="none"/>
        </w:rPr>
      </w:pPr>
      <w:r>
        <w:rPr>
          <w:rFonts w:hint="eastAsia"/>
          <w:highlight w:val="none"/>
        </w:rPr>
        <w:t>系统提供质控统计分析功能，基于评分结果对病历质量进行多维度分析。</w:t>
      </w:r>
    </w:p>
    <w:p w14:paraId="57F1565C">
      <w:pPr>
        <w:pStyle w:val="12"/>
        <w:shd w:val="clear" w:color="auto" w:fill="auto"/>
        <w:ind w:firstLine="480"/>
        <w:rPr>
          <w:rFonts w:hint="eastAsia"/>
          <w:highlight w:val="none"/>
        </w:rPr>
      </w:pPr>
      <w:r>
        <w:rPr>
          <w:rFonts w:hint="eastAsia"/>
          <w:highlight w:val="none"/>
        </w:rPr>
        <w:t>质控信息首页：支持展示实时出院人数、质控人数、平均分、总缺陷数（区分一般与严重），默认显示当月数据，可按年/月切换；通过折线图或柱状图呈现缺陷数、平均分、甲级病案率的趋势变化；动态展示缺陷最多、甲级率最高科室TOP10及高频缺陷类型TOP10；支持严重缺陷分类统计（如“死亡讨论未完成”），关联患者病历号、责任科室及整改状态。</w:t>
      </w:r>
    </w:p>
    <w:p w14:paraId="218558EA">
      <w:pPr>
        <w:pStyle w:val="12"/>
        <w:shd w:val="clear" w:color="auto" w:fill="auto"/>
        <w:ind w:firstLine="480"/>
        <w:rPr>
          <w:rFonts w:hint="eastAsia"/>
          <w:highlight w:val="none"/>
        </w:rPr>
      </w:pPr>
      <w:r>
        <w:rPr>
          <w:rFonts w:hint="eastAsia"/>
          <w:highlight w:val="none"/>
        </w:rPr>
        <w:t>缺陷统计分析查询：支持按缺陷类型、科室、医师、病历等级组合查询，展示缺陷分布热力图及占比（如某科室“诊断编码错误”超30%标黄提示）；查询结果可关联缺陷原文（含标记位置）和修改记录；支持导出含科室排名、趋势分析、整改建议的Excel/PDF报告。</w:t>
      </w:r>
    </w:p>
    <w:p w14:paraId="4C415CA3">
      <w:pPr>
        <w:pStyle w:val="12"/>
        <w:shd w:val="clear" w:color="auto" w:fill="auto"/>
        <w:ind w:firstLine="480"/>
        <w:rPr>
          <w:rFonts w:hint="eastAsia"/>
          <w:highlight w:val="none"/>
        </w:rPr>
      </w:pPr>
      <w:r>
        <w:rPr>
          <w:rFonts w:hint="eastAsia"/>
          <w:highlight w:val="none"/>
        </w:rPr>
        <w:t>病案合格率查询:支持按全院、科室、病种统计合格率（甲级率≥90%为达标），按时间筛选并对比历史数据；可查看不合格病案明细（含患者ID、缺陷项、责任人），关联质控批注与整改反馈；生成科室合格率月度排行榜（TOP10及末位10），支持跳转至缺陷分析模块。</w:t>
      </w:r>
    </w:p>
    <w:p w14:paraId="48013456">
      <w:pPr>
        <w:pStyle w:val="12"/>
        <w:shd w:val="clear" w:color="auto" w:fill="auto"/>
        <w:ind w:firstLine="480"/>
        <w:rPr>
          <w:rFonts w:hint="eastAsia"/>
          <w:highlight w:val="none"/>
        </w:rPr>
      </w:pPr>
      <w:r>
        <w:rPr>
          <w:rFonts w:hint="eastAsia"/>
          <w:highlight w:val="none"/>
        </w:rPr>
        <w:t>质控员工作量查询:统计质控员月度审核数、检出缺陷数、整改跟踪数，计算缺陷检出率等效率指标；展示审核量与质效TOP10名单，标注超负荷人员（如月审&gt;1000份）；支持导出含审核时间、缺陷分布、整改完成率的工作明细，用于绩效考核。</w:t>
      </w:r>
    </w:p>
    <w:p w14:paraId="1D88C25B">
      <w:pPr>
        <w:pStyle w:val="8"/>
        <w:rPr>
          <w:rFonts w:hint="eastAsia"/>
          <w:highlight w:val="none"/>
        </w:rPr>
      </w:pPr>
      <w:r>
        <w:rPr>
          <w:rFonts w:hint="eastAsia"/>
          <w:highlight w:val="none"/>
          <w:lang w:val="en-US" w:eastAsia="zh-CN"/>
        </w:rPr>
        <w:t xml:space="preserve"> </w:t>
      </w:r>
      <w:r>
        <w:rPr>
          <w:highlight w:val="none"/>
        </w:rPr>
        <w:t>病案管理质量控制</w:t>
      </w:r>
      <w:r>
        <w:rPr>
          <w:rFonts w:hint="eastAsia"/>
          <w:highlight w:val="none"/>
        </w:rPr>
        <w:t>统计分析</w:t>
      </w:r>
    </w:p>
    <w:p w14:paraId="46DF387E">
      <w:pPr>
        <w:pStyle w:val="12"/>
        <w:shd w:val="clear" w:color="auto" w:fill="auto"/>
        <w:ind w:firstLine="480"/>
        <w:rPr>
          <w:rFonts w:hint="eastAsia"/>
          <w:highlight w:val="none"/>
        </w:rPr>
      </w:pPr>
      <w:r>
        <w:rPr>
          <w:rFonts w:hint="eastAsia"/>
          <w:highlight w:val="none"/>
        </w:rPr>
        <w:t>系统支持整合质控数据，依据《病案管理质量控制指标》提供指标总览，展示旭日图与树状图，支持按月查询；显示门诊、住院、手术及检查（CT/MRI）病历数量，并提供指标原文参考。</w:t>
      </w:r>
    </w:p>
    <w:p w14:paraId="006260A2">
      <w:pPr>
        <w:pStyle w:val="12"/>
        <w:shd w:val="clear" w:color="auto" w:fill="auto"/>
        <w:ind w:firstLine="480"/>
        <w:rPr>
          <w:rFonts w:hint="eastAsia"/>
          <w:highlight w:val="none"/>
        </w:rPr>
      </w:pPr>
      <w:r>
        <w:rPr>
          <w:rFonts w:hint="eastAsia"/>
          <w:highlight w:val="none"/>
        </w:rPr>
        <w:t>人力资源配置指标包括住院、门诊病案管理人员及编码人员的月均负担量。每项指标独立展示，支持查看关键数据（如出院人数、回收数、最高回收人员）、计算公式、结果、数据来源、公式解读及对应原文说明和示例；支持病历类型与术语配置；可按时间、科室或回收人员维度统计，支持图表与列表可视化。</w:t>
      </w:r>
    </w:p>
    <w:p w14:paraId="4F9CF0BC">
      <w:pPr>
        <w:pStyle w:val="12"/>
        <w:shd w:val="clear" w:color="auto" w:fill="auto"/>
        <w:ind w:firstLine="480"/>
        <w:rPr>
          <w:rFonts w:hint="eastAsia"/>
          <w:highlight w:val="none"/>
        </w:rPr>
      </w:pPr>
      <w:r>
        <w:rPr>
          <w:rFonts w:hint="eastAsia"/>
          <w:highlight w:val="none"/>
        </w:rPr>
        <w:t>病历书写时效性指标涵盖入院、出院记录及病案首页24小时内完成率。每项独立展示，支持关键数据（如出院人数、最低符合率科室）、公式、结果、数据来源、解读及原文参考；支持病历类型配置；可按时间、科室统计，支持图表与列表展示。</w:t>
      </w:r>
    </w:p>
    <w:p w14:paraId="3E83C096">
      <w:pPr>
        <w:pStyle w:val="12"/>
        <w:shd w:val="clear" w:color="auto" w:fill="auto"/>
        <w:ind w:firstLine="480"/>
        <w:rPr>
          <w:rFonts w:hint="eastAsia"/>
          <w:highlight w:val="none"/>
        </w:rPr>
      </w:pPr>
      <w:r>
        <w:rPr>
          <w:rFonts w:hint="eastAsia"/>
          <w:highlight w:val="none"/>
        </w:rPr>
        <w:t>重大检查记录符合率包括CT/MRI、病理、细菌培养检查符合率。每项独立展示，支持关键数据、公式、结果、数据来源、解读及原文示例；支持术语配置；可按时间、科室统计，支持图表与列表展示。</w:t>
      </w:r>
    </w:p>
    <w:p w14:paraId="7EC62291">
      <w:pPr>
        <w:pStyle w:val="12"/>
        <w:shd w:val="clear" w:color="auto" w:fill="auto"/>
        <w:ind w:firstLine="480"/>
        <w:rPr>
          <w:rFonts w:hint="eastAsia"/>
          <w:highlight w:val="none"/>
        </w:rPr>
      </w:pPr>
      <w:r>
        <w:rPr>
          <w:rFonts w:hint="eastAsia"/>
          <w:highlight w:val="none"/>
        </w:rPr>
        <w:t>诊疗行为记录符合率包括抗菌药物使用、化疗、放疗、手术、植入物、用血、查房、抢救记录等符合情况。每项独立展示，支持关键数据（如治疗人数、最低符合率科室）、公式、结果、数据来源、解读及原文参考；支持术语配置；可按时间、科室统计，支持图表与列表展示。</w:t>
      </w:r>
    </w:p>
    <w:p w14:paraId="4BC6AC78">
      <w:pPr>
        <w:pStyle w:val="12"/>
        <w:shd w:val="clear" w:color="auto" w:fill="auto"/>
        <w:ind w:firstLine="480"/>
        <w:rPr>
          <w:rFonts w:hint="eastAsia" w:cs="Arial"/>
          <w:highlight w:val="none"/>
        </w:rPr>
      </w:pPr>
      <w:r>
        <w:rPr>
          <w:rFonts w:hint="eastAsia"/>
          <w:highlight w:val="none"/>
        </w:rPr>
        <w:t>病历归档质量指标包括2日归档率、归档完整率、主要诊断/手术编码正确率、复制病历发生率、知情同意书签署规范率、甲级病历率。每项独立展示，支持关键数据、公式、结果、数据来源、解读及原文参考；支持术语配置；可按时间、科室统计，支持图表与列表展示。</w:t>
      </w:r>
    </w:p>
    <w:p w14:paraId="36EC3DE5">
      <w:pPr>
        <w:pStyle w:val="8"/>
        <w:rPr>
          <w:rFonts w:hint="eastAsia"/>
          <w:highlight w:val="none"/>
        </w:rPr>
      </w:pPr>
      <w:r>
        <w:rPr>
          <w:rFonts w:hint="eastAsia"/>
          <w:highlight w:val="none"/>
          <w:lang w:val="en-US" w:eastAsia="zh-CN"/>
        </w:rPr>
        <w:t xml:space="preserve"> </w:t>
      </w:r>
      <w:r>
        <w:rPr>
          <w:highlight w:val="none"/>
        </w:rPr>
        <w:t>医疗质量安全核心制度</w:t>
      </w:r>
      <w:r>
        <w:rPr>
          <w:rFonts w:hint="eastAsia"/>
          <w:highlight w:val="none"/>
        </w:rPr>
        <w:t>统计分析</w:t>
      </w:r>
    </w:p>
    <w:p w14:paraId="6E78D495">
      <w:pPr>
        <w:pStyle w:val="9"/>
        <w:rPr>
          <w:rFonts w:hint="eastAsia"/>
          <w:highlight w:val="none"/>
        </w:rPr>
      </w:pPr>
      <w:r>
        <w:rPr>
          <w:rFonts w:hint="eastAsia"/>
          <w:highlight w:val="none"/>
        </w:rPr>
        <w:t>会诊制度</w:t>
      </w:r>
    </w:p>
    <w:p w14:paraId="3AF5131A">
      <w:pPr>
        <w:pStyle w:val="12"/>
        <w:shd w:val="clear" w:color="auto" w:fill="auto"/>
        <w:ind w:firstLine="480"/>
        <w:rPr>
          <w:rFonts w:hint="eastAsia"/>
          <w:highlight w:val="none"/>
        </w:rPr>
      </w:pPr>
      <w:r>
        <w:rPr>
          <w:rFonts w:hint="eastAsia"/>
          <w:highlight w:val="none"/>
        </w:rPr>
        <w:t>会诊总览从会诊数量分布、按时完成率、综合评价三个维度统计科间及多科室会诊，支持按时间（最近一个月或自定义）和科室（全部或自选）筛选。数量分布显示申请与受邀科室中排名前五/前十的会诊量；按时完成率展示最高/最低及排名靠前/后的科室；综合评价显示双方评分最高/最低及排名情况。通过报表钻取可查看患者姓名、住院号、科室医师信息、时间、会诊类型、是否超时、资质符合情况、双方评分等明细，并可查阅会诊单内容及web病历。</w:t>
      </w:r>
    </w:p>
    <w:p w14:paraId="388B98F4">
      <w:pPr>
        <w:pStyle w:val="12"/>
        <w:shd w:val="clear" w:color="auto" w:fill="auto"/>
        <w:ind w:firstLine="480"/>
        <w:rPr>
          <w:rFonts w:hint="eastAsia"/>
          <w:highlight w:val="none"/>
        </w:rPr>
      </w:pPr>
      <w:r>
        <w:rPr>
          <w:rFonts w:hint="eastAsia"/>
          <w:highlight w:val="none"/>
        </w:rPr>
        <w:t>会诊及时性管理按是否完成和是否超时（普通24小时内、急会诊10分钟内）分为五类：正常完成、延时完成、正常未完成、延时未完成、拒绝，支持按时间与科室范围统计，点选图表查看明细。</w:t>
      </w:r>
    </w:p>
    <w:p w14:paraId="24617265">
      <w:pPr>
        <w:pStyle w:val="12"/>
        <w:shd w:val="clear" w:color="auto" w:fill="auto"/>
        <w:ind w:firstLine="480"/>
        <w:rPr>
          <w:rFonts w:hint="eastAsia"/>
          <w:highlight w:val="none"/>
        </w:rPr>
      </w:pPr>
      <w:r>
        <w:rPr>
          <w:rFonts w:hint="eastAsia"/>
          <w:highlight w:val="none"/>
        </w:rPr>
        <w:t>医师资质管理统计申请与受邀医师职称（住院、主治、副高、正高），普通会诊要求主治及以上职称视为合规，急会诊无资质限制，支持条件筛选与图表交互查看明细。</w:t>
      </w:r>
    </w:p>
    <w:p w14:paraId="697A7334">
      <w:pPr>
        <w:pStyle w:val="12"/>
        <w:shd w:val="clear" w:color="auto" w:fill="auto"/>
        <w:ind w:firstLine="480"/>
        <w:rPr>
          <w:rFonts w:hint="eastAsia"/>
          <w:highlight w:val="none"/>
        </w:rPr>
      </w:pPr>
      <w:r>
        <w:rPr>
          <w:rFonts w:hint="eastAsia"/>
          <w:highlight w:val="none"/>
        </w:rPr>
        <w:t>综合评价管理统计双方互评得分（1–5分），明细评价管理统计五个问题的互评结果，均支持时间与科室筛选及图表钻取。</w:t>
      </w:r>
    </w:p>
    <w:p w14:paraId="034C888B">
      <w:pPr>
        <w:pStyle w:val="12"/>
        <w:shd w:val="clear" w:color="auto" w:fill="auto"/>
        <w:ind w:firstLine="480"/>
        <w:rPr>
          <w:rFonts w:hint="eastAsia"/>
          <w:highlight w:val="none"/>
        </w:rPr>
      </w:pPr>
      <w:r>
        <w:rPr>
          <w:rFonts w:hint="eastAsia"/>
          <w:highlight w:val="none"/>
        </w:rPr>
        <w:t>会诊综合查询支持按时间、科室、类型、超时情况、患者信息、医师及资质、评分等多条件检索，显示完整会诊明细，支持一键清空查询条件。</w:t>
      </w:r>
    </w:p>
    <w:p w14:paraId="33631993">
      <w:pPr>
        <w:pStyle w:val="9"/>
        <w:rPr>
          <w:rFonts w:hint="eastAsia"/>
          <w:highlight w:val="none"/>
        </w:rPr>
      </w:pPr>
      <w:r>
        <w:rPr>
          <w:rFonts w:hint="eastAsia"/>
          <w:highlight w:val="none"/>
        </w:rPr>
        <w:t>术前讨论制度</w:t>
      </w:r>
    </w:p>
    <w:p w14:paraId="7DB7F897">
      <w:pPr>
        <w:pStyle w:val="12"/>
        <w:shd w:val="clear" w:color="auto" w:fill="auto"/>
        <w:ind w:firstLine="480"/>
        <w:rPr>
          <w:rFonts w:hint="eastAsia"/>
          <w:highlight w:val="none"/>
        </w:rPr>
      </w:pPr>
      <w:r>
        <w:rPr>
          <w:rFonts w:hint="eastAsia"/>
          <w:highlight w:val="none"/>
        </w:rPr>
        <w:t>协助医务科分析指定时间内各科室手术患者病历的术前讨论情况。从完成率和完整率出发，按科室、手术类别、手术等级三个维度统计，直观展示全院手术数量、三/四级手术数量、治疗性、诊断性及介入操作数量，以及各科室汇总数据。同时支持术前讨论参与医师资质的查看与分析。</w:t>
      </w:r>
    </w:p>
    <w:p w14:paraId="60B73DDB">
      <w:pPr>
        <w:pStyle w:val="9"/>
        <w:rPr>
          <w:rFonts w:hint="eastAsia"/>
          <w:highlight w:val="none"/>
        </w:rPr>
      </w:pPr>
      <w:r>
        <w:rPr>
          <w:rFonts w:hint="eastAsia"/>
          <w:highlight w:val="none"/>
        </w:rPr>
        <w:t>死亡病例讨论制度</w:t>
      </w:r>
    </w:p>
    <w:p w14:paraId="71D191A0">
      <w:pPr>
        <w:pStyle w:val="12"/>
        <w:shd w:val="clear" w:color="auto" w:fill="auto"/>
        <w:ind w:firstLine="480"/>
        <w:rPr>
          <w:rFonts w:hint="eastAsia"/>
          <w:highlight w:val="none"/>
        </w:rPr>
      </w:pPr>
      <w:r>
        <w:rPr>
          <w:rFonts w:hint="eastAsia"/>
          <w:highlight w:val="none"/>
        </w:rPr>
        <w:t>死亡病例讨论及时率:协助医务管理部门统计分析各科室在指定时间内死亡病例讨论的及时率，直观展示全院死亡最多的疾病、死亡患者主要年龄段、死亡病例讨论总数及讨论及时率。</w:t>
      </w:r>
    </w:p>
    <w:p w14:paraId="7B43C198">
      <w:pPr>
        <w:pStyle w:val="12"/>
        <w:shd w:val="clear" w:color="auto" w:fill="auto"/>
        <w:ind w:firstLine="480"/>
        <w:rPr>
          <w:rFonts w:hint="eastAsia"/>
          <w:highlight w:val="none"/>
        </w:rPr>
      </w:pPr>
      <w:r>
        <w:rPr>
          <w:rFonts w:hint="eastAsia"/>
          <w:highlight w:val="none"/>
        </w:rPr>
        <w:t>死亡病例讨论医生资质:协助医务管理部门对参与死亡病例讨论的医生资质进行分析与管理。</w:t>
      </w:r>
    </w:p>
    <w:p w14:paraId="27BB4A52">
      <w:pPr>
        <w:pStyle w:val="9"/>
        <w:rPr>
          <w:rFonts w:hint="eastAsia"/>
          <w:highlight w:val="none"/>
        </w:rPr>
      </w:pPr>
      <w:r>
        <w:rPr>
          <w:rFonts w:hint="eastAsia"/>
          <w:highlight w:val="none"/>
        </w:rPr>
        <w:t>手术分级管理制度</w:t>
      </w:r>
    </w:p>
    <w:p w14:paraId="0F50A433">
      <w:pPr>
        <w:pStyle w:val="12"/>
        <w:shd w:val="clear" w:color="auto" w:fill="auto"/>
        <w:ind w:firstLine="480"/>
        <w:rPr>
          <w:rFonts w:hint="eastAsia"/>
          <w:highlight w:val="none"/>
        </w:rPr>
      </w:pPr>
      <w:r>
        <w:rPr>
          <w:rFonts w:hint="eastAsia"/>
          <w:highlight w:val="none"/>
        </w:rPr>
        <w:t>手术统计需按科室、手术类别、手术等级三个维度汇总，直观展示全院手术数量、治疗性操作、诊断性操作、介入操作数量及最高三/四级手术科室及数量的时段汇总。</w:t>
      </w:r>
    </w:p>
    <w:p w14:paraId="7B4ADFA8">
      <w:pPr>
        <w:pStyle w:val="12"/>
        <w:shd w:val="clear" w:color="auto" w:fill="auto"/>
        <w:ind w:firstLine="480"/>
        <w:rPr>
          <w:rFonts w:hint="eastAsia"/>
          <w:highlight w:val="none"/>
        </w:rPr>
      </w:pPr>
      <w:r>
        <w:rPr>
          <w:rFonts w:hint="eastAsia"/>
          <w:highlight w:val="none"/>
        </w:rPr>
        <w:t>手术医师资质功能用于协助医务部门查看医师所承担的术式等级及特殊越级手术情况。</w:t>
      </w:r>
    </w:p>
    <w:p w14:paraId="1D5EDA9A">
      <w:pPr>
        <w:pStyle w:val="9"/>
        <w:rPr>
          <w:rFonts w:hint="eastAsia"/>
          <w:highlight w:val="none"/>
        </w:rPr>
      </w:pPr>
      <w:r>
        <w:rPr>
          <w:rFonts w:hint="eastAsia"/>
          <w:highlight w:val="none"/>
        </w:rPr>
        <w:t>急危重症患者抢救制度</w:t>
      </w:r>
    </w:p>
    <w:p w14:paraId="345AECEB">
      <w:pPr>
        <w:pStyle w:val="12"/>
        <w:shd w:val="clear" w:color="auto" w:fill="auto"/>
        <w:ind w:firstLine="480"/>
        <w:rPr>
          <w:rFonts w:hint="eastAsia"/>
          <w:highlight w:val="none"/>
        </w:rPr>
      </w:pPr>
      <w:r>
        <w:rPr>
          <w:rFonts w:hint="eastAsia"/>
          <w:highlight w:val="none"/>
        </w:rPr>
        <w:t>急危重症患者抢救制度统计功能基于医院核心制度，支持医务管理部门对指定时间内各科室抢救情况进行分析。系统提供抢救人数和抢救例数两类统计，均从科室、疾病、年龄段三个维度展开。可直观展示全院及各维度的抢救人数/例数、最高值项目、抢救成功率及科室汇总信息。</w:t>
      </w:r>
    </w:p>
    <w:p w14:paraId="6173C4C1">
      <w:pPr>
        <w:pStyle w:val="6"/>
        <w:rPr>
          <w:rFonts w:hint="eastAsia"/>
          <w:highlight w:val="none"/>
        </w:rPr>
      </w:pPr>
      <w:r>
        <w:rPr>
          <w:rFonts w:hint="eastAsia"/>
          <w:highlight w:val="none"/>
          <w:lang w:val="en-US" w:eastAsia="zh-CN"/>
        </w:rPr>
        <w:t xml:space="preserve"> </w:t>
      </w:r>
      <w:r>
        <w:rPr>
          <w:rFonts w:hint="eastAsia"/>
          <w:highlight w:val="none"/>
        </w:rPr>
        <w:t>患者服务智能体</w:t>
      </w:r>
    </w:p>
    <w:p w14:paraId="409D8AF0">
      <w:pPr>
        <w:pStyle w:val="7"/>
        <w:rPr>
          <w:rFonts w:hint="eastAsia"/>
          <w:highlight w:val="none"/>
        </w:rPr>
      </w:pPr>
      <w:r>
        <w:rPr>
          <w:rFonts w:hint="eastAsia"/>
          <w:highlight w:val="none"/>
          <w:lang w:val="en-US" w:eastAsia="zh-CN"/>
        </w:rPr>
        <w:t xml:space="preserve"> </w:t>
      </w:r>
      <w:r>
        <w:rPr>
          <w:rFonts w:hint="eastAsia"/>
          <w:highlight w:val="none"/>
        </w:rPr>
        <w:t>智能分导诊系统</w:t>
      </w:r>
    </w:p>
    <w:p w14:paraId="187C7765">
      <w:pPr>
        <w:pStyle w:val="12"/>
        <w:shd w:val="clear" w:color="auto" w:fill="auto"/>
        <w:ind w:firstLine="480"/>
        <w:rPr>
          <w:rFonts w:hint="eastAsia"/>
          <w:highlight w:val="none"/>
        </w:rPr>
      </w:pPr>
      <w:r>
        <w:rPr>
          <w:rFonts w:hint="eastAsia"/>
          <w:highlight w:val="none"/>
        </w:rPr>
        <w:t>以症状为主，结合年龄、病史等信息，模拟医生问诊进行多轮交互，通过语义分析匹配数千种病症模型，推荐就诊科室，并对接医院挂号系统，实现一键预约。核心模块包括智能问答引擎、疾病知识库、动态分诊模型和实时数据分析平台。</w:t>
      </w:r>
    </w:p>
    <w:p w14:paraId="2AAD0791">
      <w:pPr>
        <w:pStyle w:val="7"/>
        <w:rPr>
          <w:rFonts w:hint="eastAsia"/>
          <w:highlight w:val="none"/>
        </w:rPr>
      </w:pPr>
      <w:r>
        <w:rPr>
          <w:rFonts w:hint="eastAsia"/>
          <w:highlight w:val="none"/>
          <w:lang w:val="en-US" w:eastAsia="zh-CN"/>
        </w:rPr>
        <w:t xml:space="preserve"> </w:t>
      </w:r>
      <w:r>
        <w:rPr>
          <w:rFonts w:hint="eastAsia"/>
          <w:highlight w:val="none"/>
        </w:rPr>
        <w:t>智能预问诊系统</w:t>
      </w:r>
    </w:p>
    <w:p w14:paraId="0FBCD248">
      <w:pPr>
        <w:pStyle w:val="12"/>
        <w:shd w:val="clear" w:color="auto" w:fill="auto"/>
        <w:ind w:firstLine="480"/>
        <w:rPr>
          <w:rFonts w:hint="eastAsia"/>
          <w:highlight w:val="none"/>
        </w:rPr>
      </w:pPr>
      <w:r>
        <w:rPr>
          <w:rFonts w:hint="eastAsia"/>
          <w:highlight w:val="none"/>
        </w:rPr>
        <w:t>支持基于AI的院前预问诊工具，通过多轮对话引导患者结构化描述症状、病程、用药史等，结合NLP与医学知识图谱智能生成标准化预诊报告。系统支持多种输入方式，优化交互体验，节约患者时间。报告可同步至医生工作站，供接诊前查阅，并支持一键引用至电子病历，提升诊疗与文书效率。</w:t>
      </w:r>
    </w:p>
    <w:p w14:paraId="317197A9">
      <w:pPr>
        <w:pStyle w:val="7"/>
        <w:rPr>
          <w:rFonts w:hint="eastAsia"/>
          <w:highlight w:val="none"/>
        </w:rPr>
      </w:pPr>
      <w:r>
        <w:rPr>
          <w:rFonts w:hint="eastAsia"/>
          <w:highlight w:val="none"/>
          <w:lang w:val="en-US" w:eastAsia="zh-CN"/>
        </w:rPr>
        <w:t xml:space="preserve"> </w:t>
      </w:r>
      <w:r>
        <w:rPr>
          <w:rFonts w:hint="eastAsia"/>
          <w:highlight w:val="none"/>
        </w:rPr>
        <w:t>智能报告解读系统</w:t>
      </w:r>
    </w:p>
    <w:p w14:paraId="4A72FDB7">
      <w:pPr>
        <w:pStyle w:val="12"/>
        <w:shd w:val="clear" w:color="auto" w:fill="auto"/>
        <w:ind w:firstLine="480"/>
        <w:rPr>
          <w:rFonts w:hint="eastAsia"/>
          <w:highlight w:val="none"/>
        </w:rPr>
      </w:pPr>
      <w:r>
        <w:rPr>
          <w:rFonts w:hint="eastAsia"/>
          <w:highlight w:val="none"/>
        </w:rPr>
        <w:t>基于AI的医疗数据分析平台，运用自然语言处理、医学知识图谱和深度学习技术，自动解析检验、影像、病理等多模态报告并评估风险。系统匹配标准化结果与临床指南，标注异常指标，生成通俗解读、可视化图表及健康建议。核心功能涵盖异常预警、多报告交叉分析、疾病预测与分级诊疗推荐，覆盖血检、CT、基因检测等95%以上常见报告类型，支持患者通过智能问答获取指标解释、复查建议和就医指引。</w:t>
      </w:r>
    </w:p>
    <w:p w14:paraId="2847772C">
      <w:pPr>
        <w:pStyle w:val="4"/>
        <w:rPr>
          <w:rFonts w:hint="eastAsia"/>
          <w:highlight w:val="none"/>
        </w:rPr>
      </w:pPr>
      <w:r>
        <w:rPr>
          <w:rFonts w:hint="eastAsia"/>
          <w:highlight w:val="none"/>
          <w:lang w:val="en-US" w:eastAsia="zh-CN"/>
        </w:rPr>
        <w:t xml:space="preserve"> </w:t>
      </w:r>
      <w:r>
        <w:rPr>
          <w:rFonts w:hint="eastAsia"/>
          <w:highlight w:val="none"/>
        </w:rPr>
        <w:t>智慧服务</w:t>
      </w:r>
    </w:p>
    <w:p w14:paraId="09230ACD">
      <w:pPr>
        <w:pStyle w:val="5"/>
        <w:rPr>
          <w:rFonts w:hint="eastAsia"/>
          <w:highlight w:val="none"/>
        </w:rPr>
      </w:pPr>
      <w:r>
        <w:rPr>
          <w:rFonts w:hint="eastAsia"/>
          <w:highlight w:val="none"/>
          <w:lang w:val="en-US" w:eastAsia="zh-CN"/>
        </w:rPr>
        <w:t xml:space="preserve"> </w:t>
      </w:r>
      <w:r>
        <w:rPr>
          <w:rFonts w:hint="eastAsia"/>
          <w:highlight w:val="none"/>
        </w:rPr>
        <w:t>全流程排队叫号系统</w:t>
      </w:r>
    </w:p>
    <w:p w14:paraId="55E9EE98">
      <w:pPr>
        <w:pStyle w:val="6"/>
        <w:rPr>
          <w:rFonts w:hint="eastAsia"/>
          <w:highlight w:val="none"/>
        </w:rPr>
      </w:pPr>
      <w:r>
        <w:rPr>
          <w:rFonts w:hint="eastAsia"/>
          <w:highlight w:val="none"/>
          <w:lang w:val="en-US" w:eastAsia="zh-CN"/>
        </w:rPr>
        <w:t xml:space="preserve"> </w:t>
      </w:r>
      <w:r>
        <w:rPr>
          <w:rFonts w:hint="eastAsia"/>
          <w:highlight w:val="none"/>
        </w:rPr>
        <w:t>分诊叫号管理平台</w:t>
      </w:r>
    </w:p>
    <w:p w14:paraId="305A23BA">
      <w:pPr>
        <w:pStyle w:val="12"/>
        <w:shd w:val="clear" w:color="auto" w:fill="auto"/>
        <w:ind w:firstLine="480"/>
        <w:rPr>
          <w:rFonts w:hint="eastAsia"/>
          <w:highlight w:val="none"/>
        </w:rPr>
      </w:pPr>
      <w:r>
        <w:rPr>
          <w:rFonts w:hint="eastAsia"/>
          <w:highlight w:val="none"/>
        </w:rPr>
        <w:t>系统管理：支持用户增删改查及角色、科室分配；可创建角色并配置权限；记录操作日志（人员、类型、IP、时间）；监控服务器、CPU、内存、磁盘等运行状态。</w:t>
      </w:r>
    </w:p>
    <w:p w14:paraId="037A28D9">
      <w:pPr>
        <w:pStyle w:val="12"/>
        <w:shd w:val="clear" w:color="auto" w:fill="auto"/>
        <w:ind w:firstLine="480"/>
        <w:rPr>
          <w:rFonts w:hint="eastAsia"/>
          <w:highlight w:val="none"/>
        </w:rPr>
      </w:pPr>
      <w:r>
        <w:rPr>
          <w:rFonts w:hint="eastAsia"/>
          <w:highlight w:val="none"/>
        </w:rPr>
        <w:t>配置管理：</w:t>
      </w:r>
    </w:p>
    <w:p w14:paraId="27ABF699">
      <w:pPr>
        <w:pStyle w:val="12"/>
        <w:shd w:val="clear" w:color="auto" w:fill="auto"/>
        <w:ind w:firstLine="480"/>
        <w:rPr>
          <w:rFonts w:hint="eastAsia"/>
          <w:highlight w:val="none"/>
        </w:rPr>
      </w:pPr>
      <w:r>
        <w:rPr>
          <w:rFonts w:hint="eastAsia"/>
          <w:highlight w:val="none"/>
        </w:rPr>
        <w:t>科室：对接HIS获取信息，支持查询、导出、叫号方式配置、医生查看及签到机设置。</w:t>
      </w:r>
    </w:p>
    <w:p w14:paraId="19CB53CA">
      <w:pPr>
        <w:pStyle w:val="12"/>
        <w:shd w:val="clear" w:color="auto" w:fill="auto"/>
        <w:ind w:firstLine="480"/>
        <w:rPr>
          <w:rFonts w:hint="eastAsia"/>
          <w:highlight w:val="none"/>
        </w:rPr>
      </w:pPr>
      <w:r>
        <w:rPr>
          <w:rFonts w:hint="eastAsia"/>
          <w:highlight w:val="none"/>
        </w:rPr>
        <w:t>诊室：同步HIS信息，支持新增、查询、导出，分配显示屏与声音程序，可修改基本信息。</w:t>
      </w:r>
    </w:p>
    <w:p w14:paraId="6DED084D">
      <w:pPr>
        <w:pStyle w:val="12"/>
        <w:shd w:val="clear" w:color="auto" w:fill="auto"/>
        <w:ind w:firstLine="480"/>
        <w:rPr>
          <w:rFonts w:hint="eastAsia"/>
          <w:highlight w:val="none"/>
        </w:rPr>
      </w:pPr>
      <w:r>
        <w:rPr>
          <w:rFonts w:hint="eastAsia"/>
          <w:highlight w:val="none"/>
        </w:rPr>
        <w:t>医生：同步或手动录入信息（姓名、职称、特长等），支持多科室归属与信息导出。</w:t>
      </w:r>
    </w:p>
    <w:p w14:paraId="261419B5">
      <w:pPr>
        <w:pStyle w:val="12"/>
        <w:shd w:val="clear" w:color="auto" w:fill="auto"/>
        <w:ind w:firstLine="480"/>
        <w:rPr>
          <w:rFonts w:hint="eastAsia"/>
          <w:highlight w:val="none"/>
        </w:rPr>
      </w:pPr>
      <w:r>
        <w:rPr>
          <w:rFonts w:hint="eastAsia"/>
          <w:highlight w:val="none"/>
        </w:rPr>
        <w:t>设备：新增设备（名称、编码、类型等），支持导出与自动关机设置。</w:t>
      </w:r>
    </w:p>
    <w:p w14:paraId="2F17AD7F">
      <w:pPr>
        <w:pStyle w:val="12"/>
        <w:shd w:val="clear" w:color="auto" w:fill="auto"/>
        <w:ind w:firstLine="480"/>
        <w:rPr>
          <w:rFonts w:hint="eastAsia"/>
          <w:highlight w:val="none"/>
        </w:rPr>
      </w:pPr>
      <w:r>
        <w:rPr>
          <w:rFonts w:hint="eastAsia"/>
          <w:highlight w:val="none"/>
        </w:rPr>
        <w:t>号源：对接HIS获取，可设候诊人数、看诊医生及编辑信息。</w:t>
      </w:r>
    </w:p>
    <w:p w14:paraId="3FFFC2D0">
      <w:pPr>
        <w:pStyle w:val="12"/>
        <w:shd w:val="clear" w:color="auto" w:fill="auto"/>
        <w:ind w:firstLine="480"/>
        <w:rPr>
          <w:rFonts w:hint="eastAsia"/>
          <w:highlight w:val="none"/>
        </w:rPr>
      </w:pPr>
      <w:r>
        <w:rPr>
          <w:rFonts w:hint="eastAsia"/>
          <w:highlight w:val="none"/>
        </w:rPr>
        <w:t>叫号规则：配置科室、规则名、等待人数、呼叫模式（顺呼/间隔）、初复诊比例等。</w:t>
      </w:r>
    </w:p>
    <w:p w14:paraId="0D628643">
      <w:pPr>
        <w:pStyle w:val="12"/>
        <w:shd w:val="clear" w:color="auto" w:fill="auto"/>
        <w:ind w:firstLine="480"/>
        <w:rPr>
          <w:rFonts w:hint="eastAsia"/>
          <w:highlight w:val="none"/>
        </w:rPr>
      </w:pPr>
      <w:r>
        <w:rPr>
          <w:rFonts w:hint="eastAsia"/>
          <w:highlight w:val="none"/>
        </w:rPr>
        <w:t>检查项目：同步HIS检查项，支持多诊室配置，可手动添加或编辑项目信息。</w:t>
      </w:r>
    </w:p>
    <w:p w14:paraId="45864660">
      <w:pPr>
        <w:pStyle w:val="12"/>
        <w:shd w:val="clear" w:color="auto" w:fill="auto"/>
        <w:ind w:firstLine="480"/>
        <w:rPr>
          <w:rFonts w:hint="eastAsia"/>
          <w:highlight w:val="none"/>
        </w:rPr>
      </w:pPr>
      <w:r>
        <w:rPr>
          <w:rFonts w:hint="eastAsia"/>
          <w:highlight w:val="none"/>
        </w:rPr>
        <w:t>队列：支持自定义队列与排队号，灵活配置初复诊混合规则，支持一对多或多对一叫号模式。</w:t>
      </w:r>
    </w:p>
    <w:p w14:paraId="02164524">
      <w:pPr>
        <w:pStyle w:val="12"/>
        <w:shd w:val="clear" w:color="auto" w:fill="auto"/>
        <w:ind w:firstLine="480"/>
        <w:rPr>
          <w:rFonts w:hint="eastAsia"/>
          <w:highlight w:val="none"/>
        </w:rPr>
      </w:pPr>
      <w:r>
        <w:rPr>
          <w:rFonts w:hint="eastAsia"/>
          <w:highlight w:val="none"/>
        </w:rPr>
        <w:t>自动分诊：依据挂号顺序等规则自动分配队列，无需签到。</w:t>
      </w:r>
    </w:p>
    <w:p w14:paraId="47567E07">
      <w:pPr>
        <w:pStyle w:val="12"/>
        <w:shd w:val="clear" w:color="auto" w:fill="auto"/>
        <w:ind w:firstLine="480"/>
        <w:rPr>
          <w:rFonts w:hint="eastAsia"/>
          <w:highlight w:val="none"/>
        </w:rPr>
      </w:pPr>
      <w:r>
        <w:rPr>
          <w:rFonts w:hint="eastAsia"/>
          <w:highlight w:val="none"/>
        </w:rPr>
        <w:t>混合排队：预约与当日挂号患者合并排队，预约者在时段内优先。</w:t>
      </w:r>
    </w:p>
    <w:p w14:paraId="4A762AF8">
      <w:pPr>
        <w:pStyle w:val="12"/>
        <w:shd w:val="clear" w:color="auto" w:fill="auto"/>
        <w:ind w:firstLine="480"/>
        <w:rPr>
          <w:rFonts w:hint="eastAsia"/>
          <w:highlight w:val="none"/>
        </w:rPr>
      </w:pPr>
      <w:r>
        <w:rPr>
          <w:rFonts w:hint="eastAsia"/>
          <w:highlight w:val="none"/>
        </w:rPr>
        <w:t>临界报警：为医生（尤其专家）设置挂号上限，超量自动报警提示管理人员。</w:t>
      </w:r>
    </w:p>
    <w:p w14:paraId="200D6EC9">
      <w:pPr>
        <w:pStyle w:val="12"/>
        <w:shd w:val="clear" w:color="auto" w:fill="auto"/>
        <w:ind w:firstLine="480"/>
        <w:rPr>
          <w:rFonts w:hint="eastAsia"/>
          <w:highlight w:val="none"/>
        </w:rPr>
      </w:pPr>
      <w:r>
        <w:rPr>
          <w:rFonts w:hint="eastAsia"/>
          <w:highlight w:val="none"/>
        </w:rPr>
        <w:t>排班管理：同步HIS医生排班数据。</w:t>
      </w:r>
    </w:p>
    <w:p w14:paraId="32993A13">
      <w:pPr>
        <w:pStyle w:val="12"/>
        <w:shd w:val="clear" w:color="auto" w:fill="auto"/>
        <w:ind w:firstLine="480"/>
        <w:rPr>
          <w:rFonts w:hint="eastAsia"/>
          <w:highlight w:val="none"/>
        </w:rPr>
      </w:pPr>
      <w:r>
        <w:rPr>
          <w:rFonts w:hint="eastAsia"/>
          <w:highlight w:val="none"/>
        </w:rPr>
        <w:t>屏显管理：</w:t>
      </w:r>
    </w:p>
    <w:p w14:paraId="40CB8E74">
      <w:pPr>
        <w:pStyle w:val="12"/>
        <w:shd w:val="clear" w:color="auto" w:fill="auto"/>
        <w:ind w:firstLine="480"/>
        <w:rPr>
          <w:rFonts w:hint="eastAsia"/>
          <w:highlight w:val="none"/>
        </w:rPr>
      </w:pPr>
      <w:r>
        <w:rPr>
          <w:rFonts w:hint="eastAsia"/>
          <w:highlight w:val="none"/>
        </w:rPr>
        <w:t>一级分诊屏支持单/多诊室显示，可展示单或多队列信息；</w:t>
      </w:r>
    </w:p>
    <w:p w14:paraId="4E6E7402">
      <w:pPr>
        <w:pStyle w:val="12"/>
        <w:shd w:val="clear" w:color="auto" w:fill="auto"/>
        <w:ind w:firstLine="480"/>
        <w:rPr>
          <w:rFonts w:hint="eastAsia"/>
          <w:highlight w:val="none"/>
        </w:rPr>
      </w:pPr>
      <w:r>
        <w:rPr>
          <w:rFonts w:hint="eastAsia"/>
          <w:highlight w:val="none"/>
        </w:rPr>
        <w:t>支持定时开关机；</w:t>
      </w:r>
    </w:p>
    <w:p w14:paraId="565B78EB">
      <w:pPr>
        <w:pStyle w:val="12"/>
        <w:shd w:val="clear" w:color="auto" w:fill="auto"/>
        <w:ind w:firstLine="480"/>
        <w:rPr>
          <w:rFonts w:hint="eastAsia"/>
          <w:highlight w:val="none"/>
        </w:rPr>
      </w:pPr>
      <w:r>
        <w:rPr>
          <w:rFonts w:hint="eastAsia"/>
          <w:highlight w:val="none"/>
        </w:rPr>
        <w:t>提供多种界面模板（妇幼、中医、儿童、简洁版等），颜色可选，支持中英文及地方语言显示。</w:t>
      </w:r>
    </w:p>
    <w:p w14:paraId="5A156246">
      <w:pPr>
        <w:pStyle w:val="6"/>
        <w:rPr>
          <w:rFonts w:hint="eastAsia"/>
          <w:highlight w:val="none"/>
        </w:rPr>
      </w:pPr>
      <w:r>
        <w:rPr>
          <w:rFonts w:hint="eastAsia"/>
          <w:highlight w:val="none"/>
          <w:lang w:val="en-US" w:eastAsia="zh-CN"/>
        </w:rPr>
        <w:t xml:space="preserve"> </w:t>
      </w:r>
      <w:r>
        <w:rPr>
          <w:rFonts w:hint="eastAsia"/>
          <w:highlight w:val="none"/>
        </w:rPr>
        <w:t>护士工作台</w:t>
      </w:r>
    </w:p>
    <w:p w14:paraId="0598D1D3">
      <w:pPr>
        <w:pStyle w:val="12"/>
        <w:shd w:val="clear" w:color="auto" w:fill="auto"/>
        <w:ind w:firstLine="480"/>
        <w:rPr>
          <w:rFonts w:hint="eastAsia"/>
          <w:highlight w:val="none"/>
        </w:rPr>
      </w:pPr>
      <w:r>
        <w:rPr>
          <w:rFonts w:hint="eastAsia"/>
          <w:highlight w:val="none"/>
        </w:rPr>
        <w:t>医护人员可通过系统查看门诊排队信息，掌握队列动态，进行数据查询，并呼叫患者至分诊台，语音通过综合屏或外接功放播放。</w:t>
      </w:r>
    </w:p>
    <w:p w14:paraId="1BF6DD8B">
      <w:pPr>
        <w:pStyle w:val="12"/>
        <w:shd w:val="clear" w:color="auto" w:fill="auto"/>
        <w:ind w:firstLine="480"/>
        <w:rPr>
          <w:rFonts w:hint="eastAsia"/>
          <w:highlight w:val="none"/>
        </w:rPr>
      </w:pPr>
      <w:r>
        <w:rPr>
          <w:rFonts w:hint="eastAsia"/>
          <w:highlight w:val="none"/>
        </w:rPr>
        <w:t>队列管理：</w:t>
      </w:r>
    </w:p>
    <w:p w14:paraId="204CD500">
      <w:pPr>
        <w:pStyle w:val="12"/>
        <w:shd w:val="clear" w:color="auto" w:fill="auto"/>
        <w:ind w:firstLine="480"/>
        <w:rPr>
          <w:rFonts w:hint="eastAsia"/>
          <w:highlight w:val="none"/>
        </w:rPr>
      </w:pPr>
      <w:r>
        <w:rPr>
          <w:rFonts w:hint="eastAsia"/>
          <w:highlight w:val="none"/>
        </w:rPr>
        <w:t>已诊队列：支持按门诊号、姓名、票号、科室、医生等字段模糊或精准查找；可将已诊转未诊；支持多科室患者挂起操作。</w:t>
      </w:r>
    </w:p>
    <w:p w14:paraId="0FA1202B">
      <w:pPr>
        <w:pStyle w:val="12"/>
        <w:shd w:val="clear" w:color="auto" w:fill="auto"/>
        <w:ind w:firstLine="480"/>
        <w:rPr>
          <w:rFonts w:hint="eastAsia"/>
          <w:highlight w:val="none"/>
        </w:rPr>
      </w:pPr>
      <w:r>
        <w:rPr>
          <w:rFonts w:hint="eastAsia"/>
          <w:highlight w:val="none"/>
        </w:rPr>
        <w:t>未诊队列：支持搜索、手动调整队列；可转诊同科医生、弃号处理；支持手动签到（输入号或刷卡）及呼叫就诊。</w:t>
      </w:r>
    </w:p>
    <w:p w14:paraId="71DFFA3B">
      <w:pPr>
        <w:pStyle w:val="12"/>
        <w:shd w:val="clear" w:color="auto" w:fill="auto"/>
        <w:ind w:firstLine="480"/>
        <w:rPr>
          <w:rFonts w:hint="eastAsia"/>
          <w:highlight w:val="none"/>
        </w:rPr>
      </w:pPr>
      <w:r>
        <w:rPr>
          <w:rFonts w:hint="eastAsia"/>
          <w:highlight w:val="none"/>
        </w:rPr>
        <w:t>弃号队列：可搜索、查看已弃号患者信息。</w:t>
      </w:r>
    </w:p>
    <w:p w14:paraId="02FF045B">
      <w:pPr>
        <w:pStyle w:val="12"/>
        <w:shd w:val="clear" w:color="auto" w:fill="auto"/>
        <w:ind w:firstLine="480"/>
        <w:rPr>
          <w:rFonts w:hint="eastAsia"/>
          <w:highlight w:val="none"/>
        </w:rPr>
      </w:pPr>
      <w:r>
        <w:rPr>
          <w:rFonts w:hint="eastAsia"/>
          <w:highlight w:val="none"/>
        </w:rPr>
        <w:t>医生签到：支持按科室、医生名等条件查找，后台可签到/签退，亦支持登录/登出呼叫器时自动完成签到签退。</w:t>
      </w:r>
    </w:p>
    <w:p w14:paraId="51A8C340">
      <w:pPr>
        <w:pStyle w:val="12"/>
        <w:shd w:val="clear" w:color="auto" w:fill="auto"/>
        <w:ind w:firstLine="480"/>
        <w:rPr>
          <w:rFonts w:hint="eastAsia"/>
          <w:highlight w:val="none"/>
        </w:rPr>
      </w:pPr>
      <w:r>
        <w:rPr>
          <w:rFonts w:hint="eastAsia"/>
          <w:highlight w:val="none"/>
        </w:rPr>
        <w:t>叫号管理：分诊台可呼叫患者，护士可限制每位医生单次叫号数量，防止误操作连续叫号。</w:t>
      </w:r>
    </w:p>
    <w:p w14:paraId="3C729B0C">
      <w:pPr>
        <w:pStyle w:val="12"/>
        <w:shd w:val="clear" w:color="auto" w:fill="auto"/>
        <w:ind w:firstLine="480"/>
        <w:rPr>
          <w:rFonts w:hint="eastAsia"/>
          <w:highlight w:val="none"/>
        </w:rPr>
      </w:pPr>
      <w:r>
        <w:rPr>
          <w:rFonts w:hint="eastAsia"/>
          <w:highlight w:val="none"/>
        </w:rPr>
        <w:t>排班管理：支持查看、编辑医生排班，手动调整或使用排班模板。</w:t>
      </w:r>
    </w:p>
    <w:p w14:paraId="0D7B58AB">
      <w:pPr>
        <w:pStyle w:val="12"/>
        <w:shd w:val="clear" w:color="auto" w:fill="auto"/>
        <w:ind w:firstLine="480"/>
        <w:rPr>
          <w:rFonts w:hint="eastAsia"/>
          <w:highlight w:val="none"/>
        </w:rPr>
      </w:pPr>
      <w:r>
        <w:rPr>
          <w:rFonts w:hint="eastAsia"/>
          <w:highlight w:val="none"/>
        </w:rPr>
        <w:t>语音播报：可设置语音名称与内容，选择播放设备，系统自动识别标点实现停顿，兼容主流第三方语音包。</w:t>
      </w:r>
    </w:p>
    <w:p w14:paraId="5EC7EDEE">
      <w:pPr>
        <w:pStyle w:val="6"/>
        <w:rPr>
          <w:rFonts w:hint="eastAsia"/>
          <w:highlight w:val="none"/>
        </w:rPr>
      </w:pPr>
      <w:r>
        <w:rPr>
          <w:rFonts w:hint="eastAsia"/>
          <w:highlight w:val="none"/>
          <w:lang w:val="en-US" w:eastAsia="zh-CN"/>
        </w:rPr>
        <w:t xml:space="preserve"> </w:t>
      </w:r>
      <w:r>
        <w:rPr>
          <w:rFonts w:hint="eastAsia"/>
          <w:highlight w:val="none"/>
        </w:rPr>
        <w:t>医生呼叫器软件</w:t>
      </w:r>
    </w:p>
    <w:p w14:paraId="20559AE3">
      <w:pPr>
        <w:pStyle w:val="12"/>
        <w:shd w:val="clear" w:color="auto" w:fill="auto"/>
        <w:ind w:firstLine="480"/>
        <w:rPr>
          <w:rFonts w:hint="eastAsia"/>
          <w:highlight w:val="none"/>
        </w:rPr>
      </w:pPr>
      <w:r>
        <w:rPr>
          <w:rFonts w:hint="eastAsia"/>
          <w:highlight w:val="none"/>
        </w:rPr>
        <w:t>医生通过账号、诊室号及院区登录，系统根据其所属院区和科室分配对应看诊队列。登录后，诊间屏同步显示医生姓名、照片、职称、简介等信息。支持按科室、诊室或账号登录，登录后信息自动同步至显示屏。</w:t>
      </w:r>
    </w:p>
    <w:p w14:paraId="71893750">
      <w:pPr>
        <w:pStyle w:val="12"/>
        <w:shd w:val="clear" w:color="auto" w:fill="auto"/>
        <w:ind w:firstLine="480"/>
        <w:rPr>
          <w:rFonts w:hint="eastAsia"/>
          <w:highlight w:val="none"/>
        </w:rPr>
      </w:pPr>
      <w:r>
        <w:rPr>
          <w:rFonts w:hint="eastAsia"/>
          <w:highlight w:val="none"/>
        </w:rPr>
        <w:t>支持顺呼、重呼、选呼三种呼叫方式，可标记患者为“过号”或“完成”，支持过号转未诊、诊结患者召回；无等候时，新患者签到触发弹窗提示、图标变色及闪烁提醒。</w:t>
      </w:r>
    </w:p>
    <w:p w14:paraId="033E350D">
      <w:pPr>
        <w:pStyle w:val="12"/>
        <w:shd w:val="clear" w:color="auto" w:fill="auto"/>
        <w:ind w:firstLine="480"/>
        <w:rPr>
          <w:rFonts w:hint="eastAsia"/>
          <w:highlight w:val="none"/>
        </w:rPr>
      </w:pPr>
      <w:r>
        <w:rPr>
          <w:rFonts w:hint="eastAsia"/>
          <w:highlight w:val="none"/>
        </w:rPr>
        <w:t>可实时查看候诊人数、过号队列及当前看诊患者姓名与排队号。支持悬浮窗与自动停靠，集成于医生工作站界面；多队列出诊时可自主选择叫号队列，并可呼叫护士至诊室，功能按钮支持快捷键自定义。</w:t>
      </w:r>
    </w:p>
    <w:p w14:paraId="1C6BF86C">
      <w:pPr>
        <w:pStyle w:val="6"/>
        <w:rPr>
          <w:rFonts w:hint="eastAsia"/>
          <w:highlight w:val="none"/>
        </w:rPr>
      </w:pPr>
      <w:r>
        <w:rPr>
          <w:rFonts w:hint="eastAsia"/>
          <w:highlight w:val="none"/>
          <w:lang w:val="en-US" w:eastAsia="zh-CN"/>
        </w:rPr>
        <w:t xml:space="preserve"> </w:t>
      </w:r>
      <w:r>
        <w:rPr>
          <w:rFonts w:hint="eastAsia"/>
          <w:highlight w:val="none"/>
        </w:rPr>
        <w:t>信息发布系统</w:t>
      </w:r>
    </w:p>
    <w:p w14:paraId="3C184AC3">
      <w:pPr>
        <w:pStyle w:val="12"/>
        <w:shd w:val="clear" w:color="auto" w:fill="auto"/>
        <w:ind w:firstLine="480"/>
        <w:rPr>
          <w:rFonts w:hint="eastAsia"/>
          <w:highlight w:val="none"/>
        </w:rPr>
      </w:pPr>
      <w:r>
        <w:rPr>
          <w:rFonts w:hint="eastAsia"/>
          <w:highlight w:val="none"/>
        </w:rPr>
        <w:t>信息发布系统通过集中控制与统一管理，将音频、图片、滚动字幕等多媒体信息经网络传输至显示终端，覆盖医院大厅、住院部、候诊区、就诊区、药房等人流密集区域，实时发布挂号、就诊信息及医疗常识，提升就医效率，缓解患者焦虑，助力医院提升管理水平与形象。</w:t>
      </w:r>
    </w:p>
    <w:p w14:paraId="622420A6">
      <w:pPr>
        <w:pStyle w:val="12"/>
        <w:shd w:val="clear" w:color="auto" w:fill="auto"/>
        <w:ind w:firstLine="480"/>
        <w:rPr>
          <w:rFonts w:hint="eastAsia"/>
          <w:highlight w:val="none"/>
        </w:rPr>
      </w:pPr>
      <w:r>
        <w:rPr>
          <w:rFonts w:hint="eastAsia"/>
          <w:highlight w:val="none"/>
        </w:rPr>
        <w:t>系统支持设备分组管理，可为诊室、候诊厅等分配签到机、分诊屏，并自定义组描述与添加设备。资源管理支持上传主流格式的图片、视频等节目素材。节目管理支持新增、编辑节目，可直接添加网页、图片、视频，并内置编辑器，支持文字、滚动字幕、图片、按钮、轮播、音乐、视频及iframe嵌入，可多页面设置并自定义尺寸、背景，适用于多种场景。</w:t>
      </w:r>
    </w:p>
    <w:p w14:paraId="3F47A1BD">
      <w:pPr>
        <w:pStyle w:val="12"/>
        <w:shd w:val="clear" w:color="auto" w:fill="auto"/>
        <w:ind w:firstLine="480"/>
        <w:rPr>
          <w:rFonts w:hint="eastAsia"/>
          <w:highlight w:val="none"/>
          <w:lang w:eastAsia="zh-Hans"/>
        </w:rPr>
      </w:pPr>
      <w:r>
        <w:rPr>
          <w:rFonts w:hint="eastAsia"/>
          <w:highlight w:val="none"/>
        </w:rPr>
        <w:t>任务管理支持任务的创建、查询、编辑、暂停与终止；系统可检测设备状态，按IP、编号、类型、状态查询设备，远程设置滚动字幕、关机、重启及截屏。</w:t>
      </w:r>
    </w:p>
    <w:p w14:paraId="7AB3113A">
      <w:pPr>
        <w:pStyle w:val="6"/>
        <w:rPr>
          <w:rFonts w:hint="eastAsia"/>
          <w:highlight w:val="none"/>
        </w:rPr>
      </w:pPr>
      <w:r>
        <w:rPr>
          <w:rFonts w:hint="eastAsia"/>
          <w:highlight w:val="none"/>
          <w:lang w:val="en-US" w:eastAsia="zh-CN"/>
        </w:rPr>
        <w:t xml:space="preserve"> </w:t>
      </w:r>
      <w:r>
        <w:rPr>
          <w:rFonts w:hint="eastAsia"/>
          <w:highlight w:val="none"/>
        </w:rPr>
        <w:t>诊室显示屏</w:t>
      </w:r>
    </w:p>
    <w:p w14:paraId="730D6497">
      <w:pPr>
        <w:pStyle w:val="12"/>
        <w:shd w:val="clear" w:color="auto" w:fill="auto"/>
        <w:ind w:firstLine="480"/>
        <w:rPr>
          <w:rFonts w:hint="eastAsia"/>
          <w:highlight w:val="none"/>
        </w:rPr>
      </w:pPr>
      <w:r>
        <w:rPr>
          <w:highlight w:val="none"/>
        </w:rPr>
        <w:t>支持显示诊室医生的简介、姓名、照片、职称、正在看诊患者、等待看诊患者的名字排队号、时间、日期、医院的名称logo等信息；若同一诊室</w:t>
      </w:r>
      <w:r>
        <w:rPr>
          <w:rFonts w:hint="eastAsia"/>
          <w:highlight w:val="none"/>
        </w:rPr>
        <w:t>有</w:t>
      </w:r>
      <w:r>
        <w:rPr>
          <w:highlight w:val="none"/>
        </w:rPr>
        <w:t>两位医生</w:t>
      </w:r>
      <w:r>
        <w:rPr>
          <w:rFonts w:hint="eastAsia"/>
          <w:highlight w:val="none"/>
        </w:rPr>
        <w:t>同时坐诊</w:t>
      </w:r>
      <w:r>
        <w:rPr>
          <w:highlight w:val="none"/>
        </w:rPr>
        <w:t>，支持一屏幕显示两位医生。</w:t>
      </w:r>
    </w:p>
    <w:p w14:paraId="6B2DBF40">
      <w:pPr>
        <w:pStyle w:val="6"/>
        <w:rPr>
          <w:rFonts w:hint="eastAsia"/>
          <w:highlight w:val="none"/>
        </w:rPr>
      </w:pPr>
      <w:r>
        <w:rPr>
          <w:rFonts w:hint="eastAsia"/>
          <w:highlight w:val="none"/>
          <w:lang w:val="en-US" w:eastAsia="zh-CN"/>
        </w:rPr>
        <w:t xml:space="preserve"> </w:t>
      </w:r>
      <w:r>
        <w:rPr>
          <w:rFonts w:hint="eastAsia"/>
          <w:highlight w:val="none"/>
        </w:rPr>
        <w:t>综合显示屏</w:t>
      </w:r>
    </w:p>
    <w:p w14:paraId="4D2A6CDA">
      <w:pPr>
        <w:pStyle w:val="12"/>
        <w:shd w:val="clear" w:color="auto" w:fill="auto"/>
        <w:ind w:firstLine="480"/>
        <w:rPr>
          <w:rFonts w:hint="eastAsia"/>
          <w:highlight w:val="none"/>
        </w:rPr>
      </w:pPr>
      <w:r>
        <w:rPr>
          <w:highlight w:val="none"/>
        </w:rPr>
        <w:t>患者在等候区通过综合显示屏查看等待队列和叫号患者信息；综合显示屏支持全屏播放排队叫号信息，诊室信息，还可以滚动播放当前呼叫的人员，以及等待的人员信息。可以自定义设置界面布局，文字大小，颜色等，除了展示排队信息外，还可以分区播放医院信息等。</w:t>
      </w:r>
    </w:p>
    <w:p w14:paraId="28241555">
      <w:pPr>
        <w:pStyle w:val="12"/>
        <w:shd w:val="clear" w:color="auto" w:fill="auto"/>
        <w:ind w:firstLine="480"/>
        <w:rPr>
          <w:rFonts w:hint="eastAsia"/>
          <w:highlight w:val="none"/>
        </w:rPr>
      </w:pPr>
      <w:r>
        <w:rPr>
          <w:rFonts w:hint="eastAsia"/>
          <w:highlight w:val="none"/>
        </w:rPr>
        <w:t>同时支持对患者信息进行隐私保护，比如将患者名字，两个字默认隐藏后一个，三个字隐藏中间一个，四个或四个以上默认显示第一个和最后一个，中间两个星号；显示的时候就按照患者排队号在前，名字在后的方式，比如</w:t>
      </w:r>
      <w:r>
        <w:rPr>
          <w:highlight w:val="none"/>
        </w:rPr>
        <w:t>001张*封。</w:t>
      </w:r>
    </w:p>
    <w:p w14:paraId="078A1233">
      <w:pPr>
        <w:pStyle w:val="12"/>
        <w:shd w:val="clear" w:color="auto" w:fill="auto"/>
        <w:ind w:firstLine="480"/>
        <w:rPr>
          <w:rFonts w:hint="eastAsia"/>
          <w:highlight w:val="none"/>
        </w:rPr>
      </w:pPr>
      <w:r>
        <w:rPr>
          <w:rFonts w:hint="eastAsia"/>
          <w:highlight w:val="none"/>
        </w:rPr>
        <w:t>综合屏支持滚动或翻页显示多个科室的叫号患者信息和等候就诊患者信息，同时支持弹框显示正在呼叫患者信息。</w:t>
      </w:r>
    </w:p>
    <w:p w14:paraId="4B7E0673">
      <w:pPr>
        <w:pStyle w:val="6"/>
        <w:rPr>
          <w:rFonts w:hint="eastAsia"/>
          <w:highlight w:val="none"/>
        </w:rPr>
      </w:pPr>
      <w:r>
        <w:rPr>
          <w:rFonts w:hint="eastAsia"/>
          <w:highlight w:val="none"/>
          <w:lang w:val="en-US" w:eastAsia="zh-CN"/>
        </w:rPr>
        <w:t xml:space="preserve"> </w:t>
      </w:r>
      <w:r>
        <w:rPr>
          <w:rFonts w:hint="eastAsia"/>
          <w:highlight w:val="none"/>
        </w:rPr>
        <w:t>自助签到机</w:t>
      </w:r>
    </w:p>
    <w:p w14:paraId="50E2E60A">
      <w:pPr>
        <w:pStyle w:val="12"/>
        <w:shd w:val="clear" w:color="auto" w:fill="auto"/>
        <w:ind w:firstLine="480"/>
        <w:rPr>
          <w:rFonts w:hint="eastAsia"/>
          <w:highlight w:val="none"/>
        </w:rPr>
      </w:pPr>
      <w:r>
        <w:rPr>
          <w:highlight w:val="none"/>
        </w:rPr>
        <w:t>患者通过签到机的操作指引进行自助操作，节省人力资源和导诊员的工作量，签到机通过声音、界面、动画同步指引患者签到的操作流程。</w:t>
      </w:r>
    </w:p>
    <w:p w14:paraId="60ADE641">
      <w:pPr>
        <w:pStyle w:val="12"/>
        <w:shd w:val="clear" w:color="auto" w:fill="auto"/>
        <w:ind w:firstLine="480"/>
        <w:rPr>
          <w:rFonts w:hint="eastAsia"/>
          <w:highlight w:val="none"/>
        </w:rPr>
      </w:pPr>
      <w:r>
        <w:rPr>
          <w:rFonts w:hint="eastAsia"/>
          <w:highlight w:val="none"/>
        </w:rPr>
        <w:t>自助签到机采用模块化设计，并可通过增加功能模块来实现更多的功能。</w:t>
      </w:r>
    </w:p>
    <w:p w14:paraId="7392BEF9">
      <w:pPr>
        <w:pStyle w:val="12"/>
        <w:shd w:val="clear" w:color="auto" w:fill="auto"/>
        <w:ind w:firstLine="480"/>
        <w:rPr>
          <w:rFonts w:hint="eastAsia"/>
          <w:highlight w:val="none"/>
        </w:rPr>
      </w:pPr>
      <w:r>
        <w:rPr>
          <w:rFonts w:hint="eastAsia"/>
          <w:highlight w:val="none"/>
        </w:rPr>
        <w:t>自助签到机具备触控显示屏，二维码扫描仪、身份证阅读器、非接卡阅读器、社保卡阅读器等身份介质识别模块，以及凭条打印机。</w:t>
      </w:r>
    </w:p>
    <w:p w14:paraId="0C2FC031">
      <w:pPr>
        <w:pStyle w:val="6"/>
        <w:rPr>
          <w:rFonts w:hint="eastAsia"/>
          <w:highlight w:val="none"/>
        </w:rPr>
      </w:pPr>
      <w:r>
        <w:rPr>
          <w:rFonts w:hint="eastAsia"/>
          <w:highlight w:val="none"/>
          <w:lang w:val="en-US" w:eastAsia="zh-CN"/>
        </w:rPr>
        <w:t xml:space="preserve"> </w:t>
      </w:r>
      <w:r>
        <w:rPr>
          <w:rFonts w:hint="eastAsia"/>
          <w:highlight w:val="none"/>
        </w:rPr>
        <w:t>语音播报系统</w:t>
      </w:r>
    </w:p>
    <w:p w14:paraId="4435C969">
      <w:pPr>
        <w:pStyle w:val="12"/>
        <w:shd w:val="clear" w:color="auto" w:fill="auto"/>
        <w:ind w:firstLine="480"/>
        <w:rPr>
          <w:rFonts w:hint="eastAsia"/>
          <w:highlight w:val="none"/>
        </w:rPr>
      </w:pPr>
      <w:r>
        <w:rPr>
          <w:rFonts w:hint="eastAsia"/>
          <w:highlight w:val="none"/>
        </w:rPr>
        <w:t>语音播报系统具备按候诊区划分的、语音效果可覆盖整个候诊区的语音播报功能。</w:t>
      </w:r>
    </w:p>
    <w:p w14:paraId="6E800CF5">
      <w:pPr>
        <w:pStyle w:val="12"/>
        <w:shd w:val="clear" w:color="auto" w:fill="auto"/>
        <w:ind w:firstLine="480"/>
        <w:rPr>
          <w:rFonts w:hint="eastAsia"/>
          <w:highlight w:val="none"/>
        </w:rPr>
      </w:pPr>
      <w:r>
        <w:rPr>
          <w:rFonts w:hint="eastAsia"/>
          <w:highlight w:val="none"/>
        </w:rPr>
        <w:t>系统采用</w:t>
      </w:r>
      <w:r>
        <w:rPr>
          <w:highlight w:val="none"/>
        </w:rPr>
        <w:t>TTS语音引擎技术，系统能够同步、清晰和准确的发音，支持患者和医生姓名、诊室号等内容的呼叫。其合成语音的语速、音调、音量可调节，并支持选择女声或男声播报。</w:t>
      </w:r>
    </w:p>
    <w:p w14:paraId="1AB5A1C9">
      <w:pPr>
        <w:pStyle w:val="12"/>
        <w:shd w:val="clear" w:color="auto" w:fill="auto"/>
        <w:ind w:firstLine="480"/>
        <w:rPr>
          <w:rFonts w:hint="eastAsia"/>
          <w:highlight w:val="none"/>
        </w:rPr>
      </w:pPr>
      <w:r>
        <w:rPr>
          <w:rFonts w:hint="eastAsia"/>
          <w:highlight w:val="none"/>
        </w:rPr>
        <w:t>播报所需的功放与吸顶音箱，可通过护士分诊台电脑、候诊区显示屏、自助报到机连接部署，实现呼叫信息的同步播放。</w:t>
      </w:r>
    </w:p>
    <w:p w14:paraId="5C49D747">
      <w:pPr>
        <w:pStyle w:val="5"/>
        <w:rPr>
          <w:rFonts w:hint="eastAsia"/>
          <w:highlight w:val="none"/>
        </w:rPr>
      </w:pPr>
      <w:r>
        <w:rPr>
          <w:rFonts w:hint="eastAsia"/>
          <w:highlight w:val="none"/>
          <w:lang w:val="en-US" w:eastAsia="zh-CN"/>
        </w:rPr>
        <w:t xml:space="preserve"> </w:t>
      </w:r>
      <w:r>
        <w:rPr>
          <w:rFonts w:hint="eastAsia"/>
          <w:highlight w:val="none"/>
        </w:rPr>
        <w:t>统一医技预约平台</w:t>
      </w:r>
    </w:p>
    <w:p w14:paraId="7DD13FCA">
      <w:pPr>
        <w:pStyle w:val="6"/>
        <w:rPr>
          <w:rFonts w:hint="eastAsia"/>
          <w:highlight w:val="none"/>
        </w:rPr>
      </w:pPr>
      <w:bookmarkStart w:id="142" w:name="_Toc197780331"/>
      <w:r>
        <w:rPr>
          <w:rFonts w:hint="eastAsia"/>
          <w:highlight w:val="none"/>
          <w:lang w:val="en-US" w:eastAsia="zh-CN"/>
        </w:rPr>
        <w:t xml:space="preserve"> </w:t>
      </w:r>
      <w:r>
        <w:rPr>
          <w:rFonts w:hint="eastAsia"/>
          <w:highlight w:val="none"/>
        </w:rPr>
        <w:t>系统管理</w:t>
      </w:r>
      <w:bookmarkEnd w:id="142"/>
    </w:p>
    <w:p w14:paraId="0E1CD782">
      <w:pPr>
        <w:pStyle w:val="12"/>
        <w:shd w:val="clear" w:color="auto" w:fill="auto"/>
        <w:ind w:firstLine="480"/>
        <w:rPr>
          <w:rFonts w:hint="eastAsia"/>
          <w:highlight w:val="none"/>
        </w:rPr>
      </w:pPr>
      <w:r>
        <w:rPr>
          <w:rFonts w:hint="eastAsia"/>
          <w:highlight w:val="none"/>
        </w:rPr>
        <w:t>1、菜单管理：支持菜单分组及有效性管理。</w:t>
      </w:r>
    </w:p>
    <w:p w14:paraId="0BDE0957">
      <w:pPr>
        <w:pStyle w:val="12"/>
        <w:shd w:val="clear" w:color="auto" w:fill="auto"/>
        <w:ind w:firstLine="480"/>
        <w:rPr>
          <w:rFonts w:hint="eastAsia"/>
          <w:highlight w:val="none"/>
        </w:rPr>
      </w:pPr>
      <w:r>
        <w:rPr>
          <w:rFonts w:hint="eastAsia"/>
          <w:highlight w:val="none"/>
        </w:rPr>
        <w:t>2、角色管理：支持角色配置，按角色控制菜单显示与权限。</w:t>
      </w:r>
    </w:p>
    <w:p w14:paraId="2D7F6594">
      <w:pPr>
        <w:pStyle w:val="12"/>
        <w:shd w:val="clear" w:color="auto" w:fill="auto"/>
        <w:ind w:firstLine="480"/>
        <w:rPr>
          <w:rFonts w:hint="eastAsia"/>
          <w:highlight w:val="none"/>
        </w:rPr>
      </w:pPr>
      <w:r>
        <w:rPr>
          <w:rFonts w:hint="eastAsia"/>
          <w:highlight w:val="none"/>
        </w:rPr>
        <w:t>3、用户管理：支持用户信息维护，分配角色、院区及科室权限，支持跨院区预约和多科室权限，可批量导入。</w:t>
      </w:r>
    </w:p>
    <w:p w14:paraId="30CD19B1">
      <w:pPr>
        <w:pStyle w:val="12"/>
        <w:shd w:val="clear" w:color="auto" w:fill="auto"/>
        <w:ind w:firstLine="480"/>
        <w:rPr>
          <w:rFonts w:hint="eastAsia"/>
          <w:highlight w:val="none"/>
        </w:rPr>
      </w:pPr>
      <w:r>
        <w:rPr>
          <w:rFonts w:hint="eastAsia"/>
          <w:highlight w:val="none"/>
        </w:rPr>
        <w:t>4、字典管理：统一管理标准数据，支持字典项描述维护。</w:t>
      </w:r>
    </w:p>
    <w:p w14:paraId="5462032F">
      <w:pPr>
        <w:pStyle w:val="12"/>
        <w:shd w:val="clear" w:color="auto" w:fill="auto"/>
        <w:ind w:firstLine="480"/>
        <w:rPr>
          <w:rFonts w:hint="eastAsia"/>
          <w:highlight w:val="none"/>
        </w:rPr>
      </w:pPr>
      <w:r>
        <w:rPr>
          <w:rFonts w:hint="eastAsia"/>
          <w:highlight w:val="none"/>
        </w:rPr>
        <w:t>5、控制参数管理：支持参数增改、验证及开关配置。</w:t>
      </w:r>
    </w:p>
    <w:p w14:paraId="6E6AFB65">
      <w:pPr>
        <w:pStyle w:val="6"/>
        <w:rPr>
          <w:rFonts w:hint="eastAsia"/>
          <w:highlight w:val="none"/>
        </w:rPr>
      </w:pPr>
      <w:bookmarkStart w:id="143" w:name="_Toc197780332"/>
      <w:r>
        <w:rPr>
          <w:rFonts w:hint="eastAsia"/>
          <w:highlight w:val="none"/>
          <w:lang w:val="en-US" w:eastAsia="zh-CN"/>
        </w:rPr>
        <w:t xml:space="preserve"> </w:t>
      </w:r>
      <w:r>
        <w:rPr>
          <w:rFonts w:hint="eastAsia"/>
          <w:highlight w:val="none"/>
        </w:rPr>
        <w:t>资源管理</w:t>
      </w:r>
      <w:bookmarkEnd w:id="143"/>
    </w:p>
    <w:p w14:paraId="2AA4AE40">
      <w:pPr>
        <w:pStyle w:val="12"/>
        <w:shd w:val="clear" w:color="auto" w:fill="auto"/>
        <w:ind w:firstLine="480"/>
        <w:rPr>
          <w:rFonts w:hint="eastAsia"/>
          <w:highlight w:val="none"/>
        </w:rPr>
      </w:pPr>
      <w:r>
        <w:rPr>
          <w:rFonts w:hint="eastAsia"/>
          <w:highlight w:val="none"/>
        </w:rPr>
        <w:t>1、院区管理：支持院区的添加、编辑、启用/禁用及有效性查询。</w:t>
      </w:r>
    </w:p>
    <w:p w14:paraId="09230B60">
      <w:pPr>
        <w:pStyle w:val="12"/>
        <w:shd w:val="clear" w:color="auto" w:fill="auto"/>
        <w:ind w:firstLine="480"/>
        <w:rPr>
          <w:rFonts w:hint="eastAsia"/>
          <w:highlight w:val="none"/>
        </w:rPr>
      </w:pPr>
      <w:r>
        <w:rPr>
          <w:rFonts w:hint="eastAsia"/>
          <w:highlight w:val="none"/>
        </w:rPr>
        <w:t>2、科室管理：支持科室的刷新、增删改及多条件精准检索。</w:t>
      </w:r>
    </w:p>
    <w:p w14:paraId="2947E2EA">
      <w:pPr>
        <w:pStyle w:val="12"/>
        <w:shd w:val="clear" w:color="auto" w:fill="auto"/>
        <w:ind w:firstLine="480"/>
        <w:rPr>
          <w:rFonts w:hint="eastAsia"/>
          <w:highlight w:val="none"/>
        </w:rPr>
      </w:pPr>
      <w:r>
        <w:rPr>
          <w:rFonts w:hint="eastAsia"/>
          <w:highlight w:val="none"/>
        </w:rPr>
        <w:t>3、注意事项管理：支持新增、编辑、启停用，并可用于项目与设备维护。</w:t>
      </w:r>
    </w:p>
    <w:p w14:paraId="33C304C7">
      <w:pPr>
        <w:pStyle w:val="12"/>
        <w:shd w:val="clear" w:color="auto" w:fill="auto"/>
        <w:ind w:firstLine="480"/>
        <w:rPr>
          <w:rFonts w:hint="eastAsia"/>
          <w:highlight w:val="none"/>
        </w:rPr>
      </w:pPr>
      <w:r>
        <w:rPr>
          <w:rFonts w:hint="eastAsia"/>
          <w:highlight w:val="none"/>
        </w:rPr>
        <w:t>4、检查项目管理：支持项目信息编辑、有效性管理、注意事项复制；新增时可选基准或院区项目，支持倍数、空腹、增强等设置，支持拼音码查询及批量复制注意事项。</w:t>
      </w:r>
    </w:p>
    <w:p w14:paraId="752CCA83">
      <w:pPr>
        <w:pStyle w:val="12"/>
        <w:shd w:val="clear" w:color="auto" w:fill="auto"/>
        <w:ind w:firstLine="480"/>
        <w:rPr>
          <w:rFonts w:hint="eastAsia"/>
          <w:highlight w:val="none"/>
        </w:rPr>
      </w:pPr>
      <w:r>
        <w:rPr>
          <w:rFonts w:hint="eastAsia"/>
          <w:highlight w:val="none"/>
        </w:rPr>
        <w:t>5、▲基础数据维护：支持维护HIS、PACS的检查部位、基本操作、检查类型、厂商数据。实现基础数据的统一管理。</w:t>
      </w:r>
    </w:p>
    <w:p w14:paraId="069B54E3">
      <w:pPr>
        <w:pStyle w:val="12"/>
        <w:shd w:val="clear" w:color="auto" w:fill="auto"/>
        <w:ind w:firstLine="480"/>
        <w:rPr>
          <w:rFonts w:hint="eastAsia"/>
          <w:highlight w:val="none"/>
        </w:rPr>
      </w:pPr>
      <w:r>
        <w:rPr>
          <w:rFonts w:hint="eastAsia"/>
          <w:highlight w:val="none"/>
        </w:rPr>
        <w:t>6、▲基础数据对照：支持维护HIS、PACS的检查部位、基本操作、检查类型、检查项目、执行科室数据进行对照，实现多院区多</w:t>
      </w:r>
      <w:r>
        <w:rPr>
          <w:rFonts w:hint="eastAsia"/>
          <w:highlight w:val="none"/>
        </w:rPr>
        <w:t>系统</w:t>
      </w:r>
      <w:r>
        <w:rPr>
          <w:rFonts w:hint="eastAsia"/>
          <w:highlight w:val="none"/>
        </w:rPr>
        <w:t>的数据交换和统一。</w:t>
      </w:r>
    </w:p>
    <w:p w14:paraId="70B7C884">
      <w:pPr>
        <w:pStyle w:val="6"/>
        <w:rPr>
          <w:rFonts w:hint="eastAsia"/>
          <w:highlight w:val="none"/>
        </w:rPr>
      </w:pPr>
      <w:bookmarkStart w:id="144" w:name="_Toc197780333"/>
      <w:r>
        <w:rPr>
          <w:rFonts w:hint="eastAsia"/>
          <w:highlight w:val="none"/>
          <w:lang w:val="en-US" w:eastAsia="zh-CN"/>
        </w:rPr>
        <w:t xml:space="preserve"> </w:t>
      </w:r>
      <w:r>
        <w:rPr>
          <w:rFonts w:hint="eastAsia"/>
          <w:highlight w:val="none"/>
        </w:rPr>
        <w:t>规则库管理</w:t>
      </w:r>
      <w:bookmarkEnd w:id="144"/>
    </w:p>
    <w:p w14:paraId="01FE5683">
      <w:pPr>
        <w:pStyle w:val="12"/>
        <w:shd w:val="clear" w:color="auto" w:fill="auto"/>
        <w:ind w:firstLine="480"/>
        <w:rPr>
          <w:rFonts w:hint="eastAsia"/>
          <w:highlight w:val="none"/>
        </w:rPr>
      </w:pPr>
      <w:r>
        <w:rPr>
          <w:rFonts w:hint="eastAsia"/>
          <w:highlight w:val="none"/>
        </w:rPr>
        <w:t>支持基础规则维护，如时间间隔、优先级、合单拆单、预约限额等；提供自定义规则函数作为运算单元；管理可灵活配置的基础验证规则，并整合多种规则为统一业务规则；通过规则集按需组合基础规则，支持复用；针对医院流程特性，通过知识包配置验证规则，同级并行、上下级顺序执行，保障预约与查询等功能的准确性与可用性。</w:t>
      </w:r>
    </w:p>
    <w:p w14:paraId="5E755C6B">
      <w:pPr>
        <w:pStyle w:val="6"/>
        <w:rPr>
          <w:rFonts w:hint="eastAsia"/>
          <w:highlight w:val="none"/>
        </w:rPr>
      </w:pPr>
      <w:bookmarkStart w:id="145" w:name="_Toc197780334"/>
      <w:r>
        <w:rPr>
          <w:rFonts w:hint="eastAsia"/>
          <w:highlight w:val="none"/>
          <w:lang w:val="en-US" w:eastAsia="zh-CN"/>
        </w:rPr>
        <w:t xml:space="preserve"> </w:t>
      </w:r>
      <w:r>
        <w:rPr>
          <w:rFonts w:hint="eastAsia"/>
          <w:highlight w:val="none"/>
        </w:rPr>
        <w:t>号源管理</w:t>
      </w:r>
      <w:bookmarkEnd w:id="145"/>
    </w:p>
    <w:p w14:paraId="7BE4A0E1">
      <w:pPr>
        <w:pStyle w:val="12"/>
        <w:shd w:val="clear" w:color="auto" w:fill="auto"/>
        <w:ind w:firstLine="480"/>
        <w:rPr>
          <w:rFonts w:hint="eastAsia"/>
          <w:highlight w:val="none"/>
        </w:rPr>
      </w:pPr>
      <w:r>
        <w:rPr>
          <w:rFonts w:hint="eastAsia"/>
          <w:highlight w:val="none"/>
        </w:rPr>
        <w:t>1、设备管理</w:t>
      </w:r>
    </w:p>
    <w:p w14:paraId="37074FFB">
      <w:pPr>
        <w:pStyle w:val="12"/>
        <w:shd w:val="clear" w:color="auto" w:fill="auto"/>
        <w:ind w:firstLine="480"/>
        <w:rPr>
          <w:rFonts w:hint="eastAsia"/>
          <w:highlight w:val="none"/>
        </w:rPr>
      </w:pPr>
      <w:r>
        <w:rPr>
          <w:rFonts w:hint="eastAsia"/>
          <w:highlight w:val="none"/>
        </w:rPr>
        <w:t>支持设备的增删改复制及注意事项编辑，配置虚拟设备与检查项目分配。添加设备时可按院区、科室、类型关联查询检查项目并配置可执行项目。可设置设备属性，如预约后是否打印、自动分诊、自动签到等。支持预约时间类型与模式配置（如时段/时点、按部位/单据），以及门诊住院可预约天数设置。支持跨院区预约权限统一管理，实现跨院区限制。通过虚拟设备及其对照关系支持二次分诊。</w:t>
      </w:r>
    </w:p>
    <w:p w14:paraId="3211A143">
      <w:pPr>
        <w:pStyle w:val="12"/>
        <w:shd w:val="clear" w:color="auto" w:fill="auto"/>
        <w:ind w:firstLine="480"/>
        <w:rPr>
          <w:rFonts w:hint="eastAsia"/>
          <w:highlight w:val="none"/>
        </w:rPr>
      </w:pPr>
      <w:r>
        <w:rPr>
          <w:rFonts w:hint="eastAsia"/>
          <w:highlight w:val="none"/>
        </w:rPr>
        <w:t>2、排班模板</w:t>
      </w:r>
    </w:p>
    <w:p w14:paraId="2E10EEBA">
      <w:pPr>
        <w:pStyle w:val="12"/>
        <w:shd w:val="clear" w:color="auto" w:fill="auto"/>
        <w:ind w:firstLine="480"/>
        <w:rPr>
          <w:rFonts w:hint="eastAsia"/>
          <w:highlight w:val="none"/>
        </w:rPr>
      </w:pPr>
      <w:r>
        <w:rPr>
          <w:rFonts w:hint="eastAsia"/>
          <w:highlight w:val="none"/>
        </w:rPr>
        <w:t>支持创建和编辑排班模板，用于快速排班及批量设置时段可用项目。可管理号源类型与途径，新建模板时为各设备独立配置号源类型与途径。支持调整排班时段及对应号源数量、限额、上限。可按星期生成时段，并在计划中维护号源数量。支持通过时间与日期选择进行项目分配与访问规则设置。</w:t>
      </w:r>
    </w:p>
    <w:p w14:paraId="66A105C6">
      <w:pPr>
        <w:pStyle w:val="12"/>
        <w:shd w:val="clear" w:color="auto" w:fill="auto"/>
        <w:ind w:firstLine="480"/>
        <w:rPr>
          <w:rFonts w:hint="eastAsia"/>
          <w:highlight w:val="none"/>
        </w:rPr>
      </w:pPr>
      <w:r>
        <w:rPr>
          <w:rFonts w:hint="eastAsia"/>
          <w:highlight w:val="none"/>
        </w:rPr>
        <w:t>3、排班计划</w:t>
      </w:r>
    </w:p>
    <w:p w14:paraId="46C7CF9F">
      <w:pPr>
        <w:pStyle w:val="12"/>
        <w:shd w:val="clear" w:color="auto" w:fill="auto"/>
        <w:ind w:firstLine="480"/>
        <w:rPr>
          <w:rFonts w:hint="eastAsia"/>
          <w:highlight w:val="none"/>
        </w:rPr>
      </w:pPr>
      <w:r>
        <w:rPr>
          <w:rFonts w:hint="eastAsia"/>
          <w:highlight w:val="none"/>
        </w:rPr>
        <w:t>支持对门诊、住院、体检等场景下医技、医生、患者手机、自助机等预约方式的精细化排班管理。可为设备每个时段分配医嘱项目，实现不同时段做不同项目。支持批量排班、数量维护与科室查询。根据院区科室查询设备，查看排班数据，批量排班或删除。双击排班可查看计划数量，且不可超模板上限。支持按院区日期查询模板并一键批量排班。可按星期设置模板，未设置则默认启用当前模板，支持自动排班；节假日可提前调整模板。</w:t>
      </w:r>
    </w:p>
    <w:p w14:paraId="408C2BF8">
      <w:pPr>
        <w:pStyle w:val="12"/>
        <w:shd w:val="clear" w:color="auto" w:fill="auto"/>
        <w:ind w:firstLine="480"/>
        <w:rPr>
          <w:rFonts w:hint="eastAsia"/>
          <w:highlight w:val="none"/>
        </w:rPr>
      </w:pPr>
      <w:r>
        <w:rPr>
          <w:rFonts w:hint="eastAsia"/>
          <w:highlight w:val="none"/>
        </w:rPr>
        <w:t>4、用户设备管理</w:t>
      </w:r>
    </w:p>
    <w:p w14:paraId="0DD7EAA6">
      <w:pPr>
        <w:pStyle w:val="12"/>
        <w:shd w:val="clear" w:color="auto" w:fill="auto"/>
        <w:ind w:firstLine="480"/>
        <w:rPr>
          <w:rFonts w:hint="eastAsia"/>
          <w:highlight w:val="none"/>
        </w:rPr>
      </w:pPr>
      <w:r>
        <w:rPr>
          <w:rFonts w:hint="eastAsia"/>
          <w:highlight w:val="none"/>
        </w:rPr>
        <w:t>支持按院区科室查询设备信息，配置设备预约权限及医技特权权限。</w:t>
      </w:r>
    </w:p>
    <w:p w14:paraId="28C0283C">
      <w:pPr>
        <w:pStyle w:val="6"/>
        <w:rPr>
          <w:rFonts w:hint="eastAsia"/>
          <w:highlight w:val="none"/>
        </w:rPr>
      </w:pPr>
      <w:bookmarkStart w:id="146" w:name="_Toc197780335"/>
      <w:r>
        <w:rPr>
          <w:rFonts w:hint="eastAsia"/>
          <w:highlight w:val="none"/>
          <w:lang w:val="en-US" w:eastAsia="zh-CN"/>
        </w:rPr>
        <w:t xml:space="preserve"> </w:t>
      </w:r>
      <w:r>
        <w:rPr>
          <w:rFonts w:hint="eastAsia"/>
          <w:highlight w:val="none"/>
        </w:rPr>
        <w:t>检查预约</w:t>
      </w:r>
      <w:bookmarkEnd w:id="146"/>
    </w:p>
    <w:p w14:paraId="0C73B362">
      <w:pPr>
        <w:pStyle w:val="12"/>
        <w:shd w:val="clear" w:color="auto" w:fill="auto"/>
        <w:ind w:firstLine="480"/>
        <w:rPr>
          <w:rFonts w:hint="eastAsia"/>
          <w:highlight w:val="none"/>
        </w:rPr>
      </w:pPr>
      <w:r>
        <w:rPr>
          <w:rFonts w:hint="eastAsia"/>
          <w:highlight w:val="none"/>
        </w:rPr>
        <w:t>1、医技预约：支持通过门诊号、住院号、身份证号等多条件查询患者信息、设备可预约数量及排班。可精准检索申请单，查看检查项目与可预约时段，显示每日剩余及各时段预约情况。选定时段和设备后，经确认窗体完成预约；支持变更、取消（含批量）预约。系统按合单规则自动推荐可合并申请单，默认全选，也可部分合单。支持签到及合号预约。</w:t>
      </w:r>
    </w:p>
    <w:p w14:paraId="3E4A61E3">
      <w:pPr>
        <w:pStyle w:val="12"/>
        <w:shd w:val="clear" w:color="auto" w:fill="auto"/>
        <w:ind w:firstLine="480"/>
        <w:rPr>
          <w:rFonts w:hint="eastAsia"/>
          <w:highlight w:val="none"/>
        </w:rPr>
      </w:pPr>
      <w:r>
        <w:rPr>
          <w:rFonts w:hint="eastAsia"/>
          <w:highlight w:val="none"/>
        </w:rPr>
        <w:t>2、医生预约：具备预约、变更、取消及排班查询功能。查出患者申请单后，显示跨院区、设备的可预约时段与数量。</w:t>
      </w:r>
    </w:p>
    <w:p w14:paraId="7B4F2CDD">
      <w:pPr>
        <w:pStyle w:val="12"/>
        <w:shd w:val="clear" w:color="auto" w:fill="auto"/>
        <w:ind w:firstLine="480"/>
        <w:rPr>
          <w:rFonts w:hint="eastAsia"/>
          <w:highlight w:val="none"/>
        </w:rPr>
      </w:pPr>
      <w:r>
        <w:rPr>
          <w:rFonts w:hint="eastAsia"/>
          <w:highlight w:val="none"/>
        </w:rPr>
        <w:t>3、护士预约：支持预约、变更与取消。护士可按时间、打印次数、身份证号、住院号等筛选申请单，选择后查看可预约时段及余量，进行预约操作。</w:t>
      </w:r>
    </w:p>
    <w:p w14:paraId="1318F82A">
      <w:pPr>
        <w:pStyle w:val="12"/>
        <w:shd w:val="clear" w:color="auto" w:fill="auto"/>
        <w:ind w:firstLine="480"/>
        <w:rPr>
          <w:rFonts w:hint="eastAsia"/>
          <w:highlight w:val="none"/>
        </w:rPr>
      </w:pPr>
      <w:r>
        <w:rPr>
          <w:rFonts w:hint="eastAsia"/>
          <w:highlight w:val="none"/>
        </w:rPr>
        <w:t>4、自动预约：在医嘱开立或缴费后，系统根据规则库和可用时段自动分配预约，并完成分诊与费用判断。</w:t>
      </w:r>
    </w:p>
    <w:p w14:paraId="5E7F39CE">
      <w:pPr>
        <w:pStyle w:val="12"/>
        <w:shd w:val="clear" w:color="auto" w:fill="auto"/>
        <w:ind w:firstLine="480"/>
        <w:rPr>
          <w:rFonts w:hint="eastAsia"/>
          <w:highlight w:val="none"/>
        </w:rPr>
      </w:pPr>
      <w:r>
        <w:rPr>
          <w:rFonts w:hint="eastAsia"/>
          <w:highlight w:val="none"/>
        </w:rPr>
        <w:t>5、预约中心：统一全院科室预约入口，支持多条件查询患者信息与排班，智能推荐并一键完成多科室多项目预约。功能包括取消（批量）、合单与合号预约，优化资源配置。</w:t>
      </w:r>
    </w:p>
    <w:p w14:paraId="50F1B532">
      <w:pPr>
        <w:pStyle w:val="12"/>
        <w:shd w:val="clear" w:color="auto" w:fill="auto"/>
        <w:ind w:firstLine="480"/>
        <w:rPr>
          <w:rFonts w:hint="eastAsia"/>
          <w:highlight w:val="none"/>
        </w:rPr>
      </w:pPr>
      <w:r>
        <w:rPr>
          <w:rFonts w:hint="eastAsia"/>
          <w:highlight w:val="none"/>
        </w:rPr>
        <w:t>6、已预约查询：可按院区、设备、时间、时段组合筛选已预约申请单。</w:t>
      </w:r>
    </w:p>
    <w:p w14:paraId="06EEBB95">
      <w:pPr>
        <w:pStyle w:val="12"/>
        <w:shd w:val="clear" w:color="auto" w:fill="auto"/>
        <w:ind w:firstLine="480"/>
        <w:rPr>
          <w:rFonts w:hint="eastAsia"/>
          <w:highlight w:val="none"/>
        </w:rPr>
      </w:pPr>
      <w:r>
        <w:rPr>
          <w:rFonts w:hint="eastAsia"/>
          <w:highlight w:val="none"/>
        </w:rPr>
        <w:t>7、集中补打：支持多条件查询申请单，实现批量补打。</w:t>
      </w:r>
    </w:p>
    <w:p w14:paraId="3EBA1BEA">
      <w:pPr>
        <w:pStyle w:val="12"/>
        <w:shd w:val="clear" w:color="auto" w:fill="auto"/>
        <w:ind w:firstLine="480"/>
        <w:rPr>
          <w:rFonts w:hint="eastAsia"/>
          <w:highlight w:val="none"/>
        </w:rPr>
      </w:pPr>
      <w:r>
        <w:rPr>
          <w:rFonts w:hint="eastAsia"/>
          <w:highlight w:val="none"/>
        </w:rPr>
        <w:t>8、申请单履历：可通过申请单号和院区查询操作记录。</w:t>
      </w:r>
    </w:p>
    <w:p w14:paraId="79BE15EC">
      <w:pPr>
        <w:pStyle w:val="6"/>
        <w:rPr>
          <w:rFonts w:hint="eastAsia"/>
          <w:highlight w:val="none"/>
        </w:rPr>
      </w:pPr>
      <w:bookmarkStart w:id="147" w:name="_Toc197780336"/>
      <w:r>
        <w:rPr>
          <w:rFonts w:hint="eastAsia"/>
          <w:highlight w:val="none"/>
          <w:lang w:val="en-US" w:eastAsia="zh-CN"/>
        </w:rPr>
        <w:t xml:space="preserve"> </w:t>
      </w:r>
      <w:r>
        <w:rPr>
          <w:rFonts w:hint="eastAsia"/>
          <w:highlight w:val="none"/>
        </w:rPr>
        <w:t>工具管理</w:t>
      </w:r>
      <w:bookmarkEnd w:id="147"/>
    </w:p>
    <w:p w14:paraId="329C180A">
      <w:pPr>
        <w:pStyle w:val="12"/>
        <w:shd w:val="clear" w:color="auto" w:fill="auto"/>
        <w:ind w:firstLine="480"/>
        <w:rPr>
          <w:rFonts w:hint="eastAsia"/>
          <w:highlight w:val="none"/>
        </w:rPr>
      </w:pPr>
      <w:r>
        <w:rPr>
          <w:rFonts w:hint="eastAsia"/>
          <w:highlight w:val="none"/>
        </w:rPr>
        <w:t>1、标签管理：支持创建、编辑、删除文本、二维码、条码等类型标签，用于打印模板维护。</w:t>
      </w:r>
    </w:p>
    <w:p w14:paraId="1FA2F607">
      <w:pPr>
        <w:pStyle w:val="12"/>
        <w:shd w:val="clear" w:color="auto" w:fill="auto"/>
        <w:ind w:firstLine="480"/>
        <w:rPr>
          <w:rFonts w:hint="eastAsia"/>
          <w:highlight w:val="none"/>
        </w:rPr>
      </w:pPr>
      <w:r>
        <w:rPr>
          <w:rFonts w:hint="eastAsia"/>
          <w:highlight w:val="none"/>
        </w:rPr>
        <w:t>2、模板维护：可将标签拖入模板，适配各渠道打印需求。</w:t>
      </w:r>
    </w:p>
    <w:p w14:paraId="3FF303A1">
      <w:pPr>
        <w:pStyle w:val="12"/>
        <w:shd w:val="clear" w:color="auto" w:fill="auto"/>
        <w:ind w:firstLine="480"/>
        <w:rPr>
          <w:rFonts w:hint="eastAsia"/>
          <w:highlight w:val="none"/>
        </w:rPr>
      </w:pPr>
      <w:r>
        <w:rPr>
          <w:rFonts w:hint="eastAsia"/>
          <w:highlight w:val="none"/>
        </w:rPr>
        <w:t>3、用户管理：查看打印用户IP、默认打印机等信息，支持按IP调整打印配置。</w:t>
      </w:r>
    </w:p>
    <w:p w14:paraId="1F9FCD22">
      <w:pPr>
        <w:pStyle w:val="12"/>
        <w:shd w:val="clear" w:color="auto" w:fill="auto"/>
        <w:ind w:firstLine="480"/>
        <w:rPr>
          <w:rFonts w:hint="eastAsia"/>
          <w:highlight w:val="none"/>
        </w:rPr>
      </w:pPr>
      <w:r>
        <w:rPr>
          <w:rFonts w:hint="eastAsia"/>
          <w:highlight w:val="none"/>
        </w:rPr>
        <w:t>4、打印规则：按院区、科室、操作方式等设置对应打印模板。</w:t>
      </w:r>
    </w:p>
    <w:p w14:paraId="0E0D05C7">
      <w:pPr>
        <w:pStyle w:val="12"/>
        <w:shd w:val="clear" w:color="auto" w:fill="auto"/>
        <w:ind w:firstLine="480"/>
        <w:rPr>
          <w:rFonts w:hint="eastAsia"/>
          <w:highlight w:val="none"/>
        </w:rPr>
      </w:pPr>
      <w:r>
        <w:rPr>
          <w:rFonts w:hint="eastAsia"/>
          <w:highlight w:val="none"/>
        </w:rPr>
        <w:t>5、消息标签：配置消息推送基础标签，打印时自动替换标签值。</w:t>
      </w:r>
    </w:p>
    <w:p w14:paraId="41FE22B8">
      <w:pPr>
        <w:pStyle w:val="12"/>
        <w:shd w:val="clear" w:color="auto" w:fill="auto"/>
        <w:ind w:firstLine="480"/>
        <w:rPr>
          <w:rFonts w:hint="eastAsia"/>
          <w:highlight w:val="none"/>
        </w:rPr>
      </w:pPr>
      <w:r>
        <w:rPr>
          <w:rFonts w:hint="eastAsia"/>
          <w:highlight w:val="none"/>
        </w:rPr>
        <w:t>6、消息模板：按院区、科室、项目等设定短信模板。</w:t>
      </w:r>
    </w:p>
    <w:p w14:paraId="270C7A80">
      <w:pPr>
        <w:pStyle w:val="12"/>
        <w:shd w:val="clear" w:color="auto" w:fill="auto"/>
        <w:ind w:firstLine="480"/>
        <w:rPr>
          <w:rFonts w:hint="eastAsia"/>
          <w:highlight w:val="none"/>
        </w:rPr>
      </w:pPr>
      <w:r>
        <w:rPr>
          <w:rFonts w:hint="eastAsia"/>
          <w:highlight w:val="none"/>
        </w:rPr>
        <w:t>7、消息规则：控制不同条件下消息的发送与延迟，支持部分消息屏蔽。</w:t>
      </w:r>
    </w:p>
    <w:p w14:paraId="06C97247">
      <w:pPr>
        <w:pStyle w:val="5"/>
        <w:rPr>
          <w:rFonts w:hint="eastAsia"/>
          <w:highlight w:val="none"/>
        </w:rPr>
      </w:pPr>
      <w:r>
        <w:rPr>
          <w:rFonts w:hint="eastAsia"/>
          <w:highlight w:val="none"/>
          <w:lang w:val="en-US" w:eastAsia="zh-CN"/>
        </w:rPr>
        <w:t xml:space="preserve"> </w:t>
      </w:r>
      <w:r>
        <w:rPr>
          <w:rFonts w:hint="eastAsia"/>
          <w:highlight w:val="none"/>
        </w:rPr>
        <w:t>移动互联网医院系统</w:t>
      </w:r>
    </w:p>
    <w:p w14:paraId="485212A3">
      <w:pPr>
        <w:pStyle w:val="6"/>
        <w:rPr>
          <w:rFonts w:hint="eastAsia"/>
          <w:highlight w:val="none"/>
        </w:rPr>
      </w:pPr>
      <w:bookmarkStart w:id="148" w:name="_Toc96982899"/>
      <w:r>
        <w:rPr>
          <w:rFonts w:hint="eastAsia"/>
          <w:highlight w:val="none"/>
          <w:lang w:val="en-US" w:eastAsia="zh-CN"/>
        </w:rPr>
        <w:t xml:space="preserve"> </w:t>
      </w:r>
      <w:r>
        <w:rPr>
          <w:rFonts w:hint="eastAsia"/>
          <w:highlight w:val="none"/>
        </w:rPr>
        <w:t>患者服务平台（微信小程序）</w:t>
      </w:r>
      <w:bookmarkEnd w:id="148"/>
    </w:p>
    <w:p w14:paraId="159F318A">
      <w:pPr>
        <w:pStyle w:val="7"/>
        <w:rPr>
          <w:rFonts w:hint="eastAsia"/>
          <w:highlight w:val="none"/>
        </w:rPr>
      </w:pPr>
      <w:bookmarkStart w:id="149" w:name="_Toc96982900"/>
      <w:r>
        <w:rPr>
          <w:rFonts w:hint="eastAsia"/>
          <w:highlight w:val="none"/>
          <w:lang w:val="en-US" w:eastAsia="zh-CN"/>
        </w:rPr>
        <w:t xml:space="preserve"> </w:t>
      </w:r>
      <w:r>
        <w:rPr>
          <w:rFonts w:hint="eastAsia"/>
          <w:highlight w:val="none"/>
        </w:rPr>
        <w:t>医院信息</w:t>
      </w:r>
      <w:bookmarkEnd w:id="149"/>
    </w:p>
    <w:p w14:paraId="3CBE33B2">
      <w:pPr>
        <w:pStyle w:val="12"/>
        <w:shd w:val="clear" w:color="auto" w:fill="auto"/>
        <w:ind w:firstLine="480"/>
        <w:rPr>
          <w:rFonts w:hint="eastAsia"/>
          <w:highlight w:val="none"/>
        </w:rPr>
      </w:pPr>
      <w:r>
        <w:rPr>
          <w:rFonts w:hint="eastAsia"/>
          <w:highlight w:val="none"/>
        </w:rPr>
        <w:t>医院介绍：展示医院基本信息、电话、地址及来院路线。</w:t>
      </w:r>
    </w:p>
    <w:p w14:paraId="5C0FDD60">
      <w:pPr>
        <w:pStyle w:val="12"/>
        <w:shd w:val="clear" w:color="auto" w:fill="auto"/>
        <w:ind w:firstLine="480"/>
        <w:rPr>
          <w:rFonts w:hint="eastAsia"/>
          <w:highlight w:val="none"/>
        </w:rPr>
      </w:pPr>
      <w:r>
        <w:rPr>
          <w:rFonts w:hint="eastAsia"/>
          <w:highlight w:val="none"/>
        </w:rPr>
        <w:t>医院公告：支持公告首页滚动播放与列表查询。</w:t>
      </w:r>
    </w:p>
    <w:p w14:paraId="70104FA4">
      <w:pPr>
        <w:pStyle w:val="12"/>
        <w:shd w:val="clear" w:color="auto" w:fill="auto"/>
        <w:ind w:firstLine="480"/>
        <w:rPr>
          <w:rFonts w:hint="eastAsia"/>
          <w:highlight w:val="none"/>
        </w:rPr>
      </w:pPr>
      <w:r>
        <w:rPr>
          <w:rFonts w:hint="eastAsia"/>
          <w:highlight w:val="none"/>
        </w:rPr>
        <w:t>院内地图：提供整体布局及各楼层科室分布图。</w:t>
      </w:r>
    </w:p>
    <w:p w14:paraId="79942B02">
      <w:pPr>
        <w:pStyle w:val="12"/>
        <w:shd w:val="clear" w:color="auto" w:fill="auto"/>
        <w:ind w:firstLine="480"/>
        <w:rPr>
          <w:rFonts w:hint="eastAsia"/>
          <w:highlight w:val="none"/>
        </w:rPr>
      </w:pPr>
      <w:r>
        <w:rPr>
          <w:rFonts w:hint="eastAsia"/>
          <w:highlight w:val="none"/>
        </w:rPr>
        <w:t>来院导航：显示医院位置，自动启动导航软件规划路线。</w:t>
      </w:r>
    </w:p>
    <w:p w14:paraId="65C199BE">
      <w:pPr>
        <w:pStyle w:val="12"/>
        <w:shd w:val="clear" w:color="auto" w:fill="auto"/>
        <w:ind w:firstLine="480"/>
        <w:rPr>
          <w:rFonts w:hint="eastAsia"/>
          <w:highlight w:val="none"/>
        </w:rPr>
      </w:pPr>
      <w:r>
        <w:rPr>
          <w:rFonts w:hint="eastAsia"/>
          <w:highlight w:val="none"/>
        </w:rPr>
        <w:t>科室介绍：展示热门科室的简介、位置及联系电话。</w:t>
      </w:r>
    </w:p>
    <w:p w14:paraId="11CDB274">
      <w:pPr>
        <w:pStyle w:val="12"/>
        <w:shd w:val="clear" w:color="auto" w:fill="auto"/>
        <w:ind w:firstLine="480"/>
        <w:rPr>
          <w:rFonts w:hint="eastAsia"/>
          <w:highlight w:val="none"/>
        </w:rPr>
      </w:pPr>
      <w:r>
        <w:rPr>
          <w:rFonts w:hint="eastAsia"/>
          <w:highlight w:val="none"/>
        </w:rPr>
        <w:t>医生介绍：提供医生及专家的简介、擅长领域和评价。</w:t>
      </w:r>
    </w:p>
    <w:p w14:paraId="3619CAC2">
      <w:pPr>
        <w:pStyle w:val="12"/>
        <w:shd w:val="clear" w:color="auto" w:fill="auto"/>
        <w:ind w:firstLine="480"/>
        <w:rPr>
          <w:rFonts w:hint="eastAsia"/>
          <w:highlight w:val="none"/>
        </w:rPr>
      </w:pPr>
      <w:r>
        <w:rPr>
          <w:rFonts w:hint="eastAsia"/>
          <w:highlight w:val="none"/>
        </w:rPr>
        <w:t>就医指南：发布各类就诊指引信息。</w:t>
      </w:r>
    </w:p>
    <w:p w14:paraId="0E1BB2B5">
      <w:pPr>
        <w:pStyle w:val="7"/>
        <w:rPr>
          <w:rFonts w:hint="eastAsia"/>
          <w:highlight w:val="none"/>
        </w:rPr>
      </w:pPr>
      <w:bookmarkStart w:id="150" w:name="_Toc96982908"/>
      <w:r>
        <w:rPr>
          <w:rFonts w:hint="eastAsia"/>
          <w:highlight w:val="none"/>
          <w:lang w:val="en-US" w:eastAsia="zh-CN"/>
        </w:rPr>
        <w:t xml:space="preserve"> </w:t>
      </w:r>
      <w:r>
        <w:rPr>
          <w:rFonts w:hint="eastAsia"/>
          <w:highlight w:val="none"/>
        </w:rPr>
        <w:t>就诊人管理</w:t>
      </w:r>
      <w:bookmarkEnd w:id="150"/>
    </w:p>
    <w:p w14:paraId="5320B185">
      <w:pPr>
        <w:pStyle w:val="12"/>
        <w:shd w:val="clear" w:color="auto" w:fill="auto"/>
        <w:ind w:firstLine="480"/>
        <w:rPr>
          <w:rFonts w:hint="eastAsia"/>
          <w:highlight w:val="none"/>
        </w:rPr>
      </w:pPr>
      <w:r>
        <w:rPr>
          <w:rFonts w:hint="eastAsia"/>
          <w:highlight w:val="none"/>
        </w:rPr>
        <w:t>支持在线实名建档，通过人脸识别或预留手机号验证，无证件及6岁以下儿童需填写监护人信息。可管理就诊人信息，支持编辑、删除及解绑。自动创建电子就诊卡，支持绑定/解绑实体卡，扫码完成身份认证和门诊就诊。维护个人健康信息如血型、过敏史等。首页展示就诊卡信息，一键出示电子就诊码，便于线下快速识别。</w:t>
      </w:r>
    </w:p>
    <w:p w14:paraId="085A13ED">
      <w:pPr>
        <w:pStyle w:val="7"/>
        <w:rPr>
          <w:rFonts w:hint="eastAsia"/>
          <w:highlight w:val="none"/>
        </w:rPr>
      </w:pPr>
      <w:bookmarkStart w:id="151" w:name="_Toc96982913"/>
      <w:r>
        <w:rPr>
          <w:rFonts w:hint="eastAsia"/>
          <w:highlight w:val="none"/>
          <w:lang w:val="en-US" w:eastAsia="zh-CN"/>
        </w:rPr>
        <w:t xml:space="preserve"> </w:t>
      </w:r>
      <w:r>
        <w:rPr>
          <w:rFonts w:hint="eastAsia"/>
          <w:highlight w:val="none"/>
        </w:rPr>
        <w:t>智能导诊</w:t>
      </w:r>
      <w:bookmarkEnd w:id="151"/>
    </w:p>
    <w:p w14:paraId="3CFED49E">
      <w:pPr>
        <w:pStyle w:val="12"/>
        <w:shd w:val="clear" w:color="auto" w:fill="auto"/>
        <w:ind w:firstLine="480"/>
        <w:rPr>
          <w:rFonts w:hint="eastAsia"/>
          <w:highlight w:val="none"/>
        </w:rPr>
      </w:pPr>
      <w:r>
        <w:rPr>
          <w:rFonts w:hint="eastAsia"/>
          <w:highlight w:val="none"/>
        </w:rPr>
        <w:t>推荐科室：支持点击人体图（男、女、儿童）选择症状，智能推荐就诊科室，部位、症状与科室的关联可配置。</w:t>
      </w:r>
    </w:p>
    <w:p w14:paraId="08F1549D">
      <w:pPr>
        <w:pStyle w:val="12"/>
        <w:shd w:val="clear" w:color="auto" w:fill="auto"/>
        <w:ind w:firstLine="480"/>
        <w:rPr>
          <w:rFonts w:hint="eastAsia"/>
          <w:highlight w:val="none"/>
        </w:rPr>
      </w:pPr>
      <w:r>
        <w:rPr>
          <w:rFonts w:hint="eastAsia"/>
          <w:highlight w:val="none"/>
        </w:rPr>
        <w:t>快速挂号：根据推荐科室，快速引导患者预约挂号。</w:t>
      </w:r>
    </w:p>
    <w:p w14:paraId="4002B3E1">
      <w:pPr>
        <w:pStyle w:val="7"/>
        <w:rPr>
          <w:rFonts w:hint="eastAsia"/>
          <w:highlight w:val="none"/>
        </w:rPr>
      </w:pPr>
      <w:bookmarkStart w:id="152" w:name="_Toc96982916"/>
      <w:r>
        <w:rPr>
          <w:rFonts w:hint="eastAsia"/>
          <w:highlight w:val="none"/>
          <w:lang w:val="en-US" w:eastAsia="zh-CN"/>
        </w:rPr>
        <w:t xml:space="preserve"> </w:t>
      </w:r>
      <w:r>
        <w:rPr>
          <w:rFonts w:hint="eastAsia"/>
          <w:highlight w:val="none"/>
        </w:rPr>
        <w:t>预约挂号</w:t>
      </w:r>
      <w:bookmarkEnd w:id="152"/>
    </w:p>
    <w:p w14:paraId="6414EC87">
      <w:pPr>
        <w:pStyle w:val="12"/>
        <w:shd w:val="clear" w:color="auto" w:fill="auto"/>
        <w:ind w:firstLine="480"/>
        <w:rPr>
          <w:rFonts w:hint="eastAsia"/>
          <w:highlight w:val="none"/>
        </w:rPr>
      </w:pPr>
      <w:r>
        <w:rPr>
          <w:rFonts w:hint="eastAsia"/>
          <w:highlight w:val="none"/>
        </w:rPr>
        <w:t>需支持当日及预约挂号。可查询已排班科室列表，支持默认与自定义排序，以及科室、医生关键字搜索。支持按时间或医生查询排班信息，显示“有号”或“约满”状态。可查医生指定日期分时段号源信息，并展示其在其他科室的出诊情况。支持在线支付挂号费及预约后到院支付，完成后推送成功通知。超时未支付自动取消预约，预约成功后可在线退号退费。就诊前一日推送提醒。医生停诊时系统自动通知并触发退款。</w:t>
      </w:r>
    </w:p>
    <w:p w14:paraId="0D863A20">
      <w:pPr>
        <w:pStyle w:val="7"/>
        <w:rPr>
          <w:rFonts w:hint="eastAsia"/>
          <w:highlight w:val="none"/>
        </w:rPr>
      </w:pPr>
      <w:bookmarkStart w:id="153" w:name="_Toc96982925"/>
      <w:r>
        <w:rPr>
          <w:rFonts w:hint="eastAsia"/>
          <w:highlight w:val="none"/>
          <w:lang w:val="en-US" w:eastAsia="zh-CN"/>
        </w:rPr>
        <w:t xml:space="preserve"> </w:t>
      </w:r>
      <w:r>
        <w:rPr>
          <w:rFonts w:hint="eastAsia"/>
          <w:highlight w:val="none"/>
        </w:rPr>
        <w:t>就医导引</w:t>
      </w:r>
      <w:bookmarkEnd w:id="153"/>
    </w:p>
    <w:p w14:paraId="62FD778F">
      <w:pPr>
        <w:pStyle w:val="12"/>
        <w:shd w:val="clear" w:color="auto" w:fill="auto"/>
        <w:ind w:firstLine="480"/>
        <w:rPr>
          <w:rFonts w:hint="eastAsia"/>
          <w:highlight w:val="none"/>
        </w:rPr>
      </w:pPr>
      <w:bookmarkStart w:id="154" w:name="_Toc96982928"/>
      <w:r>
        <w:rPr>
          <w:rFonts w:hint="eastAsia"/>
          <w:highlight w:val="none"/>
        </w:rPr>
        <w:t>消息提醒：需支持实时通知，涵盖预约挂号、就诊、待缴费、停诊、待评价及住院余额提醒。</w:t>
      </w:r>
    </w:p>
    <w:p w14:paraId="47AA33F3">
      <w:pPr>
        <w:pStyle w:val="12"/>
        <w:shd w:val="clear" w:color="auto" w:fill="auto"/>
        <w:ind w:firstLine="480"/>
        <w:rPr>
          <w:rFonts w:hint="eastAsia"/>
          <w:highlight w:val="none"/>
        </w:rPr>
      </w:pPr>
      <w:r>
        <w:rPr>
          <w:rFonts w:hint="eastAsia"/>
          <w:highlight w:val="none"/>
        </w:rPr>
        <w:t>流程引导：需通过就诊流程树模型，引导患者完成就诊、候诊、缴费、取药、治疗及检查的时间与地点安排。</w:t>
      </w:r>
    </w:p>
    <w:p w14:paraId="33764FA9">
      <w:pPr>
        <w:pStyle w:val="7"/>
        <w:rPr>
          <w:rFonts w:hint="eastAsia"/>
          <w:highlight w:val="none"/>
        </w:rPr>
      </w:pPr>
      <w:r>
        <w:rPr>
          <w:rFonts w:hint="eastAsia"/>
          <w:highlight w:val="none"/>
          <w:lang w:val="en-US" w:eastAsia="zh-CN"/>
        </w:rPr>
        <w:t xml:space="preserve"> </w:t>
      </w:r>
      <w:r>
        <w:rPr>
          <w:rFonts w:hint="eastAsia"/>
          <w:highlight w:val="none"/>
        </w:rPr>
        <w:t>排队候诊</w:t>
      </w:r>
      <w:bookmarkEnd w:id="154"/>
    </w:p>
    <w:p w14:paraId="7689DC67">
      <w:pPr>
        <w:pStyle w:val="12"/>
        <w:shd w:val="clear" w:color="auto" w:fill="auto"/>
        <w:ind w:firstLine="480"/>
        <w:rPr>
          <w:rFonts w:hint="eastAsia"/>
          <w:highlight w:val="none"/>
        </w:rPr>
      </w:pPr>
      <w:r>
        <w:rPr>
          <w:rFonts w:hint="eastAsia"/>
          <w:highlight w:val="none"/>
        </w:rPr>
        <w:t>支持实时查看就诊科室的候诊信息（含我的序号、当前叫号、排队人数）。</w:t>
      </w:r>
    </w:p>
    <w:p w14:paraId="72482F88">
      <w:pPr>
        <w:pStyle w:val="7"/>
        <w:rPr>
          <w:rFonts w:hint="eastAsia"/>
          <w:highlight w:val="none"/>
        </w:rPr>
      </w:pPr>
      <w:bookmarkStart w:id="155" w:name="_Toc96982930"/>
      <w:r>
        <w:rPr>
          <w:rFonts w:hint="eastAsia"/>
          <w:highlight w:val="none"/>
          <w:lang w:val="en-US" w:eastAsia="zh-CN"/>
        </w:rPr>
        <w:t xml:space="preserve"> </w:t>
      </w:r>
      <w:r>
        <w:rPr>
          <w:rFonts w:hint="eastAsia"/>
          <w:highlight w:val="none"/>
        </w:rPr>
        <w:t>门诊缴费</w:t>
      </w:r>
      <w:bookmarkEnd w:id="155"/>
    </w:p>
    <w:p w14:paraId="6BADFF47">
      <w:pPr>
        <w:pStyle w:val="12"/>
        <w:shd w:val="clear" w:color="auto" w:fill="auto"/>
        <w:ind w:firstLine="480"/>
        <w:rPr>
          <w:rFonts w:hint="eastAsia"/>
          <w:highlight w:val="none"/>
        </w:rPr>
      </w:pPr>
      <w:r>
        <w:rPr>
          <w:rFonts w:hint="eastAsia"/>
          <w:highlight w:val="none"/>
        </w:rPr>
        <w:t>待缴费处方：实时获取患者待缴费信息，含就诊科室、开方医生、开方时间、处方项目、单价数量、合计费用及执行科室。</w:t>
      </w:r>
    </w:p>
    <w:p w14:paraId="71EBD0C4">
      <w:pPr>
        <w:pStyle w:val="12"/>
        <w:shd w:val="clear" w:color="auto" w:fill="auto"/>
        <w:ind w:firstLine="480"/>
        <w:rPr>
          <w:rFonts w:hint="eastAsia"/>
          <w:highlight w:val="none"/>
        </w:rPr>
      </w:pPr>
      <w:r>
        <w:rPr>
          <w:rFonts w:hint="eastAsia"/>
          <w:highlight w:val="none"/>
        </w:rPr>
        <w:t>已缴费处方：实时查询已缴费记录，包括上述信息及缴费渠道。</w:t>
      </w:r>
    </w:p>
    <w:p w14:paraId="0A359460">
      <w:pPr>
        <w:pStyle w:val="12"/>
        <w:shd w:val="clear" w:color="auto" w:fill="auto"/>
        <w:ind w:firstLine="480"/>
        <w:rPr>
          <w:rFonts w:hint="eastAsia"/>
          <w:highlight w:val="none"/>
        </w:rPr>
      </w:pPr>
      <w:r>
        <w:rPr>
          <w:rFonts w:hint="eastAsia"/>
          <w:highlight w:val="none"/>
        </w:rPr>
        <w:t>处方详细：支持查询患者信息、医生信息、处方详情（项目、用法用量、注意事项、执行科室）、交易与发票信息。</w:t>
      </w:r>
    </w:p>
    <w:p w14:paraId="5036D7E4">
      <w:pPr>
        <w:pStyle w:val="12"/>
        <w:shd w:val="clear" w:color="auto" w:fill="auto"/>
        <w:ind w:firstLine="480"/>
        <w:rPr>
          <w:rFonts w:hint="eastAsia"/>
          <w:highlight w:val="none"/>
        </w:rPr>
      </w:pPr>
      <w:r>
        <w:rPr>
          <w:rFonts w:hint="eastAsia"/>
          <w:highlight w:val="none"/>
        </w:rPr>
        <w:t>在线支付：支持处方、检查、检验、治疗等门诊费用在线支付，完成后发送通知。</w:t>
      </w:r>
    </w:p>
    <w:p w14:paraId="06FACB0E">
      <w:pPr>
        <w:pStyle w:val="7"/>
        <w:rPr>
          <w:rFonts w:hint="eastAsia"/>
          <w:highlight w:val="none"/>
        </w:rPr>
      </w:pPr>
      <w:bookmarkStart w:id="156" w:name="_Toc96982935"/>
      <w:r>
        <w:rPr>
          <w:rFonts w:hint="eastAsia"/>
          <w:highlight w:val="none"/>
          <w:lang w:val="en-US" w:eastAsia="zh-CN"/>
        </w:rPr>
        <w:t xml:space="preserve"> </w:t>
      </w:r>
      <w:r>
        <w:rPr>
          <w:rFonts w:hint="eastAsia"/>
          <w:highlight w:val="none"/>
        </w:rPr>
        <w:t>报告查询</w:t>
      </w:r>
      <w:bookmarkEnd w:id="156"/>
    </w:p>
    <w:p w14:paraId="1946932F">
      <w:pPr>
        <w:pStyle w:val="12"/>
        <w:shd w:val="clear" w:color="auto" w:fill="auto"/>
        <w:ind w:firstLine="480"/>
        <w:rPr>
          <w:rFonts w:hint="eastAsia"/>
          <w:highlight w:val="none"/>
        </w:rPr>
      </w:pPr>
      <w:r>
        <w:rPr>
          <w:rFonts w:hint="eastAsia"/>
          <w:highlight w:val="none"/>
        </w:rPr>
        <w:t>检验与检查报告查询需支持患者门诊/住院的在线查阅，可展示数据、图片及PDF格式报告。</w:t>
      </w:r>
    </w:p>
    <w:p w14:paraId="0088521A">
      <w:pPr>
        <w:pStyle w:val="7"/>
        <w:rPr>
          <w:rFonts w:hint="eastAsia"/>
          <w:highlight w:val="none"/>
        </w:rPr>
      </w:pPr>
      <w:r>
        <w:rPr>
          <w:rFonts w:hint="eastAsia"/>
          <w:highlight w:val="none"/>
          <w:lang w:val="en-US" w:eastAsia="zh-CN"/>
        </w:rPr>
        <w:t xml:space="preserve"> </w:t>
      </w:r>
      <w:r>
        <w:rPr>
          <w:rFonts w:hint="eastAsia"/>
          <w:highlight w:val="none"/>
        </w:rPr>
        <w:t>住院预交</w:t>
      </w:r>
    </w:p>
    <w:p w14:paraId="493DF0BB">
      <w:pPr>
        <w:pStyle w:val="12"/>
        <w:shd w:val="clear" w:color="auto" w:fill="auto"/>
        <w:ind w:firstLine="480"/>
        <w:rPr>
          <w:rFonts w:hint="eastAsia"/>
          <w:highlight w:val="none"/>
        </w:rPr>
      </w:pPr>
      <w:r>
        <w:rPr>
          <w:rFonts w:hint="eastAsia"/>
          <w:highlight w:val="none"/>
        </w:rPr>
        <w:t>支持实时查询住院预交金余额及在线预交费用，并可查询预交记录。</w:t>
      </w:r>
    </w:p>
    <w:p w14:paraId="02073614">
      <w:pPr>
        <w:pStyle w:val="7"/>
        <w:rPr>
          <w:rFonts w:hint="eastAsia"/>
          <w:highlight w:val="none"/>
        </w:rPr>
      </w:pPr>
      <w:r>
        <w:rPr>
          <w:rFonts w:hint="eastAsia"/>
          <w:highlight w:val="none"/>
          <w:lang w:val="en-US" w:eastAsia="zh-CN"/>
        </w:rPr>
        <w:t xml:space="preserve"> </w:t>
      </w:r>
      <w:r>
        <w:rPr>
          <w:rFonts w:hint="eastAsia"/>
          <w:highlight w:val="none"/>
        </w:rPr>
        <w:t>住院清单</w:t>
      </w:r>
    </w:p>
    <w:p w14:paraId="3BA6E741">
      <w:pPr>
        <w:pStyle w:val="12"/>
        <w:shd w:val="clear" w:color="auto" w:fill="auto"/>
        <w:ind w:firstLine="480"/>
        <w:rPr>
          <w:rFonts w:hint="eastAsia"/>
          <w:highlight w:val="none"/>
        </w:rPr>
      </w:pPr>
      <w:r>
        <w:rPr>
          <w:rFonts w:hint="eastAsia"/>
          <w:highlight w:val="none"/>
        </w:rPr>
        <w:t>支持查询历史住院记录、每日费用及出院后的汇总费用清单，并可查看出院小结。</w:t>
      </w:r>
    </w:p>
    <w:p w14:paraId="2E234215">
      <w:pPr>
        <w:pStyle w:val="7"/>
        <w:rPr>
          <w:rFonts w:hint="eastAsia"/>
          <w:highlight w:val="none"/>
        </w:rPr>
      </w:pPr>
      <w:bookmarkStart w:id="157" w:name="_Toc96982945"/>
      <w:r>
        <w:rPr>
          <w:rFonts w:hint="eastAsia"/>
          <w:highlight w:val="none"/>
          <w:lang w:val="en-US" w:eastAsia="zh-CN"/>
        </w:rPr>
        <w:t xml:space="preserve"> </w:t>
      </w:r>
      <w:r>
        <w:rPr>
          <w:rFonts w:hint="eastAsia"/>
          <w:highlight w:val="none"/>
        </w:rPr>
        <w:t>就诊评价</w:t>
      </w:r>
      <w:bookmarkEnd w:id="157"/>
    </w:p>
    <w:p w14:paraId="0B1FADD2">
      <w:pPr>
        <w:pStyle w:val="12"/>
        <w:shd w:val="clear" w:color="auto" w:fill="auto"/>
        <w:ind w:firstLine="480"/>
        <w:rPr>
          <w:rFonts w:hint="eastAsia"/>
          <w:highlight w:val="none"/>
        </w:rPr>
      </w:pPr>
      <w:r>
        <w:rPr>
          <w:rFonts w:hint="eastAsia"/>
          <w:highlight w:val="none"/>
        </w:rPr>
        <w:t>支持患者就诊后对服务态度、专业水平、信息告知和响应速度等方面进行评价。系统在就诊后定期推送评价通知，邀请患者在线反馈。</w:t>
      </w:r>
    </w:p>
    <w:p w14:paraId="36728186">
      <w:pPr>
        <w:pStyle w:val="7"/>
        <w:rPr>
          <w:rFonts w:hint="eastAsia"/>
          <w:highlight w:val="none"/>
        </w:rPr>
      </w:pPr>
      <w:bookmarkStart w:id="158" w:name="_Toc96982948"/>
      <w:r>
        <w:rPr>
          <w:rFonts w:hint="eastAsia"/>
          <w:highlight w:val="none"/>
          <w:lang w:val="en-US" w:eastAsia="zh-CN"/>
        </w:rPr>
        <w:t xml:space="preserve"> </w:t>
      </w:r>
      <w:r>
        <w:rPr>
          <w:rFonts w:hint="eastAsia"/>
          <w:highlight w:val="none"/>
        </w:rPr>
        <w:t>帮助与反馈</w:t>
      </w:r>
      <w:bookmarkEnd w:id="158"/>
    </w:p>
    <w:p w14:paraId="3383F824">
      <w:pPr>
        <w:pStyle w:val="12"/>
        <w:shd w:val="clear" w:color="auto" w:fill="auto"/>
        <w:ind w:firstLine="480"/>
        <w:rPr>
          <w:rFonts w:hint="eastAsia"/>
          <w:highlight w:val="none"/>
        </w:rPr>
      </w:pPr>
      <w:r>
        <w:rPr>
          <w:rFonts w:hint="eastAsia"/>
          <w:highlight w:val="none"/>
        </w:rPr>
        <w:t>常见问题与在线反馈。支持在管理后台统一配置常见问题知识库，提供在线帮助。用户可在线提交反馈、投诉、建议、咨询等，信息加密存储；管理者可通过管理端查看并回复。</w:t>
      </w:r>
    </w:p>
    <w:p w14:paraId="64F6004D">
      <w:pPr>
        <w:pStyle w:val="7"/>
        <w:rPr>
          <w:rFonts w:hint="eastAsia"/>
          <w:highlight w:val="none"/>
        </w:rPr>
      </w:pPr>
      <w:r>
        <w:rPr>
          <w:rFonts w:hint="eastAsia"/>
          <w:highlight w:val="none"/>
          <w:lang w:val="en-US" w:eastAsia="zh-CN"/>
        </w:rPr>
        <w:t xml:space="preserve"> </w:t>
      </w:r>
      <w:r>
        <w:rPr>
          <w:highlight w:val="none"/>
        </w:rPr>
        <w:t>患者宣教</w:t>
      </w:r>
    </w:p>
    <w:p w14:paraId="4186809C">
      <w:pPr>
        <w:pStyle w:val="12"/>
        <w:shd w:val="clear" w:color="auto" w:fill="auto"/>
        <w:ind w:firstLine="480"/>
        <w:rPr>
          <w:rFonts w:hint="eastAsia"/>
          <w:highlight w:val="none"/>
        </w:rPr>
      </w:pPr>
      <w:r>
        <w:rPr>
          <w:rFonts w:hint="eastAsia"/>
          <w:highlight w:val="none"/>
        </w:rPr>
        <w:t>健康资讯：展示与推广健康软文、患教资料，支持后台配置。</w:t>
      </w:r>
    </w:p>
    <w:p w14:paraId="7D3C300B">
      <w:pPr>
        <w:pStyle w:val="12"/>
        <w:shd w:val="clear" w:color="auto" w:fill="auto"/>
        <w:ind w:firstLine="480"/>
        <w:rPr>
          <w:rFonts w:hint="eastAsia"/>
          <w:highlight w:val="none"/>
        </w:rPr>
      </w:pPr>
      <w:r>
        <w:rPr>
          <w:rFonts w:hint="eastAsia"/>
          <w:highlight w:val="none"/>
        </w:rPr>
        <w:t>健康百科：提供急救、疾病、药品知识，化验单解读及健康小工具等科普服务。</w:t>
      </w:r>
    </w:p>
    <w:p w14:paraId="2FB144E6">
      <w:pPr>
        <w:pStyle w:val="7"/>
        <w:rPr>
          <w:rFonts w:hint="eastAsia"/>
          <w:highlight w:val="none"/>
        </w:rPr>
      </w:pPr>
      <w:r>
        <w:rPr>
          <w:rFonts w:hint="eastAsia"/>
          <w:highlight w:val="none"/>
          <w:lang w:val="en-US" w:eastAsia="zh-CN"/>
        </w:rPr>
        <w:t xml:space="preserve"> </w:t>
      </w:r>
      <w:r>
        <w:rPr>
          <w:rFonts w:hint="eastAsia"/>
          <w:highlight w:val="none"/>
        </w:rPr>
        <w:t>物价查询</w:t>
      </w:r>
    </w:p>
    <w:p w14:paraId="1A06A8F0">
      <w:pPr>
        <w:pStyle w:val="12"/>
        <w:shd w:val="clear" w:color="auto" w:fill="auto"/>
        <w:ind w:firstLine="480"/>
        <w:rPr>
          <w:rFonts w:hint="eastAsia"/>
          <w:highlight w:val="none"/>
        </w:rPr>
      </w:pPr>
      <w:r>
        <w:rPr>
          <w:rFonts w:hint="eastAsia"/>
          <w:highlight w:val="none"/>
        </w:rPr>
        <w:t>项目分类：支持按药品、非药品、材料等自定义类别对院内收费项目进行归类展示。</w:t>
      </w:r>
    </w:p>
    <w:p w14:paraId="3CFCED91">
      <w:pPr>
        <w:pStyle w:val="12"/>
        <w:shd w:val="clear" w:color="auto" w:fill="auto"/>
        <w:ind w:firstLine="480"/>
        <w:rPr>
          <w:rFonts w:hint="eastAsia"/>
          <w:highlight w:val="none"/>
        </w:rPr>
      </w:pPr>
      <w:r>
        <w:rPr>
          <w:rFonts w:hint="eastAsia"/>
          <w:highlight w:val="none"/>
        </w:rPr>
        <w:t>价目查询：支持查询收费项目的规格、单价、厂商、医保属性、注意事项、存储条件及提示说明等信息。</w:t>
      </w:r>
    </w:p>
    <w:p w14:paraId="6794CCAE">
      <w:pPr>
        <w:pStyle w:val="7"/>
        <w:rPr>
          <w:rFonts w:hint="eastAsia"/>
          <w:highlight w:val="none"/>
        </w:rPr>
      </w:pPr>
      <w:r>
        <w:rPr>
          <w:rFonts w:hint="eastAsia"/>
          <w:highlight w:val="none"/>
          <w:lang w:val="en-US" w:eastAsia="zh-CN"/>
        </w:rPr>
        <w:t xml:space="preserve"> </w:t>
      </w:r>
      <w:r>
        <w:rPr>
          <w:rFonts w:hint="eastAsia"/>
          <w:highlight w:val="none"/>
        </w:rPr>
        <w:t>预问诊</w:t>
      </w:r>
    </w:p>
    <w:p w14:paraId="4F6AA980">
      <w:pPr>
        <w:pStyle w:val="12"/>
        <w:shd w:val="clear" w:color="auto" w:fill="auto"/>
        <w:ind w:firstLine="480"/>
        <w:rPr>
          <w:rFonts w:hint="eastAsia"/>
          <w:highlight w:val="none"/>
        </w:rPr>
      </w:pPr>
      <w:r>
        <w:rPr>
          <w:rFonts w:hint="eastAsia"/>
          <w:highlight w:val="none"/>
        </w:rPr>
        <w:t>门诊前支持在线填写病情主诉、既往史、家族史、过敏史等，可文字输入或上传图片。医生可在诊前查看预问诊内容，用于参考并引用至电子病历。</w:t>
      </w:r>
    </w:p>
    <w:p w14:paraId="54EC56B0">
      <w:pPr>
        <w:pStyle w:val="7"/>
        <w:rPr>
          <w:rFonts w:hint="eastAsia"/>
          <w:highlight w:val="none"/>
        </w:rPr>
      </w:pPr>
      <w:r>
        <w:rPr>
          <w:rFonts w:hint="eastAsia"/>
          <w:highlight w:val="none"/>
          <w:lang w:val="en-US" w:eastAsia="zh-CN"/>
        </w:rPr>
        <w:t xml:space="preserve"> </w:t>
      </w:r>
      <w:r>
        <w:rPr>
          <w:rFonts w:hint="eastAsia"/>
          <w:highlight w:val="none"/>
        </w:rPr>
        <w:t>自助签到</w:t>
      </w:r>
    </w:p>
    <w:p w14:paraId="0A35BEF7">
      <w:pPr>
        <w:pStyle w:val="12"/>
        <w:shd w:val="clear" w:color="auto" w:fill="auto"/>
        <w:ind w:firstLine="480"/>
        <w:rPr>
          <w:rFonts w:hint="eastAsia"/>
          <w:highlight w:val="none"/>
        </w:rPr>
      </w:pPr>
      <w:r>
        <w:rPr>
          <w:rFonts w:hint="eastAsia"/>
          <w:highlight w:val="none"/>
        </w:rPr>
        <w:t>扫码签到：患者到院后扫描科室分诊二维码，自助签到候诊。</w:t>
      </w:r>
    </w:p>
    <w:p w14:paraId="083290E2">
      <w:pPr>
        <w:pStyle w:val="12"/>
        <w:shd w:val="clear" w:color="auto" w:fill="auto"/>
        <w:ind w:firstLine="480"/>
        <w:rPr>
          <w:rFonts w:hint="eastAsia"/>
          <w:highlight w:val="none"/>
        </w:rPr>
      </w:pPr>
      <w:r>
        <w:rPr>
          <w:rFonts w:hint="eastAsia"/>
          <w:highlight w:val="none"/>
        </w:rPr>
        <w:t>定位签到：患者进入医院指定区域（基于GPS），可自动完成签到候诊。</w:t>
      </w:r>
    </w:p>
    <w:p w14:paraId="2A10C175">
      <w:pPr>
        <w:pStyle w:val="7"/>
        <w:rPr>
          <w:rFonts w:hint="eastAsia"/>
          <w:highlight w:val="none"/>
        </w:rPr>
      </w:pPr>
      <w:r>
        <w:rPr>
          <w:rFonts w:hint="eastAsia"/>
          <w:highlight w:val="none"/>
          <w:lang w:val="en-US" w:eastAsia="zh-CN"/>
        </w:rPr>
        <w:t xml:space="preserve"> </w:t>
      </w:r>
      <w:r>
        <w:rPr>
          <w:highlight w:val="none"/>
        </w:rPr>
        <w:t>电子处方签</w:t>
      </w:r>
    </w:p>
    <w:p w14:paraId="6A5BA775">
      <w:pPr>
        <w:pStyle w:val="12"/>
        <w:shd w:val="clear" w:color="auto" w:fill="auto"/>
        <w:ind w:firstLine="480"/>
        <w:rPr>
          <w:rFonts w:hint="eastAsia"/>
          <w:highlight w:val="none"/>
        </w:rPr>
      </w:pPr>
      <w:r>
        <w:rPr>
          <w:rFonts w:hint="eastAsia"/>
          <w:highlight w:val="none"/>
        </w:rPr>
        <w:t>门诊记录查询：支持查看患者门诊就诊记录。</w:t>
      </w:r>
    </w:p>
    <w:p w14:paraId="569F1C69">
      <w:pPr>
        <w:pStyle w:val="12"/>
        <w:shd w:val="clear" w:color="auto" w:fill="auto"/>
        <w:ind w:firstLine="480"/>
        <w:rPr>
          <w:rFonts w:hint="eastAsia"/>
          <w:highlight w:val="none"/>
        </w:rPr>
      </w:pPr>
      <w:r>
        <w:rPr>
          <w:rFonts w:hint="eastAsia"/>
          <w:highlight w:val="none"/>
        </w:rPr>
        <w:t>电子处方签：支持查看处方的科室、时间、内容、用法用量及注意事项等信息。</w:t>
      </w:r>
    </w:p>
    <w:p w14:paraId="2DB1D523">
      <w:pPr>
        <w:pStyle w:val="7"/>
        <w:rPr>
          <w:rFonts w:hint="eastAsia"/>
          <w:highlight w:val="none"/>
        </w:rPr>
      </w:pPr>
      <w:r>
        <w:rPr>
          <w:rFonts w:hint="eastAsia"/>
          <w:highlight w:val="none"/>
          <w:lang w:val="en-US" w:eastAsia="zh-CN"/>
        </w:rPr>
        <w:t xml:space="preserve"> </w:t>
      </w:r>
      <w:r>
        <w:rPr>
          <w:highlight w:val="none"/>
        </w:rPr>
        <w:t>门诊病历查询</w:t>
      </w:r>
    </w:p>
    <w:p w14:paraId="2617BB33">
      <w:pPr>
        <w:pStyle w:val="12"/>
        <w:shd w:val="clear" w:color="auto" w:fill="auto"/>
        <w:ind w:firstLine="480"/>
        <w:rPr>
          <w:rFonts w:hint="eastAsia"/>
          <w:highlight w:val="none"/>
        </w:rPr>
      </w:pPr>
      <w:r>
        <w:rPr>
          <w:rFonts w:hint="eastAsia"/>
          <w:highlight w:val="none"/>
        </w:rPr>
        <w:t>门诊记录查询：支持查看患者门诊就诊记录。</w:t>
      </w:r>
    </w:p>
    <w:p w14:paraId="45CF9A29">
      <w:pPr>
        <w:pStyle w:val="12"/>
        <w:shd w:val="clear" w:color="auto" w:fill="auto"/>
        <w:ind w:firstLine="480"/>
        <w:rPr>
          <w:rFonts w:hint="eastAsia"/>
          <w:highlight w:val="none"/>
        </w:rPr>
      </w:pPr>
      <w:r>
        <w:rPr>
          <w:rFonts w:hint="eastAsia"/>
          <w:highlight w:val="none"/>
        </w:rPr>
        <w:t>电子病历查询：支持查看门诊病历，展示院内PDF及图片格式文件。</w:t>
      </w:r>
    </w:p>
    <w:p w14:paraId="392ECE81">
      <w:pPr>
        <w:pStyle w:val="7"/>
        <w:rPr>
          <w:rFonts w:hint="eastAsia"/>
          <w:highlight w:val="none"/>
        </w:rPr>
      </w:pPr>
      <w:bookmarkStart w:id="159" w:name="_Toc96982933"/>
      <w:bookmarkStart w:id="160" w:name="_Toc96982968"/>
      <w:r>
        <w:rPr>
          <w:rFonts w:hint="eastAsia"/>
          <w:highlight w:val="none"/>
          <w:lang w:val="en-US" w:eastAsia="zh-CN"/>
        </w:rPr>
        <w:t xml:space="preserve"> </w:t>
      </w:r>
      <w:r>
        <w:rPr>
          <w:rFonts w:hint="eastAsia"/>
          <w:highlight w:val="none"/>
        </w:rPr>
        <w:t>就医助手</w:t>
      </w:r>
    </w:p>
    <w:bookmarkEnd w:id="159"/>
    <w:p w14:paraId="03B5519A">
      <w:pPr>
        <w:pStyle w:val="12"/>
        <w:shd w:val="clear" w:color="auto" w:fill="auto"/>
        <w:ind w:firstLine="480"/>
        <w:rPr>
          <w:rFonts w:hint="eastAsia"/>
          <w:highlight w:val="none"/>
        </w:rPr>
      </w:pPr>
      <w:r>
        <w:rPr>
          <w:rFonts w:hint="eastAsia"/>
          <w:highlight w:val="none"/>
        </w:rPr>
        <w:t>支持对接移动消息平台，实时向患者推送就诊、候诊、取药、检查、报告、评价、停诊、入院及出院等通知。</w:t>
      </w:r>
    </w:p>
    <w:p w14:paraId="5C559609">
      <w:pPr>
        <w:pStyle w:val="12"/>
        <w:shd w:val="clear" w:color="auto" w:fill="auto"/>
        <w:ind w:firstLine="480"/>
        <w:rPr>
          <w:rFonts w:hint="eastAsia"/>
          <w:highlight w:val="none"/>
        </w:rPr>
      </w:pPr>
      <w:r>
        <w:rPr>
          <w:rFonts w:hint="eastAsia"/>
          <w:highlight w:val="none"/>
        </w:rPr>
        <w:t>构建覆盖诊前、诊中、诊后的可视化就诊流程，通过待办/已办形式清晰展示各环节，并智能引导线上线下办理。结合消息提醒，实现全流程智能指引。</w:t>
      </w:r>
    </w:p>
    <w:p w14:paraId="62299615">
      <w:pPr>
        <w:pStyle w:val="12"/>
        <w:shd w:val="clear" w:color="auto" w:fill="auto"/>
        <w:ind w:firstLine="480"/>
        <w:rPr>
          <w:rFonts w:hint="eastAsia"/>
          <w:highlight w:val="none"/>
        </w:rPr>
      </w:pPr>
      <w:r>
        <w:rPr>
          <w:rFonts w:hint="eastAsia"/>
          <w:highlight w:val="none"/>
        </w:rPr>
        <w:t>提供一键导航功能，联动手机导航软件规划来院路线；基于医院电子地图，展示楼宇科室布局，支持语音、文字、图片模拟导航。当医院具备室内定位系统时，可集成实现挂号、候诊、取药、检查等节点的精准导航。</w:t>
      </w:r>
    </w:p>
    <w:bookmarkEnd w:id="160"/>
    <w:p w14:paraId="11E09711">
      <w:pPr>
        <w:pStyle w:val="7"/>
        <w:rPr>
          <w:rFonts w:hint="eastAsia"/>
          <w:highlight w:val="none"/>
        </w:rPr>
      </w:pPr>
      <w:bookmarkStart w:id="161" w:name="_Toc96982977"/>
      <w:r>
        <w:rPr>
          <w:rFonts w:hint="eastAsia"/>
          <w:highlight w:val="none"/>
          <w:lang w:val="en-US" w:eastAsia="zh-CN"/>
        </w:rPr>
        <w:t xml:space="preserve"> </w:t>
      </w:r>
      <w:r>
        <w:rPr>
          <w:rFonts w:hint="eastAsia"/>
          <w:highlight w:val="none"/>
        </w:rPr>
        <w:t>当面付</w:t>
      </w:r>
      <w:bookmarkEnd w:id="161"/>
    </w:p>
    <w:p w14:paraId="7AAE9075">
      <w:pPr>
        <w:pStyle w:val="12"/>
        <w:shd w:val="clear" w:color="auto" w:fill="auto"/>
        <w:ind w:firstLine="480"/>
        <w:rPr>
          <w:rFonts w:hint="eastAsia"/>
          <w:highlight w:val="none"/>
        </w:rPr>
      </w:pPr>
      <w:r>
        <w:rPr>
          <w:rFonts w:hint="eastAsia"/>
          <w:highlight w:val="none"/>
        </w:rPr>
        <w:t>条码支付支持门诊和住院窗口扫描微信、支付宝条码进行收费；扫码支付支持处方预生成二维码，用户通过微信、支付宝扫一扫自助缴费。</w:t>
      </w:r>
    </w:p>
    <w:p w14:paraId="02703E9A">
      <w:pPr>
        <w:pStyle w:val="7"/>
        <w:rPr>
          <w:rFonts w:hint="eastAsia"/>
          <w:highlight w:val="none"/>
        </w:rPr>
      </w:pPr>
      <w:bookmarkStart w:id="162" w:name="_Toc96982998"/>
      <w:r>
        <w:rPr>
          <w:rFonts w:hint="eastAsia"/>
          <w:highlight w:val="none"/>
          <w:lang w:val="en-US" w:eastAsia="zh-CN"/>
        </w:rPr>
        <w:t xml:space="preserve"> </w:t>
      </w:r>
      <w:r>
        <w:rPr>
          <w:rFonts w:hint="eastAsia"/>
          <w:highlight w:val="none"/>
        </w:rPr>
        <w:t>手术查询</w:t>
      </w:r>
    </w:p>
    <w:p w14:paraId="67052B44">
      <w:pPr>
        <w:pStyle w:val="12"/>
        <w:shd w:val="clear" w:color="auto" w:fill="auto"/>
        <w:ind w:firstLine="480"/>
        <w:rPr>
          <w:rFonts w:hint="eastAsia"/>
          <w:highlight w:val="none"/>
        </w:rPr>
      </w:pPr>
      <w:r>
        <w:rPr>
          <w:rFonts w:hint="eastAsia"/>
          <w:highlight w:val="none"/>
        </w:rPr>
        <w:t>支持实时查询本人及亲属的手术计划、状态及详细进度，及时掌握手术进程与事件信息。</w:t>
      </w:r>
    </w:p>
    <w:p w14:paraId="0A4E4504">
      <w:pPr>
        <w:pStyle w:val="7"/>
        <w:rPr>
          <w:rFonts w:hint="eastAsia"/>
          <w:highlight w:val="none"/>
        </w:rPr>
      </w:pPr>
      <w:r>
        <w:rPr>
          <w:rFonts w:hint="eastAsia"/>
          <w:highlight w:val="none"/>
          <w:lang w:val="en-US" w:eastAsia="zh-CN"/>
        </w:rPr>
        <w:t xml:space="preserve"> </w:t>
      </w:r>
      <w:r>
        <w:rPr>
          <w:rFonts w:hint="eastAsia"/>
          <w:highlight w:val="none"/>
        </w:rPr>
        <w:t>自助入院</w:t>
      </w:r>
    </w:p>
    <w:p w14:paraId="79189329">
      <w:pPr>
        <w:pStyle w:val="12"/>
        <w:shd w:val="clear" w:color="auto" w:fill="auto"/>
        <w:ind w:firstLine="480"/>
        <w:rPr>
          <w:rFonts w:hint="eastAsia"/>
          <w:highlight w:val="none"/>
        </w:rPr>
      </w:pPr>
      <w:r>
        <w:rPr>
          <w:rFonts w:hint="eastAsia"/>
          <w:highlight w:val="none"/>
        </w:rPr>
        <w:t>支持在线接收入院通知，引导患者自助办理入院登记。可查看门诊开具的住院申请单信息，包括患者、病区、科室、预约时间及诊断等，并完成信息登记与补录（含6岁以下儿童监护人信息）。系统自动识别医保或自费身份。按申请单要求在线预交费用，无金额限定者可免支付直接登记。登记完成后，系统根据患者类型提示个性化办理指引。</w:t>
      </w:r>
    </w:p>
    <w:bookmarkEnd w:id="162"/>
    <w:p w14:paraId="60BD7B13">
      <w:pPr>
        <w:pStyle w:val="7"/>
        <w:rPr>
          <w:rFonts w:hint="eastAsia"/>
          <w:highlight w:val="none"/>
        </w:rPr>
      </w:pPr>
      <w:r>
        <w:rPr>
          <w:rFonts w:hint="eastAsia"/>
          <w:highlight w:val="none"/>
          <w:lang w:val="en-US" w:eastAsia="zh-CN"/>
        </w:rPr>
        <w:t xml:space="preserve"> </w:t>
      </w:r>
      <w:r>
        <w:rPr>
          <w:rFonts w:hint="eastAsia"/>
          <w:highlight w:val="none"/>
        </w:rPr>
        <w:t>自助出院</w:t>
      </w:r>
    </w:p>
    <w:p w14:paraId="447EA8AA">
      <w:pPr>
        <w:pStyle w:val="12"/>
        <w:shd w:val="clear" w:color="auto" w:fill="auto"/>
        <w:ind w:firstLine="480"/>
        <w:rPr>
          <w:rFonts w:hint="eastAsia"/>
          <w:highlight w:val="none"/>
        </w:rPr>
      </w:pPr>
      <w:r>
        <w:rPr>
          <w:rFonts w:hint="eastAsia"/>
          <w:highlight w:val="none"/>
        </w:rPr>
        <w:t>出院通知：病区医护人员操作预出院后，系统自动通知收费处进行结算。</w:t>
      </w:r>
    </w:p>
    <w:p w14:paraId="527815C0">
      <w:pPr>
        <w:pStyle w:val="12"/>
        <w:shd w:val="clear" w:color="auto" w:fill="auto"/>
        <w:ind w:firstLine="480"/>
        <w:rPr>
          <w:rFonts w:hint="eastAsia"/>
          <w:highlight w:val="none"/>
        </w:rPr>
      </w:pPr>
      <w:r>
        <w:rPr>
          <w:rFonts w:hint="eastAsia"/>
          <w:highlight w:val="none"/>
        </w:rPr>
        <w:t>费用结算：可查询住院总费用、医保报销额、自费金额、账户余额及明细；支持医保统计、上传与脱卡结算，自费部分可选医保个人账户支付；支持在线补缴，欠费补缴后自动结算；支持余额原路退回，结余不足时差额退还至原账户，并支持线下退费申请审核与实时退款。</w:t>
      </w:r>
    </w:p>
    <w:p w14:paraId="7309802E">
      <w:pPr>
        <w:pStyle w:val="12"/>
        <w:shd w:val="clear" w:color="auto" w:fill="auto"/>
        <w:ind w:firstLine="480"/>
        <w:rPr>
          <w:rFonts w:hint="eastAsia"/>
          <w:highlight w:val="none"/>
        </w:rPr>
      </w:pPr>
      <w:r>
        <w:rPr>
          <w:rFonts w:hint="eastAsia"/>
          <w:highlight w:val="none"/>
        </w:rPr>
        <w:t>结算清单：对接HIS系统生成出院费用清单与结算记录，对接电子发票系统自动生成结算发票。</w:t>
      </w:r>
    </w:p>
    <w:p w14:paraId="4A5F989B">
      <w:pPr>
        <w:pStyle w:val="7"/>
        <w:rPr>
          <w:rFonts w:hint="eastAsia"/>
          <w:highlight w:val="none"/>
        </w:rPr>
      </w:pPr>
      <w:bookmarkStart w:id="163" w:name="_Toc4027"/>
      <w:r>
        <w:rPr>
          <w:rFonts w:hint="eastAsia"/>
          <w:highlight w:val="none"/>
          <w:lang w:val="en-US" w:eastAsia="zh-CN"/>
        </w:rPr>
        <w:t xml:space="preserve"> </w:t>
      </w:r>
      <w:r>
        <w:rPr>
          <w:rFonts w:hint="eastAsia"/>
          <w:highlight w:val="none"/>
        </w:rPr>
        <w:t>药品清单</w:t>
      </w:r>
    </w:p>
    <w:p w14:paraId="21E1FC8D">
      <w:pPr>
        <w:pStyle w:val="12"/>
        <w:shd w:val="clear" w:color="auto" w:fill="auto"/>
        <w:ind w:firstLine="480"/>
        <w:rPr>
          <w:rFonts w:hint="eastAsia"/>
          <w:highlight w:val="none"/>
        </w:rPr>
      </w:pPr>
      <w:r>
        <w:rPr>
          <w:rFonts w:hint="eastAsia"/>
          <w:highlight w:val="none"/>
        </w:rPr>
        <w:t>门诊及住院药品清单支持查看带药信息，包括记录、药品名称、数量、用法、用量和注意事项等。</w:t>
      </w:r>
    </w:p>
    <w:p w14:paraId="728C70F8">
      <w:pPr>
        <w:pStyle w:val="12"/>
        <w:shd w:val="clear" w:color="auto" w:fill="auto"/>
        <w:ind w:firstLine="480"/>
        <w:rPr>
          <w:rFonts w:hint="eastAsia"/>
          <w:highlight w:val="none"/>
        </w:rPr>
      </w:pPr>
      <w:r>
        <w:rPr>
          <w:rFonts w:hint="eastAsia"/>
          <w:highlight w:val="none"/>
        </w:rPr>
        <w:t>药品使用说明书提供院内药品的详细使用说明。</w:t>
      </w:r>
    </w:p>
    <w:p w14:paraId="480CD4EE">
      <w:pPr>
        <w:pStyle w:val="12"/>
        <w:shd w:val="clear" w:color="auto" w:fill="auto"/>
        <w:ind w:firstLine="480"/>
        <w:rPr>
          <w:rFonts w:hint="eastAsia"/>
          <w:highlight w:val="none"/>
        </w:rPr>
      </w:pPr>
      <w:r>
        <w:rPr>
          <w:rFonts w:hint="eastAsia"/>
          <w:highlight w:val="none"/>
        </w:rPr>
        <w:t>用药指导功能包括：在线定制个人服药计划（设定起止时间、天数、频次、剂量、备注等）；基于计划自动生成提醒，支持推送通知、在线确认、补签和笔记；支持按日历、时间或药品分类查看历史服药记录。</w:t>
      </w:r>
    </w:p>
    <w:p w14:paraId="25D175BB">
      <w:pPr>
        <w:pStyle w:val="7"/>
        <w:rPr>
          <w:rFonts w:hint="eastAsia"/>
          <w:highlight w:val="none"/>
        </w:rPr>
      </w:pPr>
      <w:r>
        <w:rPr>
          <w:rFonts w:hint="eastAsia"/>
          <w:highlight w:val="none"/>
          <w:lang w:val="en-US" w:eastAsia="zh-CN"/>
        </w:rPr>
        <w:t xml:space="preserve"> </w:t>
      </w:r>
      <w:r>
        <w:rPr>
          <w:rFonts w:hint="eastAsia"/>
          <w:highlight w:val="none"/>
        </w:rPr>
        <w:t>黑名单管理</w:t>
      </w:r>
    </w:p>
    <w:p w14:paraId="7B579B09">
      <w:pPr>
        <w:pStyle w:val="12"/>
        <w:shd w:val="clear" w:color="auto" w:fill="auto"/>
        <w:ind w:firstLine="480"/>
        <w:rPr>
          <w:rFonts w:hint="eastAsia"/>
          <w:highlight w:val="none"/>
        </w:rPr>
      </w:pPr>
      <w:bookmarkStart w:id="164" w:name="_Toc96983001"/>
      <w:r>
        <w:rPr>
          <w:rFonts w:hint="eastAsia"/>
          <w:highlight w:val="none"/>
        </w:rPr>
        <w:t>患者端：挂号、退号时提示黑名单规则；被列入黑名单者禁止挂号，并显示原因。</w:t>
      </w:r>
    </w:p>
    <w:p w14:paraId="6899945A">
      <w:pPr>
        <w:pStyle w:val="12"/>
        <w:shd w:val="clear" w:color="auto" w:fill="auto"/>
        <w:ind w:firstLine="480"/>
        <w:rPr>
          <w:rFonts w:hint="eastAsia"/>
          <w:highlight w:val="none"/>
        </w:rPr>
      </w:pPr>
      <w:r>
        <w:rPr>
          <w:rFonts w:hint="eastAsia"/>
          <w:highlight w:val="none"/>
        </w:rPr>
        <w:t>管理端：可配置同一科室/医生每日挂号次数、总挂号次数限制；设置周期内退号、爽约次数上限，超限自动入黑名单；支持白名单管理，特殊账号可豁免规则；可人工将疑似倒号、连续爽约或退号账号加入或移出黑名单。</w:t>
      </w:r>
    </w:p>
    <w:bookmarkEnd w:id="163"/>
    <w:bookmarkEnd w:id="164"/>
    <w:p w14:paraId="75A30B5B">
      <w:pPr>
        <w:pStyle w:val="7"/>
        <w:rPr>
          <w:rFonts w:hint="eastAsia"/>
          <w:highlight w:val="none"/>
        </w:rPr>
      </w:pPr>
      <w:bookmarkStart w:id="165" w:name="_Toc12144"/>
      <w:r>
        <w:rPr>
          <w:rFonts w:hint="eastAsia"/>
          <w:highlight w:val="none"/>
          <w:lang w:val="en-US" w:eastAsia="zh-CN"/>
        </w:rPr>
        <w:t xml:space="preserve"> </w:t>
      </w:r>
      <w:r>
        <w:rPr>
          <w:rFonts w:hint="eastAsia"/>
          <w:highlight w:val="none"/>
        </w:rPr>
        <w:t>投诉反馈</w:t>
      </w:r>
      <w:bookmarkEnd w:id="165"/>
      <w:r>
        <w:rPr>
          <w:rFonts w:hint="eastAsia"/>
          <w:highlight w:val="none"/>
        </w:rPr>
        <w:t>管理</w:t>
      </w:r>
    </w:p>
    <w:p w14:paraId="1495197A">
      <w:pPr>
        <w:pStyle w:val="12"/>
        <w:shd w:val="clear" w:color="auto" w:fill="auto"/>
        <w:ind w:firstLine="480"/>
        <w:rPr>
          <w:rFonts w:hint="eastAsia"/>
          <w:highlight w:val="none"/>
        </w:rPr>
      </w:pPr>
      <w:r>
        <w:rPr>
          <w:rFonts w:hint="eastAsia"/>
          <w:highlight w:val="none"/>
        </w:rPr>
        <w:t>患者端：支持查看帮助手册，在线提交反馈、投诉、建议、咨询（信息加密），并对院方回复进行满意度评价。</w:t>
      </w:r>
    </w:p>
    <w:p w14:paraId="70246126">
      <w:pPr>
        <w:pStyle w:val="12"/>
        <w:shd w:val="clear" w:color="auto" w:fill="auto"/>
        <w:ind w:firstLine="480"/>
        <w:rPr>
          <w:rFonts w:hint="eastAsia"/>
          <w:highlight w:val="none"/>
        </w:rPr>
      </w:pPr>
      <w:r>
        <w:rPr>
          <w:rFonts w:hint="eastAsia"/>
          <w:highlight w:val="none"/>
        </w:rPr>
        <w:t>医生端：支持在线快速分派和处理患者体检相关反馈。</w:t>
      </w:r>
    </w:p>
    <w:p w14:paraId="58B6AAB5">
      <w:pPr>
        <w:pStyle w:val="12"/>
        <w:shd w:val="clear" w:color="auto" w:fill="auto"/>
        <w:ind w:firstLine="480"/>
        <w:rPr>
          <w:rFonts w:hint="eastAsia"/>
          <w:highlight w:val="none"/>
        </w:rPr>
      </w:pPr>
      <w:r>
        <w:rPr>
          <w:rFonts w:hint="eastAsia"/>
          <w:highlight w:val="none"/>
        </w:rPr>
        <w:t>管理端：支持配置知识库、投诉权限（科室、人员）、查看/分派/回复反馈，标记无效意见，添加关注人员，支持二次审核与单批上传；可按类型、科室、时间统计分析，查看全部反馈，并支持特殊意见删除。</w:t>
      </w:r>
    </w:p>
    <w:p w14:paraId="3F800492">
      <w:pPr>
        <w:pStyle w:val="7"/>
        <w:rPr>
          <w:rFonts w:hint="eastAsia"/>
          <w:highlight w:val="none"/>
        </w:rPr>
      </w:pPr>
      <w:bookmarkStart w:id="166" w:name="_Toc32067"/>
      <w:r>
        <w:rPr>
          <w:rFonts w:hint="eastAsia"/>
          <w:highlight w:val="none"/>
          <w:lang w:val="en-US" w:eastAsia="zh-CN"/>
        </w:rPr>
        <w:t xml:space="preserve"> </w:t>
      </w:r>
      <w:r>
        <w:rPr>
          <w:rFonts w:hint="eastAsia"/>
          <w:highlight w:val="none"/>
        </w:rPr>
        <w:t>病案复印邮寄</w:t>
      </w:r>
      <w:bookmarkEnd w:id="166"/>
    </w:p>
    <w:p w14:paraId="1A5EB11F">
      <w:pPr>
        <w:pStyle w:val="12"/>
        <w:shd w:val="clear" w:color="auto" w:fill="auto"/>
        <w:ind w:firstLine="480"/>
        <w:rPr>
          <w:rFonts w:hint="eastAsia"/>
          <w:highlight w:val="none"/>
        </w:rPr>
      </w:pPr>
      <w:r>
        <w:rPr>
          <w:rFonts w:hint="eastAsia"/>
          <w:highlight w:val="none"/>
        </w:rPr>
        <w:t>患者端支持按院区选择门诊及住院记录，提交病案复印申请，上传本人或代理人身份证明，选择病案记录、提取方式（自提/邮寄）、用途及份数，并在线预缴费用。费用规则可配置，余额不足时自动提醒补缴。支持查看历史申请记录（时间、内容、缴费、状态），未审核前可在线退款。</w:t>
      </w:r>
    </w:p>
    <w:p w14:paraId="1F20ED97">
      <w:pPr>
        <w:pStyle w:val="12"/>
        <w:shd w:val="clear" w:color="auto" w:fill="auto"/>
        <w:ind w:firstLine="480"/>
        <w:rPr>
          <w:rFonts w:hint="eastAsia"/>
          <w:highlight w:val="none"/>
        </w:rPr>
      </w:pPr>
      <w:r>
        <w:rPr>
          <w:rFonts w:hint="eastAsia"/>
          <w:highlight w:val="none"/>
        </w:rPr>
        <w:t>管理端可配置院区、领取方式、申请类型、用途、费用及物流等信息，支持申请的在线审核（通过或驳回）、自动补费通知、发件与结算处理（实时或定时）。支持对接物流系统，实现病案自动下单、发件，快递到付。提供多维度工作量统计（日、周、年）及收支报表查询下载功能。</w:t>
      </w:r>
    </w:p>
    <w:p w14:paraId="4F20314B">
      <w:pPr>
        <w:pStyle w:val="7"/>
        <w:rPr>
          <w:rFonts w:hint="eastAsia"/>
          <w:highlight w:val="none"/>
        </w:rPr>
      </w:pPr>
      <w:bookmarkStart w:id="167" w:name="_Toc96983031"/>
      <w:r>
        <w:rPr>
          <w:rFonts w:hint="eastAsia"/>
          <w:highlight w:val="none"/>
          <w:lang w:val="en-US" w:eastAsia="zh-CN"/>
        </w:rPr>
        <w:t xml:space="preserve"> </w:t>
      </w:r>
      <w:r>
        <w:rPr>
          <w:rFonts w:hint="eastAsia"/>
          <w:highlight w:val="none"/>
        </w:rPr>
        <w:t>电子发票</w:t>
      </w:r>
      <w:bookmarkEnd w:id="167"/>
    </w:p>
    <w:p w14:paraId="20E4330A">
      <w:pPr>
        <w:pStyle w:val="12"/>
        <w:shd w:val="clear" w:color="auto" w:fill="auto"/>
        <w:ind w:firstLine="480"/>
        <w:rPr>
          <w:rFonts w:hint="eastAsia"/>
          <w:highlight w:val="none"/>
        </w:rPr>
      </w:pPr>
      <w:r>
        <w:rPr>
          <w:rFonts w:hint="eastAsia"/>
          <w:highlight w:val="none"/>
        </w:rPr>
        <w:t>支持对接院内发票系统及电子发票平台，查询预览门诊、住院电子发票等。</w:t>
      </w:r>
    </w:p>
    <w:p w14:paraId="27B0BE25">
      <w:pPr>
        <w:pStyle w:val="6"/>
        <w:rPr>
          <w:rFonts w:hint="eastAsia"/>
          <w:szCs w:val="24"/>
          <w:highlight w:val="none"/>
        </w:rPr>
      </w:pPr>
      <w:r>
        <w:rPr>
          <w:rFonts w:hint="eastAsia"/>
          <w:highlight w:val="none"/>
          <w:lang w:val="en-US" w:eastAsia="zh-CN"/>
        </w:rPr>
        <w:t xml:space="preserve"> </w:t>
      </w:r>
      <w:r>
        <w:rPr>
          <w:rFonts w:hint="eastAsia"/>
          <w:highlight w:val="none"/>
        </w:rPr>
        <w:t>互联网诊疗服务平台（APP）</w:t>
      </w:r>
    </w:p>
    <w:p w14:paraId="682349E1">
      <w:pPr>
        <w:pStyle w:val="7"/>
        <w:rPr>
          <w:rFonts w:hint="eastAsia"/>
          <w:highlight w:val="none"/>
        </w:rPr>
      </w:pPr>
      <w:r>
        <w:rPr>
          <w:rFonts w:hint="eastAsia"/>
          <w:highlight w:val="none"/>
          <w:lang w:val="en-US" w:eastAsia="zh-CN"/>
        </w:rPr>
        <w:t xml:space="preserve"> </w:t>
      </w:r>
      <w:r>
        <w:rPr>
          <w:rFonts w:hint="eastAsia"/>
          <w:highlight w:val="none"/>
        </w:rPr>
        <w:t>智慧医护APP</w:t>
      </w:r>
    </w:p>
    <w:p w14:paraId="7929A04F">
      <w:pPr>
        <w:pStyle w:val="12"/>
        <w:shd w:val="clear" w:color="auto" w:fill="auto"/>
        <w:ind w:firstLine="480"/>
        <w:rPr>
          <w:rFonts w:hint="eastAsia"/>
          <w:highlight w:val="none"/>
        </w:rPr>
      </w:pPr>
      <w:bookmarkStart w:id="168" w:name="_Toc96983089"/>
      <w:r>
        <w:rPr>
          <w:rFonts w:hint="eastAsia"/>
          <w:highlight w:val="none"/>
        </w:rPr>
        <w:t>账号与患者管理</w:t>
      </w:r>
    </w:p>
    <w:p w14:paraId="43059210">
      <w:pPr>
        <w:pStyle w:val="12"/>
        <w:shd w:val="clear" w:color="auto" w:fill="auto"/>
        <w:ind w:firstLine="480"/>
        <w:rPr>
          <w:rFonts w:hint="eastAsia"/>
          <w:highlight w:val="none"/>
        </w:rPr>
      </w:pPr>
      <w:r>
        <w:rPr>
          <w:rFonts w:hint="eastAsia"/>
          <w:highlight w:val="none"/>
        </w:rPr>
        <w:t>支持对接HIS系统，实现统一账号与权限管理，具备登录认证、强密码策略及密码找回功能；支持手势密码快速解锁。可查看个人信息、分享个人名片及APP二维码，访问院内通讯录并拨打电话。</w:t>
      </w:r>
    </w:p>
    <w:p w14:paraId="1FE3C53A">
      <w:pPr>
        <w:pStyle w:val="12"/>
        <w:shd w:val="clear" w:color="auto" w:fill="auto"/>
        <w:ind w:firstLine="480"/>
        <w:rPr>
          <w:rFonts w:hint="eastAsia"/>
          <w:highlight w:val="none"/>
        </w:rPr>
      </w:pPr>
      <w:r>
        <w:rPr>
          <w:rFonts w:hint="eastAsia"/>
          <w:highlight w:val="none"/>
        </w:rPr>
        <w:t>患者管理涵盖门诊、住院及出院患者信息查看，包括基本信息、病史、医嘱、检查报告等，支持按时间、科室筛选。可关注重点患者，调阅病史，进行标签分组管理，并收藏典型病例。支持多条件患者搜索，添加图文音视频随访记录，分类管理医嘱信息。</w:t>
      </w:r>
    </w:p>
    <w:p w14:paraId="64AF853B">
      <w:pPr>
        <w:pStyle w:val="12"/>
        <w:shd w:val="clear" w:color="auto" w:fill="auto"/>
        <w:ind w:firstLine="480"/>
        <w:rPr>
          <w:rFonts w:hint="eastAsia"/>
          <w:highlight w:val="none"/>
        </w:rPr>
      </w:pPr>
      <w:r>
        <w:rPr>
          <w:rFonts w:hint="eastAsia"/>
          <w:highlight w:val="none"/>
        </w:rPr>
        <w:t>日程与医学功能</w:t>
      </w:r>
    </w:p>
    <w:p w14:paraId="2419840F">
      <w:pPr>
        <w:pStyle w:val="12"/>
        <w:shd w:val="clear" w:color="auto" w:fill="auto"/>
        <w:ind w:firstLine="480"/>
        <w:rPr>
          <w:rFonts w:hint="eastAsia"/>
          <w:highlight w:val="none"/>
        </w:rPr>
      </w:pPr>
      <w:r>
        <w:rPr>
          <w:rFonts w:hint="eastAsia"/>
          <w:highlight w:val="none"/>
        </w:rPr>
        <w:t>以日历形式展示门诊、手术等排班及个人日程，支持手动添加与定时提醒。医学中心提供典型病例管理、常用医学计算器（如肌酐清除率）、学科指南上传分享、下载评论等功能。</w:t>
      </w:r>
    </w:p>
    <w:p w14:paraId="3B0E626F">
      <w:pPr>
        <w:pStyle w:val="7"/>
        <w:rPr>
          <w:rFonts w:hint="eastAsia"/>
          <w:highlight w:val="none"/>
        </w:rPr>
      </w:pPr>
      <w:r>
        <w:rPr>
          <w:rFonts w:hint="eastAsia"/>
          <w:highlight w:val="none"/>
          <w:lang w:val="en-US" w:eastAsia="zh-CN"/>
        </w:rPr>
        <w:t xml:space="preserve"> </w:t>
      </w:r>
      <w:r>
        <w:rPr>
          <w:rFonts w:hint="eastAsia"/>
          <w:highlight w:val="none"/>
        </w:rPr>
        <w:t>互联网诊疗APP版</w:t>
      </w:r>
    </w:p>
    <w:p w14:paraId="2B29F1B8">
      <w:pPr>
        <w:pStyle w:val="12"/>
        <w:shd w:val="clear" w:color="auto" w:fill="auto"/>
        <w:ind w:firstLine="480"/>
        <w:rPr>
          <w:rFonts w:hint="eastAsia"/>
          <w:highlight w:val="none"/>
        </w:rPr>
      </w:pPr>
      <w:r>
        <w:rPr>
          <w:rFonts w:hint="eastAsia"/>
          <w:highlight w:val="none"/>
        </w:rPr>
        <w:t>患者端（微信小程序）</w:t>
      </w:r>
    </w:p>
    <w:p w14:paraId="5D5210F4">
      <w:pPr>
        <w:pStyle w:val="12"/>
        <w:shd w:val="clear" w:color="auto" w:fill="auto"/>
        <w:ind w:firstLine="480"/>
        <w:rPr>
          <w:rFonts w:hint="eastAsia"/>
          <w:highlight w:val="none"/>
        </w:rPr>
      </w:pPr>
      <w:r>
        <w:rPr>
          <w:rFonts w:hint="eastAsia"/>
          <w:highlight w:val="none"/>
        </w:rPr>
        <w:t>支持展示推荐科室及全院/科室在线医生人数；按职级、接诊量、评价排序显示医生信息。咨询前可提交病情描述、病史及检验报告图片，支持图文上传。支持在线支付咨询费及参与免费义诊。提供与医生一对一文字、语音、图片交流，支持护理、药事、心理等专科独立入口快速咨询。可查看本人及其他就诊人问诊记录（时间、状态等），并完成服务评价。</w:t>
      </w:r>
    </w:p>
    <w:p w14:paraId="36F3A7EE">
      <w:pPr>
        <w:pStyle w:val="12"/>
        <w:shd w:val="clear" w:color="auto" w:fill="auto"/>
        <w:ind w:firstLine="480"/>
        <w:rPr>
          <w:rFonts w:hint="eastAsia"/>
          <w:highlight w:val="none"/>
        </w:rPr>
      </w:pPr>
      <w:r>
        <w:rPr>
          <w:rFonts w:hint="eastAsia"/>
          <w:highlight w:val="none"/>
        </w:rPr>
        <w:t>医生端（APP）</w:t>
      </w:r>
    </w:p>
    <w:p w14:paraId="4D268538">
      <w:pPr>
        <w:pStyle w:val="12"/>
        <w:shd w:val="clear" w:color="auto" w:fill="auto"/>
        <w:ind w:firstLine="480"/>
        <w:rPr>
          <w:rFonts w:hint="eastAsia"/>
          <w:highlight w:val="none"/>
        </w:rPr>
      </w:pPr>
      <w:r>
        <w:rPr>
          <w:rFonts w:hint="eastAsia"/>
          <w:highlight w:val="none"/>
        </w:rPr>
        <w:t>可设置接诊状态（在线/离线）和每日限额，分类查看待接诊、已接诊、已完成患者。预览患者申请信息后选择接诊或拒诊（需填写理由）。支持图文、语音交流，提供健康指导，不支持开处方。可维护常用回复语一键发送，查看患者电话并拨号，查阅历史咨询记录。接诊后24小时内自动结束问诊，未接诊超24小时自动退诊。</w:t>
      </w:r>
    </w:p>
    <w:p w14:paraId="39FE6043">
      <w:pPr>
        <w:pStyle w:val="12"/>
        <w:shd w:val="clear" w:color="auto" w:fill="auto"/>
        <w:ind w:firstLine="480"/>
        <w:rPr>
          <w:rFonts w:hint="eastAsia"/>
          <w:highlight w:val="none"/>
        </w:rPr>
      </w:pPr>
      <w:r>
        <w:rPr>
          <w:rFonts w:hint="eastAsia"/>
          <w:highlight w:val="none"/>
        </w:rPr>
        <w:t>护理/药师/心理咨询模块（共性功能）</w:t>
      </w:r>
    </w:p>
    <w:p w14:paraId="4EE53084">
      <w:pPr>
        <w:pStyle w:val="12"/>
        <w:shd w:val="clear" w:color="auto" w:fill="auto"/>
        <w:ind w:firstLine="480"/>
        <w:rPr>
          <w:rFonts w:hint="eastAsia"/>
          <w:highlight w:val="none"/>
        </w:rPr>
      </w:pPr>
      <w:r>
        <w:rPr>
          <w:rFonts w:hint="eastAsia"/>
          <w:highlight w:val="none"/>
        </w:rPr>
        <w:t>患者端可查看开放门诊、专业人员信息（级别、擅长、评价等），提交咨询申请及资料，进行图文交流并评价服务。支持状态设置、信息预览、选择接诊、快速回复、查看联系方式及历史记录，咨询结束后可主动终止，超时自动关闭。</w:t>
      </w:r>
    </w:p>
    <w:p w14:paraId="700A5671">
      <w:pPr>
        <w:pStyle w:val="12"/>
        <w:shd w:val="clear" w:color="auto" w:fill="auto"/>
        <w:ind w:firstLine="480"/>
        <w:rPr>
          <w:rFonts w:hint="eastAsia"/>
          <w:highlight w:val="none"/>
        </w:rPr>
      </w:pPr>
      <w:r>
        <w:rPr>
          <w:rFonts w:hint="eastAsia"/>
          <w:highlight w:val="none"/>
        </w:rPr>
        <w:t>在线复诊模块</w:t>
      </w:r>
    </w:p>
    <w:p w14:paraId="0A0E175F">
      <w:pPr>
        <w:pStyle w:val="12"/>
        <w:shd w:val="clear" w:color="auto" w:fill="auto"/>
        <w:ind w:firstLine="480"/>
        <w:rPr>
          <w:rFonts w:hint="eastAsia"/>
          <w:highlight w:val="none"/>
        </w:rPr>
      </w:pPr>
      <w:r>
        <w:rPr>
          <w:rFonts w:hint="eastAsia"/>
          <w:highlight w:val="none"/>
        </w:rPr>
        <w:t>患者可预约出诊医生，阅读知情同意书后挂号缴费，系统自动判断是否符合复诊条件。提交病情与检查资料，开展音视频交流，支付相关费用并支持医保结算。可预约检查、下载结果与电子病历、处方、医嘱等资料，查询既往记录并进行服务评价。</w:t>
      </w:r>
    </w:p>
    <w:p w14:paraId="4819CC94">
      <w:pPr>
        <w:pStyle w:val="12"/>
        <w:shd w:val="clear" w:color="auto" w:fill="auto"/>
        <w:ind w:firstLine="480"/>
        <w:rPr>
          <w:rFonts w:hint="eastAsia"/>
          <w:highlight w:val="none"/>
        </w:rPr>
      </w:pPr>
      <w:r>
        <w:rPr>
          <w:rFonts w:hint="eastAsia"/>
          <w:highlight w:val="none"/>
        </w:rPr>
        <w:t>医生端复诊功能</w:t>
      </w:r>
    </w:p>
    <w:p w14:paraId="697F42E7">
      <w:pPr>
        <w:pStyle w:val="12"/>
        <w:shd w:val="clear" w:color="auto" w:fill="auto"/>
        <w:ind w:firstLine="480"/>
        <w:rPr>
          <w:rFonts w:hint="eastAsia"/>
          <w:highlight w:val="none"/>
        </w:rPr>
      </w:pPr>
      <w:r>
        <w:rPr>
          <w:rFonts w:hint="eastAsia"/>
          <w:highlight w:val="none"/>
        </w:rPr>
        <w:t>支持自主或统一排班，查看分组患者信息，预览申请内容后决定接诊。支持音视频、电话问诊，调阅患者历史诊疗数据。可开具电子处方（药品、检查等），对接CA系统签名认证，经合理用药系统审方，特殊处方转人工审核。支持书写结构化电子病历，同步至EMR系统，实现线上线下一体化管理。可生成发票、为需面诊者加号、为住院患者开电子住院单。问诊结束可手动关闭，超时未处理订单自动关闭并退款。</w:t>
      </w:r>
    </w:p>
    <w:p w14:paraId="3AB6EAA8">
      <w:pPr>
        <w:pStyle w:val="12"/>
        <w:shd w:val="clear" w:color="auto" w:fill="auto"/>
        <w:ind w:firstLine="480"/>
        <w:rPr>
          <w:rFonts w:hint="eastAsia"/>
          <w:highlight w:val="none"/>
        </w:rPr>
      </w:pPr>
      <w:r>
        <w:rPr>
          <w:rFonts w:hint="eastAsia"/>
          <w:highlight w:val="none"/>
        </w:rPr>
        <w:t>处方审核</w:t>
      </w:r>
    </w:p>
    <w:p w14:paraId="351B82B7">
      <w:pPr>
        <w:pStyle w:val="12"/>
        <w:shd w:val="clear" w:color="auto" w:fill="auto"/>
        <w:ind w:firstLine="480"/>
        <w:rPr>
          <w:rFonts w:hint="eastAsia"/>
          <w:highlight w:val="none"/>
        </w:rPr>
      </w:pPr>
      <w:r>
        <w:rPr>
          <w:rFonts w:hint="eastAsia"/>
          <w:highlight w:val="none"/>
        </w:rPr>
        <w:t>可查询待审处方（时间、科室、医生、诊断等），优先由合理用药系统自动审核，人工在线审批通过或驳回，通知开方医生并推送结果。对接物流系统，跟踪发药状态，支持处方数据汇总分析与导出。</w:t>
      </w:r>
    </w:p>
    <w:p w14:paraId="2B2F5C9F">
      <w:pPr>
        <w:pStyle w:val="7"/>
        <w:rPr>
          <w:rFonts w:hint="eastAsia"/>
          <w:highlight w:val="none"/>
        </w:rPr>
      </w:pPr>
      <w:r>
        <w:rPr>
          <w:rFonts w:hint="eastAsia"/>
          <w:highlight w:val="none"/>
          <w:lang w:val="en-US" w:eastAsia="zh-CN"/>
        </w:rPr>
        <w:t xml:space="preserve"> </w:t>
      </w:r>
      <w:r>
        <w:rPr>
          <w:rFonts w:hint="eastAsia"/>
          <w:highlight w:val="none"/>
        </w:rPr>
        <w:t>运营管理平台</w:t>
      </w:r>
    </w:p>
    <w:p w14:paraId="644FDE67">
      <w:pPr>
        <w:pStyle w:val="12"/>
        <w:shd w:val="clear" w:color="auto" w:fill="auto"/>
        <w:ind w:firstLine="480"/>
        <w:rPr>
          <w:rFonts w:hint="eastAsia"/>
          <w:highlight w:val="none"/>
        </w:rPr>
      </w:pPr>
      <w:r>
        <w:rPr>
          <w:rFonts w:hint="eastAsia"/>
          <w:highlight w:val="none"/>
        </w:rPr>
        <w:t>系统管理：支持账号、权限、日志管理，用户通过账号密码登录，可安全修改密码并支持自动退出。</w:t>
      </w:r>
    </w:p>
    <w:p w14:paraId="6B14E2D2">
      <w:pPr>
        <w:pStyle w:val="12"/>
        <w:shd w:val="clear" w:color="auto" w:fill="auto"/>
        <w:ind w:firstLine="480"/>
        <w:rPr>
          <w:rFonts w:hint="eastAsia"/>
          <w:highlight w:val="none"/>
        </w:rPr>
      </w:pPr>
      <w:r>
        <w:rPr>
          <w:rFonts w:hint="eastAsia"/>
          <w:highlight w:val="none"/>
        </w:rPr>
        <w:t>基础配置：支持医院信息、科室、医生、挂号、就医指南、楼层分布、公告、菜单、专家/科室介绍、健康资讯、导诊分诊、院内链接等基础数据的增删改查；支持业务参数与字典数据维护。</w:t>
      </w:r>
    </w:p>
    <w:p w14:paraId="0A8BF486">
      <w:pPr>
        <w:pStyle w:val="12"/>
        <w:shd w:val="clear" w:color="auto" w:fill="auto"/>
        <w:ind w:firstLine="480"/>
        <w:rPr>
          <w:rFonts w:hint="eastAsia"/>
          <w:highlight w:val="none"/>
        </w:rPr>
      </w:pPr>
      <w:r>
        <w:rPr>
          <w:rFonts w:hint="eastAsia"/>
          <w:highlight w:val="none"/>
        </w:rPr>
        <w:t>信息查询：支持预约挂号、在线复诊、咨询、处方、住院预交、体检预约等订单查询，可按时间、状态、编号、业务项筛选。</w:t>
      </w:r>
    </w:p>
    <w:p w14:paraId="3F5DDA94">
      <w:pPr>
        <w:pStyle w:val="12"/>
        <w:shd w:val="clear" w:color="auto" w:fill="auto"/>
        <w:ind w:firstLine="480"/>
        <w:rPr>
          <w:rFonts w:hint="eastAsia"/>
          <w:highlight w:val="none"/>
        </w:rPr>
      </w:pPr>
      <w:r>
        <w:rPr>
          <w:rFonts w:hint="eastAsia"/>
          <w:highlight w:val="none"/>
        </w:rPr>
        <w:t>运营统计：支持注册用户、就诊人、挂号、缴费、互联网诊疗等业务量的多维度统计分析，提供报表下载与趋势分析。</w:t>
      </w:r>
    </w:p>
    <w:p w14:paraId="58263C2F">
      <w:pPr>
        <w:pStyle w:val="12"/>
        <w:shd w:val="clear" w:color="auto" w:fill="auto"/>
        <w:ind w:firstLine="480"/>
        <w:rPr>
          <w:rFonts w:hint="eastAsia"/>
          <w:highlight w:val="none"/>
        </w:rPr>
      </w:pPr>
      <w:r>
        <w:rPr>
          <w:rFonts w:hint="eastAsia"/>
          <w:highlight w:val="none"/>
        </w:rPr>
        <w:t>监管对接：支持医疗机构、科室、医生、药师备案，向监管平台上传预约、退号、就诊、开方、处方流转、药品配送、收费退费、评价投诉等数据，完成技术对接验收，协助申领牌照。</w:t>
      </w:r>
    </w:p>
    <w:p w14:paraId="684E2A2B">
      <w:pPr>
        <w:pStyle w:val="12"/>
        <w:shd w:val="clear" w:color="auto" w:fill="auto"/>
        <w:ind w:firstLine="480"/>
        <w:rPr>
          <w:rFonts w:hint="eastAsia"/>
          <w:highlight w:val="none"/>
        </w:rPr>
      </w:pPr>
      <w:r>
        <w:rPr>
          <w:rFonts w:hint="eastAsia"/>
          <w:highlight w:val="none"/>
        </w:rPr>
        <w:t>诊疗质控：支持在线咨询与复诊全过程监控，可回溯服务时间、状态、人员、沟通内容、音视频、处方、病历、诊断、缴费、物流及评价信息。</w:t>
      </w:r>
    </w:p>
    <w:p w14:paraId="3703E84A">
      <w:pPr>
        <w:pStyle w:val="12"/>
        <w:shd w:val="clear" w:color="auto" w:fill="auto"/>
        <w:ind w:firstLine="480"/>
        <w:rPr>
          <w:rFonts w:hint="eastAsia"/>
          <w:highlight w:val="none"/>
        </w:rPr>
      </w:pPr>
      <w:r>
        <w:rPr>
          <w:rFonts w:hint="eastAsia"/>
          <w:highlight w:val="none"/>
        </w:rPr>
        <w:t>复诊排班：支持全院统一排班，可按科室、医生、日期设置自动排班模板，每日自动生成号源；支持多条件查询排班，人工增编、封班、停诊，并自动通知患者退号退费。</w:t>
      </w:r>
    </w:p>
    <w:p w14:paraId="0948D69B">
      <w:pPr>
        <w:pStyle w:val="12"/>
        <w:shd w:val="clear" w:color="auto" w:fill="auto"/>
        <w:ind w:firstLine="480"/>
        <w:rPr>
          <w:rFonts w:hint="eastAsia"/>
          <w:highlight w:val="none"/>
        </w:rPr>
      </w:pPr>
      <w:r>
        <w:rPr>
          <w:rFonts w:hint="eastAsia"/>
          <w:highlight w:val="none"/>
        </w:rPr>
        <w:t>运营监控：实时监控注册、咨询、问诊人次、处方数、检查量、收入、科室/医生排名、满意度等核心指标，动态播报接诊、支付、评价等服务进展。</w:t>
      </w:r>
    </w:p>
    <w:bookmarkEnd w:id="168"/>
    <w:p w14:paraId="6383CE61">
      <w:pPr>
        <w:pStyle w:val="6"/>
        <w:rPr>
          <w:rFonts w:hint="eastAsia"/>
          <w:highlight w:val="none"/>
        </w:rPr>
      </w:pPr>
      <w:bookmarkStart w:id="169" w:name="_Toc6926"/>
      <w:bookmarkStart w:id="170" w:name="_Toc96983133"/>
      <w:r>
        <w:rPr>
          <w:rFonts w:hint="eastAsia"/>
          <w:highlight w:val="none"/>
          <w:lang w:val="en-US" w:eastAsia="zh-CN"/>
        </w:rPr>
        <w:t xml:space="preserve"> </w:t>
      </w:r>
      <w:r>
        <w:rPr>
          <w:rFonts w:hint="eastAsia"/>
          <w:highlight w:val="none"/>
        </w:rPr>
        <w:t>移动消息中心</w:t>
      </w:r>
      <w:bookmarkEnd w:id="169"/>
    </w:p>
    <w:p w14:paraId="16B01BD4">
      <w:pPr>
        <w:pStyle w:val="12"/>
        <w:shd w:val="clear" w:color="auto" w:fill="auto"/>
        <w:ind w:firstLine="480"/>
        <w:rPr>
          <w:rFonts w:hint="eastAsia"/>
          <w:highlight w:val="none"/>
        </w:rPr>
      </w:pPr>
      <w:r>
        <w:rPr>
          <w:rFonts w:hint="eastAsia"/>
          <w:highlight w:val="none"/>
        </w:rPr>
        <w:t>支持向患者推送覆盖诊前、诊中、诊后的全流程提醒，包括挂号、检查须知、知情同意、入院宣教、手术安排、出院指导、报告通知、电子发票、用药提醒、复诊及随访等个性化消息，提升离院后依从性。支持微信模板消息、服务通知、短信等多渠道推送，并允许患者通过公众号/小程序自主订阅消息类型，避免打扰。</w:t>
      </w:r>
    </w:p>
    <w:p w14:paraId="20EC19C2">
      <w:pPr>
        <w:pStyle w:val="12"/>
        <w:shd w:val="clear" w:color="auto" w:fill="auto"/>
        <w:ind w:firstLine="480"/>
        <w:rPr>
          <w:rFonts w:hint="eastAsia"/>
          <w:highlight w:val="none"/>
        </w:rPr>
      </w:pPr>
      <w:r>
        <w:rPr>
          <w:rFonts w:hint="eastAsia"/>
          <w:highlight w:val="none"/>
        </w:rPr>
        <w:t>医生消息中心支持将危急值、病历质控、医嘱、会诊等临床消息推送至医生APP、企业微信、短信等终端，保障医疗信息及时触达。</w:t>
      </w:r>
    </w:p>
    <w:p w14:paraId="1BBA3DDE">
      <w:pPr>
        <w:pStyle w:val="12"/>
        <w:shd w:val="clear" w:color="auto" w:fill="auto"/>
        <w:ind w:firstLine="480"/>
        <w:rPr>
          <w:rFonts w:hint="eastAsia"/>
          <w:highlight w:val="none"/>
        </w:rPr>
      </w:pPr>
      <w:r>
        <w:rPr>
          <w:rFonts w:hint="eastAsia"/>
          <w:highlight w:val="none"/>
        </w:rPr>
        <w:t>系统具备商户配置、渠道与模板管理、发送规则设置、订阅与群组管理等功能；提供统一API接口供业务系统调用，实现精准消息发送。支持按时间、类型、接收人等条件查询发送记录，含来源、内容、状态等信息，并可对失败消息重新发送。支持多维度统计报表生成与导出。</w:t>
      </w:r>
    </w:p>
    <w:p w14:paraId="30EF4A18">
      <w:pPr>
        <w:pStyle w:val="12"/>
        <w:shd w:val="clear" w:color="auto" w:fill="auto"/>
        <w:ind w:firstLine="480"/>
        <w:rPr>
          <w:rFonts w:hint="eastAsia"/>
          <w:highlight w:val="none"/>
        </w:rPr>
      </w:pPr>
      <w:r>
        <w:rPr>
          <w:rFonts w:hint="eastAsia"/>
          <w:highlight w:val="none"/>
        </w:rPr>
        <w:t>支持人工向注册患者、门诊及住院患者批量发送微信或短信消息，并按批次查询发送记录。</w:t>
      </w:r>
    </w:p>
    <w:p w14:paraId="04FFD31E">
      <w:pPr>
        <w:pStyle w:val="12"/>
        <w:shd w:val="clear" w:color="auto" w:fill="auto"/>
        <w:ind w:firstLine="480"/>
        <w:rPr>
          <w:rFonts w:hint="eastAsia"/>
          <w:highlight w:val="none"/>
        </w:rPr>
      </w:pPr>
      <w:r>
        <w:rPr>
          <w:rFonts w:hint="eastAsia"/>
          <w:highlight w:val="none"/>
        </w:rPr>
        <w:t>科普宣教中心支持患者浏览健康资讯、患教资料、专家专栏，进行收藏、分享、点赞，可跳转专家主页。提供BMI、预产期、乙肝等健康自测工具，以及急救、用药、疾病、化验单解读等健康百科知识。</w:t>
      </w:r>
    </w:p>
    <w:p w14:paraId="704A30F6">
      <w:pPr>
        <w:pStyle w:val="12"/>
        <w:shd w:val="clear" w:color="auto" w:fill="auto"/>
        <w:ind w:firstLine="480"/>
        <w:rPr>
          <w:rFonts w:hint="eastAsia"/>
          <w:highlight w:val="none"/>
        </w:rPr>
      </w:pPr>
      <w:r>
        <w:rPr>
          <w:rFonts w:hint="eastAsia"/>
          <w:highlight w:val="none"/>
        </w:rPr>
        <w:t>医生端支持创建图文、音视频、PDF等形式的科普内容，可保存、提交审核、撤回或删除，查看个人发布量、阅读量、点赞与分享数据。支持科普分类设置、信息发布与审核管理，审核不通过时反馈医生并支持修改重审。可与医院官微、科室公众号同步宣教内容。支持按科室、医生、类别等多维度统计与排名分析。</w:t>
      </w:r>
    </w:p>
    <w:bookmarkEnd w:id="170"/>
    <w:p w14:paraId="1E2961B2">
      <w:pPr>
        <w:pStyle w:val="6"/>
        <w:rPr>
          <w:rFonts w:hint="eastAsia"/>
          <w:highlight w:val="none"/>
        </w:rPr>
      </w:pPr>
      <w:r>
        <w:rPr>
          <w:rFonts w:hint="eastAsia"/>
          <w:highlight w:val="none"/>
          <w:lang w:val="en-US" w:eastAsia="zh-CN"/>
        </w:rPr>
        <w:t xml:space="preserve"> </w:t>
      </w:r>
      <w:r>
        <w:rPr>
          <w:rFonts w:hint="eastAsia"/>
          <w:highlight w:val="none"/>
        </w:rPr>
        <w:t>互联网医院远程诊疗中心</w:t>
      </w:r>
    </w:p>
    <w:p w14:paraId="2BC1D187">
      <w:pPr>
        <w:pStyle w:val="7"/>
        <w:rPr>
          <w:rFonts w:hint="eastAsia"/>
          <w:highlight w:val="none"/>
        </w:rPr>
      </w:pPr>
      <w:bookmarkStart w:id="171" w:name="_Toc130219456"/>
      <w:bookmarkStart w:id="172" w:name="_Toc127796521"/>
      <w:r>
        <w:rPr>
          <w:rFonts w:hint="eastAsia"/>
          <w:highlight w:val="none"/>
          <w:lang w:val="en-US" w:eastAsia="zh-CN"/>
        </w:rPr>
        <w:t xml:space="preserve"> </w:t>
      </w:r>
      <w:r>
        <w:rPr>
          <w:rFonts w:hint="eastAsia"/>
          <w:highlight w:val="none"/>
        </w:rPr>
        <w:t>远程会诊</w:t>
      </w:r>
      <w:bookmarkEnd w:id="171"/>
      <w:bookmarkEnd w:id="172"/>
    </w:p>
    <w:p w14:paraId="28E91004">
      <w:pPr>
        <w:pStyle w:val="12"/>
        <w:shd w:val="clear" w:color="auto" w:fill="auto"/>
        <w:ind w:firstLine="480"/>
        <w:rPr>
          <w:rFonts w:hint="eastAsia"/>
          <w:highlight w:val="none"/>
        </w:rPr>
      </w:pPr>
      <w:r>
        <w:rPr>
          <w:rFonts w:hint="eastAsia"/>
          <w:highlight w:val="none"/>
        </w:rPr>
        <w:t>支持新建会诊申请，申请医院可在线提交，系统对信息不全或不符合要求的内容进行提示；申请成功后自动发送短信及APP推送通知至相关医务人员。支持录入患者基本信息、病情摘要、诊疗经过及会诊类别、专家、目的等信息，并可上传图片、文件或通过接口获取病历、医嘱、检查报告等结构化数据。提供按患者姓名、单位、日期、状态等条件查询会诊信息，支持修改申请内容、增删资料，以及专家或机构审批功能。支持医生通过视频、音频、图文方式进行会诊，支持分屏显示、桌面共享和互动白板等协作工具。会诊结束后可在线提交结论，发起方可查看完整报告，报告可回传至医院电子病历系统。支持按时间、机构等维度统计会诊业务量及详情。</w:t>
      </w:r>
    </w:p>
    <w:p w14:paraId="321969B0">
      <w:pPr>
        <w:pStyle w:val="7"/>
        <w:rPr>
          <w:rFonts w:hint="eastAsia"/>
          <w:highlight w:val="none"/>
        </w:rPr>
      </w:pPr>
      <w:r>
        <w:rPr>
          <w:rFonts w:hint="eastAsia"/>
          <w:highlight w:val="none"/>
          <w:lang w:val="en-US" w:eastAsia="zh-CN"/>
        </w:rPr>
        <w:t xml:space="preserve"> </w:t>
      </w:r>
      <w:r>
        <w:rPr>
          <w:rFonts w:hint="eastAsia"/>
          <w:highlight w:val="none"/>
        </w:rPr>
        <w:t>双向转诊</w:t>
      </w:r>
    </w:p>
    <w:p w14:paraId="17577435">
      <w:pPr>
        <w:pStyle w:val="12"/>
        <w:shd w:val="clear" w:color="auto" w:fill="auto"/>
        <w:ind w:firstLine="480"/>
        <w:rPr>
          <w:rFonts w:hint="eastAsia"/>
          <w:highlight w:val="none"/>
        </w:rPr>
      </w:pPr>
      <w:r>
        <w:rPr>
          <w:rFonts w:hint="eastAsia"/>
          <w:highlight w:val="none"/>
        </w:rPr>
        <w:t>支持对转诊机构及人员的登记管理，配置账号与权限。</w:t>
      </w:r>
    </w:p>
    <w:p w14:paraId="1CC79F6E">
      <w:pPr>
        <w:pStyle w:val="12"/>
        <w:shd w:val="clear" w:color="auto" w:fill="auto"/>
        <w:ind w:firstLine="480"/>
        <w:rPr>
          <w:rFonts w:hint="eastAsia"/>
          <w:highlight w:val="none"/>
        </w:rPr>
      </w:pPr>
      <w:r>
        <w:rPr>
          <w:rFonts w:hint="eastAsia"/>
          <w:highlight w:val="none"/>
        </w:rPr>
        <w:t>支持转诊申请单填写、提交与修改，查询接诊机构及申请信息；申请单包含患者基本信息、病史、诊断、用药、检查检验、电子病历等，支持上传图片、文件或通过接口采集结构化数据。提交后自动发送转诊通知（短信或APP推送）。</w:t>
      </w:r>
    </w:p>
    <w:p w14:paraId="5DEB8EE7">
      <w:pPr>
        <w:pStyle w:val="12"/>
        <w:shd w:val="clear" w:color="auto" w:fill="auto"/>
        <w:ind w:firstLine="480"/>
        <w:rPr>
          <w:rFonts w:hint="eastAsia"/>
          <w:highlight w:val="none"/>
        </w:rPr>
      </w:pPr>
      <w:r>
        <w:rPr>
          <w:rFonts w:hint="eastAsia"/>
          <w:highlight w:val="none"/>
        </w:rPr>
        <w:t>送转前可取消、打印或重新发起转诊。</w:t>
      </w:r>
    </w:p>
    <w:p w14:paraId="711384AF">
      <w:pPr>
        <w:pStyle w:val="12"/>
        <w:shd w:val="clear" w:color="auto" w:fill="auto"/>
        <w:ind w:firstLine="480"/>
        <w:rPr>
          <w:rFonts w:hint="eastAsia"/>
          <w:highlight w:val="none"/>
        </w:rPr>
      </w:pPr>
      <w:r>
        <w:rPr>
          <w:rFonts w:hint="eastAsia"/>
          <w:highlight w:val="none"/>
        </w:rPr>
        <w:t>接诊方可选择接诊或拒绝，支持转诊流程管理、病例管理、提醒及记录查询。</w:t>
      </w:r>
    </w:p>
    <w:p w14:paraId="45D009DE">
      <w:pPr>
        <w:pStyle w:val="12"/>
        <w:shd w:val="clear" w:color="auto" w:fill="auto"/>
        <w:ind w:firstLine="480"/>
        <w:rPr>
          <w:rFonts w:hint="eastAsia"/>
          <w:highlight w:val="none"/>
        </w:rPr>
      </w:pPr>
      <w:r>
        <w:rPr>
          <w:rFonts w:hint="eastAsia"/>
          <w:highlight w:val="none"/>
        </w:rPr>
        <w:t>实现上下级医院间诊疗信息共享：上级医院向下级授权调阅出院患者信息；下级向上级转诊时上传诊疗数据，上级可实时查看。</w:t>
      </w:r>
    </w:p>
    <w:p w14:paraId="308DFB5E">
      <w:pPr>
        <w:pStyle w:val="12"/>
        <w:shd w:val="clear" w:color="auto" w:fill="auto"/>
        <w:ind w:firstLine="480"/>
        <w:rPr>
          <w:rFonts w:hint="eastAsia"/>
          <w:highlight w:val="none"/>
        </w:rPr>
      </w:pPr>
      <w:r>
        <w:rPr>
          <w:rFonts w:hint="eastAsia"/>
          <w:highlight w:val="none"/>
        </w:rPr>
        <w:t>支持按状态、医院、时间、患者姓名等条件查询转诊记录并查看详情。</w:t>
      </w:r>
    </w:p>
    <w:p w14:paraId="4FD5C05F">
      <w:pPr>
        <w:pStyle w:val="12"/>
        <w:shd w:val="clear" w:color="auto" w:fill="auto"/>
        <w:ind w:firstLine="480"/>
        <w:rPr>
          <w:rFonts w:hint="eastAsia"/>
          <w:highlight w:val="none"/>
        </w:rPr>
      </w:pPr>
      <w:r>
        <w:rPr>
          <w:rFonts w:hint="eastAsia"/>
          <w:highlight w:val="none"/>
        </w:rPr>
        <w:t>转诊时上传申请医院用药信息，转入医院医生开药时需与外院处方联合进行合理用药校验。</w:t>
      </w:r>
    </w:p>
    <w:p w14:paraId="1A415E64">
      <w:pPr>
        <w:pStyle w:val="12"/>
        <w:shd w:val="clear" w:color="auto" w:fill="auto"/>
        <w:ind w:firstLine="480"/>
        <w:rPr>
          <w:rFonts w:hint="eastAsia"/>
          <w:highlight w:val="none"/>
        </w:rPr>
      </w:pPr>
      <w:r>
        <w:rPr>
          <w:rFonts w:hint="eastAsia"/>
          <w:highlight w:val="none"/>
        </w:rPr>
        <w:t>支持按时间、机构等维度统计转诊业务量及明细信息。</w:t>
      </w:r>
    </w:p>
    <w:p w14:paraId="24DCC9AA">
      <w:pPr>
        <w:pStyle w:val="5"/>
        <w:rPr>
          <w:rFonts w:hint="eastAsia"/>
          <w:highlight w:val="none"/>
        </w:rPr>
      </w:pPr>
      <w:r>
        <w:rPr>
          <w:rFonts w:hint="eastAsia"/>
          <w:highlight w:val="none"/>
          <w:lang w:val="en-US" w:eastAsia="zh-CN"/>
        </w:rPr>
        <w:t xml:space="preserve"> </w:t>
      </w:r>
      <w:r>
        <w:rPr>
          <w:rFonts w:hint="eastAsia"/>
          <w:highlight w:val="none"/>
        </w:rPr>
        <w:t>统一支付与对账平台</w:t>
      </w:r>
    </w:p>
    <w:p w14:paraId="3880BF54">
      <w:pPr>
        <w:pStyle w:val="12"/>
        <w:shd w:val="clear" w:color="auto" w:fill="auto"/>
        <w:ind w:firstLine="480"/>
        <w:rPr>
          <w:rFonts w:hint="eastAsia"/>
          <w:highlight w:val="none"/>
        </w:rPr>
      </w:pPr>
      <w:r>
        <w:rPr>
          <w:rFonts w:hint="eastAsia"/>
          <w:highlight w:val="none"/>
        </w:rPr>
        <w:t>实现移动支付统一接入管理，快速接入业务。</w:t>
      </w:r>
    </w:p>
    <w:p w14:paraId="4921D345">
      <w:pPr>
        <w:pStyle w:val="12"/>
        <w:shd w:val="clear" w:color="auto" w:fill="auto"/>
        <w:ind w:firstLine="480"/>
        <w:rPr>
          <w:rFonts w:hint="eastAsia"/>
          <w:highlight w:val="none"/>
        </w:rPr>
      </w:pPr>
      <w:r>
        <w:rPr>
          <w:rFonts w:hint="eastAsia"/>
          <w:highlight w:val="none"/>
        </w:rPr>
        <w:t>支持服务商及子商户的创建、授权、停用、秘钥等全生命周期管理。通过数字证书、令牌网关和加密技术，提供安全的统一支付通道，集中管控通道开关。</w:t>
      </w:r>
    </w:p>
    <w:p w14:paraId="1178AC01">
      <w:pPr>
        <w:pStyle w:val="12"/>
        <w:shd w:val="clear" w:color="auto" w:fill="auto"/>
        <w:ind w:firstLine="480"/>
        <w:rPr>
          <w:rFonts w:hint="eastAsia"/>
          <w:highlight w:val="none"/>
        </w:rPr>
      </w:pPr>
      <w:r>
        <w:rPr>
          <w:rFonts w:hint="eastAsia"/>
          <w:highlight w:val="none"/>
        </w:rPr>
        <w:t>提供统一下单、支付、查询、撤销、退款、对账下载及结果通知等接口服务。记录平台与服务商、支付渠道间的交易流水，支持按患者、业务、交易信息实时查询明细。</w:t>
      </w:r>
    </w:p>
    <w:p w14:paraId="7762E89C">
      <w:pPr>
        <w:pStyle w:val="12"/>
        <w:shd w:val="clear" w:color="auto" w:fill="auto"/>
        <w:ind w:firstLine="480"/>
        <w:rPr>
          <w:rFonts w:hint="eastAsia"/>
          <w:highlight w:val="none"/>
        </w:rPr>
      </w:pPr>
      <w:r>
        <w:rPr>
          <w:rFonts w:hint="eastAsia"/>
          <w:highlight w:val="none"/>
        </w:rPr>
        <w:t>自动下载并解析第三方与医院账单，完成数据清洗与校验。支持T+0分时段、T+1定时自动对账，生成对账记录，并按院区、渠道等维度统计结果，支持导出与异常预警。支持手动冲账和退款审核，退费原路返回。</w:t>
      </w:r>
    </w:p>
    <w:p w14:paraId="7A6ABCEB">
      <w:pPr>
        <w:pStyle w:val="12"/>
        <w:shd w:val="clear" w:color="auto" w:fill="auto"/>
        <w:ind w:firstLine="480"/>
        <w:rPr>
          <w:rFonts w:hint="eastAsia"/>
          <w:highlight w:val="none"/>
        </w:rPr>
      </w:pPr>
      <w:r>
        <w:rPr>
          <w:rFonts w:hint="eastAsia"/>
          <w:highlight w:val="none"/>
        </w:rPr>
        <w:t>提供多维度统计报表，涵盖支付明细、汇总、对账及终端应用类数据，支持文件导出。集成支付宝、微信支付，统一接入并对账。</w:t>
      </w:r>
    </w:p>
    <w:p w14:paraId="40EBD875">
      <w:pPr>
        <w:pStyle w:val="5"/>
        <w:rPr>
          <w:rFonts w:hint="eastAsia"/>
          <w:highlight w:val="none"/>
        </w:rPr>
      </w:pPr>
      <w:r>
        <w:rPr>
          <w:rFonts w:hint="eastAsia"/>
          <w:highlight w:val="none"/>
          <w:lang w:val="en-US" w:eastAsia="zh-CN"/>
        </w:rPr>
        <w:t xml:space="preserve"> </w:t>
      </w:r>
      <w:r>
        <w:rPr>
          <w:rFonts w:hint="eastAsia"/>
          <w:highlight w:val="none"/>
        </w:rPr>
        <w:t>满意度调查</w:t>
      </w:r>
    </w:p>
    <w:p w14:paraId="3F4501B4">
      <w:pPr>
        <w:pStyle w:val="12"/>
        <w:shd w:val="clear" w:color="auto" w:fill="auto"/>
        <w:ind w:firstLine="480"/>
        <w:rPr>
          <w:rFonts w:hint="eastAsia"/>
          <w:highlight w:val="none"/>
        </w:rPr>
      </w:pPr>
      <w:r>
        <w:rPr>
          <w:rFonts w:hint="eastAsia"/>
          <w:highlight w:val="none"/>
        </w:rPr>
        <w:t>患者端：就诊后系统自动推送微信问卷，支持扫码填写，结果与就诊记录关联。</w:t>
      </w:r>
    </w:p>
    <w:p w14:paraId="0A7A0365">
      <w:pPr>
        <w:pStyle w:val="12"/>
        <w:shd w:val="clear" w:color="auto" w:fill="auto"/>
        <w:ind w:firstLine="480"/>
        <w:rPr>
          <w:rFonts w:hint="eastAsia"/>
          <w:highlight w:val="none"/>
        </w:rPr>
      </w:pPr>
      <w:r>
        <w:rPr>
          <w:rFonts w:hint="eastAsia"/>
          <w:highlight w:val="none"/>
        </w:rPr>
        <w:t>管理端：可在线配置、编辑满意度问卷模板，支持多种题型及分类关联；可暂停、删除问卷，按院区、科室、时间等多维度统计分析；支持查看、导出已提交问卷，特殊问卷可在线删除。</w:t>
      </w:r>
    </w:p>
    <w:p w14:paraId="2EBE2310">
      <w:pPr>
        <w:pStyle w:val="5"/>
        <w:rPr>
          <w:rFonts w:hint="eastAsia"/>
          <w:highlight w:val="none"/>
        </w:rPr>
      </w:pPr>
      <w:r>
        <w:rPr>
          <w:rFonts w:hint="eastAsia"/>
          <w:highlight w:val="none"/>
          <w:lang w:val="en-US" w:eastAsia="zh-CN"/>
        </w:rPr>
        <w:t xml:space="preserve"> </w:t>
      </w:r>
      <w:r>
        <w:rPr>
          <w:rFonts w:hint="eastAsia"/>
          <w:highlight w:val="none"/>
        </w:rPr>
        <w:t>互联网医疗随访中心</w:t>
      </w:r>
    </w:p>
    <w:p w14:paraId="75A3D006">
      <w:pPr>
        <w:pStyle w:val="12"/>
        <w:shd w:val="clear" w:color="auto" w:fill="auto"/>
        <w:ind w:firstLine="480"/>
        <w:rPr>
          <w:rFonts w:hint="eastAsia"/>
          <w:highlight w:val="none"/>
        </w:rPr>
      </w:pPr>
      <w:r>
        <w:rPr>
          <w:rFonts w:hint="eastAsia"/>
          <w:highlight w:val="none"/>
        </w:rPr>
        <w:t>系统管理</w:t>
      </w:r>
    </w:p>
    <w:p w14:paraId="391298E6">
      <w:pPr>
        <w:pStyle w:val="12"/>
        <w:shd w:val="clear" w:color="auto" w:fill="auto"/>
        <w:ind w:firstLine="480"/>
        <w:rPr>
          <w:rFonts w:hint="eastAsia"/>
          <w:highlight w:val="none"/>
        </w:rPr>
      </w:pPr>
      <w:r>
        <w:rPr>
          <w:rFonts w:hint="eastAsia"/>
          <w:highlight w:val="none"/>
        </w:rPr>
        <w:t>用户管理：支持用户账号、密码、类别、身份证号、手机号、性别、出生日期、科室、职称等基本信息设置；支持角色分配、全息档案视图、数据与计划查看权限等权限管理。</w:t>
      </w:r>
    </w:p>
    <w:p w14:paraId="7A0BEBDF">
      <w:pPr>
        <w:pStyle w:val="12"/>
        <w:shd w:val="clear" w:color="auto" w:fill="auto"/>
        <w:ind w:firstLine="480"/>
        <w:rPr>
          <w:rFonts w:hint="eastAsia"/>
          <w:highlight w:val="none"/>
        </w:rPr>
      </w:pPr>
      <w:r>
        <w:rPr>
          <w:rFonts w:hint="eastAsia"/>
          <w:highlight w:val="none"/>
        </w:rPr>
        <w:t>患者查询</w:t>
      </w:r>
    </w:p>
    <w:p w14:paraId="117DDADF">
      <w:pPr>
        <w:pStyle w:val="12"/>
        <w:shd w:val="clear" w:color="auto" w:fill="auto"/>
        <w:ind w:firstLine="480"/>
        <w:rPr>
          <w:rFonts w:hint="eastAsia"/>
          <w:highlight w:val="none"/>
        </w:rPr>
      </w:pPr>
      <w:r>
        <w:rPr>
          <w:rFonts w:hint="eastAsia"/>
          <w:highlight w:val="none"/>
        </w:rPr>
        <w:t>支持对接院内系统，按门诊、住院、在院状态分类查询；可基于就诊、入院或出院信息（如姓名、病历号、日期、科室、诊断等）筛选患者；支持查看患者基本信息及就诊详情，并手动为患者添加随访计划和发送随访消息。</w:t>
      </w:r>
    </w:p>
    <w:p w14:paraId="2CEEADB9">
      <w:pPr>
        <w:pStyle w:val="12"/>
        <w:shd w:val="clear" w:color="auto" w:fill="auto"/>
        <w:ind w:firstLine="480"/>
        <w:rPr>
          <w:rFonts w:hint="eastAsia"/>
          <w:highlight w:val="none"/>
        </w:rPr>
      </w:pPr>
      <w:r>
        <w:rPr>
          <w:rFonts w:hint="eastAsia"/>
          <w:highlight w:val="none"/>
        </w:rPr>
        <w:t>患者档案</w:t>
      </w:r>
    </w:p>
    <w:p w14:paraId="60E2FEEF">
      <w:pPr>
        <w:pStyle w:val="12"/>
        <w:shd w:val="clear" w:color="auto" w:fill="auto"/>
        <w:ind w:firstLine="480"/>
        <w:rPr>
          <w:rFonts w:hint="eastAsia"/>
          <w:highlight w:val="none"/>
        </w:rPr>
      </w:pPr>
      <w:r>
        <w:rPr>
          <w:rFonts w:hint="eastAsia"/>
          <w:highlight w:val="none"/>
        </w:rPr>
        <w:t>支持对接院内系统获取病史信息；可查看患者个人基本信息及历次门诊、住院诊疗记录（含诊断、报告、医嘱、病历等），按时间排序，统计就诊次数。</w:t>
      </w:r>
    </w:p>
    <w:p w14:paraId="0FD2A4AA">
      <w:pPr>
        <w:pStyle w:val="12"/>
        <w:shd w:val="clear" w:color="auto" w:fill="auto"/>
        <w:ind w:firstLine="480"/>
        <w:rPr>
          <w:rFonts w:hint="eastAsia"/>
          <w:highlight w:val="none"/>
        </w:rPr>
      </w:pPr>
      <w:r>
        <w:rPr>
          <w:rFonts w:hint="eastAsia"/>
          <w:highlight w:val="none"/>
        </w:rPr>
        <w:t>随访中心</w:t>
      </w:r>
    </w:p>
    <w:p w14:paraId="374FCA66">
      <w:pPr>
        <w:pStyle w:val="12"/>
        <w:shd w:val="clear" w:color="auto" w:fill="auto"/>
        <w:ind w:firstLine="480"/>
        <w:rPr>
          <w:rFonts w:hint="eastAsia"/>
          <w:highlight w:val="none"/>
        </w:rPr>
      </w:pPr>
      <w:r>
        <w:rPr>
          <w:rFonts w:hint="eastAsia"/>
          <w:highlight w:val="none"/>
        </w:rPr>
        <w:t>随访计划：支持创建科室随访计划，设置计划名称、人员、时间、规则（来源、科室、诊断、治疗方案等）和任务内容（类型、提醒、表单、宣教）；支持自动抽取符合条件患者并入组，实现计划的新增、编辑、启动、停止。</w:t>
      </w:r>
    </w:p>
    <w:p w14:paraId="3B1A5F1D">
      <w:pPr>
        <w:pStyle w:val="12"/>
        <w:shd w:val="clear" w:color="auto" w:fill="auto"/>
        <w:ind w:firstLine="480"/>
        <w:rPr>
          <w:rFonts w:hint="eastAsia"/>
          <w:highlight w:val="none"/>
        </w:rPr>
      </w:pPr>
      <w:r>
        <w:rPr>
          <w:rFonts w:hint="eastAsia"/>
          <w:highlight w:val="none"/>
        </w:rPr>
        <w:t>随访任务：支持定时推送提醒、表单和宣教资料；可通过微信公众号发送随访问卷，或通过短信发送提醒并收集反馈。</w:t>
      </w:r>
    </w:p>
    <w:p w14:paraId="112944DF">
      <w:pPr>
        <w:pStyle w:val="12"/>
        <w:shd w:val="clear" w:color="auto" w:fill="auto"/>
        <w:ind w:firstLine="480"/>
        <w:rPr>
          <w:rFonts w:hint="eastAsia"/>
          <w:highlight w:val="none"/>
        </w:rPr>
      </w:pPr>
      <w:r>
        <w:rPr>
          <w:rFonts w:hint="eastAsia"/>
          <w:highlight w:val="none"/>
        </w:rPr>
        <w:t>随访跟踪：可查看随访执行情况，自动完成无异常任务，异常时触发预警并短信通知责任人；每日定时汇总前日随访结果。</w:t>
      </w:r>
    </w:p>
    <w:p w14:paraId="0C3898A9">
      <w:pPr>
        <w:pStyle w:val="12"/>
        <w:shd w:val="clear" w:color="auto" w:fill="auto"/>
        <w:ind w:firstLine="480"/>
        <w:rPr>
          <w:rFonts w:hint="eastAsia"/>
          <w:highlight w:val="none"/>
        </w:rPr>
      </w:pPr>
      <w:r>
        <w:rPr>
          <w:rFonts w:hint="eastAsia"/>
          <w:highlight w:val="none"/>
        </w:rPr>
        <w:t>随访记录：支持查询患者历次随访、表单、宣教、提醒记录，人工补录电话随访内容，并关联查看院内病史信息。</w:t>
      </w:r>
    </w:p>
    <w:p w14:paraId="449771D3">
      <w:pPr>
        <w:pStyle w:val="12"/>
        <w:shd w:val="clear" w:color="auto" w:fill="auto"/>
        <w:ind w:firstLine="480"/>
        <w:rPr>
          <w:rFonts w:hint="eastAsia"/>
          <w:highlight w:val="none"/>
        </w:rPr>
      </w:pPr>
      <w:r>
        <w:rPr>
          <w:rFonts w:hint="eastAsia"/>
          <w:highlight w:val="none"/>
        </w:rPr>
        <w:t>统计中心</w:t>
      </w:r>
    </w:p>
    <w:p w14:paraId="575C4943">
      <w:pPr>
        <w:pStyle w:val="12"/>
        <w:shd w:val="clear" w:color="auto" w:fill="auto"/>
        <w:ind w:firstLine="480"/>
        <w:rPr>
          <w:rFonts w:hint="eastAsia"/>
          <w:highlight w:val="none"/>
        </w:rPr>
      </w:pPr>
      <w:r>
        <w:rPr>
          <w:rFonts w:hint="eastAsia"/>
          <w:highlight w:val="none"/>
        </w:rPr>
        <w:t>工作量统计：按科室、人员统计随访量、随访率、失访率，支持报表导出。</w:t>
      </w:r>
    </w:p>
    <w:p w14:paraId="5846C717">
      <w:pPr>
        <w:pStyle w:val="12"/>
        <w:shd w:val="clear" w:color="auto" w:fill="auto"/>
        <w:ind w:firstLine="480"/>
        <w:rPr>
          <w:rFonts w:hint="eastAsia"/>
          <w:highlight w:val="none"/>
        </w:rPr>
      </w:pPr>
      <w:r>
        <w:rPr>
          <w:rFonts w:hint="eastAsia"/>
          <w:highlight w:val="none"/>
        </w:rPr>
        <w:t>表单与宣教统计：统计表单和宣教材料使用情况，支持按科室、医生排名查询。</w:t>
      </w:r>
    </w:p>
    <w:p w14:paraId="6BAC5CDD">
      <w:pPr>
        <w:pStyle w:val="12"/>
        <w:shd w:val="clear" w:color="auto" w:fill="auto"/>
        <w:ind w:firstLine="480"/>
        <w:rPr>
          <w:rFonts w:hint="eastAsia"/>
          <w:highlight w:val="none"/>
        </w:rPr>
      </w:pPr>
      <w:r>
        <w:rPr>
          <w:rFonts w:hint="eastAsia"/>
          <w:highlight w:val="none"/>
        </w:rPr>
        <w:t>知识库</w:t>
      </w:r>
    </w:p>
    <w:p w14:paraId="064AA3A6">
      <w:pPr>
        <w:pStyle w:val="12"/>
        <w:shd w:val="clear" w:color="auto" w:fill="auto"/>
        <w:ind w:firstLine="480"/>
        <w:rPr>
          <w:rFonts w:hint="eastAsia"/>
          <w:highlight w:val="none"/>
        </w:rPr>
      </w:pPr>
      <w:r>
        <w:rPr>
          <w:rFonts w:hint="eastAsia"/>
          <w:highlight w:val="none"/>
        </w:rPr>
        <w:t>支持表单库、宣教库、短信库的增删改查；表单题型包括填空题、下拉选择、单选、多选。</w:t>
      </w:r>
    </w:p>
    <w:p w14:paraId="672590FB">
      <w:pPr>
        <w:pStyle w:val="4"/>
        <w:rPr>
          <w:rFonts w:hint="eastAsia"/>
          <w:highlight w:val="none"/>
        </w:rPr>
      </w:pPr>
      <w:r>
        <w:rPr>
          <w:rFonts w:hint="eastAsia"/>
          <w:highlight w:val="none"/>
          <w:lang w:val="en-US" w:eastAsia="zh-CN"/>
        </w:rPr>
        <w:t xml:space="preserve"> </w:t>
      </w:r>
      <w:r>
        <w:rPr>
          <w:rFonts w:hint="eastAsia"/>
          <w:highlight w:val="none"/>
        </w:rPr>
        <w:t>智慧管理</w:t>
      </w:r>
    </w:p>
    <w:p w14:paraId="42D01AB4">
      <w:pPr>
        <w:pStyle w:val="5"/>
        <w:rPr>
          <w:rFonts w:hint="eastAsia"/>
          <w:highlight w:val="none"/>
        </w:rPr>
      </w:pPr>
      <w:r>
        <w:rPr>
          <w:rFonts w:hint="eastAsia"/>
          <w:highlight w:val="none"/>
          <w:lang w:val="en-US" w:eastAsia="zh-CN"/>
        </w:rPr>
        <w:t xml:space="preserve"> </w:t>
      </w:r>
      <w:r>
        <w:rPr>
          <w:rFonts w:hint="eastAsia"/>
          <w:highlight w:val="none"/>
        </w:rPr>
        <w:t>病案管理系统</w:t>
      </w:r>
    </w:p>
    <w:p w14:paraId="2085E03C">
      <w:pPr>
        <w:pStyle w:val="6"/>
        <w:rPr>
          <w:rFonts w:hint="eastAsia"/>
          <w:highlight w:val="none"/>
        </w:rPr>
      </w:pPr>
      <w:bookmarkStart w:id="173" w:name="_Toc197779977"/>
      <w:r>
        <w:rPr>
          <w:rFonts w:hint="eastAsia"/>
          <w:highlight w:val="none"/>
          <w:lang w:val="en-US" w:eastAsia="zh-CN"/>
        </w:rPr>
        <w:t xml:space="preserve"> </w:t>
      </w:r>
      <w:r>
        <w:rPr>
          <w:rFonts w:hint="eastAsia"/>
          <w:highlight w:val="none"/>
        </w:rPr>
        <w:t>病案首页</w:t>
      </w:r>
      <w:bookmarkEnd w:id="173"/>
    </w:p>
    <w:p w14:paraId="62FE3183">
      <w:pPr>
        <w:pStyle w:val="12"/>
        <w:shd w:val="clear" w:color="auto" w:fill="auto"/>
        <w:ind w:firstLine="480"/>
        <w:rPr>
          <w:rFonts w:hint="eastAsia"/>
          <w:highlight w:val="none"/>
        </w:rPr>
      </w:pPr>
      <w:r>
        <w:rPr>
          <w:rFonts w:hint="eastAsia"/>
          <w:highlight w:val="none"/>
        </w:rPr>
        <w:t>本系统依据国家三级公立医院绩效考核及医保DRG/DIP付费改革要求，参照2021版病案管理质量控制指标设计，确保病案首页与附页填报的完整性、准确性。支持数据自动填充并可追溯来源，实现首页内容自动质控，保障数据质量，满足医保支付、绩效监测和医院内部评价需求。</w:t>
      </w:r>
    </w:p>
    <w:p w14:paraId="0E51A6BB">
      <w:pPr>
        <w:pStyle w:val="12"/>
        <w:shd w:val="clear" w:color="auto" w:fill="auto"/>
        <w:ind w:firstLine="480"/>
        <w:rPr>
          <w:rFonts w:hint="eastAsia"/>
          <w:highlight w:val="none"/>
        </w:rPr>
      </w:pPr>
      <w:r>
        <w:rPr>
          <w:rFonts w:hint="eastAsia"/>
          <w:highlight w:val="none"/>
        </w:rPr>
        <w:t>提供符合《2011年病案首页规范》和《2016年数据填写质量规范》的首页填写功能，支持质控提示与项目双向定位、中西医首页一键切换、与电子病历集成、诊疗信息查阅、CA签名验签及费用明细查看。附页按绩效考核、HQMS等标准本地化开发，院内系统数据自动填充并可追溯。</w:t>
      </w:r>
    </w:p>
    <w:p w14:paraId="74295B96">
      <w:pPr>
        <w:pStyle w:val="12"/>
        <w:shd w:val="clear" w:color="auto" w:fill="auto"/>
        <w:ind w:firstLine="480"/>
        <w:rPr>
          <w:rFonts w:hint="eastAsia"/>
          <w:highlight w:val="none"/>
        </w:rPr>
      </w:pPr>
      <w:r>
        <w:rPr>
          <w:rFonts w:hint="eastAsia"/>
          <w:highlight w:val="none"/>
        </w:rPr>
        <w:t>首页数据预填覆盖基本信息、入出院、诊断、费用等内容，对接HIS系统，自动填充率≥80%，支持来源展示、冲突标红提醒及一键回填。质控基于国家相关标准，涵盖项目逻辑性、一致性（如性别、年龄、诊断、手术匹配）、离院方式与尸检一致、产科与新生儿诊断合规等；诊断编码支持合并、优先分类、灰码、低风险死亡等编码规则质控。</w:t>
      </w:r>
    </w:p>
    <w:p w14:paraId="336AEEAE">
      <w:pPr>
        <w:pStyle w:val="12"/>
        <w:shd w:val="clear" w:color="auto" w:fill="auto"/>
        <w:ind w:firstLine="480"/>
        <w:rPr>
          <w:rFonts w:hint="eastAsia"/>
          <w:highlight w:val="none"/>
        </w:rPr>
      </w:pPr>
      <w:r>
        <w:rPr>
          <w:rFonts w:hint="eastAsia"/>
          <w:highlight w:val="none"/>
        </w:rPr>
        <w:t>支持医院自定义质控规则状态、提示语、值域、长度、必填项、类型及精度设置，并按科室维度配置规则生效范围。首页独立提交至病案室，支持出院后单独提交，并全程记录修改痕迹，包括修改内容、人员及时间，确保可追溯性。</w:t>
      </w:r>
    </w:p>
    <w:p w14:paraId="0EC8B75F">
      <w:pPr>
        <w:pStyle w:val="6"/>
        <w:rPr>
          <w:rFonts w:hint="eastAsia"/>
          <w:highlight w:val="none"/>
        </w:rPr>
      </w:pPr>
      <w:bookmarkStart w:id="174" w:name="_Toc197779984"/>
      <w:r>
        <w:rPr>
          <w:rFonts w:hint="eastAsia"/>
          <w:highlight w:val="none"/>
          <w:lang w:val="en-US" w:eastAsia="zh-CN"/>
        </w:rPr>
        <w:t xml:space="preserve"> </w:t>
      </w:r>
      <w:r>
        <w:rPr>
          <w:rFonts w:hint="eastAsia"/>
          <w:highlight w:val="none"/>
        </w:rPr>
        <w:t>首页编码</w:t>
      </w:r>
      <w:bookmarkEnd w:id="174"/>
    </w:p>
    <w:p w14:paraId="1DD69D03">
      <w:pPr>
        <w:pStyle w:val="12"/>
        <w:shd w:val="clear" w:color="auto" w:fill="auto"/>
        <w:ind w:firstLine="480"/>
        <w:rPr>
          <w:rFonts w:hint="eastAsia"/>
          <w:highlight w:val="none"/>
        </w:rPr>
      </w:pPr>
      <w:r>
        <w:rPr>
          <w:rFonts w:hint="eastAsia"/>
          <w:highlight w:val="none"/>
        </w:rPr>
        <w:t>支持病案首页独立编码、提交与审核流程，可按科室、时间、病案号查询。支持待提交、编码中、返修中状态的一键筛选，问题返修记录可通知医生端，并支持病案首页及问题分别发起返修与详情查看。</w:t>
      </w:r>
    </w:p>
    <w:p w14:paraId="3A34B1EA">
      <w:pPr>
        <w:pStyle w:val="6"/>
        <w:rPr>
          <w:rFonts w:hint="eastAsia"/>
          <w:highlight w:val="none"/>
        </w:rPr>
      </w:pPr>
      <w:bookmarkStart w:id="175" w:name="_Toc197779985"/>
      <w:r>
        <w:rPr>
          <w:rFonts w:hint="eastAsia"/>
          <w:highlight w:val="none"/>
          <w:lang w:val="en-US" w:eastAsia="zh-CN"/>
        </w:rPr>
        <w:t xml:space="preserve"> </w:t>
      </w:r>
      <w:r>
        <w:rPr>
          <w:rFonts w:hint="eastAsia"/>
          <w:highlight w:val="none"/>
        </w:rPr>
        <w:t>编码分配</w:t>
      </w:r>
      <w:bookmarkEnd w:id="175"/>
    </w:p>
    <w:p w14:paraId="249F63BB">
      <w:pPr>
        <w:pStyle w:val="12"/>
        <w:shd w:val="clear" w:color="auto" w:fill="auto"/>
        <w:ind w:firstLine="480"/>
        <w:rPr>
          <w:rFonts w:hint="eastAsia"/>
          <w:highlight w:val="none"/>
        </w:rPr>
      </w:pPr>
      <w:r>
        <w:rPr>
          <w:rFonts w:hint="eastAsia"/>
          <w:highlight w:val="none"/>
        </w:rPr>
        <w:t>系统自动处理重复性工作，编码员专注出院病案精准编码。支持按出院日期、科组、科室、状态、住院号、姓名及身份证号查询病案，可指定或批量分配编码任务，并支持取消分配及批量取消，操作前有警告提示；支持自动分配并可手动调整。个人端可统一管理本人任务，汇总查看并按多种条件筛选已分配任务。</w:t>
      </w:r>
    </w:p>
    <w:p w14:paraId="1BAE8582">
      <w:pPr>
        <w:pStyle w:val="6"/>
        <w:rPr>
          <w:rFonts w:hint="eastAsia"/>
          <w:highlight w:val="none"/>
        </w:rPr>
      </w:pPr>
      <w:bookmarkStart w:id="176" w:name="_Toc197779988"/>
      <w:r>
        <w:rPr>
          <w:rFonts w:hint="eastAsia"/>
          <w:highlight w:val="none"/>
          <w:lang w:val="en-US" w:eastAsia="zh-CN"/>
        </w:rPr>
        <w:t xml:space="preserve"> </w:t>
      </w:r>
      <w:r>
        <w:rPr>
          <w:rFonts w:hint="eastAsia"/>
          <w:highlight w:val="none"/>
        </w:rPr>
        <w:t>编码质控</w:t>
      </w:r>
      <w:bookmarkEnd w:id="176"/>
    </w:p>
    <w:p w14:paraId="684AD892">
      <w:pPr>
        <w:pStyle w:val="12"/>
        <w:shd w:val="clear" w:color="auto" w:fill="auto"/>
        <w:ind w:firstLine="480"/>
        <w:rPr>
          <w:rFonts w:hint="eastAsia"/>
          <w:highlight w:val="none"/>
        </w:rPr>
      </w:pPr>
      <w:r>
        <w:rPr>
          <w:rFonts w:hint="eastAsia"/>
          <w:highlight w:val="none"/>
        </w:rPr>
        <w:t>对编码工作的评估，促进编码工作持续性改进。</w:t>
      </w:r>
    </w:p>
    <w:p w14:paraId="56D0E4B7">
      <w:pPr>
        <w:pStyle w:val="12"/>
        <w:shd w:val="clear" w:color="auto" w:fill="auto"/>
        <w:ind w:firstLine="480"/>
        <w:rPr>
          <w:rFonts w:hint="eastAsia"/>
          <w:highlight w:val="none"/>
        </w:rPr>
      </w:pPr>
      <w:r>
        <w:rPr>
          <w:rFonts w:hint="eastAsia"/>
          <w:highlight w:val="none"/>
        </w:rPr>
        <w:t>支持按照“编码日期、编码员、首页状态、质控返修状态、住院号、姓名及身份证”对待编码工作进行筛选。</w:t>
      </w:r>
    </w:p>
    <w:p w14:paraId="104B3F25">
      <w:pPr>
        <w:pStyle w:val="12"/>
        <w:shd w:val="clear" w:color="auto" w:fill="auto"/>
        <w:ind w:firstLine="480"/>
        <w:rPr>
          <w:rFonts w:hint="eastAsia"/>
          <w:highlight w:val="none"/>
        </w:rPr>
      </w:pPr>
      <w:r>
        <w:rPr>
          <w:rFonts w:hint="eastAsia"/>
          <w:highlight w:val="none"/>
        </w:rPr>
        <w:t>支持已编码病案列表第一列按照不同颜色区分编码质控状态。</w:t>
      </w:r>
    </w:p>
    <w:p w14:paraId="12FAE5E1">
      <w:pPr>
        <w:pStyle w:val="12"/>
        <w:shd w:val="clear" w:color="auto" w:fill="auto"/>
        <w:ind w:firstLine="480"/>
        <w:rPr>
          <w:rFonts w:hint="eastAsia"/>
          <w:highlight w:val="none"/>
        </w:rPr>
      </w:pPr>
      <w:r>
        <w:rPr>
          <w:rFonts w:hint="eastAsia"/>
          <w:highlight w:val="none"/>
        </w:rPr>
        <w:t>支持查看“病案首页、病历浏览、附页查看”。</w:t>
      </w:r>
    </w:p>
    <w:p w14:paraId="4454FC89">
      <w:pPr>
        <w:pStyle w:val="12"/>
        <w:shd w:val="clear" w:color="auto" w:fill="auto"/>
        <w:ind w:firstLine="480"/>
        <w:rPr>
          <w:rFonts w:hint="eastAsia"/>
          <w:highlight w:val="none"/>
        </w:rPr>
      </w:pPr>
      <w:r>
        <w:rPr>
          <w:rFonts w:hint="eastAsia"/>
          <w:highlight w:val="none"/>
        </w:rPr>
        <w:t>支持存在编码质控问题病案进行“质控返修”。</w:t>
      </w:r>
    </w:p>
    <w:p w14:paraId="0CD32CC2">
      <w:pPr>
        <w:pStyle w:val="12"/>
        <w:shd w:val="clear" w:color="auto" w:fill="auto"/>
        <w:ind w:firstLine="480"/>
        <w:rPr>
          <w:rFonts w:hint="eastAsia"/>
          <w:highlight w:val="none"/>
        </w:rPr>
      </w:pPr>
      <w:r>
        <w:rPr>
          <w:rFonts w:hint="eastAsia"/>
          <w:highlight w:val="none"/>
        </w:rPr>
        <w:t>支持对质控返修病案进行返修问题勾选。</w:t>
      </w:r>
    </w:p>
    <w:p w14:paraId="5BF58D8C">
      <w:pPr>
        <w:pStyle w:val="12"/>
        <w:shd w:val="clear" w:color="auto" w:fill="auto"/>
        <w:ind w:firstLine="480"/>
        <w:rPr>
          <w:rFonts w:hint="eastAsia"/>
          <w:highlight w:val="none"/>
        </w:rPr>
      </w:pPr>
      <w:r>
        <w:rPr>
          <w:rFonts w:hint="eastAsia"/>
          <w:highlight w:val="none"/>
        </w:rPr>
        <w:t>支持编码质控返修病案状态标记、“返修撤销”及“返修详情”。</w:t>
      </w:r>
    </w:p>
    <w:p w14:paraId="7DE778C7">
      <w:pPr>
        <w:pStyle w:val="6"/>
        <w:rPr>
          <w:rFonts w:hint="eastAsia"/>
          <w:highlight w:val="none"/>
        </w:rPr>
      </w:pPr>
      <w:bookmarkStart w:id="177" w:name="_Toc197779989"/>
      <w:r>
        <w:rPr>
          <w:rFonts w:hint="eastAsia"/>
          <w:highlight w:val="none"/>
          <w:lang w:val="en-US" w:eastAsia="zh-CN"/>
        </w:rPr>
        <w:t xml:space="preserve"> </w:t>
      </w:r>
      <w:r>
        <w:rPr>
          <w:rFonts w:hint="eastAsia"/>
          <w:highlight w:val="none"/>
        </w:rPr>
        <w:t>首页评分</w:t>
      </w:r>
      <w:bookmarkEnd w:id="177"/>
    </w:p>
    <w:p w14:paraId="4EDA2340">
      <w:pPr>
        <w:pStyle w:val="12"/>
        <w:shd w:val="clear" w:color="auto" w:fill="auto"/>
        <w:ind w:firstLine="480"/>
        <w:rPr>
          <w:rFonts w:hint="eastAsia"/>
          <w:highlight w:val="none"/>
        </w:rPr>
      </w:pPr>
      <w:r>
        <w:rPr>
          <w:rFonts w:hint="eastAsia"/>
          <w:highlight w:val="none"/>
        </w:rPr>
        <w:t>依据《病案首页填写规范（国卫办医发〔2016〕24号）》评分标准，建立自动评分规则，实现病案首页完整性与准确性评分，支持评分详情查看及与质控知识库联动，多维度严格管控。可按出院日期、科室、评分状态查询评分情况，支持病案室端自动评分、首页项目质控规则内置、人工审核修改评分及扣分原因录入，并可在人工评分后手动触发系统重评。支持按医院设置自动显示评分等级，并在评分页面集成全病历浏览功能。</w:t>
      </w:r>
    </w:p>
    <w:p w14:paraId="086F820D">
      <w:pPr>
        <w:pStyle w:val="6"/>
        <w:rPr>
          <w:rFonts w:hint="eastAsia"/>
          <w:highlight w:val="none"/>
        </w:rPr>
      </w:pPr>
      <w:bookmarkStart w:id="178" w:name="_Toc197779990"/>
      <w:r>
        <w:rPr>
          <w:rFonts w:hint="eastAsia"/>
          <w:highlight w:val="none"/>
          <w:lang w:val="en-US" w:eastAsia="zh-CN"/>
        </w:rPr>
        <w:t xml:space="preserve"> </w:t>
      </w:r>
      <w:r>
        <w:rPr>
          <w:rFonts w:hint="eastAsia"/>
          <w:highlight w:val="none"/>
        </w:rPr>
        <w:t>病案提交</w:t>
      </w:r>
      <w:bookmarkEnd w:id="178"/>
    </w:p>
    <w:p w14:paraId="53C1551D">
      <w:pPr>
        <w:pStyle w:val="12"/>
        <w:shd w:val="clear" w:color="auto" w:fill="auto"/>
        <w:ind w:firstLine="480"/>
        <w:rPr>
          <w:rFonts w:hint="eastAsia"/>
          <w:highlight w:val="none"/>
        </w:rPr>
      </w:pPr>
      <w:r>
        <w:rPr>
          <w:rFonts w:hint="eastAsia"/>
          <w:highlight w:val="none"/>
        </w:rPr>
        <w:t>系统设独立出院病案提交页面，支持按在院情况、管理角色和病案状态查询病历列表，可依工作场景切换任务模式，提交后不可修改，并可查看返修病案的返修原因。</w:t>
      </w:r>
    </w:p>
    <w:p w14:paraId="29C6AD45">
      <w:pPr>
        <w:pStyle w:val="6"/>
        <w:rPr>
          <w:rFonts w:hint="eastAsia"/>
          <w:highlight w:val="none"/>
        </w:rPr>
      </w:pPr>
      <w:bookmarkStart w:id="179" w:name="_Toc197779991"/>
      <w:r>
        <w:rPr>
          <w:rFonts w:hint="eastAsia"/>
          <w:highlight w:val="none"/>
          <w:lang w:val="en-US" w:eastAsia="zh-CN"/>
        </w:rPr>
        <w:t xml:space="preserve"> </w:t>
      </w:r>
      <w:r>
        <w:rPr>
          <w:rFonts w:hint="eastAsia"/>
          <w:highlight w:val="none"/>
        </w:rPr>
        <w:t>病案签出</w:t>
      </w:r>
      <w:bookmarkEnd w:id="179"/>
    </w:p>
    <w:p w14:paraId="1A0CEF27">
      <w:pPr>
        <w:pStyle w:val="12"/>
        <w:shd w:val="clear" w:color="auto" w:fill="auto"/>
        <w:ind w:firstLine="480"/>
        <w:rPr>
          <w:rFonts w:hint="eastAsia"/>
          <w:highlight w:val="none"/>
        </w:rPr>
      </w:pPr>
      <w:r>
        <w:rPr>
          <w:rFonts w:hint="eastAsia"/>
          <w:highlight w:val="none"/>
        </w:rPr>
        <w:t>护士对已提交病案进行统一签出管理。</w:t>
      </w:r>
    </w:p>
    <w:p w14:paraId="31EA585A">
      <w:pPr>
        <w:pStyle w:val="12"/>
        <w:shd w:val="clear" w:color="auto" w:fill="auto"/>
        <w:ind w:firstLine="480"/>
        <w:rPr>
          <w:rFonts w:hint="eastAsia"/>
          <w:highlight w:val="none"/>
        </w:rPr>
      </w:pPr>
      <w:r>
        <w:rPr>
          <w:rFonts w:hint="eastAsia"/>
          <w:highlight w:val="none"/>
        </w:rPr>
        <w:t>支持按出院时间、病案提交状态、科室及病案号对出院病案进行筛选和查询。支持进行单本或批量签出操作。</w:t>
      </w:r>
    </w:p>
    <w:p w14:paraId="75677542">
      <w:pPr>
        <w:pStyle w:val="6"/>
        <w:rPr>
          <w:rFonts w:hint="eastAsia"/>
          <w:highlight w:val="none"/>
        </w:rPr>
      </w:pPr>
      <w:bookmarkStart w:id="180" w:name="_Toc197779992"/>
      <w:r>
        <w:rPr>
          <w:rFonts w:hint="eastAsia"/>
          <w:highlight w:val="none"/>
          <w:lang w:val="en-US" w:eastAsia="zh-CN"/>
        </w:rPr>
        <w:t xml:space="preserve"> </w:t>
      </w:r>
      <w:r>
        <w:rPr>
          <w:rFonts w:hint="eastAsia"/>
          <w:highlight w:val="none"/>
        </w:rPr>
        <w:t>病案归档</w:t>
      </w:r>
      <w:bookmarkEnd w:id="180"/>
    </w:p>
    <w:p w14:paraId="6FD9C033">
      <w:pPr>
        <w:pStyle w:val="12"/>
        <w:shd w:val="clear" w:color="auto" w:fill="auto"/>
        <w:ind w:firstLine="480"/>
        <w:rPr>
          <w:rFonts w:hint="eastAsia"/>
          <w:highlight w:val="none"/>
        </w:rPr>
      </w:pPr>
      <w:r>
        <w:rPr>
          <w:rFonts w:hint="eastAsia"/>
          <w:highlight w:val="none"/>
        </w:rPr>
        <w:t>出院病案回收闭环管理：系统设独立签收、整理、归档页面，支持按时间、科室、状态等筛选病案，实现签收留痕、批量操作、扫码录入及缺陷标记与返修。可汇总整理任务，支持首页或整本返修并查看原因，打印条码标识存储位置，支持解归档。迟归查询可按日期、科室、迟归天数筛选，支持导出、打印及线上催收。</w:t>
      </w:r>
    </w:p>
    <w:p w14:paraId="7B9C9FDC">
      <w:pPr>
        <w:pStyle w:val="6"/>
        <w:rPr>
          <w:rFonts w:hint="eastAsia"/>
          <w:highlight w:val="none"/>
        </w:rPr>
      </w:pPr>
      <w:bookmarkStart w:id="181" w:name="_Toc197779997"/>
      <w:r>
        <w:rPr>
          <w:rFonts w:hint="eastAsia"/>
          <w:highlight w:val="none"/>
          <w:lang w:val="en-US" w:eastAsia="zh-CN"/>
        </w:rPr>
        <w:t xml:space="preserve"> </w:t>
      </w:r>
      <w:r>
        <w:rPr>
          <w:rFonts w:hint="eastAsia"/>
          <w:highlight w:val="none"/>
        </w:rPr>
        <w:t>病案入出库</w:t>
      </w:r>
      <w:bookmarkEnd w:id="181"/>
    </w:p>
    <w:p w14:paraId="77FF7280">
      <w:pPr>
        <w:pStyle w:val="12"/>
        <w:shd w:val="clear" w:color="auto" w:fill="auto"/>
        <w:ind w:firstLine="480"/>
        <w:rPr>
          <w:rFonts w:hint="eastAsia"/>
          <w:highlight w:val="none"/>
        </w:rPr>
      </w:pPr>
      <w:r>
        <w:rPr>
          <w:rFonts w:hint="eastAsia"/>
          <w:highlight w:val="none"/>
        </w:rPr>
        <w:t>对已完成病案归档、病案借阅、病案复印操作的病案进行统一入出库管理。</w:t>
      </w:r>
    </w:p>
    <w:p w14:paraId="56DAA326">
      <w:pPr>
        <w:pStyle w:val="12"/>
        <w:shd w:val="clear" w:color="auto" w:fill="auto"/>
        <w:ind w:firstLine="480"/>
        <w:rPr>
          <w:rFonts w:hint="eastAsia"/>
          <w:highlight w:val="none"/>
        </w:rPr>
      </w:pPr>
      <w:r>
        <w:rPr>
          <w:rFonts w:hint="eastAsia"/>
          <w:highlight w:val="none"/>
        </w:rPr>
        <w:t>支持按时间、科室、入库状态、入出库原因及病案号进行病案筛选。</w:t>
      </w:r>
    </w:p>
    <w:p w14:paraId="6163F85A">
      <w:pPr>
        <w:pStyle w:val="12"/>
        <w:shd w:val="clear" w:color="auto" w:fill="auto"/>
        <w:ind w:firstLine="480"/>
        <w:rPr>
          <w:rFonts w:hint="eastAsia"/>
          <w:highlight w:val="none"/>
        </w:rPr>
      </w:pPr>
      <w:r>
        <w:rPr>
          <w:rFonts w:hint="eastAsia"/>
          <w:highlight w:val="none"/>
        </w:rPr>
        <w:t>支持归档病案的单本及批量入出库操作。</w:t>
      </w:r>
    </w:p>
    <w:p w14:paraId="6DEA8392">
      <w:pPr>
        <w:pStyle w:val="6"/>
        <w:rPr>
          <w:rFonts w:hint="eastAsia"/>
          <w:highlight w:val="none"/>
        </w:rPr>
      </w:pPr>
      <w:bookmarkStart w:id="182" w:name="_Toc197779998"/>
      <w:r>
        <w:rPr>
          <w:rFonts w:hint="eastAsia"/>
          <w:highlight w:val="none"/>
          <w:lang w:val="en-US" w:eastAsia="zh-CN"/>
        </w:rPr>
        <w:t xml:space="preserve"> </w:t>
      </w:r>
      <w:r>
        <w:rPr>
          <w:rFonts w:hint="eastAsia"/>
          <w:highlight w:val="none"/>
        </w:rPr>
        <w:t>病案召回</w:t>
      </w:r>
      <w:bookmarkEnd w:id="182"/>
    </w:p>
    <w:p w14:paraId="15FA4540">
      <w:pPr>
        <w:pStyle w:val="12"/>
        <w:shd w:val="clear" w:color="auto" w:fill="auto"/>
        <w:ind w:firstLine="480"/>
        <w:rPr>
          <w:rFonts w:hint="eastAsia"/>
          <w:highlight w:val="none"/>
        </w:rPr>
      </w:pPr>
      <w:r>
        <w:rPr>
          <w:rFonts w:hint="eastAsia"/>
          <w:highlight w:val="none"/>
        </w:rPr>
        <w:t>医生可申请召回已提交的病案，病案室对合理申请放行，不合理申请管控。支持按住院日期、科室、病案号筛选需召回病案，并提供“申请召回”入口。系统自动判断病案首页和病历是否可修改，页面仅显示允许召回的内容。审批环节支持按申请日期、审核状态筛选，可直接查看申请原因，并支持驳回操作。</w:t>
      </w:r>
    </w:p>
    <w:p w14:paraId="6067139D">
      <w:pPr>
        <w:pStyle w:val="6"/>
        <w:rPr>
          <w:rFonts w:hint="eastAsia"/>
          <w:highlight w:val="none"/>
        </w:rPr>
      </w:pPr>
      <w:bookmarkStart w:id="183" w:name="_Toc197780001"/>
      <w:r>
        <w:rPr>
          <w:rFonts w:hint="eastAsia"/>
          <w:highlight w:val="none"/>
          <w:lang w:val="en-US" w:eastAsia="zh-CN"/>
        </w:rPr>
        <w:t xml:space="preserve"> </w:t>
      </w:r>
      <w:r>
        <w:rPr>
          <w:rFonts w:hint="eastAsia"/>
          <w:highlight w:val="none"/>
        </w:rPr>
        <w:t>病案锁定</w:t>
      </w:r>
      <w:bookmarkEnd w:id="183"/>
    </w:p>
    <w:p w14:paraId="13EB8429">
      <w:pPr>
        <w:pStyle w:val="12"/>
        <w:shd w:val="clear" w:color="auto" w:fill="auto"/>
        <w:ind w:firstLine="480"/>
        <w:rPr>
          <w:rFonts w:hint="eastAsia"/>
          <w:highlight w:val="none"/>
        </w:rPr>
      </w:pPr>
      <w:r>
        <w:rPr>
          <w:rFonts w:hint="eastAsia"/>
          <w:highlight w:val="none"/>
        </w:rPr>
        <w:t>系统对超期未提交的出院病案自动锁定，需申请解锁后方可编辑。支持通过出院日期、科室、申请状态、住院号及患者姓名等条件筛选待解锁病案，并可选择仅解锁首页、病历或全部内容。可查看病案是否已申请解锁及审核通过情况。审批端支持相同条件筛选，提供单个或批量解锁审核功能。</w:t>
      </w:r>
    </w:p>
    <w:p w14:paraId="2C46BBA2">
      <w:pPr>
        <w:pStyle w:val="6"/>
        <w:rPr>
          <w:rFonts w:hint="eastAsia"/>
          <w:highlight w:val="none"/>
        </w:rPr>
      </w:pPr>
      <w:bookmarkStart w:id="184" w:name="_Toc197780004"/>
      <w:r>
        <w:rPr>
          <w:rFonts w:hint="eastAsia"/>
          <w:highlight w:val="none"/>
          <w:lang w:val="en-US" w:eastAsia="zh-CN"/>
        </w:rPr>
        <w:t xml:space="preserve"> </w:t>
      </w:r>
      <w:r>
        <w:rPr>
          <w:rFonts w:hint="eastAsia"/>
          <w:highlight w:val="none"/>
        </w:rPr>
        <w:t>病案示踪</w:t>
      </w:r>
      <w:bookmarkEnd w:id="184"/>
    </w:p>
    <w:p w14:paraId="0D211878">
      <w:pPr>
        <w:pStyle w:val="12"/>
        <w:shd w:val="clear" w:color="auto" w:fill="auto"/>
        <w:ind w:firstLine="480"/>
        <w:rPr>
          <w:rFonts w:hint="eastAsia"/>
          <w:highlight w:val="none"/>
        </w:rPr>
      </w:pPr>
      <w:r>
        <w:rPr>
          <w:rFonts w:hint="eastAsia"/>
          <w:highlight w:val="none"/>
        </w:rPr>
        <w:t>支持对病案管理系统外的流转操作留痕，可精准追溯病案流转过程。提供按操作日期、类型（如到拍、送拍）、住院号、患者姓名筛选已标记的示踪记录，操作类型可依医院习惯自定义，并支持为单本或多本病案添加操作类型。可通过住院流水号、住院号或姓名查询目标病案，并按时间顺序展示其在院内的完整流转痕迹。</w:t>
      </w:r>
    </w:p>
    <w:p w14:paraId="43E9AD3A">
      <w:pPr>
        <w:pStyle w:val="6"/>
        <w:rPr>
          <w:rFonts w:hint="eastAsia"/>
          <w:highlight w:val="none"/>
        </w:rPr>
      </w:pPr>
      <w:bookmarkStart w:id="185" w:name="_Toc197780007"/>
      <w:r>
        <w:rPr>
          <w:rFonts w:hint="eastAsia"/>
          <w:highlight w:val="none"/>
          <w:lang w:val="en-US" w:eastAsia="zh-CN"/>
        </w:rPr>
        <w:t xml:space="preserve"> </w:t>
      </w:r>
      <w:r>
        <w:rPr>
          <w:rFonts w:hint="eastAsia"/>
          <w:highlight w:val="none"/>
        </w:rPr>
        <w:t>病案借阅</w:t>
      </w:r>
      <w:bookmarkEnd w:id="185"/>
    </w:p>
    <w:p w14:paraId="57D3CA34">
      <w:pPr>
        <w:pStyle w:val="12"/>
        <w:shd w:val="clear" w:color="auto" w:fill="auto"/>
        <w:ind w:firstLine="480"/>
        <w:rPr>
          <w:rFonts w:hint="eastAsia"/>
          <w:highlight w:val="none"/>
        </w:rPr>
      </w:pPr>
      <w:r>
        <w:rPr>
          <w:rFonts w:hint="eastAsia"/>
          <w:highlight w:val="none"/>
        </w:rPr>
        <w:t>支持医务人员在医生端发起病案借阅及续借申请，可填写借阅期限与原因，系统提示不可借阅病案，并按借阅状态筛选信息，限制续借次数。病案室可审核申请，判断合规性，进行通过或驳回操作，填写驳回原因，并按借阅及超期状态筛选病案。医生可申请结束借阅，支持单本或批量归还。系统对超期未还病案进行追踪，支持筛选超期记录并线上催收。</w:t>
      </w:r>
    </w:p>
    <w:p w14:paraId="3CA98B4D">
      <w:pPr>
        <w:pStyle w:val="6"/>
        <w:rPr>
          <w:rFonts w:hint="eastAsia"/>
          <w:highlight w:val="none"/>
        </w:rPr>
      </w:pPr>
      <w:bookmarkStart w:id="186" w:name="_Toc197780012"/>
      <w:r>
        <w:rPr>
          <w:rFonts w:hint="eastAsia"/>
          <w:highlight w:val="none"/>
          <w:lang w:val="en-US" w:eastAsia="zh-CN"/>
        </w:rPr>
        <w:t xml:space="preserve"> </w:t>
      </w:r>
      <w:r>
        <w:rPr>
          <w:rFonts w:hint="eastAsia"/>
          <w:highlight w:val="none"/>
        </w:rPr>
        <w:t>病案复印</w:t>
      </w:r>
      <w:bookmarkEnd w:id="186"/>
    </w:p>
    <w:p w14:paraId="3027A4A8">
      <w:pPr>
        <w:pStyle w:val="12"/>
        <w:shd w:val="clear" w:color="auto" w:fill="auto"/>
        <w:ind w:firstLine="480"/>
        <w:rPr>
          <w:rFonts w:hint="eastAsia"/>
          <w:highlight w:val="none"/>
        </w:rPr>
      </w:pPr>
      <w:r>
        <w:rPr>
          <w:rFonts w:hint="eastAsia"/>
          <w:highlight w:val="none"/>
        </w:rPr>
        <w:t>支持患者线上线下申请病案复印，按病案号、住院号、姓名或身份证查询病案。可填写复印原因、内容及张数，系统按价格自动生成费用。提供基于常见原因的复印套餐选择，并按时间、状态、缴费方式查询复印信息，完成复印登记与日志留存。</w:t>
      </w:r>
    </w:p>
    <w:p w14:paraId="1A864F70">
      <w:pPr>
        <w:pStyle w:val="6"/>
        <w:rPr>
          <w:rFonts w:hint="eastAsia"/>
          <w:highlight w:val="none"/>
        </w:rPr>
      </w:pPr>
      <w:bookmarkStart w:id="187" w:name="_Toc197780015"/>
      <w:r>
        <w:rPr>
          <w:rFonts w:hint="eastAsia"/>
          <w:highlight w:val="none"/>
          <w:lang w:val="en-US" w:eastAsia="zh-CN"/>
        </w:rPr>
        <w:t xml:space="preserve"> </w:t>
      </w:r>
      <w:r>
        <w:rPr>
          <w:rFonts w:hint="eastAsia"/>
          <w:highlight w:val="none"/>
        </w:rPr>
        <w:t>综合查询</w:t>
      </w:r>
      <w:bookmarkEnd w:id="187"/>
    </w:p>
    <w:p w14:paraId="543F5AEC">
      <w:pPr>
        <w:pStyle w:val="12"/>
        <w:shd w:val="clear" w:color="auto" w:fill="auto"/>
        <w:ind w:firstLine="480"/>
        <w:rPr>
          <w:rFonts w:hint="eastAsia"/>
          <w:highlight w:val="none"/>
        </w:rPr>
      </w:pPr>
      <w:r>
        <w:rPr>
          <w:rFonts w:hint="eastAsia"/>
          <w:highlight w:val="none"/>
        </w:rPr>
        <w:t>病案首页所有项目进行任意组合查询相似病案。</w:t>
      </w:r>
    </w:p>
    <w:p w14:paraId="7D02DE30">
      <w:pPr>
        <w:pStyle w:val="12"/>
        <w:shd w:val="clear" w:color="auto" w:fill="auto"/>
        <w:ind w:firstLine="480"/>
        <w:rPr>
          <w:rFonts w:hint="eastAsia"/>
          <w:highlight w:val="none"/>
        </w:rPr>
      </w:pPr>
      <w:r>
        <w:rPr>
          <w:rFonts w:hint="eastAsia"/>
          <w:highlight w:val="none"/>
        </w:rPr>
        <w:t>支持对归档病案进行批量查询及筛查。</w:t>
      </w:r>
    </w:p>
    <w:p w14:paraId="6BC94DDF">
      <w:pPr>
        <w:pStyle w:val="12"/>
        <w:shd w:val="clear" w:color="auto" w:fill="auto"/>
        <w:ind w:firstLine="480"/>
        <w:rPr>
          <w:rFonts w:hint="eastAsia"/>
          <w:highlight w:val="none"/>
        </w:rPr>
      </w:pPr>
      <w:r>
        <w:rPr>
          <w:rFonts w:hint="eastAsia"/>
          <w:highlight w:val="none"/>
        </w:rPr>
        <w:t>支持按照病案首页内项目任意组合进行相似病例的批量查询。</w:t>
      </w:r>
    </w:p>
    <w:p w14:paraId="120567A1">
      <w:pPr>
        <w:pStyle w:val="12"/>
        <w:shd w:val="clear" w:color="auto" w:fill="auto"/>
        <w:ind w:firstLine="480"/>
        <w:rPr>
          <w:rFonts w:hint="eastAsia"/>
          <w:highlight w:val="none"/>
        </w:rPr>
      </w:pPr>
      <w:r>
        <w:rPr>
          <w:rFonts w:hint="eastAsia"/>
          <w:highlight w:val="none"/>
        </w:rPr>
        <w:t>支持按照时间范围对查询范围进行限定。</w:t>
      </w:r>
    </w:p>
    <w:p w14:paraId="789EE7BC">
      <w:pPr>
        <w:pStyle w:val="12"/>
        <w:shd w:val="clear" w:color="auto" w:fill="auto"/>
        <w:ind w:firstLine="480"/>
        <w:rPr>
          <w:rFonts w:hint="eastAsia"/>
          <w:highlight w:val="none"/>
        </w:rPr>
      </w:pPr>
      <w:r>
        <w:rPr>
          <w:rFonts w:hint="eastAsia"/>
          <w:highlight w:val="none"/>
        </w:rPr>
        <w:t>支持查询条件的“和”、“或”组合。</w:t>
      </w:r>
    </w:p>
    <w:p w14:paraId="35B7A4A0">
      <w:pPr>
        <w:pStyle w:val="12"/>
        <w:shd w:val="clear" w:color="auto" w:fill="auto"/>
        <w:ind w:firstLine="480"/>
        <w:rPr>
          <w:rFonts w:hint="eastAsia"/>
          <w:highlight w:val="none"/>
        </w:rPr>
      </w:pPr>
      <w:r>
        <w:rPr>
          <w:rFonts w:hint="eastAsia"/>
          <w:highlight w:val="none"/>
        </w:rPr>
        <w:t>支持查询条件存为查询模板。</w:t>
      </w:r>
    </w:p>
    <w:p w14:paraId="7F01944D">
      <w:pPr>
        <w:pStyle w:val="12"/>
        <w:shd w:val="clear" w:color="auto" w:fill="auto"/>
        <w:ind w:firstLine="480"/>
        <w:rPr>
          <w:rFonts w:hint="eastAsia"/>
          <w:highlight w:val="none"/>
        </w:rPr>
      </w:pPr>
      <w:r>
        <w:rPr>
          <w:rFonts w:hint="eastAsia"/>
          <w:highlight w:val="none"/>
        </w:rPr>
        <w:t>支持查询模板编辑。</w:t>
      </w:r>
    </w:p>
    <w:p w14:paraId="74CC94B9">
      <w:pPr>
        <w:pStyle w:val="12"/>
        <w:shd w:val="clear" w:color="auto" w:fill="auto"/>
        <w:ind w:firstLine="480"/>
        <w:rPr>
          <w:rFonts w:hint="eastAsia"/>
          <w:highlight w:val="none"/>
        </w:rPr>
      </w:pPr>
      <w:r>
        <w:rPr>
          <w:rFonts w:hint="eastAsia"/>
          <w:highlight w:val="none"/>
        </w:rPr>
        <w:t>支持查询结果显示列的设置。</w:t>
      </w:r>
    </w:p>
    <w:p w14:paraId="39065F0E">
      <w:pPr>
        <w:pStyle w:val="12"/>
        <w:shd w:val="clear" w:color="auto" w:fill="auto"/>
        <w:ind w:firstLine="480"/>
        <w:rPr>
          <w:rFonts w:hint="eastAsia"/>
          <w:highlight w:val="none"/>
        </w:rPr>
      </w:pPr>
      <w:r>
        <w:rPr>
          <w:rFonts w:hint="eastAsia"/>
          <w:highlight w:val="none"/>
        </w:rPr>
        <w:t>支持查询内容导出为Excel等文件。</w:t>
      </w:r>
    </w:p>
    <w:p w14:paraId="7A3E0E5B">
      <w:pPr>
        <w:pStyle w:val="6"/>
        <w:rPr>
          <w:rFonts w:hint="eastAsia"/>
          <w:highlight w:val="none"/>
        </w:rPr>
      </w:pPr>
      <w:bookmarkStart w:id="188" w:name="_Toc197780016"/>
      <w:r>
        <w:rPr>
          <w:rFonts w:hint="eastAsia"/>
          <w:highlight w:val="none"/>
          <w:lang w:val="en-US" w:eastAsia="zh-CN"/>
        </w:rPr>
        <w:t xml:space="preserve"> </w:t>
      </w:r>
      <w:r>
        <w:rPr>
          <w:rFonts w:hint="eastAsia"/>
          <w:highlight w:val="none"/>
        </w:rPr>
        <w:t>病案数据上报</w:t>
      </w:r>
      <w:bookmarkEnd w:id="188"/>
    </w:p>
    <w:p w14:paraId="7F34F8D0">
      <w:pPr>
        <w:pStyle w:val="12"/>
        <w:shd w:val="clear" w:color="auto" w:fill="auto"/>
        <w:ind w:firstLine="480"/>
        <w:rPr>
          <w:rFonts w:hint="eastAsia"/>
          <w:highlight w:val="none"/>
        </w:rPr>
      </w:pPr>
      <w:r>
        <w:rPr>
          <w:rFonts w:hint="eastAsia"/>
          <w:highlight w:val="none"/>
        </w:rPr>
        <w:t>支持按国家卫健委标准收集、整理和上报病案首页数据，涵盖卫统4-1、4-2表及中医医院绩效考核与质控数据。具备国家网络直报系统的数据筛选、查询、文件生成与导出功能，符合上报格式。依据2012版HQMS要求，实现数据核查、字典自动匹配、完整性与值域验证，并生成标准DBF文件，支持通过前置机定时自动上传。系统可按绩效考核要求进行数据校验、字典对照（支持名称相同自动匹配），并导出病案首页采集表（csv）、诊断、手术操作及肿瘤形态学映射表（excel），支持前置机自动上传采集表。</w:t>
      </w:r>
    </w:p>
    <w:p w14:paraId="11F270A5">
      <w:pPr>
        <w:pStyle w:val="6"/>
        <w:rPr>
          <w:rFonts w:hint="eastAsia"/>
          <w:highlight w:val="none"/>
        </w:rPr>
      </w:pPr>
      <w:bookmarkStart w:id="189" w:name="_Toc197780020"/>
      <w:r>
        <w:rPr>
          <w:rFonts w:hint="eastAsia"/>
          <w:highlight w:val="none"/>
          <w:lang w:val="en-US" w:eastAsia="zh-CN"/>
        </w:rPr>
        <w:t xml:space="preserve"> </w:t>
      </w:r>
      <w:r>
        <w:rPr>
          <w:rFonts w:hint="eastAsia"/>
          <w:highlight w:val="none"/>
        </w:rPr>
        <w:t>病案数据统计</w:t>
      </w:r>
      <w:bookmarkEnd w:id="189"/>
    </w:p>
    <w:p w14:paraId="389D8CBE">
      <w:pPr>
        <w:pStyle w:val="12"/>
        <w:shd w:val="clear" w:color="auto" w:fill="auto"/>
        <w:ind w:firstLine="480"/>
        <w:rPr>
          <w:rFonts w:hint="eastAsia"/>
          <w:highlight w:val="none"/>
        </w:rPr>
      </w:pPr>
      <w:r>
        <w:rPr>
          <w:rFonts w:hint="eastAsia"/>
          <w:highlight w:val="none"/>
        </w:rPr>
        <w:t>对出院病案及结构化数据进行统计，统筹医院管理。</w:t>
      </w:r>
    </w:p>
    <w:p w14:paraId="2271A0BF">
      <w:pPr>
        <w:pStyle w:val="12"/>
        <w:shd w:val="clear" w:color="auto" w:fill="auto"/>
        <w:ind w:firstLine="480"/>
        <w:rPr>
          <w:rFonts w:hint="eastAsia"/>
          <w:highlight w:val="none"/>
        </w:rPr>
      </w:pPr>
      <w:r>
        <w:rPr>
          <w:rFonts w:hint="eastAsia"/>
          <w:highlight w:val="none"/>
        </w:rPr>
        <w:t>归档率统计：按科室统计归档数、归档率、逾期情况及未归档各环节明细。</w:t>
      </w:r>
    </w:p>
    <w:p w14:paraId="2FB86FCF">
      <w:pPr>
        <w:pStyle w:val="12"/>
        <w:shd w:val="clear" w:color="auto" w:fill="auto"/>
        <w:ind w:firstLine="480"/>
        <w:rPr>
          <w:rFonts w:hint="eastAsia"/>
          <w:highlight w:val="none"/>
        </w:rPr>
      </w:pPr>
      <w:r>
        <w:rPr>
          <w:rFonts w:hint="eastAsia"/>
          <w:highlight w:val="none"/>
        </w:rPr>
        <w:t>手术类统计：多维度分析住院手术质量、主手术顺位、重点手术及月度报表。</w:t>
      </w:r>
    </w:p>
    <w:p w14:paraId="05F8AD94">
      <w:pPr>
        <w:pStyle w:val="12"/>
        <w:shd w:val="clear" w:color="auto" w:fill="auto"/>
        <w:ind w:firstLine="480"/>
        <w:rPr>
          <w:rFonts w:hint="eastAsia"/>
          <w:highlight w:val="none"/>
        </w:rPr>
      </w:pPr>
      <w:r>
        <w:rPr>
          <w:rFonts w:hint="eastAsia"/>
          <w:highlight w:val="none"/>
        </w:rPr>
        <w:t>疾病类统计：按疾病统计归档病案的构成、转归、费用及死亡患者尸检情况。</w:t>
      </w:r>
    </w:p>
    <w:p w14:paraId="675E9142">
      <w:pPr>
        <w:pStyle w:val="6"/>
        <w:rPr>
          <w:rFonts w:hint="eastAsia"/>
          <w:highlight w:val="none"/>
        </w:rPr>
      </w:pPr>
      <w:bookmarkStart w:id="190" w:name="_Toc197780024"/>
      <w:r>
        <w:rPr>
          <w:rFonts w:hint="eastAsia"/>
          <w:highlight w:val="none"/>
          <w:lang w:val="en-US" w:eastAsia="zh-CN"/>
        </w:rPr>
        <w:t xml:space="preserve"> </w:t>
      </w:r>
      <w:r>
        <w:rPr>
          <w:rFonts w:hint="eastAsia"/>
          <w:highlight w:val="none"/>
        </w:rPr>
        <w:t>系统管理</w:t>
      </w:r>
      <w:bookmarkEnd w:id="190"/>
    </w:p>
    <w:p w14:paraId="4ADBBAAA">
      <w:pPr>
        <w:pStyle w:val="12"/>
        <w:shd w:val="clear" w:color="auto" w:fill="auto"/>
        <w:ind w:firstLine="480"/>
        <w:rPr>
          <w:rFonts w:hint="eastAsia"/>
          <w:highlight w:val="none"/>
        </w:rPr>
      </w:pPr>
      <w:r>
        <w:rPr>
          <w:rFonts w:hint="eastAsia"/>
          <w:highlight w:val="none"/>
        </w:rPr>
        <w:t>病案系统的自定义配置通过“系统管理”模块完成，医院可据此对系统进行适应性调整。支持用户的角色分配与查看，以及用户组的创建、查询、权限分配和信息修改。角色可通过编码或名称查询，支持新建、权限分配及信息变更。权限管理支持按名称或URL查询，可添加病案流程权限并修改上级权限、名称、URL、KEY、类型、排序等。字典管理支持类型查询、新增及内容编辑。系统配置支持按描述或key查询，可调整配置项（含字符串、布尔、数组等类型），支持重新加载同步页面，复制并新建配置。数据转换支持按名称、代码、类型查询，可批量导入导出模板，并刷新缓存同步数据。科室配置支持科室组查询、创建、权限分配及用户关联。休息日配置遵循国家法定节假日。首页配置支持按医疗类型、界面入口等查询与导出，可调整显示项目及其数据类型、默认值、格式化、必填性和可修改性。附页配置支持按名称查询、新增附页及指定适用科室。签名校验可设置特定病案是否需签名。</w:t>
      </w:r>
    </w:p>
    <w:p w14:paraId="322E45F2">
      <w:pPr>
        <w:pStyle w:val="5"/>
        <w:rPr>
          <w:rFonts w:hint="eastAsia"/>
          <w:highlight w:val="none"/>
        </w:rPr>
      </w:pPr>
      <w:bookmarkStart w:id="191" w:name="_Hlk208346302"/>
      <w:r>
        <w:rPr>
          <w:rFonts w:hint="eastAsia"/>
          <w:highlight w:val="none"/>
          <w:lang w:val="en-US" w:eastAsia="zh-CN"/>
        </w:rPr>
        <w:t xml:space="preserve"> </w:t>
      </w:r>
      <w:r>
        <w:rPr>
          <w:rFonts w:hint="eastAsia"/>
          <w:highlight w:val="none"/>
        </w:rPr>
        <w:t>不良事件上报管理系统</w:t>
      </w:r>
    </w:p>
    <w:p w14:paraId="44741DCE">
      <w:pPr>
        <w:pStyle w:val="12"/>
        <w:shd w:val="clear" w:color="auto" w:fill="auto"/>
        <w:ind w:firstLine="480"/>
        <w:rPr>
          <w:rFonts w:hint="eastAsia"/>
          <w:highlight w:val="none"/>
        </w:rPr>
      </w:pPr>
      <w:r>
        <w:rPr>
          <w:rFonts w:hint="eastAsia"/>
          <w:highlight w:val="none"/>
        </w:rPr>
        <w:t>不良事件上报系统是医疗机构实现闭环管理的核心工具，覆盖医疗、护理、院感、药品、器械等近二十类事件，满足全院各科室个性化需求。系统支持无责、自愿、匿名及跨科室上报，减轻医护人员心理负担，鼓励真实报告。通过与HIS系统、病案系统对接，自动获取患者及药品信息，提升填报效率。系统具备智能预警功能，实时评估风险并推送预警；支持多维度统计分析，以图表形式展示趋势，助力管理者制定质量改进措施，推动不良事件的规范化、智能化管理，全面提升医院安全管控水平。</w:t>
      </w:r>
    </w:p>
    <w:p w14:paraId="20312174">
      <w:pPr>
        <w:pStyle w:val="12"/>
        <w:shd w:val="clear" w:color="auto" w:fill="auto"/>
        <w:ind w:firstLine="480"/>
        <w:rPr>
          <w:rFonts w:hint="eastAsia"/>
          <w:highlight w:val="none"/>
        </w:rPr>
      </w:pPr>
      <w:r>
        <w:rPr>
          <w:rFonts w:hint="eastAsia"/>
          <w:highlight w:val="none"/>
        </w:rPr>
        <w:t>与HIS系统对接，同步科室、用户及权限数据，支持科室、用户、角色的增删改查及统一管理，实行科室负责人、报卡审核人、系统管理员三级权限：科室负责人审核本科报告，报卡审核人可查看全院报告，系统管理员负责模板、权限和基础信息维护。</w:t>
      </w:r>
    </w:p>
    <w:p w14:paraId="6E95EADB">
      <w:pPr>
        <w:pStyle w:val="12"/>
        <w:shd w:val="clear" w:color="auto" w:fill="auto"/>
        <w:ind w:firstLine="480"/>
        <w:rPr>
          <w:rFonts w:hint="eastAsia"/>
          <w:highlight w:val="none"/>
        </w:rPr>
      </w:pPr>
      <w:r>
        <w:rPr>
          <w:rFonts w:hint="eastAsia"/>
          <w:highlight w:val="none"/>
        </w:rPr>
        <w:t>首页工作台按权限动态展示数据，科室负责人可查看本科待审报告种类与数量，报卡审核人可查看全院数据，并支持按时间、科室、事件等级等多维度统计，以柱状图、饼图、折线图等形式直观呈现。</w:t>
      </w:r>
    </w:p>
    <w:p w14:paraId="5821706D">
      <w:pPr>
        <w:pStyle w:val="12"/>
        <w:shd w:val="clear" w:color="auto" w:fill="auto"/>
        <w:ind w:firstLine="480"/>
        <w:rPr>
          <w:rFonts w:hint="eastAsia"/>
          <w:highlight w:val="none"/>
        </w:rPr>
      </w:pPr>
      <w:r>
        <w:rPr>
          <w:rFonts w:hint="eastAsia"/>
          <w:highlight w:val="none"/>
        </w:rPr>
        <w:t>系统支持事件类别、所属部门及填报模板的维护，提供分级审批（多节点、多人员）和指派审批（灵活选择流程）两种审核模式，以时间轴展示处理流程，支持资料上传与意见录入，实现全过程追溯。</w:t>
      </w:r>
    </w:p>
    <w:p w14:paraId="2440EB68">
      <w:pPr>
        <w:pStyle w:val="12"/>
        <w:shd w:val="clear" w:color="auto" w:fill="auto"/>
        <w:ind w:firstLine="480"/>
        <w:rPr>
          <w:rFonts w:hint="eastAsia"/>
          <w:highlight w:val="none"/>
        </w:rPr>
      </w:pPr>
      <w:r>
        <w:rPr>
          <w:rFonts w:hint="eastAsia"/>
          <w:highlight w:val="none"/>
        </w:rPr>
        <w:t>审核界面支持填写意见与整改措施，多科室可协同处理；支持自建或调用审核模板，管理员可对模板进行增删改查。系统提供自定义模板功能，支持文本框、单选、多选、下拉、表格、日期、附件上传等多种控件，可设置必填项、默认值、提示信息、控件大小与布局，并支持电话号等格式验证及模板另存。</w:t>
      </w:r>
    </w:p>
    <w:p w14:paraId="3FA74911">
      <w:pPr>
        <w:pStyle w:val="12"/>
        <w:shd w:val="clear" w:color="auto" w:fill="auto"/>
        <w:ind w:firstLine="480"/>
        <w:rPr>
          <w:rFonts w:hint="eastAsia"/>
          <w:highlight w:val="none"/>
        </w:rPr>
      </w:pPr>
      <w:r>
        <w:rPr>
          <w:rFonts w:hint="eastAsia"/>
          <w:highlight w:val="none"/>
        </w:rPr>
        <w:t>事件上报涵盖六大类：</w:t>
      </w:r>
    </w:p>
    <w:p w14:paraId="3966317C">
      <w:pPr>
        <w:pStyle w:val="12"/>
        <w:shd w:val="clear" w:color="auto" w:fill="auto"/>
        <w:ind w:firstLine="480"/>
        <w:rPr>
          <w:rFonts w:hint="eastAsia"/>
          <w:highlight w:val="none"/>
        </w:rPr>
      </w:pPr>
      <w:r>
        <w:rPr>
          <w:rFonts w:hint="eastAsia"/>
          <w:highlight w:val="none"/>
        </w:rPr>
        <w:t>（一）医疗类：包括病人辨识、手术、麻醉、诊疗错误等事件，支持模板调整、信息自动生成、照片采集、匿名/跨级上报及分发、审核、跟踪等操作，支持医务部、门诊部等多部门流程。</w:t>
      </w:r>
    </w:p>
    <w:p w14:paraId="7E30E7BD">
      <w:pPr>
        <w:pStyle w:val="12"/>
        <w:shd w:val="clear" w:color="auto" w:fill="auto"/>
        <w:ind w:firstLine="480"/>
        <w:rPr>
          <w:rFonts w:hint="eastAsia"/>
          <w:highlight w:val="none"/>
        </w:rPr>
      </w:pPr>
      <w:r>
        <w:rPr>
          <w:rFonts w:hint="eastAsia"/>
          <w:highlight w:val="none"/>
        </w:rPr>
        <w:t>（二）护理类：涵盖跌倒、压疮、管路、给药错误等事件，支持模板调整、与护理系统对接获取压疮评分，支持匿名上报及多部门管理流程。</w:t>
      </w:r>
    </w:p>
    <w:p w14:paraId="45537487">
      <w:pPr>
        <w:pStyle w:val="12"/>
        <w:shd w:val="clear" w:color="auto" w:fill="auto"/>
        <w:ind w:firstLine="480"/>
        <w:rPr>
          <w:rFonts w:hint="eastAsia"/>
          <w:highlight w:val="none"/>
        </w:rPr>
      </w:pPr>
      <w:r>
        <w:rPr>
          <w:rFonts w:hint="eastAsia"/>
          <w:highlight w:val="none"/>
        </w:rPr>
        <w:t>（三）药品类：包括不良反应、医嘱错误、药品丢失等，支持与HIS对接获取药品信息，上报字段与国家平台一致，支持药学部全流程管理。</w:t>
      </w:r>
    </w:p>
    <w:p w14:paraId="5F361A35">
      <w:pPr>
        <w:pStyle w:val="12"/>
        <w:shd w:val="clear" w:color="auto" w:fill="auto"/>
        <w:ind w:firstLine="480"/>
        <w:rPr>
          <w:rFonts w:hint="eastAsia"/>
          <w:highlight w:val="none"/>
        </w:rPr>
      </w:pPr>
      <w:r>
        <w:rPr>
          <w:rFonts w:hint="eastAsia"/>
          <w:highlight w:val="none"/>
        </w:rPr>
        <w:t>（四）器械类：记录设备故障详情，支持与HIS对接获取UDI、批号等信息，上报字段与国家监测平台一致，支持多部门协同管理。</w:t>
      </w:r>
    </w:p>
    <w:p w14:paraId="64B1ED22">
      <w:pPr>
        <w:pStyle w:val="12"/>
        <w:shd w:val="clear" w:color="auto" w:fill="auto"/>
        <w:ind w:firstLine="480"/>
        <w:rPr>
          <w:rFonts w:hint="eastAsia"/>
          <w:highlight w:val="none"/>
        </w:rPr>
      </w:pPr>
      <w:r>
        <w:rPr>
          <w:rFonts w:hint="eastAsia"/>
          <w:highlight w:val="none"/>
        </w:rPr>
        <w:t>（五）院感类：涵盖感染聚集、多重耐药菌等事件，支持模板调整与多部门上报流程。</w:t>
      </w:r>
    </w:p>
    <w:p w14:paraId="42281492">
      <w:pPr>
        <w:pStyle w:val="12"/>
        <w:shd w:val="clear" w:color="auto" w:fill="auto"/>
        <w:ind w:firstLine="480"/>
        <w:rPr>
          <w:rFonts w:hint="eastAsia"/>
          <w:highlight w:val="none"/>
        </w:rPr>
      </w:pPr>
      <w:r>
        <w:rPr>
          <w:rFonts w:hint="eastAsia"/>
          <w:highlight w:val="none"/>
        </w:rPr>
        <w:t>（六）输血类：支持输血反应等事件上报，具备模板调整与多部门跟踪功能。</w:t>
      </w:r>
    </w:p>
    <w:p w14:paraId="2A35ACE0">
      <w:pPr>
        <w:pStyle w:val="12"/>
        <w:shd w:val="clear" w:color="auto" w:fill="auto"/>
        <w:ind w:firstLine="480"/>
        <w:rPr>
          <w:rFonts w:hint="eastAsia"/>
          <w:highlight w:val="none"/>
        </w:rPr>
      </w:pPr>
      <w:r>
        <w:rPr>
          <w:rFonts w:hint="eastAsia"/>
          <w:highlight w:val="none"/>
        </w:rPr>
        <w:t>系统支持事件全流程追踪，记录改进进展，支持多次更新与附件上传。查询功能按权限限制范围：普通用户仅查本人报告，科室负责人查本科，审查员查全院，管理员查全部，并可查看审批进度。</w:t>
      </w:r>
    </w:p>
    <w:p w14:paraId="132861E9">
      <w:pPr>
        <w:pStyle w:val="12"/>
        <w:shd w:val="clear" w:color="auto" w:fill="auto"/>
        <w:ind w:firstLine="480"/>
        <w:rPr>
          <w:rFonts w:hint="eastAsia"/>
          <w:highlight w:val="none"/>
        </w:rPr>
      </w:pPr>
      <w:r>
        <w:rPr>
          <w:rFonts w:hint="eastAsia"/>
          <w:highlight w:val="none"/>
        </w:rPr>
        <w:t>支持完全匿名上报，上报人信息不被记录，报告直达审核人，避免泄露。系统可对接其他系统设定预警规则，实时校验并推送预警信息。消息通知支持处理进度提醒，通过系统消息、短信等方式确保相关人员及时响应。</w:t>
      </w:r>
    </w:p>
    <w:bookmarkEnd w:id="191"/>
    <w:p w14:paraId="13975B86">
      <w:pPr>
        <w:pStyle w:val="5"/>
        <w:rPr>
          <w:rFonts w:hint="eastAsia"/>
          <w:highlight w:val="none"/>
        </w:rPr>
      </w:pPr>
      <w:r>
        <w:rPr>
          <w:rFonts w:hint="eastAsia"/>
          <w:highlight w:val="none"/>
          <w:lang w:val="en-US" w:eastAsia="zh-CN"/>
        </w:rPr>
        <w:t xml:space="preserve"> </w:t>
      </w:r>
      <w:r>
        <w:rPr>
          <w:rFonts w:hint="eastAsia"/>
          <w:highlight w:val="none"/>
        </w:rPr>
        <w:t>医院传染病管理系统</w:t>
      </w:r>
    </w:p>
    <w:p w14:paraId="70F484C3">
      <w:pPr>
        <w:pStyle w:val="12"/>
        <w:shd w:val="clear" w:color="auto" w:fill="auto"/>
        <w:ind w:firstLine="480"/>
        <w:rPr>
          <w:rFonts w:hint="eastAsia"/>
          <w:highlight w:val="none"/>
        </w:rPr>
      </w:pPr>
      <w:r>
        <w:rPr>
          <w:rFonts w:hint="eastAsia"/>
          <w:highlight w:val="none"/>
        </w:rPr>
        <w:t>传染病管理系统需依据国家《传染病信息报告管理规范》，强化信息管理、提升报告质量，为防控疫情提供及时准确的数据支持。系统须具备传染病报卡、附卡（如乙肝、丙肝、艾滋病、结核病、AFP、食源性等）及其他公共卫生疾病报卡（如伤害监测、心脑血管病、恶性肿瘤、死亡证明、慢性病、中毒、中暑等）的填报、审核、上报功能，并支持根据政策动态升级。</w:t>
      </w:r>
    </w:p>
    <w:p w14:paraId="6CE3740D">
      <w:pPr>
        <w:pStyle w:val="12"/>
        <w:shd w:val="clear" w:color="auto" w:fill="auto"/>
        <w:ind w:firstLine="480"/>
        <w:rPr>
          <w:rFonts w:hint="eastAsia"/>
          <w:highlight w:val="none"/>
        </w:rPr>
      </w:pPr>
      <w:r>
        <w:rPr>
          <w:rFonts w:hint="eastAsia"/>
          <w:highlight w:val="none"/>
        </w:rPr>
        <w:t>与HIS系统对接，同步科室、用户及权限数据，支持科室、用户、角色管理，维护科室负责人、院内审核人和系统管理员三类权限。首页工作台按权限展示待审卡数量、全院数据，并支持多维度统计分析及图表呈现。</w:t>
      </w:r>
    </w:p>
    <w:p w14:paraId="33FA3A65">
      <w:pPr>
        <w:pStyle w:val="12"/>
        <w:shd w:val="clear" w:color="auto" w:fill="auto"/>
        <w:ind w:firstLine="480"/>
        <w:rPr>
          <w:rFonts w:hint="eastAsia"/>
          <w:highlight w:val="none"/>
        </w:rPr>
      </w:pPr>
      <w:r>
        <w:rPr>
          <w:rFonts w:hint="eastAsia"/>
          <w:highlight w:val="none"/>
        </w:rPr>
        <w:t>上报查询功能按权限分级：普通用户仅查本人提交，科室负责人查本科室，全院审查员查全院，管理员可管全部；并可追踪审批流程。系统基于ICD-10编码设置弹卡规则，支持重卡天数、弹卡方式配置，实现诊断时自动提示报卡。</w:t>
      </w:r>
    </w:p>
    <w:p w14:paraId="7D900A4E">
      <w:pPr>
        <w:pStyle w:val="12"/>
        <w:shd w:val="clear" w:color="auto" w:fill="auto"/>
        <w:ind w:firstLine="480"/>
        <w:rPr>
          <w:rFonts w:hint="eastAsia"/>
          <w:highlight w:val="none"/>
        </w:rPr>
      </w:pPr>
      <w:r>
        <w:rPr>
          <w:rFonts w:hint="eastAsia"/>
          <w:highlight w:val="none"/>
        </w:rPr>
        <w:t>支持自定义审核流程（多节点、多角色）、灵活表单设计（含文本、选择、日期、附件等多种控件），可设必填项、默认值、提示语、格式校验、联动逻辑及模板保存。</w:t>
      </w:r>
    </w:p>
    <w:p w14:paraId="7AD1F2D2">
      <w:pPr>
        <w:pStyle w:val="12"/>
        <w:shd w:val="clear" w:color="auto" w:fill="auto"/>
        <w:ind w:firstLine="480"/>
        <w:rPr>
          <w:rFonts w:hint="eastAsia"/>
          <w:highlight w:val="none"/>
        </w:rPr>
      </w:pPr>
      <w:r>
        <w:rPr>
          <w:rFonts w:hint="eastAsia"/>
          <w:highlight w:val="none"/>
        </w:rPr>
        <w:t>传染病报卡支持填写、提交、审核、上报、打印、编号生成及重卡校验，避免重复上报；支持关联诊断自动弹出报卡。附卡随主卡同步提交审核。其他公卫报卡功能类同，死亡证明支持数据提取、核对补录及三联打印。</w:t>
      </w:r>
    </w:p>
    <w:p w14:paraId="57AA750B">
      <w:pPr>
        <w:pStyle w:val="12"/>
        <w:shd w:val="clear" w:color="auto" w:fill="auto"/>
        <w:ind w:firstLine="480"/>
        <w:rPr>
          <w:rFonts w:hint="eastAsia"/>
          <w:highlight w:val="none"/>
        </w:rPr>
      </w:pPr>
      <w:r>
        <w:rPr>
          <w:rFonts w:hint="eastAsia"/>
          <w:highlight w:val="none"/>
        </w:rPr>
        <w:t>系统具备漏报、迟报查询功能，按时间、科室、诊断进行统计；实时监控疑似病例并推送至预防保健科，指导临床医生上报；并可通过网络直报接口对接国家系统，确保数据及时准确上传。</w:t>
      </w:r>
    </w:p>
    <w:p w14:paraId="73D16192">
      <w:pPr>
        <w:pStyle w:val="5"/>
        <w:rPr>
          <w:rFonts w:hint="eastAsia"/>
          <w:highlight w:val="none"/>
        </w:rPr>
      </w:pPr>
      <w:r>
        <w:rPr>
          <w:rFonts w:hint="eastAsia"/>
          <w:highlight w:val="none"/>
          <w:lang w:val="en-US" w:eastAsia="zh-CN"/>
        </w:rPr>
        <w:t xml:space="preserve"> </w:t>
      </w:r>
      <w:r>
        <w:rPr>
          <w:rFonts w:hint="eastAsia"/>
          <w:highlight w:val="none"/>
        </w:rPr>
        <w:t>医院感染综合监控系统</w:t>
      </w:r>
    </w:p>
    <w:p w14:paraId="1F52D54C">
      <w:pPr>
        <w:pStyle w:val="6"/>
        <w:rPr>
          <w:rFonts w:hint="eastAsia"/>
          <w:highlight w:val="none"/>
        </w:rPr>
      </w:pPr>
      <w:r>
        <w:rPr>
          <w:rFonts w:hint="eastAsia"/>
          <w:highlight w:val="none"/>
          <w:lang w:val="en-US" w:eastAsia="zh-CN"/>
        </w:rPr>
        <w:t xml:space="preserve"> </w:t>
      </w:r>
      <w:r>
        <w:rPr>
          <w:rFonts w:hint="eastAsia"/>
          <w:highlight w:val="none"/>
        </w:rPr>
        <w:t>数据质量采集要求</w:t>
      </w:r>
    </w:p>
    <w:p w14:paraId="6AEA4CA0">
      <w:pPr>
        <w:pStyle w:val="12"/>
        <w:shd w:val="clear" w:color="auto" w:fill="auto"/>
        <w:ind w:firstLine="480"/>
        <w:rPr>
          <w:rFonts w:hint="eastAsia"/>
          <w:highlight w:val="none"/>
        </w:rPr>
      </w:pPr>
      <w:r>
        <w:rPr>
          <w:rFonts w:hint="eastAsia"/>
          <w:highlight w:val="none"/>
        </w:rPr>
        <w:t>系统可自动采集住院患者感染相关临床数据，通过中间件定时从HIS、LIS、RIS/PACS、EMR等系统获取信息。涵盖患者基本信息（如住院号、姓名、性别、入出院时间等）、住院期间转科记录及各类诊疗数据：包括器械治疗、病原学检验、药敏试验、生命体征、常规检验、影像报告、抗菌药物使用和手术信息。同时支持采集经临床医师与感控人员确认的医院感染判读数据，如感染部位、感染时间、转归情况及报告确认时间等。</w:t>
      </w:r>
    </w:p>
    <w:p w14:paraId="50282C56">
      <w:pPr>
        <w:pStyle w:val="6"/>
        <w:rPr>
          <w:rFonts w:hint="eastAsia"/>
          <w:highlight w:val="none"/>
        </w:rPr>
      </w:pPr>
      <w:r>
        <w:rPr>
          <w:rFonts w:hint="eastAsia"/>
          <w:highlight w:val="none"/>
          <w:lang w:val="en-US" w:eastAsia="zh-CN"/>
        </w:rPr>
        <w:t xml:space="preserve"> </w:t>
      </w:r>
      <w:r>
        <w:rPr>
          <w:rFonts w:hint="eastAsia"/>
          <w:highlight w:val="none"/>
        </w:rPr>
        <w:t>全院动态展示</w:t>
      </w:r>
    </w:p>
    <w:p w14:paraId="2F70B5EA">
      <w:pPr>
        <w:pStyle w:val="12"/>
        <w:shd w:val="clear" w:color="auto" w:fill="auto"/>
        <w:ind w:firstLine="480"/>
        <w:rPr>
          <w:rFonts w:hint="eastAsia"/>
          <w:highlight w:val="none"/>
        </w:rPr>
      </w:pPr>
      <w:r>
        <w:rPr>
          <w:rFonts w:hint="eastAsia"/>
          <w:highlight w:val="none"/>
        </w:rPr>
        <w:t>1)系统展示全院前一天院感概况，含住院、入院、出院、发热、新增预警、三管使用、抗菌药物使用、隔离患者、多耐药检出、一类切口手术及重点菌检出等数据，并支持查看详情。</w:t>
      </w:r>
    </w:p>
    <w:p w14:paraId="30E650B4">
      <w:pPr>
        <w:pStyle w:val="12"/>
        <w:shd w:val="clear" w:color="auto" w:fill="auto"/>
        <w:ind w:firstLine="480"/>
        <w:rPr>
          <w:rFonts w:hint="eastAsia"/>
          <w:highlight w:val="none"/>
        </w:rPr>
      </w:pPr>
      <w:r>
        <w:rPr>
          <w:rFonts w:hint="eastAsia"/>
          <w:highlight w:val="none"/>
        </w:rPr>
        <w:t>2)提供前一天住院患者抗菌药物使用率、性别分布及住院次数比例统计。</w:t>
      </w:r>
    </w:p>
    <w:p w14:paraId="5D875548">
      <w:pPr>
        <w:pStyle w:val="12"/>
        <w:shd w:val="clear" w:color="auto" w:fill="auto"/>
        <w:ind w:firstLine="480"/>
        <w:rPr>
          <w:rFonts w:hint="eastAsia"/>
          <w:highlight w:val="none"/>
        </w:rPr>
      </w:pPr>
      <w:r>
        <w:rPr>
          <w:rFonts w:hint="eastAsia"/>
          <w:highlight w:val="none"/>
        </w:rPr>
        <w:t>3)展示当天院感相关人员待办事项，包括未处理预警、职业暴露上报、医生预警、环境监测不合格及待开隔离医嘱人数，点击可跳转处理。</w:t>
      </w:r>
    </w:p>
    <w:p w14:paraId="74E27129">
      <w:pPr>
        <w:pStyle w:val="6"/>
        <w:rPr>
          <w:rFonts w:hint="eastAsia"/>
          <w:highlight w:val="none"/>
        </w:rPr>
      </w:pPr>
      <w:r>
        <w:rPr>
          <w:rFonts w:hint="eastAsia"/>
          <w:highlight w:val="none"/>
          <w:lang w:val="en-US" w:eastAsia="zh-CN"/>
        </w:rPr>
        <w:t xml:space="preserve"> </w:t>
      </w:r>
      <w:r>
        <w:rPr>
          <w:rFonts w:hint="eastAsia"/>
          <w:highlight w:val="none"/>
        </w:rPr>
        <w:t>散发病例监测</w:t>
      </w:r>
    </w:p>
    <w:p w14:paraId="588340C2">
      <w:pPr>
        <w:pStyle w:val="12"/>
        <w:shd w:val="clear" w:color="auto" w:fill="auto"/>
        <w:ind w:firstLine="480"/>
        <w:rPr>
          <w:rFonts w:hint="eastAsia"/>
          <w:highlight w:val="none"/>
        </w:rPr>
      </w:pPr>
      <w:r>
        <w:rPr>
          <w:rFonts w:hint="eastAsia"/>
          <w:highlight w:val="none"/>
        </w:rPr>
        <w:t>系统具备疑似感染病例智能预警、列表管理及辅助诊断功能。通过分析患者住院信息、检验检查、手术、体温、抗菌药物使用等多维度数据，自动预警疑似医院感染病例，并支持基于新增数据的增量预警，避免重复提示已确诊或菌种重复检出的情况。可根据医院实际需求自定义预警策略，如针对新生儿体温异常（&lt;36.5℃或&gt;37.5℃）进行专项预警。</w:t>
      </w:r>
    </w:p>
    <w:p w14:paraId="51AF16D3">
      <w:pPr>
        <w:pStyle w:val="12"/>
        <w:shd w:val="clear" w:color="auto" w:fill="auto"/>
        <w:ind w:firstLine="480"/>
        <w:rPr>
          <w:rFonts w:hint="eastAsia"/>
          <w:highlight w:val="none"/>
        </w:rPr>
      </w:pPr>
      <w:r>
        <w:rPr>
          <w:rFonts w:hint="eastAsia"/>
          <w:highlight w:val="none"/>
        </w:rPr>
        <w:t>系统生成按科室或出院月份分组的疑似感染病例待处理列表，供院感监测人员和临床医生查看与处理，支持在院及出院患者预警信息的持续追踪。临床医生可主动上报系统未识别的感染病例。</w:t>
      </w:r>
    </w:p>
    <w:p w14:paraId="47DEE513">
      <w:pPr>
        <w:pStyle w:val="12"/>
        <w:shd w:val="clear" w:color="auto" w:fill="auto"/>
        <w:ind w:firstLine="480"/>
        <w:rPr>
          <w:rFonts w:hint="eastAsia"/>
          <w:highlight w:val="none"/>
        </w:rPr>
      </w:pPr>
      <w:r>
        <w:rPr>
          <w:rFonts w:hint="eastAsia"/>
          <w:highlight w:val="none"/>
        </w:rPr>
        <w:t>提供预警处理功能，支持确认、排除、编辑感染部位、区分社区与医院感染、拆分例次等操作；展示包含疑似感染部位、时间、病区、致病菌类型、异常指标频次及“三管”置管天数等详细信息。通过以天为单位的感染要素时序图，可视化展示发热、检验、用药、手术、插管等情况，点击可查看两周明细数据。</w:t>
      </w:r>
    </w:p>
    <w:p w14:paraId="4918D941">
      <w:pPr>
        <w:pStyle w:val="12"/>
        <w:shd w:val="clear" w:color="auto" w:fill="auto"/>
        <w:ind w:firstLine="480"/>
        <w:rPr>
          <w:rFonts w:hint="eastAsia"/>
          <w:highlight w:val="none"/>
        </w:rPr>
      </w:pPr>
      <w:r>
        <w:rPr>
          <w:rFonts w:hint="eastAsia"/>
          <w:highlight w:val="none"/>
        </w:rPr>
        <w:t>系统集成转科记录、病程记录关键词标注、影像报告、抗菌药物、细菌培养、手术、常规检验、插管及体温异常等诊疗数据展示功能，并支持收藏夹、最近访问、数据导出、模糊查询和记事本等辅助工具。界面可定制显示内容，如气管插管时间、医生信息等，满足不同角色工作需求。</w:t>
      </w:r>
    </w:p>
    <w:p w14:paraId="31205E55">
      <w:pPr>
        <w:pStyle w:val="6"/>
        <w:rPr>
          <w:rFonts w:hint="eastAsia"/>
          <w:highlight w:val="none"/>
        </w:rPr>
      </w:pPr>
      <w:r>
        <w:rPr>
          <w:rFonts w:hint="eastAsia"/>
          <w:highlight w:val="none"/>
          <w:lang w:val="en-US" w:eastAsia="zh-CN"/>
        </w:rPr>
        <w:t xml:space="preserve"> </w:t>
      </w:r>
      <w:r>
        <w:rPr>
          <w:rFonts w:hint="eastAsia"/>
          <w:highlight w:val="none"/>
        </w:rPr>
        <w:t>暴发预警</w:t>
      </w:r>
    </w:p>
    <w:p w14:paraId="078B8B2D">
      <w:pPr>
        <w:pStyle w:val="12"/>
        <w:shd w:val="clear" w:color="auto" w:fill="auto"/>
        <w:ind w:firstLine="480"/>
        <w:rPr>
          <w:rFonts w:hint="eastAsia"/>
          <w:highlight w:val="none"/>
        </w:rPr>
      </w:pPr>
      <w:r>
        <w:rPr>
          <w:rFonts w:hint="eastAsia"/>
          <w:highlight w:val="none"/>
        </w:rPr>
        <w:t>系统具备医院感染聚集性风险监测与预警功能，主要包括四个方面：</w:t>
      </w:r>
    </w:p>
    <w:p w14:paraId="0EEA5909">
      <w:pPr>
        <w:pStyle w:val="12"/>
        <w:shd w:val="clear" w:color="auto" w:fill="auto"/>
        <w:ind w:firstLine="480"/>
        <w:rPr>
          <w:rFonts w:hint="eastAsia"/>
          <w:highlight w:val="none"/>
        </w:rPr>
      </w:pPr>
      <w:r>
        <w:rPr>
          <w:rFonts w:hint="eastAsia"/>
          <w:highlight w:val="none"/>
        </w:rPr>
        <w:t>1.支持基于高风险因素的感染聚集预警，涵盖群体性发热、便常规送检、呼吸机及各类插管使用、重点菌和同种微生物检出等指标；可自定义各项阈值，设置预警时间范围和最小发生次数，并展示指定日期超阈值的病区及对应指标值。</w:t>
      </w:r>
    </w:p>
    <w:p w14:paraId="65F3D7DB">
      <w:pPr>
        <w:pStyle w:val="12"/>
        <w:shd w:val="clear" w:color="auto" w:fill="auto"/>
        <w:ind w:firstLine="480"/>
        <w:rPr>
          <w:rFonts w:hint="eastAsia"/>
          <w:highlight w:val="none"/>
        </w:rPr>
      </w:pPr>
      <w:r>
        <w:rPr>
          <w:rFonts w:hint="eastAsia"/>
          <w:highlight w:val="none"/>
        </w:rPr>
        <w:t>2.支持指定日期在床患者的感染聚集监测，可监控各病区现患情况，自定义基准感染率阈值，超限病区自动标红提示，并支持按现患率排序显示。</w:t>
      </w:r>
    </w:p>
    <w:p w14:paraId="602E25F8">
      <w:pPr>
        <w:pStyle w:val="12"/>
        <w:shd w:val="clear" w:color="auto" w:fill="auto"/>
        <w:ind w:firstLine="480"/>
        <w:rPr>
          <w:rFonts w:hint="eastAsia"/>
          <w:highlight w:val="none"/>
        </w:rPr>
      </w:pPr>
      <w:r>
        <w:rPr>
          <w:rFonts w:hint="eastAsia"/>
          <w:highlight w:val="none"/>
        </w:rPr>
        <w:t>3.提供医院感染散发病例的时间与空间分布分析功能，点击病区可查看该区任意日期前后一周内各床位患者的感染状况及相关临床数据，包括插管使用、发热、检验结果及抗菌药物使用等信息。</w:t>
      </w:r>
    </w:p>
    <w:p w14:paraId="340745FE">
      <w:pPr>
        <w:pStyle w:val="12"/>
        <w:shd w:val="clear" w:color="auto" w:fill="auto"/>
        <w:ind w:firstLine="480"/>
        <w:rPr>
          <w:rFonts w:hint="eastAsia"/>
          <w:highlight w:val="none"/>
        </w:rPr>
      </w:pPr>
      <w:r>
        <w:rPr>
          <w:rFonts w:hint="eastAsia"/>
          <w:highlight w:val="none"/>
        </w:rPr>
        <w:t>4.具备暴发预警辅助诊断功能，可展示超阈值病区及全院指标近两周趋势、全院危险因素汇总值，以及各病区住院与感染人数、现患率的变化趋势，所有汇总指标可下钻查看对应患者明细。</w:t>
      </w:r>
    </w:p>
    <w:p w14:paraId="5DC127A0">
      <w:pPr>
        <w:pStyle w:val="6"/>
        <w:rPr>
          <w:rFonts w:hint="eastAsia"/>
          <w:highlight w:val="none"/>
        </w:rPr>
      </w:pPr>
      <w:r>
        <w:rPr>
          <w:rFonts w:hint="eastAsia"/>
          <w:highlight w:val="none"/>
          <w:lang w:val="en-US" w:eastAsia="zh-CN"/>
        </w:rPr>
        <w:t xml:space="preserve"> </w:t>
      </w:r>
      <w:r>
        <w:rPr>
          <w:rFonts w:hint="eastAsia"/>
          <w:highlight w:val="none"/>
        </w:rPr>
        <w:t>目标性监测</w:t>
      </w:r>
    </w:p>
    <w:p w14:paraId="1B052F34">
      <w:pPr>
        <w:pStyle w:val="12"/>
        <w:shd w:val="clear" w:color="auto" w:fill="auto"/>
        <w:ind w:firstLine="480"/>
        <w:rPr>
          <w:rFonts w:hint="eastAsia"/>
          <w:highlight w:val="none"/>
        </w:rPr>
      </w:pPr>
      <w:r>
        <w:rPr>
          <w:rFonts w:hint="eastAsia"/>
          <w:highlight w:val="none"/>
        </w:rPr>
        <w:t>系统提供ICU、NICU、细菌耐药性、抗菌药物及手术目标性监测功能。</w:t>
      </w:r>
    </w:p>
    <w:p w14:paraId="0237D2A1">
      <w:pPr>
        <w:pStyle w:val="12"/>
        <w:shd w:val="clear" w:color="auto" w:fill="auto"/>
        <w:ind w:firstLine="480"/>
        <w:rPr>
          <w:rFonts w:hint="eastAsia"/>
          <w:highlight w:val="none"/>
        </w:rPr>
      </w:pPr>
      <w:r>
        <w:rPr>
          <w:rFonts w:hint="eastAsia"/>
          <w:highlight w:val="none"/>
        </w:rPr>
        <w:t>1.ICU监测：可统计全院及各ICU病区在任意时段的感染发病率、器械使用率及相关感染率；支持ICU日志记录、病情等级评定和调整感染发病率统计。</w:t>
      </w:r>
    </w:p>
    <w:p w14:paraId="2460392B">
      <w:pPr>
        <w:pStyle w:val="12"/>
        <w:shd w:val="clear" w:color="auto" w:fill="auto"/>
        <w:ind w:firstLine="480"/>
        <w:rPr>
          <w:rFonts w:hint="eastAsia"/>
          <w:highlight w:val="none"/>
        </w:rPr>
      </w:pPr>
      <w:r>
        <w:rPr>
          <w:rFonts w:hint="eastAsia"/>
          <w:highlight w:val="none"/>
        </w:rPr>
        <w:t>2.NICU监测：可按出生体重分组统计新生儿感染发病率、器械使用率及相关感染率，涵盖≤1000g至＞2500g各组别，以及脐/中央导管相关感染情况。</w:t>
      </w:r>
    </w:p>
    <w:p w14:paraId="610187C1">
      <w:pPr>
        <w:pStyle w:val="12"/>
        <w:shd w:val="clear" w:color="auto" w:fill="auto"/>
        <w:ind w:firstLine="480"/>
        <w:rPr>
          <w:rFonts w:hint="eastAsia"/>
          <w:highlight w:val="none"/>
        </w:rPr>
      </w:pPr>
      <w:r>
        <w:rPr>
          <w:rFonts w:hint="eastAsia"/>
          <w:highlight w:val="none"/>
        </w:rPr>
        <w:t>3.细菌耐药性监测：支持多重耐药菌检出率、感染发生率、病原体构成比、耐药率等统计，涵盖9类重点耐药菌；可分析血培养病原体分布、药敏试验结果，生成检出菌排名及隔离执行情况，并支持数据钻取与导出。</w:t>
      </w:r>
    </w:p>
    <w:p w14:paraId="21410C8B">
      <w:pPr>
        <w:pStyle w:val="12"/>
        <w:shd w:val="clear" w:color="auto" w:fill="auto"/>
        <w:ind w:firstLine="480"/>
        <w:rPr>
          <w:rFonts w:hint="eastAsia"/>
          <w:highlight w:val="none"/>
        </w:rPr>
      </w:pPr>
      <w:r>
        <w:rPr>
          <w:rFonts w:hint="eastAsia"/>
          <w:highlight w:val="none"/>
        </w:rPr>
        <w:t>4.抗菌药物监测：支持出院与住院患者抗菌药物使用率、送检率、联用情况、用药构成比等多维度统计，可按等级、用途、医生等组合分析，评估病原学送检执行情况及耐药超标药物。</w:t>
      </w:r>
    </w:p>
    <w:p w14:paraId="45D51E53">
      <w:pPr>
        <w:pStyle w:val="12"/>
        <w:shd w:val="clear" w:color="auto" w:fill="auto"/>
        <w:ind w:firstLine="480"/>
        <w:rPr>
          <w:rFonts w:hint="eastAsia"/>
          <w:highlight w:val="none"/>
        </w:rPr>
      </w:pPr>
      <w:r>
        <w:rPr>
          <w:rFonts w:hint="eastAsia"/>
          <w:highlight w:val="none"/>
        </w:rPr>
        <w:t>5.手术监测：支持多条件搜索手术记录，登记感染与回访信息；可统计手术部位感染率、肺部感染率、愈合率、危险指数分级感染率、医师专率、NNIS分级感染率及75百分位手术时间相关感染率；同时统计术前术后用药时机、预防用药率、术中追加执行率及I类切口用药情况。</w:t>
      </w:r>
    </w:p>
    <w:p w14:paraId="2A1FF30D">
      <w:pPr>
        <w:pStyle w:val="6"/>
        <w:rPr>
          <w:rFonts w:hint="eastAsia"/>
          <w:highlight w:val="none"/>
        </w:rPr>
      </w:pPr>
      <w:r>
        <w:rPr>
          <w:rFonts w:hint="eastAsia"/>
          <w:highlight w:val="none"/>
          <w:lang w:val="en-US" w:eastAsia="zh-CN"/>
        </w:rPr>
        <w:t xml:space="preserve"> </w:t>
      </w:r>
      <w:r>
        <w:rPr>
          <w:rFonts w:hint="eastAsia"/>
          <w:highlight w:val="none"/>
        </w:rPr>
        <w:t>血透监测</w:t>
      </w:r>
    </w:p>
    <w:p w14:paraId="46D28B1F">
      <w:pPr>
        <w:pStyle w:val="12"/>
        <w:shd w:val="clear" w:color="auto" w:fill="auto"/>
        <w:ind w:firstLine="480"/>
        <w:rPr>
          <w:rFonts w:hint="eastAsia"/>
          <w:highlight w:val="none"/>
        </w:rPr>
      </w:pPr>
      <w:r>
        <w:rPr>
          <w:rFonts w:hint="eastAsia"/>
          <w:highlight w:val="none"/>
        </w:rPr>
        <w:t>系统支持依据《WS/T 312-2023医院感染监测标准》开展门诊血液透析感染事件及血源性病原体监测，实现《门诊血液透析患者月报表》《感染事件监测表》和《血源性病原体监测表》的线上填报、预览与打印，替代纸质报卡。系统具备对感染事件4项质控指标（如血管通路感染率等）和血源性病原体6项质控指标（如HBV、HCV阳转率等）的统计、导出及图表展示功能，并支持报卡权限管理和操作日志查看。</w:t>
      </w:r>
    </w:p>
    <w:p w14:paraId="2E8BF84A">
      <w:pPr>
        <w:pStyle w:val="6"/>
        <w:rPr>
          <w:rFonts w:hint="eastAsia"/>
          <w:highlight w:val="none"/>
        </w:rPr>
      </w:pPr>
      <w:r>
        <w:rPr>
          <w:rFonts w:hint="eastAsia"/>
          <w:highlight w:val="none"/>
          <w:lang w:val="en-US" w:eastAsia="zh-CN"/>
        </w:rPr>
        <w:t xml:space="preserve"> </w:t>
      </w:r>
      <w:r>
        <w:rPr>
          <w:rFonts w:hint="eastAsia"/>
          <w:highlight w:val="none"/>
        </w:rPr>
        <w:t>消毒灭菌监测</w:t>
      </w:r>
    </w:p>
    <w:p w14:paraId="406108D2">
      <w:pPr>
        <w:pStyle w:val="12"/>
        <w:shd w:val="clear" w:color="auto" w:fill="auto"/>
        <w:ind w:firstLine="480"/>
        <w:rPr>
          <w:rFonts w:hint="eastAsia"/>
          <w:highlight w:val="none"/>
        </w:rPr>
      </w:pPr>
      <w:r>
        <w:rPr>
          <w:rFonts w:hint="eastAsia"/>
          <w:highlight w:val="none"/>
        </w:rPr>
        <w:t>系统支持监测数据手工录入及合格性自动判断，并提供空气、物表、手、无菌物品、手术与口腔器械、灭菌器、医疗用品、呼吸机管路、床单位、软/硬式内镜、重点区域（如手术室、监护室等）、透析相关液体、消毒灭菌剂、紫外线灯强度、被服、食品卫生及病菌定性等各类监测报告的浏览、编辑、配置、搜索、导出和打印功能。</w:t>
      </w:r>
    </w:p>
    <w:p w14:paraId="3F579C8D">
      <w:pPr>
        <w:pStyle w:val="6"/>
        <w:rPr>
          <w:rFonts w:hint="eastAsia"/>
          <w:highlight w:val="none"/>
        </w:rPr>
      </w:pPr>
      <w:r>
        <w:rPr>
          <w:rFonts w:hint="eastAsia"/>
          <w:highlight w:val="none"/>
          <w:lang w:val="en-US" w:eastAsia="zh-CN"/>
        </w:rPr>
        <w:t xml:space="preserve"> </w:t>
      </w:r>
      <w:r>
        <w:rPr>
          <w:rFonts w:hint="eastAsia"/>
          <w:highlight w:val="none"/>
        </w:rPr>
        <w:t>手卫生监测</w:t>
      </w:r>
    </w:p>
    <w:p w14:paraId="75449588">
      <w:pPr>
        <w:pStyle w:val="12"/>
        <w:shd w:val="clear" w:color="auto" w:fill="auto"/>
        <w:ind w:firstLine="480"/>
        <w:rPr>
          <w:rFonts w:hint="eastAsia"/>
          <w:highlight w:val="none"/>
        </w:rPr>
      </w:pPr>
      <w:r>
        <w:rPr>
          <w:rFonts w:hint="eastAsia"/>
          <w:highlight w:val="none"/>
        </w:rPr>
        <w:t>系统可监测手卫生依从性、正确性及知晓情况，支持院感人员登记自查与抽查结果，提供多维度统计分析与明细查询，并支持数据导出。系统还能自动获取洗手液和手消毒剂申领数据，实现按病区、时段的耗材使用量及每床日消耗量统计。</w:t>
      </w:r>
    </w:p>
    <w:p w14:paraId="7FEEB20D">
      <w:pPr>
        <w:pStyle w:val="6"/>
        <w:rPr>
          <w:rFonts w:hint="eastAsia"/>
          <w:highlight w:val="none"/>
        </w:rPr>
      </w:pPr>
      <w:r>
        <w:rPr>
          <w:rFonts w:hint="eastAsia"/>
          <w:highlight w:val="none"/>
          <w:lang w:val="en-US" w:eastAsia="zh-CN"/>
        </w:rPr>
        <w:t xml:space="preserve"> </w:t>
      </w:r>
      <w:r>
        <w:rPr>
          <w:rFonts w:hint="eastAsia"/>
          <w:highlight w:val="none"/>
        </w:rPr>
        <w:t>医务人员血源性病原体职业暴露监测</w:t>
      </w:r>
    </w:p>
    <w:p w14:paraId="32CF79C6">
      <w:pPr>
        <w:pStyle w:val="12"/>
        <w:shd w:val="clear" w:color="auto" w:fill="auto"/>
        <w:ind w:firstLine="480"/>
        <w:rPr>
          <w:rFonts w:hint="eastAsia"/>
          <w:highlight w:val="none"/>
        </w:rPr>
      </w:pPr>
      <w:r>
        <w:rPr>
          <w:rFonts w:hint="eastAsia"/>
          <w:highlight w:val="none"/>
        </w:rPr>
        <w:t>系统</w:t>
      </w:r>
      <w:r>
        <w:rPr>
          <w:rFonts w:hint="eastAsia"/>
          <w:highlight w:val="none"/>
        </w:rPr>
        <w:t>支持</w:t>
      </w:r>
      <w:r>
        <w:rPr>
          <w:rFonts w:hint="eastAsia"/>
          <w:highlight w:val="none"/>
        </w:rPr>
        <w:t>医务人员职业暴露信息登记、暴露情况描述、紧急处理记录、血源及免疫评估、预防措施与追踪检测、感染判定等功能，支持隐私保护、疫苗与检测到期提醒、后续检查提醒及随访管理，并提供针刺伤事件的搜索、导出、打印及按工龄、职业、科室、途径等多维度统计分析功能。</w:t>
      </w:r>
    </w:p>
    <w:p w14:paraId="54C366DD">
      <w:pPr>
        <w:pStyle w:val="6"/>
        <w:rPr>
          <w:rFonts w:hint="eastAsia"/>
          <w:highlight w:val="none"/>
        </w:rPr>
      </w:pPr>
      <w:r>
        <w:rPr>
          <w:rFonts w:hint="eastAsia"/>
          <w:highlight w:val="none"/>
          <w:lang w:val="en-US" w:eastAsia="zh-CN"/>
        </w:rPr>
        <w:t xml:space="preserve"> </w:t>
      </w:r>
      <w:r>
        <w:rPr>
          <w:rFonts w:hint="eastAsia"/>
          <w:highlight w:val="none"/>
        </w:rPr>
        <w:t>统计指标相关</w:t>
      </w:r>
    </w:p>
    <w:p w14:paraId="227E07EC">
      <w:pPr>
        <w:pStyle w:val="12"/>
        <w:shd w:val="clear" w:color="auto" w:fill="auto"/>
        <w:ind w:firstLine="480"/>
        <w:rPr>
          <w:rFonts w:hint="eastAsia"/>
          <w:highlight w:val="none"/>
        </w:rPr>
      </w:pPr>
      <w:r>
        <w:rPr>
          <w:rFonts w:hint="eastAsia"/>
          <w:highlight w:val="none"/>
        </w:rPr>
        <w:t>系统具备统计功能，涵盖全院及各病区在任意时段或时点的感染发病（例次）率、现患率、漏报率、多重耐药菌感染发现与检出率、手卫生依从率、抗菌药物使用率与病原学送检率、I类切口手术感染与预防用药率，以及三管相关感染发病率。同时支持2023监测标准新增功能，包括对急诊超48小时患者、日间手术患者的监测，剔除重复菌株后的微生物统计，以及职业暴露登记表填报。此外，系统提供现患、出院和住院患者多维度调查统计功能，涵盖感染率、部位与病原体分布、易感因素、三管发病率、送检与漏报情况、转归与死亡统计，并支持按自定义时间、科室和周期进行趋势分析，展示目标值的趋势变化。</w:t>
      </w:r>
    </w:p>
    <w:p w14:paraId="753BE529">
      <w:pPr>
        <w:pStyle w:val="6"/>
        <w:rPr>
          <w:rFonts w:hint="eastAsia"/>
          <w:highlight w:val="none"/>
        </w:rPr>
      </w:pPr>
      <w:r>
        <w:rPr>
          <w:rFonts w:hint="eastAsia"/>
          <w:highlight w:val="none"/>
          <w:lang w:val="en-US" w:eastAsia="zh-CN"/>
        </w:rPr>
        <w:t xml:space="preserve"> </w:t>
      </w:r>
      <w:r>
        <w:rPr>
          <w:rFonts w:hint="eastAsia"/>
          <w:highlight w:val="none"/>
        </w:rPr>
        <w:t>全方位统计功能</w:t>
      </w:r>
    </w:p>
    <w:p w14:paraId="0796A680">
      <w:pPr>
        <w:pStyle w:val="12"/>
        <w:shd w:val="clear" w:color="auto" w:fill="auto"/>
        <w:ind w:firstLine="480"/>
        <w:rPr>
          <w:rFonts w:hint="eastAsia"/>
          <w:highlight w:val="none"/>
        </w:rPr>
      </w:pPr>
      <w:r>
        <w:rPr>
          <w:rFonts w:hint="eastAsia"/>
          <w:highlight w:val="none"/>
        </w:rPr>
        <w:t>系统具备组织机构三级及以上汇总功能，支持按全院、科室、病区层级自动汇总质控指标，便于掌握各级感染情况。用户可依权限查看对应机构的统计结果，实现分院区管理。针对大数据量统计，系统可实时预测完成时间，显示计算进度及相关耗时信息。支持按自定义病区顺序展示统计结果，确保报表排序符合预期。系统透明化各指标计算规则，便于核查逻辑。提供统计结果钻取功能，点击“分子”“分母”可查看患者明细及数据一致性验证。支持查看单个患者的完整计算过程，包含各逻辑环节的输入输出。可生成统计快照并对比两次结果差异，变化项高亮显示并追溯原始数据。统计图表支持一键保存导出</w:t>
      </w:r>
      <w:r>
        <w:rPr>
          <w:rFonts w:hint="eastAsia"/>
          <w:highlight w:val="none"/>
        </w:rPr>
        <w:t>。</w:t>
      </w:r>
      <w:r>
        <w:rPr>
          <w:rFonts w:hint="eastAsia"/>
          <w:highlight w:val="none"/>
        </w:rPr>
        <w:t>支持自定义表格样式导出，减少后期调整工作量，并可按指定表头导出明细数据。用户可自由选择时间段或指定病区进行统计，支持按天、月、季、年分析感染趋势，并钻取趋势明细。可隐藏全为零的行与列，灵活控制数据显示。支持指定或排除特定患者参与统计，提升分析准确性。可设置小数位数显示精度，满足专业需求。系统具备疑似感染暴发预警功能，对异常感染率及时提醒。支持按用户设定阈值标识超标数据，突出关键问题。可按疾病类型、院区、重点科室等分类汇总统计结果，多维度评估院感情况。系统内置多套感控指标规则库，兼容本院个性化配置与其他示范医院标准，保障系统升级后统计功能稳定延续。</w:t>
      </w:r>
    </w:p>
    <w:p w14:paraId="4DE4EC20">
      <w:pPr>
        <w:pStyle w:val="6"/>
        <w:rPr>
          <w:rFonts w:hint="eastAsia"/>
          <w:highlight w:val="none"/>
        </w:rPr>
      </w:pPr>
      <w:r>
        <w:rPr>
          <w:rFonts w:hint="eastAsia"/>
          <w:highlight w:val="none"/>
          <w:lang w:val="en-US" w:eastAsia="zh-CN"/>
        </w:rPr>
        <w:t xml:space="preserve"> </w:t>
      </w:r>
      <w:r>
        <w:rPr>
          <w:rFonts w:hint="eastAsia"/>
          <w:highlight w:val="none"/>
        </w:rPr>
        <w:t>数据上报工作</w:t>
      </w:r>
    </w:p>
    <w:p w14:paraId="019BC678">
      <w:pPr>
        <w:pStyle w:val="12"/>
        <w:shd w:val="clear" w:color="auto" w:fill="auto"/>
        <w:ind w:firstLine="480"/>
        <w:rPr>
          <w:rFonts w:hint="eastAsia"/>
          <w:highlight w:val="none"/>
        </w:rPr>
      </w:pPr>
      <w:r>
        <w:rPr>
          <w:rFonts w:hint="eastAsia"/>
          <w:highlight w:val="none"/>
        </w:rPr>
        <w:t>1.系统提供抗菌药物专项上报的功能。</w:t>
      </w:r>
    </w:p>
    <w:p w14:paraId="2BCF4E80">
      <w:pPr>
        <w:pStyle w:val="12"/>
        <w:shd w:val="clear" w:color="auto" w:fill="auto"/>
        <w:ind w:firstLine="480"/>
        <w:rPr>
          <w:rFonts w:hint="eastAsia"/>
          <w:highlight w:val="none"/>
        </w:rPr>
      </w:pPr>
      <w:r>
        <w:rPr>
          <w:rFonts w:hint="eastAsia"/>
          <w:highlight w:val="none"/>
        </w:rPr>
        <w:t>根据卫健委《提高住院患者抗菌药物治疗前病原学送检率》专项活动，系统提供：</w:t>
      </w:r>
    </w:p>
    <w:p w14:paraId="4C9A13C0">
      <w:pPr>
        <w:pStyle w:val="12"/>
        <w:shd w:val="clear" w:color="auto" w:fill="auto"/>
        <w:ind w:firstLine="480"/>
        <w:rPr>
          <w:rFonts w:hint="eastAsia"/>
          <w:highlight w:val="none"/>
        </w:rPr>
      </w:pPr>
      <w:r>
        <w:rPr>
          <w:rFonts w:hint="eastAsia"/>
          <w:highlight w:val="none"/>
        </w:rPr>
        <w:t>1)系统提供统计抗菌药物治疗前病原学送检率、医院感染诊断相关病原学送检率、联合使用重点药物前病原学送检率的功能。</w:t>
      </w:r>
    </w:p>
    <w:p w14:paraId="412C5F7A">
      <w:pPr>
        <w:pStyle w:val="12"/>
        <w:shd w:val="clear" w:color="auto" w:fill="auto"/>
        <w:ind w:firstLine="480"/>
        <w:rPr>
          <w:rFonts w:hint="eastAsia"/>
          <w:highlight w:val="none"/>
        </w:rPr>
      </w:pPr>
      <w:r>
        <w:rPr>
          <w:rFonts w:hint="eastAsia"/>
          <w:highlight w:val="none"/>
        </w:rPr>
        <w:t>2)系统提供导出符合抗菌药物治疗前病原学送检率上报要求的数据的功能。</w:t>
      </w:r>
    </w:p>
    <w:p w14:paraId="481B01F8">
      <w:pPr>
        <w:pStyle w:val="12"/>
        <w:shd w:val="clear" w:color="auto" w:fill="auto"/>
        <w:ind w:firstLine="480"/>
        <w:rPr>
          <w:rFonts w:hint="eastAsia"/>
          <w:highlight w:val="none"/>
        </w:rPr>
      </w:pPr>
      <w:r>
        <w:rPr>
          <w:rFonts w:hint="eastAsia"/>
          <w:highlight w:val="none"/>
        </w:rPr>
        <w:t>2.系统提供现患率上报的功能。</w:t>
      </w:r>
    </w:p>
    <w:p w14:paraId="36EBA952">
      <w:pPr>
        <w:pStyle w:val="12"/>
        <w:shd w:val="clear" w:color="auto" w:fill="auto"/>
        <w:ind w:firstLine="480"/>
        <w:rPr>
          <w:rFonts w:hint="eastAsia"/>
          <w:highlight w:val="none"/>
        </w:rPr>
      </w:pPr>
      <w:r>
        <w:rPr>
          <w:rFonts w:hint="eastAsia"/>
          <w:highlight w:val="none"/>
        </w:rPr>
        <w:t>1)系统支持全国医院进行现患率数据上报工作。</w:t>
      </w:r>
    </w:p>
    <w:p w14:paraId="46B89A7C">
      <w:pPr>
        <w:pStyle w:val="12"/>
        <w:shd w:val="clear" w:color="auto" w:fill="auto"/>
        <w:ind w:firstLine="480"/>
        <w:rPr>
          <w:rFonts w:hint="eastAsia"/>
          <w:highlight w:val="none"/>
        </w:rPr>
      </w:pPr>
      <w:r>
        <w:rPr>
          <w:rFonts w:hint="eastAsia"/>
          <w:highlight w:val="none"/>
        </w:rPr>
        <w:t>2)系统提供指定统计日期现患率数据导出的功能。</w:t>
      </w:r>
    </w:p>
    <w:p w14:paraId="3A228373">
      <w:pPr>
        <w:pStyle w:val="12"/>
        <w:shd w:val="clear" w:color="auto" w:fill="auto"/>
        <w:ind w:firstLine="480"/>
        <w:rPr>
          <w:rFonts w:hint="eastAsia"/>
          <w:highlight w:val="none"/>
        </w:rPr>
      </w:pPr>
      <w:r>
        <w:rPr>
          <w:rFonts w:hint="eastAsia"/>
          <w:highlight w:val="none"/>
        </w:rPr>
        <w:t>3)系统提供现患率床旁调查表的功能。</w:t>
      </w:r>
    </w:p>
    <w:p w14:paraId="2775FA18">
      <w:pPr>
        <w:pStyle w:val="12"/>
        <w:shd w:val="clear" w:color="auto" w:fill="auto"/>
        <w:ind w:firstLine="480"/>
        <w:rPr>
          <w:rFonts w:hint="eastAsia"/>
          <w:highlight w:val="none"/>
        </w:rPr>
      </w:pPr>
      <w:r>
        <w:rPr>
          <w:rFonts w:hint="eastAsia"/>
          <w:highlight w:val="none"/>
        </w:rPr>
        <w:t>3.系统提供内蒙古自治区院感监测平台数据上报的功能。</w:t>
      </w:r>
    </w:p>
    <w:p w14:paraId="2EEBBF14">
      <w:pPr>
        <w:pStyle w:val="12"/>
        <w:shd w:val="clear" w:color="auto" w:fill="auto"/>
        <w:ind w:firstLine="480"/>
        <w:rPr>
          <w:rFonts w:hint="eastAsia"/>
          <w:highlight w:val="none"/>
        </w:rPr>
      </w:pPr>
      <w:r>
        <w:rPr>
          <w:rFonts w:hint="eastAsia"/>
          <w:highlight w:val="none"/>
        </w:rPr>
        <w:t>1)系统提供对上报数据包进行加密，避免患者敏感数据泄露的功能。</w:t>
      </w:r>
    </w:p>
    <w:p w14:paraId="3AA9769F">
      <w:pPr>
        <w:pStyle w:val="12"/>
        <w:shd w:val="clear" w:color="auto" w:fill="auto"/>
        <w:ind w:firstLine="480"/>
        <w:rPr>
          <w:rFonts w:hint="eastAsia"/>
          <w:highlight w:val="none"/>
        </w:rPr>
      </w:pPr>
      <w:r>
        <w:rPr>
          <w:rFonts w:hint="eastAsia"/>
          <w:highlight w:val="none"/>
        </w:rPr>
        <w:t>2)系统提供导出符合内蒙古院感质控中心规定的过程类数据的功能。</w:t>
      </w:r>
    </w:p>
    <w:p w14:paraId="20D2BF7E">
      <w:pPr>
        <w:pStyle w:val="12"/>
        <w:shd w:val="clear" w:color="auto" w:fill="auto"/>
        <w:ind w:firstLine="480"/>
        <w:rPr>
          <w:rFonts w:hint="eastAsia"/>
          <w:highlight w:val="none"/>
        </w:rPr>
      </w:pPr>
      <w:r>
        <w:rPr>
          <w:rFonts w:hint="eastAsia"/>
          <w:highlight w:val="none"/>
        </w:rPr>
        <w:t>3)系统提供无缝对接上报平台。上报人员不需要再进行二次处理，直接上报医院过程化数据的功能。</w:t>
      </w:r>
    </w:p>
    <w:p w14:paraId="4563D283">
      <w:pPr>
        <w:pStyle w:val="6"/>
        <w:rPr>
          <w:rFonts w:hint="eastAsia"/>
          <w:highlight w:val="none"/>
        </w:rPr>
      </w:pPr>
      <w:r>
        <w:rPr>
          <w:rFonts w:hint="eastAsia"/>
          <w:highlight w:val="none"/>
          <w:lang w:val="en-US" w:eastAsia="zh-CN"/>
        </w:rPr>
        <w:t xml:space="preserve"> </w:t>
      </w:r>
      <w:r>
        <w:rPr>
          <w:rFonts w:hint="eastAsia"/>
          <w:highlight w:val="none"/>
        </w:rPr>
        <w:t>临床干预</w:t>
      </w:r>
    </w:p>
    <w:p w14:paraId="2B22A25E">
      <w:pPr>
        <w:pStyle w:val="12"/>
        <w:shd w:val="clear" w:color="auto" w:fill="auto"/>
        <w:ind w:firstLine="480"/>
        <w:rPr>
          <w:rFonts w:hint="eastAsia"/>
          <w:highlight w:val="none"/>
        </w:rPr>
      </w:pPr>
      <w:r>
        <w:rPr>
          <w:rFonts w:hint="eastAsia"/>
          <w:highlight w:val="none"/>
        </w:rPr>
        <w:t>系统支持医院感染监测人员与临床医师的双向交流，包括针对患者病例的沟通、消息发送与模板自动推送（如多重耐药菌干预）、未读消息提醒、以患者为中心的信息展示及交流记录留存。支持按时间、病例ID、病区、发送人等条件查询交流信息，并具备模糊检索和干预管理功能。系统可向医生推送干预措施及感染防控要点，临床医生可反馈消息、确认或排除病例（排除需说明理由）、编辑感染例次，并可主动上报或批量确认。同时，系统提供感染知识库维护与学习功能，并统计知识库访问量。</w:t>
      </w:r>
    </w:p>
    <w:p w14:paraId="0BF9B1F6">
      <w:pPr>
        <w:pStyle w:val="6"/>
        <w:rPr>
          <w:rFonts w:hint="eastAsia"/>
          <w:highlight w:val="none"/>
        </w:rPr>
      </w:pPr>
      <w:r>
        <w:rPr>
          <w:rFonts w:hint="eastAsia"/>
          <w:highlight w:val="none"/>
          <w:lang w:val="en-US" w:eastAsia="zh-CN"/>
        </w:rPr>
        <w:t xml:space="preserve"> </w:t>
      </w:r>
      <w:r>
        <w:rPr>
          <w:rFonts w:hint="eastAsia"/>
          <w:highlight w:val="none"/>
        </w:rPr>
        <w:t>院感报告卡管理</w:t>
      </w:r>
    </w:p>
    <w:p w14:paraId="2FA823AA">
      <w:pPr>
        <w:pStyle w:val="12"/>
        <w:shd w:val="clear" w:color="auto" w:fill="auto"/>
        <w:ind w:firstLine="480"/>
        <w:rPr>
          <w:rFonts w:hint="eastAsia"/>
          <w:highlight w:val="none"/>
        </w:rPr>
      </w:pPr>
      <w:r>
        <w:rPr>
          <w:rFonts w:hint="eastAsia"/>
          <w:highlight w:val="none"/>
        </w:rPr>
        <w:t>系统具备PDCA持续改进、多重耐药菌防控监管、三管相关感染防控督查、手术部位感染监测及现患调查等功能。支持信息化督导与线上数据采集，提供各类登记表、核查表及统计分析功能，实现报卡流程管理、权限控制、操作日志展示、自动填充与生成、联动登记、结果预览导出及搜索等，全面替代纸质流程，提升院感管理效率与质量。</w:t>
      </w:r>
    </w:p>
    <w:p w14:paraId="2281CFA5">
      <w:pPr>
        <w:pStyle w:val="6"/>
        <w:rPr>
          <w:rFonts w:hint="eastAsia"/>
          <w:highlight w:val="none"/>
        </w:rPr>
      </w:pPr>
      <w:r>
        <w:rPr>
          <w:rFonts w:hint="eastAsia"/>
          <w:highlight w:val="none"/>
          <w:lang w:val="en-US" w:eastAsia="zh-CN"/>
        </w:rPr>
        <w:t xml:space="preserve"> </w:t>
      </w:r>
      <w:r>
        <w:rPr>
          <w:rFonts w:hint="eastAsia"/>
          <w:highlight w:val="none"/>
        </w:rPr>
        <w:t>系统提醒功能</w:t>
      </w:r>
    </w:p>
    <w:p w14:paraId="3D9D0DDF">
      <w:pPr>
        <w:pStyle w:val="12"/>
        <w:shd w:val="clear" w:color="auto" w:fill="auto"/>
        <w:ind w:firstLine="480"/>
        <w:rPr>
          <w:rFonts w:hint="eastAsia"/>
          <w:highlight w:val="none"/>
        </w:rPr>
      </w:pPr>
      <w:r>
        <w:rPr>
          <w:rFonts w:hint="eastAsia"/>
          <w:highlight w:val="none"/>
        </w:rPr>
        <w:t>1.系统具备疑似医院感染暴发提醒功能，可展示指定日期和病区连续七天内同一科室检出相同病原菌的患者明细及药敏结果对比。</w:t>
      </w:r>
    </w:p>
    <w:p w14:paraId="2077012D">
      <w:pPr>
        <w:pStyle w:val="12"/>
        <w:shd w:val="clear" w:color="auto" w:fill="auto"/>
        <w:ind w:firstLine="480"/>
        <w:rPr>
          <w:rFonts w:hint="eastAsia"/>
          <w:highlight w:val="none"/>
        </w:rPr>
      </w:pPr>
      <w:r>
        <w:rPr>
          <w:rFonts w:hint="eastAsia"/>
          <w:highlight w:val="none"/>
        </w:rPr>
        <w:t>2.系统支持职业暴露追踪监测，提醒专职医生当日完成相关报卡跟踪。</w:t>
      </w:r>
    </w:p>
    <w:p w14:paraId="6183D83C">
      <w:pPr>
        <w:pStyle w:val="6"/>
        <w:rPr>
          <w:rFonts w:hint="eastAsia"/>
          <w:highlight w:val="none"/>
        </w:rPr>
      </w:pPr>
      <w:r>
        <w:rPr>
          <w:rFonts w:hint="eastAsia"/>
          <w:highlight w:val="none"/>
          <w:lang w:val="en-US" w:eastAsia="zh-CN"/>
        </w:rPr>
        <w:t xml:space="preserve"> </w:t>
      </w:r>
      <w:r>
        <w:rPr>
          <w:rFonts w:hint="eastAsia"/>
          <w:highlight w:val="none"/>
        </w:rPr>
        <w:t>其他辅助功能</w:t>
      </w:r>
    </w:p>
    <w:p w14:paraId="400D22B1">
      <w:pPr>
        <w:pStyle w:val="12"/>
        <w:shd w:val="clear" w:color="auto" w:fill="auto"/>
        <w:ind w:firstLine="480"/>
        <w:rPr>
          <w:rFonts w:hint="eastAsia"/>
          <w:highlight w:val="none"/>
        </w:rPr>
      </w:pPr>
      <w:r>
        <w:rPr>
          <w:rFonts w:hint="eastAsia"/>
          <w:highlight w:val="none"/>
        </w:rPr>
        <w:t>系统提供院区分级管理，根据医院的院区区域管理人员划分，监测人员分别管理负责的病区，减少筛选负责病区的工作。同时也能够对全院情况进行汇总统计和分析。例如，监测人员既可以只对A院区的疑似感染病例进行处理，又可以汇总统计包括B院区在内的医院感染相关数据。</w:t>
      </w:r>
    </w:p>
    <w:p w14:paraId="07C4EBEE">
      <w:pPr>
        <w:pStyle w:val="6"/>
        <w:rPr>
          <w:rFonts w:hint="eastAsia"/>
          <w:highlight w:val="none"/>
        </w:rPr>
      </w:pPr>
      <w:r>
        <w:rPr>
          <w:rFonts w:hint="eastAsia"/>
          <w:highlight w:val="none"/>
          <w:lang w:val="en-US" w:eastAsia="zh-CN"/>
        </w:rPr>
        <w:t xml:space="preserve"> </w:t>
      </w:r>
      <w:r>
        <w:rPr>
          <w:rFonts w:hint="eastAsia"/>
          <w:highlight w:val="none"/>
        </w:rPr>
        <w:t>临床医生工作站</w:t>
      </w:r>
    </w:p>
    <w:p w14:paraId="2245D16C">
      <w:pPr>
        <w:pStyle w:val="12"/>
        <w:shd w:val="clear" w:color="auto" w:fill="auto"/>
        <w:ind w:firstLine="480"/>
        <w:rPr>
          <w:rFonts w:hint="eastAsia"/>
          <w:highlight w:val="none"/>
        </w:rPr>
      </w:pPr>
      <w:r>
        <w:rPr>
          <w:rFonts w:hint="eastAsia"/>
          <w:highlight w:val="none"/>
        </w:rPr>
        <w:t>系统自动将疑似医院感染病例以任务列表形式推送给临床医生，并区分在院与出院患者。支持临床医师主动上报系统未识别的感染病例，并提供对疑似病例的确认或排除操作，包括批量处理功能。临床医生可向感染监测人员发送消息，排除预警时需说明理由。系统还支持职业暴露登记、手卫生依从性记录，以及ICU/NICU监测、手术与耐药数据统计。医务人员可按科室查看感染现患率、漏报率、多重耐药菌、抗菌药物使用、手术感染率、导管及呼吸机相关感染率等指标统计。</w:t>
      </w:r>
    </w:p>
    <w:p w14:paraId="2A51647F">
      <w:pPr>
        <w:pStyle w:val="5"/>
        <w:rPr>
          <w:rFonts w:hint="eastAsia"/>
          <w:highlight w:val="none"/>
        </w:rPr>
      </w:pPr>
      <w:r>
        <w:rPr>
          <w:rFonts w:hint="eastAsia"/>
          <w:highlight w:val="none"/>
          <w:lang w:val="en-US" w:eastAsia="zh-CN"/>
        </w:rPr>
        <w:t xml:space="preserve"> </w:t>
      </w:r>
      <w:r>
        <w:rPr>
          <w:rFonts w:hint="eastAsia"/>
          <w:highlight w:val="none"/>
        </w:rPr>
        <w:t>医务管理系统</w:t>
      </w:r>
    </w:p>
    <w:p w14:paraId="538CCF29">
      <w:pPr>
        <w:pStyle w:val="6"/>
        <w:rPr>
          <w:rFonts w:hint="eastAsia"/>
          <w:highlight w:val="none"/>
        </w:rPr>
      </w:pPr>
      <w:r>
        <w:rPr>
          <w:rFonts w:hint="eastAsia"/>
          <w:highlight w:val="none"/>
          <w:lang w:val="en-US" w:eastAsia="zh-CN"/>
        </w:rPr>
        <w:t xml:space="preserve"> </w:t>
      </w:r>
      <w:r>
        <w:rPr>
          <w:rFonts w:hint="eastAsia"/>
          <w:highlight w:val="none"/>
        </w:rPr>
        <w:t>医师档案管理</w:t>
      </w:r>
    </w:p>
    <w:p w14:paraId="6A9979A7">
      <w:pPr>
        <w:pStyle w:val="12"/>
        <w:shd w:val="clear" w:color="auto" w:fill="auto"/>
        <w:ind w:firstLine="480"/>
        <w:rPr>
          <w:rFonts w:hint="eastAsia"/>
          <w:highlight w:val="none"/>
        </w:rPr>
      </w:pPr>
      <w:r>
        <w:rPr>
          <w:rFonts w:hint="eastAsia"/>
          <w:highlight w:val="none"/>
        </w:rPr>
        <w:t>建立医师基本档案库，包含医师个人360档案，支持基本信息（如姓名、性别、年龄、学历、科室、工号等）的自动对接与管理。档案内容包括：1）执业信息（类别、专业、执业范围等）；2）技术职务（资格、聘任级别等）；3）两证及其他证书；4）考核结果；5）资质权限（处方权、手术权、抗菌药授权等）。支持档案变更历史查询。科室可查看、添加或移除人员，移除后归入全院档案库。全院档案库支持按科室树浏览、批量导出、档案编辑及新建医师档案。</w:t>
      </w:r>
    </w:p>
    <w:p w14:paraId="5549AF62">
      <w:pPr>
        <w:pStyle w:val="6"/>
        <w:rPr>
          <w:rFonts w:hint="eastAsia"/>
          <w:highlight w:val="none"/>
        </w:rPr>
      </w:pPr>
      <w:r>
        <w:rPr>
          <w:rFonts w:hint="eastAsia"/>
          <w:highlight w:val="none"/>
          <w:lang w:val="en-US" w:eastAsia="zh-CN"/>
        </w:rPr>
        <w:t xml:space="preserve"> </w:t>
      </w:r>
      <w:r>
        <w:rPr>
          <w:rFonts w:hint="eastAsia"/>
          <w:highlight w:val="none"/>
        </w:rPr>
        <w:t>资质授权</w:t>
      </w:r>
    </w:p>
    <w:p w14:paraId="0FD2EDF1">
      <w:pPr>
        <w:pStyle w:val="12"/>
        <w:shd w:val="clear" w:color="auto" w:fill="auto"/>
        <w:ind w:firstLine="480"/>
        <w:rPr>
          <w:rFonts w:hint="eastAsia"/>
          <w:highlight w:val="none"/>
        </w:rPr>
      </w:pPr>
      <w:r>
        <w:rPr>
          <w:rFonts w:hint="eastAsia"/>
          <w:highlight w:val="none"/>
        </w:rPr>
        <w:t>处方资质：支持处方、毒麻精、抗肿瘤、抗菌药物分级权限的申请与规则配置，可查询医生资质及历史记录。</w:t>
      </w:r>
    </w:p>
    <w:p w14:paraId="2362F8E9">
      <w:pPr>
        <w:pStyle w:val="12"/>
        <w:shd w:val="clear" w:color="auto" w:fill="auto"/>
        <w:ind w:firstLine="480"/>
        <w:rPr>
          <w:rFonts w:hint="eastAsia"/>
          <w:highlight w:val="none"/>
        </w:rPr>
      </w:pPr>
      <w:r>
        <w:rPr>
          <w:rFonts w:hint="eastAsia"/>
          <w:highlight w:val="none"/>
        </w:rPr>
        <w:t>医疗技术资质：支持手术分级、限制类、操作类、介入类技术的申请，自动获取医师档案与手术史，具备审核流程、考核、历史记录查看及再次授权功能，信息同步至档案。</w:t>
      </w:r>
    </w:p>
    <w:p w14:paraId="59727840">
      <w:pPr>
        <w:pStyle w:val="12"/>
        <w:shd w:val="clear" w:color="auto" w:fill="auto"/>
        <w:ind w:firstLine="480"/>
        <w:rPr>
          <w:rFonts w:hint="eastAsia"/>
          <w:highlight w:val="none"/>
        </w:rPr>
      </w:pPr>
      <w:r>
        <w:rPr>
          <w:rFonts w:hint="eastAsia"/>
          <w:highlight w:val="none"/>
        </w:rPr>
        <w:t>普通资质：支持手麻、POCT、值班等资质申请与审批。</w:t>
      </w:r>
    </w:p>
    <w:p w14:paraId="34F6AE2E">
      <w:pPr>
        <w:pStyle w:val="12"/>
        <w:shd w:val="clear" w:color="auto" w:fill="auto"/>
        <w:ind w:firstLine="480"/>
        <w:rPr>
          <w:rFonts w:hint="eastAsia"/>
          <w:highlight w:val="none"/>
        </w:rPr>
      </w:pPr>
      <w:r>
        <w:rPr>
          <w:rFonts w:hint="eastAsia"/>
          <w:highlight w:val="none"/>
        </w:rPr>
        <w:t>资质统一审核：提供多类型资质待审列表、审核流程及详情查询。</w:t>
      </w:r>
    </w:p>
    <w:p w14:paraId="377025F0">
      <w:pPr>
        <w:pStyle w:val="12"/>
        <w:shd w:val="clear" w:color="auto" w:fill="auto"/>
        <w:ind w:firstLine="480"/>
        <w:rPr>
          <w:rFonts w:hint="eastAsia"/>
          <w:highlight w:val="none"/>
        </w:rPr>
      </w:pPr>
      <w:r>
        <w:rPr>
          <w:rFonts w:hint="eastAsia"/>
          <w:highlight w:val="none"/>
        </w:rPr>
        <w:t>资质督办：支持任务流查看与发送，实现审核任务督办。</w:t>
      </w:r>
    </w:p>
    <w:p w14:paraId="15DEF2BB">
      <w:pPr>
        <w:pStyle w:val="12"/>
        <w:shd w:val="clear" w:color="auto" w:fill="auto"/>
        <w:ind w:firstLine="480"/>
        <w:rPr>
          <w:rFonts w:hint="eastAsia"/>
          <w:highlight w:val="none"/>
        </w:rPr>
      </w:pPr>
      <w:r>
        <w:rPr>
          <w:rFonts w:hint="eastAsia"/>
          <w:highlight w:val="none"/>
        </w:rPr>
        <w:t>医疗资质查询：可汇总查询全院医生资质，支持查看详情、暂停资质、导出数据，科主任可查本科室情况。</w:t>
      </w:r>
    </w:p>
    <w:p w14:paraId="6ED120AA">
      <w:pPr>
        <w:pStyle w:val="12"/>
        <w:shd w:val="clear" w:color="auto" w:fill="auto"/>
        <w:ind w:firstLine="480"/>
        <w:rPr>
          <w:rFonts w:hint="eastAsia"/>
          <w:highlight w:val="none"/>
        </w:rPr>
      </w:pPr>
      <w:r>
        <w:rPr>
          <w:rFonts w:hint="eastAsia"/>
          <w:highlight w:val="none"/>
        </w:rPr>
        <w:t>医疗技术临时授权：急救时可申请或由医务科主动授予、暂停临时权限。</w:t>
      </w:r>
    </w:p>
    <w:p w14:paraId="46A2AFC9">
      <w:pPr>
        <w:pStyle w:val="12"/>
        <w:shd w:val="clear" w:color="auto" w:fill="auto"/>
        <w:ind w:firstLine="480"/>
        <w:rPr>
          <w:rFonts w:hint="eastAsia"/>
          <w:highlight w:val="none"/>
        </w:rPr>
      </w:pPr>
      <w:r>
        <w:rPr>
          <w:rFonts w:hint="eastAsia"/>
          <w:highlight w:val="none"/>
        </w:rPr>
        <w:t>动态授权：与HIS等系统联动，同步授权信息，实现权限管控，支持接口调度与调度状态查看。</w:t>
      </w:r>
    </w:p>
    <w:p w14:paraId="7818FF99">
      <w:pPr>
        <w:pStyle w:val="6"/>
        <w:rPr>
          <w:rFonts w:hint="eastAsia"/>
          <w:highlight w:val="none"/>
        </w:rPr>
      </w:pPr>
      <w:r>
        <w:rPr>
          <w:rFonts w:hint="eastAsia"/>
          <w:highlight w:val="none"/>
          <w:lang w:val="en-US" w:eastAsia="zh-CN"/>
        </w:rPr>
        <w:t xml:space="preserve"> </w:t>
      </w:r>
      <w:r>
        <w:rPr>
          <w:rFonts w:hint="eastAsia"/>
          <w:highlight w:val="none"/>
        </w:rPr>
        <w:t>医疗技术目录管理</w:t>
      </w:r>
    </w:p>
    <w:p w14:paraId="1438A451">
      <w:pPr>
        <w:pStyle w:val="12"/>
        <w:shd w:val="clear" w:color="auto" w:fill="auto"/>
        <w:ind w:firstLine="480"/>
        <w:rPr>
          <w:rFonts w:hint="eastAsia"/>
          <w:highlight w:val="none"/>
        </w:rPr>
      </w:pPr>
      <w:r>
        <w:rPr>
          <w:rFonts w:hint="eastAsia"/>
          <w:highlight w:val="none"/>
        </w:rPr>
        <w:t>院级技术目录库管理支持按科室树浏览、新增院级目录、批量导入、查看多版本目录、标记技术标签、关联人员查看及按技术名称、国家分级等条件检索。</w:t>
      </w:r>
    </w:p>
    <w:p w14:paraId="18D7F5BC">
      <w:pPr>
        <w:pStyle w:val="12"/>
        <w:shd w:val="clear" w:color="auto" w:fill="auto"/>
        <w:ind w:firstLine="480"/>
        <w:rPr>
          <w:rFonts w:hint="eastAsia"/>
          <w:highlight w:val="none"/>
        </w:rPr>
      </w:pPr>
      <w:r>
        <w:rPr>
          <w:rFonts w:hint="eastAsia"/>
          <w:highlight w:val="none"/>
        </w:rPr>
        <w:t>科级技目录库管理由科室从院级目录中选取技术，支持创建科室目录、自定义级别与标签、查看技术历史记录。</w:t>
      </w:r>
    </w:p>
    <w:p w14:paraId="7153FF9D">
      <w:pPr>
        <w:pStyle w:val="12"/>
        <w:shd w:val="clear" w:color="auto" w:fill="auto"/>
        <w:ind w:firstLine="480"/>
        <w:rPr>
          <w:rFonts w:hint="eastAsia"/>
          <w:highlight w:val="none"/>
        </w:rPr>
      </w:pPr>
      <w:r>
        <w:rPr>
          <w:rFonts w:hint="eastAsia"/>
          <w:highlight w:val="none"/>
        </w:rPr>
        <w:t>个人技术目录库供医师查看个人相关技术。</w:t>
      </w:r>
    </w:p>
    <w:p w14:paraId="1FCFF548">
      <w:pPr>
        <w:pStyle w:val="12"/>
        <w:shd w:val="clear" w:color="auto" w:fill="auto"/>
        <w:ind w:firstLine="480"/>
        <w:rPr>
          <w:rFonts w:hint="eastAsia"/>
          <w:highlight w:val="none"/>
        </w:rPr>
      </w:pPr>
      <w:r>
        <w:rPr>
          <w:rFonts w:hint="eastAsia"/>
          <w:highlight w:val="none"/>
        </w:rPr>
        <w:t>医疗技术人员汇总支持查询每项技术的授权人员名单并支持导出。</w:t>
      </w:r>
    </w:p>
    <w:p w14:paraId="4CB0AD76">
      <w:pPr>
        <w:pStyle w:val="6"/>
        <w:rPr>
          <w:rFonts w:hint="eastAsia"/>
          <w:highlight w:val="none"/>
        </w:rPr>
      </w:pPr>
      <w:r>
        <w:rPr>
          <w:rFonts w:hint="eastAsia"/>
          <w:highlight w:val="none"/>
          <w:lang w:val="en-US" w:eastAsia="zh-CN"/>
        </w:rPr>
        <w:t xml:space="preserve"> </w:t>
      </w:r>
      <w:r>
        <w:rPr>
          <w:rFonts w:hint="eastAsia"/>
          <w:highlight w:val="none"/>
        </w:rPr>
        <w:t>医师考核</w:t>
      </w:r>
    </w:p>
    <w:p w14:paraId="763BFDEA">
      <w:pPr>
        <w:pStyle w:val="12"/>
        <w:shd w:val="clear" w:color="auto" w:fill="auto"/>
        <w:ind w:firstLine="480"/>
        <w:rPr>
          <w:rFonts w:hint="eastAsia"/>
          <w:highlight w:val="none"/>
        </w:rPr>
      </w:pPr>
      <w:r>
        <w:rPr>
          <w:rFonts w:hint="eastAsia"/>
          <w:highlight w:val="none"/>
        </w:rPr>
        <w:t>医师考核支持批量导入成绩，科主任可查询本科室成绩，医生可查看个人成绩。</w:t>
      </w:r>
    </w:p>
    <w:p w14:paraId="38D4A7FB">
      <w:pPr>
        <w:pStyle w:val="6"/>
        <w:rPr>
          <w:rFonts w:hint="eastAsia"/>
          <w:highlight w:val="none"/>
        </w:rPr>
      </w:pPr>
      <w:r>
        <w:rPr>
          <w:rFonts w:hint="eastAsia"/>
          <w:highlight w:val="none"/>
          <w:lang w:val="en-US" w:eastAsia="zh-CN"/>
        </w:rPr>
        <w:t xml:space="preserve"> </w:t>
      </w:r>
      <w:r>
        <w:rPr>
          <w:rFonts w:hint="eastAsia"/>
          <w:highlight w:val="none"/>
        </w:rPr>
        <w:t>新技术准入管理</w:t>
      </w:r>
    </w:p>
    <w:p w14:paraId="1A90C6C0">
      <w:pPr>
        <w:pStyle w:val="12"/>
        <w:shd w:val="clear" w:color="auto" w:fill="auto"/>
        <w:ind w:firstLine="480"/>
        <w:rPr>
          <w:rFonts w:hint="eastAsia"/>
          <w:highlight w:val="none"/>
        </w:rPr>
      </w:pPr>
      <w:r>
        <w:rPr>
          <w:rFonts w:hint="eastAsia"/>
          <w:highlight w:val="none"/>
        </w:rPr>
        <w:t>新技术申请需填写申请表，内容包括：自动获取申请人信息、填写技术基本信息及条目、技术负责人与团队情况，支持附件上传、富文本编辑和导出。申请须经科主任、医务处、伦理委员会、技术委员会及分管院长审核通过后方可临床开展。开展过程中需多次提交总结报告，经医务处和技术委员会审核。技术运行一定周期后进行评估，决定是否转为常规、终止或继续评估。</w:t>
      </w:r>
    </w:p>
    <w:p w14:paraId="774371DE">
      <w:pPr>
        <w:pStyle w:val="6"/>
        <w:rPr>
          <w:rFonts w:hint="eastAsia"/>
          <w:highlight w:val="none"/>
        </w:rPr>
      </w:pPr>
      <w:r>
        <w:rPr>
          <w:rFonts w:hint="eastAsia"/>
          <w:highlight w:val="none"/>
          <w:lang w:val="en-US" w:eastAsia="zh-CN"/>
        </w:rPr>
        <w:t xml:space="preserve"> </w:t>
      </w:r>
      <w:r>
        <w:rPr>
          <w:rFonts w:hint="eastAsia"/>
          <w:highlight w:val="none"/>
        </w:rPr>
        <w:t>医务数据管理统计报表</w:t>
      </w:r>
    </w:p>
    <w:p w14:paraId="4C73EACE">
      <w:pPr>
        <w:pStyle w:val="12"/>
        <w:shd w:val="clear" w:color="auto" w:fill="auto"/>
        <w:ind w:firstLine="480"/>
        <w:rPr>
          <w:rFonts w:hint="eastAsia"/>
          <w:highlight w:val="none"/>
        </w:rPr>
      </w:pPr>
      <w:r>
        <w:rPr>
          <w:rFonts w:hint="eastAsia"/>
          <w:highlight w:val="none"/>
        </w:rPr>
        <w:t>门诊及急诊工作量统计。</w:t>
      </w:r>
    </w:p>
    <w:p w14:paraId="54EB5F2B">
      <w:pPr>
        <w:pStyle w:val="12"/>
        <w:shd w:val="clear" w:color="auto" w:fill="auto"/>
        <w:ind w:firstLine="480"/>
        <w:rPr>
          <w:rFonts w:hint="eastAsia"/>
          <w:highlight w:val="none"/>
        </w:rPr>
      </w:pPr>
      <w:r>
        <w:rPr>
          <w:rFonts w:hint="eastAsia"/>
          <w:highlight w:val="none"/>
        </w:rPr>
        <w:t>住院相关指标分析（入出院量、床位使用、平均住院日）。</w:t>
      </w:r>
    </w:p>
    <w:p w14:paraId="678A88B6">
      <w:pPr>
        <w:pStyle w:val="12"/>
        <w:shd w:val="clear" w:color="auto" w:fill="auto"/>
        <w:ind w:firstLine="480"/>
        <w:rPr>
          <w:rFonts w:hint="eastAsia"/>
          <w:highlight w:val="none"/>
        </w:rPr>
      </w:pPr>
      <w:r>
        <w:rPr>
          <w:rFonts w:hint="eastAsia"/>
          <w:highlight w:val="none"/>
        </w:rPr>
        <w:t>医疗技术应用与质量统计（手术及高风险技术例数、并发症、死亡等）。</w:t>
      </w:r>
    </w:p>
    <w:p w14:paraId="7921FEB1">
      <w:pPr>
        <w:pStyle w:val="12"/>
        <w:shd w:val="clear" w:color="auto" w:fill="auto"/>
        <w:ind w:firstLine="480"/>
        <w:rPr>
          <w:rFonts w:hint="eastAsia"/>
          <w:highlight w:val="none"/>
        </w:rPr>
      </w:pPr>
      <w:r>
        <w:rPr>
          <w:rFonts w:hint="eastAsia"/>
          <w:highlight w:val="none"/>
        </w:rPr>
        <w:t>新技术开展情况统计（申请、实施、转常规例数）。</w:t>
      </w:r>
    </w:p>
    <w:p w14:paraId="630438A7">
      <w:pPr>
        <w:pStyle w:val="12"/>
        <w:shd w:val="clear" w:color="auto" w:fill="auto"/>
        <w:ind w:firstLine="480"/>
        <w:rPr>
          <w:rFonts w:hint="eastAsia"/>
          <w:highlight w:val="none"/>
        </w:rPr>
      </w:pPr>
      <w:r>
        <w:rPr>
          <w:rFonts w:hint="eastAsia"/>
          <w:highlight w:val="none"/>
        </w:rPr>
        <w:t>限制类技术应用及质量分析。</w:t>
      </w:r>
    </w:p>
    <w:p w14:paraId="1E3D1C5E">
      <w:pPr>
        <w:pStyle w:val="6"/>
        <w:rPr>
          <w:rFonts w:hint="eastAsia"/>
          <w:highlight w:val="none"/>
        </w:rPr>
      </w:pPr>
      <w:r>
        <w:rPr>
          <w:rFonts w:hint="eastAsia"/>
          <w:highlight w:val="none"/>
          <w:lang w:val="en-US" w:eastAsia="zh-CN"/>
        </w:rPr>
        <w:t xml:space="preserve"> </w:t>
      </w:r>
      <w:r>
        <w:rPr>
          <w:rFonts w:hint="eastAsia"/>
          <w:highlight w:val="none"/>
        </w:rPr>
        <w:t>医务台账</w:t>
      </w:r>
    </w:p>
    <w:p w14:paraId="776C1341">
      <w:pPr>
        <w:pStyle w:val="12"/>
        <w:shd w:val="clear" w:color="auto" w:fill="auto"/>
        <w:ind w:firstLine="480"/>
        <w:rPr>
          <w:rFonts w:hint="eastAsia"/>
          <w:highlight w:val="none"/>
        </w:rPr>
      </w:pPr>
      <w:r>
        <w:rPr>
          <w:rFonts w:hint="eastAsia"/>
          <w:highlight w:val="none"/>
        </w:rPr>
        <w:t>住院超30天、非计划再次手术、出院10天内再入院、欠费超X万及死亡患者，均支持医生上报或通过系统对接自动获取。</w:t>
      </w:r>
    </w:p>
    <w:p w14:paraId="44391B47">
      <w:pPr>
        <w:pStyle w:val="6"/>
        <w:rPr>
          <w:rFonts w:hint="eastAsia"/>
          <w:highlight w:val="none"/>
        </w:rPr>
      </w:pPr>
      <w:r>
        <w:rPr>
          <w:rFonts w:hint="eastAsia"/>
          <w:highlight w:val="none"/>
          <w:lang w:val="en-US" w:eastAsia="zh-CN"/>
        </w:rPr>
        <w:t xml:space="preserve"> </w:t>
      </w:r>
      <w:r>
        <w:rPr>
          <w:rFonts w:hint="eastAsia"/>
          <w:highlight w:val="none"/>
        </w:rPr>
        <w:t>医政医务</w:t>
      </w:r>
    </w:p>
    <w:p w14:paraId="140AF460">
      <w:pPr>
        <w:pStyle w:val="12"/>
        <w:shd w:val="clear" w:color="auto" w:fill="auto"/>
        <w:ind w:firstLine="480"/>
        <w:rPr>
          <w:rFonts w:hint="eastAsia"/>
          <w:highlight w:val="none"/>
        </w:rPr>
      </w:pPr>
      <w:r>
        <w:rPr>
          <w:rFonts w:hint="eastAsia"/>
          <w:highlight w:val="none"/>
        </w:rPr>
        <w:t>医政医务文件管理支持目录创建、文件上传下载、权限管理及在线预览。</w:t>
      </w:r>
    </w:p>
    <w:p w14:paraId="31E15221">
      <w:pPr>
        <w:pStyle w:val="6"/>
        <w:rPr>
          <w:rFonts w:hint="eastAsia"/>
          <w:highlight w:val="none"/>
        </w:rPr>
      </w:pPr>
      <w:r>
        <w:rPr>
          <w:rFonts w:hint="eastAsia"/>
          <w:highlight w:val="none"/>
          <w:lang w:val="en-US" w:eastAsia="zh-CN"/>
        </w:rPr>
        <w:t xml:space="preserve"> </w:t>
      </w:r>
      <w:r>
        <w:rPr>
          <w:rFonts w:hint="eastAsia"/>
          <w:highlight w:val="none"/>
        </w:rPr>
        <w:t>低代码平台</w:t>
      </w:r>
    </w:p>
    <w:p w14:paraId="0927C85D">
      <w:pPr>
        <w:pStyle w:val="12"/>
        <w:shd w:val="clear" w:color="auto" w:fill="auto"/>
        <w:ind w:firstLine="480"/>
        <w:rPr>
          <w:rFonts w:hint="eastAsia"/>
          <w:highlight w:val="none"/>
        </w:rPr>
      </w:pPr>
      <w:r>
        <w:rPr>
          <w:rFonts w:hint="eastAsia"/>
          <w:highlight w:val="none"/>
        </w:rPr>
        <w:t>表单配置：</w:t>
      </w:r>
    </w:p>
    <w:p w14:paraId="5FB56C20">
      <w:pPr>
        <w:pStyle w:val="12"/>
        <w:shd w:val="clear" w:color="auto" w:fill="auto"/>
        <w:ind w:firstLine="480"/>
        <w:rPr>
          <w:rFonts w:hint="eastAsia"/>
          <w:highlight w:val="none"/>
        </w:rPr>
      </w:pPr>
      <w:r>
        <w:rPr>
          <w:rFonts w:hint="eastAsia"/>
          <w:highlight w:val="none"/>
        </w:rPr>
        <w:t>支持医师档案、资质授权及新技术准入等申请表单的灵活配置。</w:t>
      </w:r>
    </w:p>
    <w:p w14:paraId="749D926F">
      <w:pPr>
        <w:pStyle w:val="12"/>
        <w:shd w:val="clear" w:color="auto" w:fill="auto"/>
        <w:ind w:firstLine="480"/>
        <w:rPr>
          <w:rFonts w:hint="eastAsia"/>
          <w:highlight w:val="none"/>
        </w:rPr>
      </w:pPr>
      <w:r>
        <w:rPr>
          <w:rFonts w:hint="eastAsia"/>
          <w:highlight w:val="none"/>
        </w:rPr>
        <w:t>1.支持新建、预览、生成菜单、复制、导出表单及数据管理；</w:t>
      </w:r>
    </w:p>
    <w:p w14:paraId="04EEED05">
      <w:pPr>
        <w:pStyle w:val="12"/>
        <w:shd w:val="clear" w:color="auto" w:fill="auto"/>
        <w:ind w:firstLine="480"/>
        <w:rPr>
          <w:rFonts w:hint="eastAsia"/>
          <w:highlight w:val="none"/>
        </w:rPr>
      </w:pPr>
      <w:r>
        <w:rPr>
          <w:rFonts w:hint="eastAsia"/>
          <w:highlight w:val="none"/>
        </w:rPr>
        <w:t>2.支持表单设置，包含基础控件（如单行/多行输入、文件上传、按钮等不少于20种）、高级控件（如组织/岗位/角色选择、下拉树、弹窗等不少于20种）、系统控件和布局控件（分组、折叠面板等不少于6种）；</w:t>
      </w:r>
    </w:p>
    <w:p w14:paraId="5FFECE17">
      <w:pPr>
        <w:pStyle w:val="12"/>
        <w:shd w:val="clear" w:color="auto" w:fill="auto"/>
        <w:ind w:firstLine="480"/>
        <w:rPr>
          <w:rFonts w:hint="eastAsia"/>
          <w:highlight w:val="none"/>
        </w:rPr>
      </w:pPr>
      <w:r>
        <w:rPr>
          <w:rFonts w:hint="eastAsia"/>
          <w:highlight w:val="none"/>
        </w:rPr>
        <w:t>3.支持PC端与移动端样式配置。</w:t>
      </w:r>
    </w:p>
    <w:p w14:paraId="5F64BA97">
      <w:pPr>
        <w:pStyle w:val="12"/>
        <w:shd w:val="clear" w:color="auto" w:fill="auto"/>
        <w:ind w:firstLine="480"/>
        <w:rPr>
          <w:rFonts w:hint="eastAsia"/>
          <w:highlight w:val="none"/>
        </w:rPr>
      </w:pPr>
      <w:r>
        <w:rPr>
          <w:rFonts w:hint="eastAsia"/>
          <w:highlight w:val="none"/>
        </w:rPr>
        <w:t>流程引擎工具：</w:t>
      </w:r>
    </w:p>
    <w:p w14:paraId="50FF14BC">
      <w:pPr>
        <w:pStyle w:val="12"/>
        <w:shd w:val="clear" w:color="auto" w:fill="auto"/>
        <w:ind w:firstLine="480"/>
        <w:rPr>
          <w:rFonts w:hint="eastAsia"/>
          <w:highlight w:val="none"/>
        </w:rPr>
      </w:pPr>
      <w:r>
        <w:rPr>
          <w:rFonts w:hint="eastAsia"/>
          <w:highlight w:val="none"/>
        </w:rPr>
        <w:t>1.以流程图形式配置审批流程；</w:t>
      </w:r>
    </w:p>
    <w:p w14:paraId="704A02E1">
      <w:pPr>
        <w:pStyle w:val="12"/>
        <w:shd w:val="clear" w:color="auto" w:fill="auto"/>
        <w:ind w:firstLine="480"/>
        <w:rPr>
          <w:rFonts w:hint="eastAsia"/>
          <w:highlight w:val="none"/>
        </w:rPr>
      </w:pPr>
      <w:r>
        <w:rPr>
          <w:rFonts w:hint="eastAsia"/>
          <w:highlight w:val="none"/>
        </w:rPr>
        <w:t>2.支持节点条件判断，满足条件方可进入下一步；</w:t>
      </w:r>
    </w:p>
    <w:p w14:paraId="389AE6CC">
      <w:pPr>
        <w:pStyle w:val="12"/>
        <w:shd w:val="clear" w:color="auto" w:fill="auto"/>
        <w:ind w:firstLine="480"/>
        <w:rPr>
          <w:rFonts w:hint="eastAsia"/>
          <w:highlight w:val="none"/>
        </w:rPr>
      </w:pPr>
      <w:r>
        <w:rPr>
          <w:rFonts w:hint="eastAsia"/>
          <w:highlight w:val="none"/>
        </w:rPr>
        <w:t>3.支持流程的设计、发布、上架、下架与复制。</w:t>
      </w:r>
    </w:p>
    <w:p w14:paraId="1ACCFD05">
      <w:pPr>
        <w:pStyle w:val="12"/>
        <w:shd w:val="clear" w:color="auto" w:fill="auto"/>
        <w:ind w:firstLine="480"/>
        <w:rPr>
          <w:rFonts w:hint="eastAsia"/>
          <w:highlight w:val="none"/>
        </w:rPr>
      </w:pPr>
      <w:r>
        <w:rPr>
          <w:rFonts w:hint="eastAsia"/>
          <w:highlight w:val="none"/>
        </w:rPr>
        <w:t>系统门户配置：</w:t>
      </w:r>
    </w:p>
    <w:p w14:paraId="3C0E67EE">
      <w:pPr>
        <w:pStyle w:val="12"/>
        <w:shd w:val="clear" w:color="auto" w:fill="auto"/>
        <w:ind w:firstLine="480"/>
        <w:rPr>
          <w:rFonts w:hint="eastAsia"/>
          <w:highlight w:val="none"/>
        </w:rPr>
      </w:pPr>
      <w:r>
        <w:rPr>
          <w:rFonts w:hint="eastAsia"/>
          <w:highlight w:val="none"/>
        </w:rPr>
        <w:t>1.可设计门户页面，支持拖拽添加布局（卡片、标签面板）、基础（文本、常用功能）、系统（我的待办、待签事项）及图表控件（柱状图、饼图等），并可调整控件大小及配置属性，支持多端显示；</w:t>
      </w:r>
    </w:p>
    <w:p w14:paraId="4A462581">
      <w:pPr>
        <w:pStyle w:val="12"/>
        <w:shd w:val="clear" w:color="auto" w:fill="auto"/>
        <w:ind w:firstLine="480"/>
        <w:rPr>
          <w:rFonts w:hint="eastAsia"/>
          <w:highlight w:val="none"/>
        </w:rPr>
      </w:pPr>
      <w:r>
        <w:rPr>
          <w:rFonts w:hint="eastAsia"/>
          <w:highlight w:val="none"/>
        </w:rPr>
        <w:t>2.支持点击待办任务进行执行与审核操作。</w:t>
      </w:r>
    </w:p>
    <w:p w14:paraId="03BB53BC">
      <w:pPr>
        <w:pStyle w:val="6"/>
        <w:rPr>
          <w:rFonts w:hint="eastAsia"/>
          <w:highlight w:val="none"/>
        </w:rPr>
      </w:pPr>
      <w:r>
        <w:rPr>
          <w:rFonts w:hint="eastAsia"/>
          <w:highlight w:val="none"/>
          <w:lang w:val="en-US" w:eastAsia="zh-CN"/>
        </w:rPr>
        <w:t xml:space="preserve"> </w:t>
      </w:r>
      <w:r>
        <w:rPr>
          <w:rFonts w:hint="eastAsia"/>
          <w:highlight w:val="none"/>
        </w:rPr>
        <w:t>移动端</w:t>
      </w:r>
    </w:p>
    <w:p w14:paraId="569665F2">
      <w:pPr>
        <w:pStyle w:val="12"/>
        <w:shd w:val="clear" w:color="auto" w:fill="auto"/>
        <w:ind w:firstLine="480"/>
        <w:rPr>
          <w:rFonts w:hint="eastAsia"/>
          <w:highlight w:val="none"/>
        </w:rPr>
      </w:pPr>
      <w:r>
        <w:rPr>
          <w:rFonts w:hint="eastAsia"/>
          <w:highlight w:val="none"/>
        </w:rPr>
        <w:t>消息提醒、在线审核（含资质、技术、外出、档案审批待办）及移动端门户配置等功能。</w:t>
      </w:r>
    </w:p>
    <w:p w14:paraId="322848FB">
      <w:pPr>
        <w:pStyle w:val="6"/>
        <w:rPr>
          <w:rFonts w:hint="eastAsia"/>
          <w:highlight w:val="none"/>
        </w:rPr>
      </w:pPr>
      <w:r>
        <w:rPr>
          <w:rFonts w:hint="eastAsia"/>
          <w:highlight w:val="none"/>
          <w:lang w:val="en-US" w:eastAsia="zh-CN"/>
        </w:rPr>
        <w:t xml:space="preserve"> </w:t>
      </w:r>
      <w:r>
        <w:rPr>
          <w:rFonts w:hint="eastAsia"/>
          <w:highlight w:val="none"/>
        </w:rPr>
        <w:t>系统管理</w:t>
      </w:r>
    </w:p>
    <w:p w14:paraId="2DA51368">
      <w:pPr>
        <w:pStyle w:val="12"/>
        <w:shd w:val="clear" w:color="auto" w:fill="auto"/>
        <w:ind w:firstLine="480"/>
        <w:rPr>
          <w:rFonts w:hint="eastAsia"/>
          <w:highlight w:val="none"/>
        </w:rPr>
      </w:pPr>
      <w:r>
        <w:rPr>
          <w:rFonts w:hint="eastAsia"/>
          <w:highlight w:val="none"/>
        </w:rPr>
        <w:t>首页可按用户角色个性化配置，显示对应指标驾驶舱。支持用户与角色管理，采用多租户架构实现集团化管理。提供报表权限配置功能。菜单支持三种展示方式：左侧传统布局（可悬浮或折叠）、简约按钮式平铺展示、支持带父级显示的菜单检索。</w:t>
      </w:r>
    </w:p>
    <w:p w14:paraId="54B610E7">
      <w:pPr>
        <w:pStyle w:val="5"/>
        <w:rPr>
          <w:rFonts w:hint="eastAsia"/>
          <w:highlight w:val="none"/>
        </w:rPr>
      </w:pPr>
      <w:r>
        <w:rPr>
          <w:rFonts w:hint="eastAsia"/>
          <w:highlight w:val="none"/>
          <w:lang w:val="en-US" w:eastAsia="zh-CN"/>
        </w:rPr>
        <w:t xml:space="preserve"> </w:t>
      </w:r>
      <w:r>
        <w:rPr>
          <w:rFonts w:hint="eastAsia"/>
          <w:highlight w:val="none"/>
        </w:rPr>
        <w:t>临床危急值管理</w:t>
      </w:r>
    </w:p>
    <w:p w14:paraId="5FD82A9C">
      <w:pPr>
        <w:pStyle w:val="6"/>
        <w:rPr>
          <w:rFonts w:hint="eastAsia"/>
          <w:highlight w:val="none"/>
        </w:rPr>
      </w:pPr>
      <w:bookmarkStart w:id="192" w:name="_Toc197780039"/>
      <w:r>
        <w:rPr>
          <w:rFonts w:hint="eastAsia"/>
          <w:highlight w:val="none"/>
          <w:lang w:val="en-US" w:eastAsia="zh-CN"/>
        </w:rPr>
        <w:t xml:space="preserve"> </w:t>
      </w:r>
      <w:r>
        <w:rPr>
          <w:rFonts w:hint="eastAsia"/>
          <w:highlight w:val="none"/>
        </w:rPr>
        <w:t>危急值上报</w:t>
      </w:r>
      <w:bookmarkEnd w:id="192"/>
    </w:p>
    <w:p w14:paraId="68AFC153">
      <w:pPr>
        <w:pStyle w:val="12"/>
        <w:shd w:val="clear" w:color="auto" w:fill="auto"/>
        <w:ind w:firstLine="480"/>
        <w:rPr>
          <w:rFonts w:hint="eastAsia"/>
          <w:highlight w:val="none"/>
        </w:rPr>
      </w:pPr>
      <w:r>
        <w:rPr>
          <w:rFonts w:hint="eastAsia"/>
          <w:highlight w:val="none"/>
        </w:rPr>
        <w:t>支持危急值上报终端维护，支持全类目的检查、检验危急值上报。</w:t>
      </w:r>
    </w:p>
    <w:p w14:paraId="485E647B">
      <w:pPr>
        <w:pStyle w:val="12"/>
        <w:shd w:val="clear" w:color="auto" w:fill="auto"/>
        <w:ind w:firstLine="480"/>
        <w:rPr>
          <w:rFonts w:hint="eastAsia"/>
          <w:highlight w:val="none"/>
        </w:rPr>
      </w:pPr>
      <w:r>
        <w:rPr>
          <w:rFonts w:hint="eastAsia"/>
          <w:highlight w:val="none"/>
        </w:rPr>
        <w:t>检验：常规检验、微生物检验；</w:t>
      </w:r>
    </w:p>
    <w:p w14:paraId="581C4760">
      <w:pPr>
        <w:pStyle w:val="12"/>
        <w:shd w:val="clear" w:color="auto" w:fill="auto"/>
        <w:ind w:firstLine="480"/>
        <w:rPr>
          <w:rFonts w:hint="eastAsia"/>
          <w:highlight w:val="none"/>
        </w:rPr>
      </w:pPr>
      <w:r>
        <w:rPr>
          <w:rFonts w:hint="eastAsia"/>
          <w:highlight w:val="none"/>
        </w:rPr>
        <w:t>检查：CT、超声、X线、DR、MRI、病理、心电、核磁、脑电。</w:t>
      </w:r>
    </w:p>
    <w:p w14:paraId="6CD0190B">
      <w:pPr>
        <w:pStyle w:val="6"/>
        <w:rPr>
          <w:rFonts w:hint="eastAsia"/>
          <w:highlight w:val="none"/>
        </w:rPr>
      </w:pPr>
      <w:bookmarkStart w:id="193" w:name="_Toc197780040"/>
      <w:r>
        <w:rPr>
          <w:rFonts w:hint="eastAsia"/>
          <w:highlight w:val="none"/>
          <w:lang w:val="en-US" w:eastAsia="zh-CN"/>
        </w:rPr>
        <w:t xml:space="preserve"> </w:t>
      </w:r>
      <w:r>
        <w:rPr>
          <w:rFonts w:hint="eastAsia"/>
          <w:highlight w:val="none"/>
        </w:rPr>
        <w:t>危急值提醒</w:t>
      </w:r>
      <w:bookmarkEnd w:id="193"/>
    </w:p>
    <w:p w14:paraId="262BC4DC">
      <w:pPr>
        <w:pStyle w:val="12"/>
        <w:shd w:val="clear" w:color="auto" w:fill="auto"/>
        <w:ind w:firstLine="480"/>
        <w:rPr>
          <w:rFonts w:hint="eastAsia"/>
          <w:highlight w:val="none"/>
        </w:rPr>
      </w:pPr>
      <w:r>
        <w:rPr>
          <w:rFonts w:hint="eastAsia"/>
          <w:highlight w:val="none"/>
        </w:rPr>
        <w:t>支持终端上报危急值后，按预设规则向相关医生、护士及责任人发送提醒，并通过霸屏方式强制中断其工作站操作，确保第一时间处理，提升响应速度与医疗安全。若一级提醒未及时响应，系统将自动升级提醒，支持自定义升级时间、范围及指定处理小组。</w:t>
      </w:r>
    </w:p>
    <w:p w14:paraId="6A8F28CC">
      <w:pPr>
        <w:pStyle w:val="12"/>
        <w:shd w:val="clear" w:color="auto" w:fill="auto"/>
        <w:ind w:firstLine="480"/>
        <w:rPr>
          <w:rFonts w:hint="eastAsia"/>
          <w:highlight w:val="none"/>
        </w:rPr>
      </w:pPr>
      <w:r>
        <w:rPr>
          <w:rFonts w:hint="eastAsia"/>
          <w:highlight w:val="none"/>
        </w:rPr>
        <w:t>系统具备多渠道自动提醒功能，包括电脑弹窗、短信、微信等，覆盖台式机、平板、手机（含企业微信）等多种设备，支持全流程消息处理与记录，并智能识别超时未处理项，持续霸屏提醒直至完成。</w:t>
      </w:r>
    </w:p>
    <w:p w14:paraId="6752DEED">
      <w:pPr>
        <w:pStyle w:val="12"/>
        <w:shd w:val="clear" w:color="auto" w:fill="auto"/>
        <w:ind w:firstLine="480"/>
        <w:rPr>
          <w:rFonts w:hint="eastAsia"/>
          <w:highlight w:val="none"/>
        </w:rPr>
      </w:pPr>
      <w:r>
        <w:rPr>
          <w:rFonts w:hint="eastAsia"/>
          <w:highlight w:val="none"/>
        </w:rPr>
        <w:t>支持按科室自定义维护四级提醒规则：</w:t>
      </w:r>
    </w:p>
    <w:p w14:paraId="53916358">
      <w:pPr>
        <w:pStyle w:val="12"/>
        <w:shd w:val="clear" w:color="auto" w:fill="auto"/>
        <w:ind w:firstLine="480"/>
        <w:rPr>
          <w:rFonts w:hint="eastAsia"/>
          <w:highlight w:val="none"/>
        </w:rPr>
      </w:pPr>
      <w:r>
        <w:rPr>
          <w:rFonts w:hint="eastAsia"/>
          <w:highlight w:val="none"/>
        </w:rPr>
        <w:t>一级：门诊通知开单/挂号医生，住院通知开单医生、责任医生及护士，可选短信提醒；</w:t>
      </w:r>
    </w:p>
    <w:p w14:paraId="43B21591">
      <w:pPr>
        <w:pStyle w:val="12"/>
        <w:shd w:val="clear" w:color="auto" w:fill="auto"/>
        <w:ind w:firstLine="480"/>
        <w:rPr>
          <w:rFonts w:hint="eastAsia"/>
          <w:highlight w:val="none"/>
        </w:rPr>
      </w:pPr>
      <w:r>
        <w:rPr>
          <w:rFonts w:hint="eastAsia"/>
          <w:highlight w:val="none"/>
        </w:rPr>
        <w:t>二级：门诊通知全科医生或指定人员（如门诊护士组），住院通知全科医生、全病区护士、医疗组或指定小组，可选短信；</w:t>
      </w:r>
    </w:p>
    <w:p w14:paraId="3289FAF1">
      <w:pPr>
        <w:pStyle w:val="12"/>
        <w:shd w:val="clear" w:color="auto" w:fill="auto"/>
        <w:ind w:firstLine="480"/>
        <w:rPr>
          <w:rFonts w:hint="eastAsia"/>
          <w:highlight w:val="none"/>
        </w:rPr>
      </w:pPr>
      <w:r>
        <w:rPr>
          <w:rFonts w:hint="eastAsia"/>
          <w:highlight w:val="none"/>
        </w:rPr>
        <w:t>三级：通知科主任或副主任，可设多人，支持短信；</w:t>
      </w:r>
    </w:p>
    <w:p w14:paraId="6761852E">
      <w:pPr>
        <w:pStyle w:val="12"/>
        <w:shd w:val="clear" w:color="auto" w:fill="auto"/>
        <w:ind w:firstLine="480"/>
        <w:rPr>
          <w:rFonts w:hint="eastAsia"/>
          <w:highlight w:val="none"/>
        </w:rPr>
      </w:pPr>
      <w:r>
        <w:rPr>
          <w:rFonts w:hint="eastAsia"/>
          <w:highlight w:val="none"/>
        </w:rPr>
        <w:t>四级：终极提醒，可扩展无限升级，通知医务科或分管副院长，灵活配置人员与短信提醒。</w:t>
      </w:r>
    </w:p>
    <w:p w14:paraId="16AF7EA3">
      <w:pPr>
        <w:pStyle w:val="12"/>
        <w:shd w:val="clear" w:color="auto" w:fill="auto"/>
        <w:ind w:firstLine="480"/>
        <w:rPr>
          <w:rFonts w:hint="eastAsia"/>
          <w:highlight w:val="none"/>
        </w:rPr>
      </w:pPr>
      <w:r>
        <w:rPr>
          <w:rFonts w:hint="eastAsia"/>
          <w:highlight w:val="none"/>
        </w:rPr>
        <w:t>可对接短信平台和滚动大屏，实现短信发送与投屏提醒。</w:t>
      </w:r>
    </w:p>
    <w:p w14:paraId="0CA8853B">
      <w:pPr>
        <w:pStyle w:val="6"/>
        <w:rPr>
          <w:rFonts w:hint="eastAsia"/>
          <w:highlight w:val="none"/>
        </w:rPr>
      </w:pPr>
      <w:bookmarkStart w:id="194" w:name="_Toc197780041"/>
      <w:r>
        <w:rPr>
          <w:rFonts w:hint="eastAsia"/>
          <w:highlight w:val="none"/>
          <w:lang w:val="en-US" w:eastAsia="zh-CN"/>
        </w:rPr>
        <w:t xml:space="preserve"> </w:t>
      </w:r>
      <w:r>
        <w:rPr>
          <w:rFonts w:hint="eastAsia"/>
          <w:highlight w:val="none"/>
        </w:rPr>
        <w:t>危急值查看</w:t>
      </w:r>
      <w:bookmarkEnd w:id="194"/>
    </w:p>
    <w:p w14:paraId="096F3895">
      <w:pPr>
        <w:pStyle w:val="12"/>
        <w:shd w:val="clear" w:color="auto" w:fill="auto"/>
        <w:ind w:firstLine="480"/>
        <w:rPr>
          <w:rFonts w:hint="eastAsia"/>
          <w:highlight w:val="none"/>
        </w:rPr>
      </w:pPr>
      <w:r>
        <w:rPr>
          <w:rFonts w:hint="eastAsia"/>
          <w:highlight w:val="none"/>
        </w:rPr>
        <w:t>支持危急值历史数据查询，可按照时间段、患者、上报终端、处理医生、科室、医疗组、处理状态查询全院危急值历史数据，可按照多个检索维度排序，支持分页。支持选择某条危急值查看危急值详细信息，可查看患者基本信息、患者诊断、危急值基本信息、危急值闭环情况及危急值处理方案。支持查看危急值项目的检查、检验报告单详情。</w:t>
      </w:r>
    </w:p>
    <w:p w14:paraId="7BCAB2AD">
      <w:pPr>
        <w:pStyle w:val="6"/>
        <w:rPr>
          <w:rFonts w:hint="eastAsia"/>
          <w:highlight w:val="none"/>
        </w:rPr>
      </w:pPr>
      <w:bookmarkStart w:id="195" w:name="_Toc197780042"/>
      <w:r>
        <w:rPr>
          <w:rFonts w:hint="eastAsia"/>
          <w:highlight w:val="none"/>
          <w:lang w:val="en-US" w:eastAsia="zh-CN"/>
        </w:rPr>
        <w:t xml:space="preserve"> </w:t>
      </w:r>
      <w:r>
        <w:rPr>
          <w:rFonts w:hint="eastAsia"/>
          <w:highlight w:val="none"/>
        </w:rPr>
        <w:t>危急值处理</w:t>
      </w:r>
      <w:bookmarkEnd w:id="195"/>
    </w:p>
    <w:p w14:paraId="4242ECA9">
      <w:pPr>
        <w:pStyle w:val="12"/>
        <w:shd w:val="clear" w:color="auto" w:fill="auto"/>
        <w:ind w:firstLine="480"/>
        <w:rPr>
          <w:rFonts w:hint="eastAsia"/>
          <w:highlight w:val="none"/>
        </w:rPr>
      </w:pPr>
      <w:r>
        <w:rPr>
          <w:rFonts w:hint="eastAsia"/>
          <w:highlight w:val="none"/>
        </w:rPr>
        <w:t>支持医生处理危急值，展示患者及危急值基本信息与状态，并关联相关检查检验报告。可按科室和项目匹配常用处理方案，支持一键录入，提升效率。可配置权限，护士仅可查看或开放处理功能。支持门急诊医护下班后，自动将危急值推送至住院等相关科室，由其他医护人员协助接收处理，确保及时响应。</w:t>
      </w:r>
    </w:p>
    <w:p w14:paraId="6230311B">
      <w:pPr>
        <w:pStyle w:val="6"/>
        <w:rPr>
          <w:rFonts w:hint="eastAsia"/>
          <w:highlight w:val="none"/>
        </w:rPr>
      </w:pPr>
      <w:bookmarkStart w:id="196" w:name="_Toc197780043"/>
      <w:r>
        <w:rPr>
          <w:rFonts w:hint="eastAsia"/>
          <w:highlight w:val="none"/>
          <w:lang w:val="en-US" w:eastAsia="zh-CN"/>
        </w:rPr>
        <w:t xml:space="preserve"> </w:t>
      </w:r>
      <w:r>
        <w:rPr>
          <w:rFonts w:hint="eastAsia"/>
          <w:highlight w:val="none"/>
        </w:rPr>
        <w:t>危急值病程同步</w:t>
      </w:r>
      <w:bookmarkEnd w:id="196"/>
    </w:p>
    <w:p w14:paraId="7A419592">
      <w:pPr>
        <w:pStyle w:val="12"/>
        <w:shd w:val="clear" w:color="auto" w:fill="auto"/>
        <w:ind w:firstLine="480"/>
        <w:rPr>
          <w:rFonts w:hint="eastAsia"/>
          <w:highlight w:val="none"/>
        </w:rPr>
      </w:pPr>
      <w:r>
        <w:rPr>
          <w:rFonts w:hint="eastAsia"/>
          <w:highlight w:val="none"/>
        </w:rPr>
        <w:t>支持与电子病历系统对接，医生在接收到患者危急值信息并处理完成后，可进入病程系统为患者创建危急值病程，危急值病程编写过程中可以直接引入患者危急值信息及危急值处理方案，简化医生操作，避免危急值处理方案重复录入。同时需支持闭环回写，医生保存病程并签名生效后，危急值管理平台会同步病程录入状态，记录危急值病程签名医生及危急值病程创建时间。</w:t>
      </w:r>
    </w:p>
    <w:p w14:paraId="1F45794A">
      <w:pPr>
        <w:pStyle w:val="6"/>
        <w:rPr>
          <w:rFonts w:hint="eastAsia"/>
          <w:highlight w:val="none"/>
        </w:rPr>
      </w:pPr>
      <w:bookmarkStart w:id="197" w:name="_Toc197780044"/>
      <w:r>
        <w:rPr>
          <w:rFonts w:hint="eastAsia"/>
          <w:highlight w:val="none"/>
          <w:lang w:val="en-US" w:eastAsia="zh-CN"/>
        </w:rPr>
        <w:t xml:space="preserve"> </w:t>
      </w:r>
      <w:r>
        <w:rPr>
          <w:rFonts w:hint="eastAsia"/>
          <w:highlight w:val="none"/>
        </w:rPr>
        <w:t>危急值闭环展示</w:t>
      </w:r>
      <w:bookmarkEnd w:id="197"/>
    </w:p>
    <w:p w14:paraId="281D2C71">
      <w:pPr>
        <w:pStyle w:val="12"/>
        <w:shd w:val="clear" w:color="auto" w:fill="auto"/>
        <w:ind w:firstLine="480"/>
        <w:rPr>
          <w:rFonts w:hint="eastAsia"/>
          <w:highlight w:val="none"/>
        </w:rPr>
      </w:pPr>
      <w:r>
        <w:rPr>
          <w:rFonts w:hint="eastAsia"/>
          <w:highlight w:val="none"/>
        </w:rPr>
        <w:t>支持《电子病历系统应用水平分级评价标准》（试行）评审要求，支持检查、检验危急值闭环展示。危急值业务全流程可追溯，由危急值发生、审核、发送、接收、处理、确认到危急值病程同步，均记录相关责任人、操作时间、操作科室信息。危急值发送医护信息、接收医护信息全数据保存。可辅助医疗责任划分、医疗事故调查、保障医疗安全。</w:t>
      </w:r>
    </w:p>
    <w:p w14:paraId="09576EC7">
      <w:pPr>
        <w:pStyle w:val="6"/>
        <w:rPr>
          <w:rFonts w:hint="eastAsia"/>
          <w:highlight w:val="none"/>
        </w:rPr>
      </w:pPr>
      <w:bookmarkStart w:id="198" w:name="_Toc197780045"/>
      <w:r>
        <w:rPr>
          <w:rFonts w:hint="eastAsia"/>
          <w:highlight w:val="none"/>
          <w:lang w:val="en-US" w:eastAsia="zh-CN"/>
        </w:rPr>
        <w:t xml:space="preserve"> </w:t>
      </w:r>
      <w:r>
        <w:rPr>
          <w:rFonts w:hint="eastAsia"/>
          <w:highlight w:val="none"/>
        </w:rPr>
        <w:t>危急值统计分析</w:t>
      </w:r>
      <w:bookmarkEnd w:id="198"/>
    </w:p>
    <w:p w14:paraId="76D589C2">
      <w:pPr>
        <w:pStyle w:val="12"/>
        <w:shd w:val="clear" w:color="auto" w:fill="auto"/>
        <w:ind w:firstLine="480"/>
        <w:rPr>
          <w:rFonts w:hint="eastAsia"/>
          <w:highlight w:val="none"/>
        </w:rPr>
      </w:pPr>
      <w:r>
        <w:rPr>
          <w:rFonts w:hint="eastAsia"/>
          <w:highlight w:val="none"/>
        </w:rPr>
        <w:t>支持危急值数据的全面分析与历史查询，提供院级、科室级统计展示：</w:t>
      </w:r>
    </w:p>
    <w:p w14:paraId="474DCE36">
      <w:pPr>
        <w:pStyle w:val="12"/>
        <w:shd w:val="clear" w:color="auto" w:fill="auto"/>
        <w:ind w:firstLine="480"/>
        <w:rPr>
          <w:rFonts w:hint="eastAsia"/>
          <w:highlight w:val="none"/>
        </w:rPr>
      </w:pPr>
      <w:r>
        <w:rPr>
          <w:rFonts w:hint="eastAsia"/>
          <w:highlight w:val="none"/>
        </w:rPr>
        <w:t>一、全院统计</w:t>
      </w:r>
    </w:p>
    <w:p w14:paraId="487FEA21">
      <w:pPr>
        <w:pStyle w:val="12"/>
        <w:shd w:val="clear" w:color="auto" w:fill="auto"/>
        <w:ind w:firstLine="480"/>
        <w:rPr>
          <w:rFonts w:hint="eastAsia"/>
          <w:highlight w:val="none"/>
        </w:rPr>
      </w:pPr>
      <w:r>
        <w:rPr>
          <w:rFonts w:hint="eastAsia"/>
          <w:highlight w:val="none"/>
        </w:rPr>
        <w:t>支持按时间段、上报终端、就诊类型、院区查询，每项可查看详情。</w:t>
      </w:r>
    </w:p>
    <w:p w14:paraId="497BE20E">
      <w:pPr>
        <w:pStyle w:val="12"/>
        <w:shd w:val="clear" w:color="auto" w:fill="auto"/>
        <w:ind w:firstLine="480"/>
        <w:rPr>
          <w:rFonts w:hint="eastAsia"/>
          <w:highlight w:val="none"/>
        </w:rPr>
      </w:pPr>
      <w:r>
        <w:rPr>
          <w:rFonts w:hint="eastAsia"/>
          <w:highlight w:val="none"/>
        </w:rPr>
        <w:t>数量统计：显示接入系统的终端类型及危急值发布数量，统计已处理、未接收、已接收未处理的数量。</w:t>
      </w:r>
    </w:p>
    <w:p w14:paraId="03902F73">
      <w:pPr>
        <w:pStyle w:val="12"/>
        <w:shd w:val="clear" w:color="auto" w:fill="auto"/>
        <w:ind w:firstLine="480"/>
        <w:rPr>
          <w:rFonts w:hint="eastAsia"/>
          <w:highlight w:val="none"/>
        </w:rPr>
      </w:pPr>
      <w:r>
        <w:rPr>
          <w:rFonts w:hint="eastAsia"/>
          <w:highlight w:val="none"/>
        </w:rPr>
        <w:t>分布统计：按门诊、住院科室或病区展示危急值分布。</w:t>
      </w:r>
    </w:p>
    <w:p w14:paraId="7F0607BE">
      <w:pPr>
        <w:pStyle w:val="12"/>
        <w:shd w:val="clear" w:color="auto" w:fill="auto"/>
        <w:ind w:firstLine="480"/>
        <w:rPr>
          <w:rFonts w:hint="eastAsia"/>
          <w:highlight w:val="none"/>
        </w:rPr>
      </w:pPr>
      <w:r>
        <w:rPr>
          <w:rFonts w:hint="eastAsia"/>
          <w:highlight w:val="none"/>
        </w:rPr>
        <w:t>处理及时率：统计已处理危急值的及时与超时情况，支持按科室或病区切换。</w:t>
      </w:r>
    </w:p>
    <w:p w14:paraId="2B4FC2DF">
      <w:pPr>
        <w:pStyle w:val="12"/>
        <w:shd w:val="clear" w:color="auto" w:fill="auto"/>
        <w:ind w:firstLine="480"/>
        <w:rPr>
          <w:rFonts w:hint="eastAsia"/>
          <w:highlight w:val="none"/>
        </w:rPr>
      </w:pPr>
      <w:r>
        <w:rPr>
          <w:rFonts w:hint="eastAsia"/>
          <w:highlight w:val="none"/>
        </w:rPr>
        <w:t>通报率与及时率：统计各终端的通报率及15分钟内通报达标率（符合国家要求）。</w:t>
      </w:r>
    </w:p>
    <w:p w14:paraId="7B0BE20E">
      <w:pPr>
        <w:pStyle w:val="12"/>
        <w:shd w:val="clear" w:color="auto" w:fill="auto"/>
        <w:ind w:firstLine="480"/>
        <w:rPr>
          <w:rFonts w:hint="eastAsia"/>
          <w:highlight w:val="none"/>
        </w:rPr>
      </w:pPr>
      <w:r>
        <w:rPr>
          <w:rFonts w:hint="eastAsia"/>
          <w:highlight w:val="none"/>
        </w:rPr>
        <w:t>排行榜：按科室或病区对危急值总数、处理率、及时率等进行排名展示。</w:t>
      </w:r>
    </w:p>
    <w:p w14:paraId="3183EFBA">
      <w:pPr>
        <w:pStyle w:val="12"/>
        <w:shd w:val="clear" w:color="auto" w:fill="auto"/>
        <w:ind w:firstLine="480"/>
        <w:rPr>
          <w:rFonts w:hint="eastAsia"/>
          <w:highlight w:val="none"/>
        </w:rPr>
      </w:pPr>
      <w:r>
        <w:rPr>
          <w:rFonts w:hint="eastAsia"/>
          <w:highlight w:val="none"/>
        </w:rPr>
        <w:t>二、科室统计</w:t>
      </w:r>
    </w:p>
    <w:p w14:paraId="60C5A8B7">
      <w:pPr>
        <w:pStyle w:val="12"/>
        <w:shd w:val="clear" w:color="auto" w:fill="auto"/>
        <w:ind w:firstLine="480"/>
        <w:rPr>
          <w:rFonts w:hint="eastAsia"/>
          <w:highlight w:val="none"/>
        </w:rPr>
      </w:pPr>
      <w:r>
        <w:rPr>
          <w:rFonts w:hint="eastAsia"/>
          <w:highlight w:val="none"/>
        </w:rPr>
        <w:t>支持按时间段和终端类型查询，突出全院对比：</w:t>
      </w:r>
    </w:p>
    <w:p w14:paraId="5DBD0CD4">
      <w:pPr>
        <w:pStyle w:val="12"/>
        <w:shd w:val="clear" w:color="auto" w:fill="auto"/>
        <w:ind w:firstLine="480"/>
        <w:rPr>
          <w:rFonts w:hint="eastAsia"/>
          <w:highlight w:val="none"/>
        </w:rPr>
      </w:pPr>
      <w:r>
        <w:rPr>
          <w:rFonts w:hint="eastAsia"/>
          <w:highlight w:val="none"/>
        </w:rPr>
        <w:t>展示科室在全院的四项关键指标排名（总数、处理数、处理率、及时率），并对比均值与占比。</w:t>
      </w:r>
    </w:p>
    <w:p w14:paraId="19ED9305">
      <w:pPr>
        <w:pStyle w:val="12"/>
        <w:shd w:val="clear" w:color="auto" w:fill="auto"/>
        <w:ind w:firstLine="480"/>
        <w:rPr>
          <w:rFonts w:hint="eastAsia"/>
          <w:highlight w:val="none"/>
        </w:rPr>
      </w:pPr>
      <w:r>
        <w:rPr>
          <w:rFonts w:hint="eastAsia"/>
          <w:highlight w:val="none"/>
        </w:rPr>
        <w:t>处理与分布：统计未接收、已接收未处理、已处理数量；门诊按责任医生、住院按医疗组或医生分布。</w:t>
      </w:r>
    </w:p>
    <w:p w14:paraId="45E9574C">
      <w:pPr>
        <w:pStyle w:val="12"/>
        <w:shd w:val="clear" w:color="auto" w:fill="auto"/>
        <w:ind w:firstLine="480"/>
        <w:rPr>
          <w:rFonts w:hint="eastAsia"/>
          <w:highlight w:val="none"/>
        </w:rPr>
      </w:pPr>
      <w:r>
        <w:rPr>
          <w:rFonts w:hint="eastAsia"/>
          <w:highlight w:val="none"/>
        </w:rPr>
        <w:t>处理及时性：按医疗组或处理医生展示及时情况。</w:t>
      </w:r>
    </w:p>
    <w:p w14:paraId="50EA4C1D">
      <w:pPr>
        <w:pStyle w:val="12"/>
        <w:shd w:val="clear" w:color="auto" w:fill="auto"/>
        <w:ind w:firstLine="480"/>
        <w:rPr>
          <w:rFonts w:hint="eastAsia"/>
          <w:highlight w:val="none"/>
        </w:rPr>
      </w:pPr>
      <w:r>
        <w:rPr>
          <w:rFonts w:hint="eastAsia"/>
          <w:highlight w:val="none"/>
        </w:rPr>
        <w:t>通报率：同住院标准统计。</w:t>
      </w:r>
    </w:p>
    <w:p w14:paraId="320BCF90">
      <w:pPr>
        <w:pStyle w:val="12"/>
        <w:shd w:val="clear" w:color="auto" w:fill="auto"/>
        <w:ind w:firstLine="480"/>
        <w:rPr>
          <w:rFonts w:hint="eastAsia"/>
          <w:highlight w:val="none"/>
        </w:rPr>
      </w:pPr>
      <w:r>
        <w:rPr>
          <w:rFonts w:hint="eastAsia"/>
          <w:highlight w:val="none"/>
        </w:rPr>
        <w:t>排行榜：按医疗组或处理医生排行展示。</w:t>
      </w:r>
    </w:p>
    <w:p w14:paraId="132D5E5B">
      <w:pPr>
        <w:pStyle w:val="12"/>
        <w:shd w:val="clear" w:color="auto" w:fill="auto"/>
        <w:ind w:firstLine="480"/>
        <w:rPr>
          <w:rFonts w:hint="eastAsia"/>
          <w:highlight w:val="none"/>
        </w:rPr>
      </w:pPr>
      <w:r>
        <w:rPr>
          <w:rFonts w:hint="eastAsia"/>
          <w:highlight w:val="none"/>
        </w:rPr>
        <w:t>支持上述各维度的详情查询，并配备专业图表，包括：</w:t>
      </w:r>
    </w:p>
    <w:p w14:paraId="382F0FDC">
      <w:pPr>
        <w:pStyle w:val="12"/>
        <w:shd w:val="clear" w:color="auto" w:fill="auto"/>
        <w:ind w:firstLine="480"/>
        <w:rPr>
          <w:rFonts w:hint="eastAsia"/>
          <w:highlight w:val="none"/>
        </w:rPr>
      </w:pPr>
      <w:r>
        <w:rPr>
          <w:rFonts w:hint="eastAsia"/>
          <w:highlight w:val="none"/>
        </w:rPr>
        <w:t>1)处理情况2)分布情况3)处理及时性4)通报情况查询统计页面等。</w:t>
      </w:r>
    </w:p>
    <w:p w14:paraId="19F33FE0">
      <w:pPr>
        <w:pStyle w:val="6"/>
        <w:rPr>
          <w:rFonts w:hint="eastAsia"/>
          <w:highlight w:val="none"/>
        </w:rPr>
      </w:pPr>
      <w:bookmarkStart w:id="199" w:name="_Toc197780046"/>
      <w:r>
        <w:rPr>
          <w:rFonts w:hint="eastAsia"/>
          <w:highlight w:val="none"/>
          <w:lang w:val="en-US" w:eastAsia="zh-CN"/>
        </w:rPr>
        <w:t xml:space="preserve"> </w:t>
      </w:r>
      <w:r>
        <w:rPr>
          <w:rFonts w:hint="eastAsia"/>
          <w:highlight w:val="none"/>
        </w:rPr>
        <w:t>危急值标准化接口</w:t>
      </w:r>
      <w:bookmarkEnd w:id="199"/>
    </w:p>
    <w:p w14:paraId="132E028D">
      <w:pPr>
        <w:pStyle w:val="12"/>
        <w:shd w:val="clear" w:color="auto" w:fill="auto"/>
        <w:ind w:firstLine="480"/>
        <w:rPr>
          <w:rFonts w:hint="eastAsia"/>
          <w:highlight w:val="none"/>
        </w:rPr>
      </w:pPr>
      <w:r>
        <w:rPr>
          <w:rFonts w:hint="eastAsia"/>
          <w:highlight w:val="none"/>
        </w:rPr>
        <w:t>支持标准化危急值上报流程，汇总全院信息，按科室配置提醒规则，并提供标准接口，对接短信、微信公众号、移动端及滚动大屏。需与医院信息平台无缝集成，遵循HL7V3标准，符合互联互通测评要求，涵盖检查、检验类危急值的上报、反馈及事件全流程（如发现、审核、处理、确认等）。对于无信息平台的环境，提供轻量级JSON接口，支持危急值上报、处理、查询及闭环节点保存，实现与各类临床系统的对接。</w:t>
      </w:r>
    </w:p>
    <w:p w14:paraId="67AD4615">
      <w:pPr>
        <w:pStyle w:val="6"/>
        <w:rPr>
          <w:rFonts w:hint="eastAsia"/>
          <w:highlight w:val="none"/>
        </w:rPr>
      </w:pPr>
      <w:bookmarkStart w:id="200" w:name="_Toc197780049"/>
      <w:r>
        <w:rPr>
          <w:rFonts w:hint="eastAsia"/>
          <w:highlight w:val="none"/>
          <w:lang w:val="en-US" w:eastAsia="zh-CN"/>
        </w:rPr>
        <w:t xml:space="preserve"> </w:t>
      </w:r>
      <w:r>
        <w:rPr>
          <w:rFonts w:hint="eastAsia"/>
          <w:highlight w:val="none"/>
        </w:rPr>
        <w:t>危急值系统维护</w:t>
      </w:r>
      <w:bookmarkEnd w:id="200"/>
    </w:p>
    <w:p w14:paraId="684E2355">
      <w:pPr>
        <w:pStyle w:val="12"/>
        <w:shd w:val="clear" w:color="auto" w:fill="auto"/>
        <w:ind w:firstLine="480"/>
        <w:rPr>
          <w:rFonts w:hint="eastAsia"/>
          <w:highlight w:val="none"/>
        </w:rPr>
      </w:pPr>
      <w:r>
        <w:rPr>
          <w:rFonts w:hint="eastAsia"/>
          <w:highlight w:val="none"/>
        </w:rPr>
        <w:t>支持危急值管理平台的终端类型维护、闭环节点维护及提醒规则配置，便于医院快速实现危急值闭环展示；支持多级个性化提醒、短信/微信提醒、大屏接入配置，以及互联网医院APP和微信小程序提醒。</w:t>
      </w:r>
    </w:p>
    <w:p w14:paraId="378A2868">
      <w:pPr>
        <w:pStyle w:val="5"/>
        <w:rPr>
          <w:rFonts w:hint="eastAsia"/>
          <w:highlight w:val="none"/>
        </w:rPr>
      </w:pPr>
      <w:r>
        <w:rPr>
          <w:rFonts w:hint="eastAsia"/>
          <w:highlight w:val="none"/>
          <w:lang w:val="en-US" w:eastAsia="zh-CN"/>
        </w:rPr>
        <w:t xml:space="preserve"> </w:t>
      </w:r>
      <w:r>
        <w:rPr>
          <w:rFonts w:hint="eastAsia"/>
          <w:highlight w:val="none"/>
        </w:rPr>
        <w:t>闭环管理</w:t>
      </w:r>
    </w:p>
    <w:p w14:paraId="11FA8E01">
      <w:pPr>
        <w:pStyle w:val="6"/>
        <w:rPr>
          <w:rFonts w:hint="eastAsia"/>
          <w:highlight w:val="none"/>
        </w:rPr>
      </w:pPr>
      <w:r>
        <w:rPr>
          <w:rFonts w:hint="eastAsia"/>
          <w:highlight w:val="none"/>
          <w:lang w:val="en-US" w:eastAsia="zh-CN"/>
        </w:rPr>
        <w:t xml:space="preserve"> </w:t>
      </w:r>
      <w:r>
        <w:rPr>
          <w:rFonts w:hint="eastAsia"/>
          <w:highlight w:val="none"/>
        </w:rPr>
        <w:t>门诊检查闭环</w:t>
      </w:r>
    </w:p>
    <w:p w14:paraId="0D552954">
      <w:pPr>
        <w:pStyle w:val="12"/>
        <w:shd w:val="clear" w:color="auto" w:fill="auto"/>
        <w:ind w:firstLine="480"/>
        <w:rPr>
          <w:rFonts w:hint="eastAsia"/>
          <w:highlight w:val="none"/>
        </w:rPr>
      </w:pPr>
      <w:r>
        <w:rPr>
          <w:rFonts w:hint="eastAsia"/>
          <w:highlight w:val="none"/>
        </w:rPr>
        <w:t>门诊检查闭环（含放射、超声、心电、内镜、病理及其他检查）流程如下：</w:t>
      </w:r>
    </w:p>
    <w:p w14:paraId="4E864172">
      <w:pPr>
        <w:pStyle w:val="12"/>
        <w:shd w:val="clear" w:color="auto" w:fill="auto"/>
        <w:ind w:firstLine="480"/>
        <w:rPr>
          <w:rFonts w:hint="eastAsia"/>
          <w:highlight w:val="none"/>
        </w:rPr>
      </w:pPr>
      <w:r>
        <w:rPr>
          <w:rFonts w:hint="eastAsia"/>
          <w:highlight w:val="none"/>
        </w:rPr>
        <w:t>1.开立检查：门诊医生通过申请单开立医嘱，系统支持CDSS规则校验，记录开立时间及开立人；</w:t>
      </w:r>
    </w:p>
    <w:p w14:paraId="1EED2EB4">
      <w:pPr>
        <w:pStyle w:val="12"/>
        <w:shd w:val="clear" w:color="auto" w:fill="auto"/>
        <w:ind w:firstLine="480"/>
        <w:rPr>
          <w:rFonts w:hint="eastAsia"/>
          <w:highlight w:val="none"/>
        </w:rPr>
      </w:pPr>
      <w:r>
        <w:rPr>
          <w:rFonts w:hint="eastAsia"/>
          <w:highlight w:val="none"/>
        </w:rPr>
        <w:t>2.预约登记：系统或人工按规则完成预约，记录登记时间及登记人（部分项目为动态节点）；</w:t>
      </w:r>
    </w:p>
    <w:p w14:paraId="516FB74A">
      <w:pPr>
        <w:pStyle w:val="12"/>
        <w:shd w:val="clear" w:color="auto" w:fill="auto"/>
        <w:ind w:firstLine="480"/>
        <w:rPr>
          <w:rFonts w:hint="eastAsia"/>
          <w:highlight w:val="none"/>
        </w:rPr>
      </w:pPr>
      <w:r>
        <w:rPr>
          <w:rFonts w:hint="eastAsia"/>
          <w:highlight w:val="none"/>
        </w:rPr>
        <w:t>3.患者缴费：患者完成缴费，记录缴费时间及缴费人；</w:t>
      </w:r>
    </w:p>
    <w:p w14:paraId="5C9CBB3A">
      <w:pPr>
        <w:pStyle w:val="12"/>
        <w:shd w:val="clear" w:color="auto" w:fill="auto"/>
        <w:ind w:firstLine="480"/>
        <w:rPr>
          <w:rFonts w:hint="eastAsia"/>
          <w:highlight w:val="none"/>
        </w:rPr>
      </w:pPr>
      <w:r>
        <w:rPr>
          <w:rFonts w:hint="eastAsia"/>
          <w:highlight w:val="none"/>
        </w:rPr>
        <w:t>4.报到确认：患者按预约至科室分诊台报到，记录报到时间及登记人（部分为动态节点）；</w:t>
      </w:r>
    </w:p>
    <w:p w14:paraId="79807591">
      <w:pPr>
        <w:pStyle w:val="12"/>
        <w:shd w:val="clear" w:color="auto" w:fill="auto"/>
        <w:ind w:firstLine="480"/>
        <w:rPr>
          <w:rFonts w:hint="eastAsia"/>
          <w:highlight w:val="none"/>
        </w:rPr>
      </w:pPr>
      <w:r>
        <w:rPr>
          <w:rFonts w:hint="eastAsia"/>
          <w:highlight w:val="none"/>
        </w:rPr>
        <w:t>5.入室检查：医师扫描腕带与申请单条码核对身份并确认入室，记录入室时间及核对人（部分为动态节点）；</w:t>
      </w:r>
    </w:p>
    <w:p w14:paraId="6A4C80CE">
      <w:pPr>
        <w:pStyle w:val="12"/>
        <w:shd w:val="clear" w:color="auto" w:fill="auto"/>
        <w:ind w:firstLine="480"/>
        <w:rPr>
          <w:rFonts w:hint="eastAsia"/>
          <w:highlight w:val="none"/>
        </w:rPr>
      </w:pPr>
      <w:r>
        <w:rPr>
          <w:rFonts w:hint="eastAsia"/>
          <w:highlight w:val="none"/>
        </w:rPr>
        <w:t>6.报告完成：检查完成后由科室医师书写报告，记录完成时间及完成人（均为动态节点，依业务调整）；</w:t>
      </w:r>
    </w:p>
    <w:p w14:paraId="52C84FCA">
      <w:pPr>
        <w:pStyle w:val="12"/>
        <w:shd w:val="clear" w:color="auto" w:fill="auto"/>
        <w:ind w:firstLine="480"/>
        <w:rPr>
          <w:rFonts w:hint="eastAsia"/>
          <w:highlight w:val="none"/>
        </w:rPr>
      </w:pPr>
      <w:r>
        <w:rPr>
          <w:rFonts w:hint="eastAsia"/>
          <w:highlight w:val="none"/>
        </w:rPr>
        <w:t>7.审核报告：上级医师审核报告，记录审核时间及审核人；</w:t>
      </w:r>
    </w:p>
    <w:p w14:paraId="3BBF08BD">
      <w:pPr>
        <w:pStyle w:val="12"/>
        <w:shd w:val="clear" w:color="auto" w:fill="auto"/>
        <w:ind w:firstLine="480"/>
        <w:rPr>
          <w:rFonts w:hint="eastAsia"/>
          <w:highlight w:val="none"/>
        </w:rPr>
      </w:pPr>
      <w:r>
        <w:rPr>
          <w:rFonts w:hint="eastAsia"/>
          <w:highlight w:val="none"/>
        </w:rPr>
        <w:t>8.危急值发送：发现危急值时，由检查科室通过PC端发送，记录发送时间及发送人（均为动态节点）；</w:t>
      </w:r>
    </w:p>
    <w:p w14:paraId="2D4E435A">
      <w:pPr>
        <w:pStyle w:val="12"/>
        <w:shd w:val="clear" w:color="auto" w:fill="auto"/>
        <w:ind w:firstLine="480"/>
        <w:rPr>
          <w:rFonts w:hint="eastAsia"/>
          <w:highlight w:val="none"/>
        </w:rPr>
      </w:pPr>
      <w:r>
        <w:rPr>
          <w:rFonts w:hint="eastAsia"/>
          <w:highlight w:val="none"/>
        </w:rPr>
        <w:t>9.危急值接收：医生站、护士站接收弹窗提醒并处理，记录接收处理时间及接收人。</w:t>
      </w:r>
    </w:p>
    <w:p w14:paraId="6045360A">
      <w:pPr>
        <w:pStyle w:val="12"/>
        <w:shd w:val="clear" w:color="auto" w:fill="auto"/>
        <w:ind w:firstLine="480"/>
        <w:rPr>
          <w:rFonts w:hint="eastAsia"/>
          <w:highlight w:val="none"/>
        </w:rPr>
      </w:pPr>
      <w:r>
        <w:rPr>
          <w:rFonts w:hint="eastAsia"/>
          <w:highlight w:val="none"/>
        </w:rPr>
        <w:t>各检查类型（放射、超声、心电、内镜、病理、其他）均遵循上述核心流程，差异仅在部分节点是否存在或执行方式，根据实际业务场景动态调整。病理类额外包含标本条码打印、采集、送检、签收与登记环节。</w:t>
      </w:r>
    </w:p>
    <w:p w14:paraId="2AA925FD">
      <w:pPr>
        <w:pStyle w:val="6"/>
        <w:rPr>
          <w:rFonts w:hint="eastAsia"/>
          <w:highlight w:val="none"/>
        </w:rPr>
      </w:pPr>
      <w:r>
        <w:rPr>
          <w:rFonts w:hint="eastAsia"/>
          <w:highlight w:val="none"/>
          <w:lang w:val="en-US" w:eastAsia="zh-CN"/>
        </w:rPr>
        <w:t xml:space="preserve"> </w:t>
      </w:r>
      <w:r>
        <w:rPr>
          <w:rFonts w:hint="eastAsia"/>
          <w:highlight w:val="none"/>
        </w:rPr>
        <w:t>门诊检验闭环</w:t>
      </w:r>
    </w:p>
    <w:p w14:paraId="64068FE9">
      <w:pPr>
        <w:pStyle w:val="12"/>
        <w:shd w:val="clear" w:color="auto" w:fill="auto"/>
        <w:ind w:firstLine="480"/>
        <w:rPr>
          <w:rFonts w:hint="eastAsia"/>
          <w:highlight w:val="none"/>
        </w:rPr>
      </w:pPr>
      <w:r>
        <w:rPr>
          <w:rFonts w:hint="eastAsia"/>
          <w:highlight w:val="none"/>
        </w:rPr>
        <w:t>1.开立检验：门诊医生通过CDSS规则校验后开立检验医嘱，记录开立时间及开立人；</w:t>
      </w:r>
    </w:p>
    <w:p w14:paraId="5AFD417F">
      <w:pPr>
        <w:pStyle w:val="12"/>
        <w:shd w:val="clear" w:color="auto" w:fill="auto"/>
        <w:ind w:firstLine="480"/>
        <w:rPr>
          <w:rFonts w:hint="eastAsia"/>
          <w:highlight w:val="none"/>
        </w:rPr>
      </w:pPr>
      <w:r>
        <w:rPr>
          <w:rFonts w:hint="eastAsia"/>
          <w:highlight w:val="none"/>
        </w:rPr>
        <w:t>2.患者缴费：患者完成缴费，记录缴费时间及缴费人；</w:t>
      </w:r>
    </w:p>
    <w:p w14:paraId="255288D8">
      <w:pPr>
        <w:pStyle w:val="12"/>
        <w:shd w:val="clear" w:color="auto" w:fill="auto"/>
        <w:ind w:firstLine="480"/>
        <w:rPr>
          <w:rFonts w:hint="eastAsia"/>
          <w:highlight w:val="none"/>
        </w:rPr>
      </w:pPr>
      <w:r>
        <w:rPr>
          <w:rFonts w:hint="eastAsia"/>
          <w:highlight w:val="none"/>
        </w:rPr>
        <w:t>3.打印条码：采血室打印并贴条码，记录打印时间及打印人；</w:t>
      </w:r>
    </w:p>
    <w:p w14:paraId="793CEBAD">
      <w:pPr>
        <w:pStyle w:val="12"/>
        <w:shd w:val="clear" w:color="auto" w:fill="auto"/>
        <w:ind w:firstLine="480"/>
        <w:rPr>
          <w:rFonts w:hint="eastAsia"/>
          <w:highlight w:val="none"/>
        </w:rPr>
      </w:pPr>
      <w:r>
        <w:rPr>
          <w:rFonts w:hint="eastAsia"/>
          <w:highlight w:val="none"/>
        </w:rPr>
        <w:t>4.样本采集：护士扫描条码采集样本，记录采集时间及采集人；</w:t>
      </w:r>
    </w:p>
    <w:p w14:paraId="126C2DD4">
      <w:pPr>
        <w:pStyle w:val="12"/>
        <w:shd w:val="clear" w:color="auto" w:fill="auto"/>
        <w:ind w:firstLine="480"/>
        <w:rPr>
          <w:rFonts w:hint="eastAsia"/>
          <w:highlight w:val="none"/>
        </w:rPr>
      </w:pPr>
      <w:r>
        <w:rPr>
          <w:rFonts w:hint="eastAsia"/>
          <w:highlight w:val="none"/>
        </w:rPr>
        <w:t>5.样本送检：护工扫码打包送检，记录送检时间及送检人；</w:t>
      </w:r>
    </w:p>
    <w:p w14:paraId="6CA1B462">
      <w:pPr>
        <w:pStyle w:val="12"/>
        <w:shd w:val="clear" w:color="auto" w:fill="auto"/>
        <w:ind w:firstLine="480"/>
        <w:rPr>
          <w:rFonts w:hint="eastAsia"/>
          <w:highlight w:val="none"/>
        </w:rPr>
      </w:pPr>
      <w:r>
        <w:rPr>
          <w:rFonts w:hint="eastAsia"/>
          <w:highlight w:val="none"/>
        </w:rPr>
        <w:t>6.样本接收：检验科扫码接收样本，记录接收时间及接收人；</w:t>
      </w:r>
    </w:p>
    <w:p w14:paraId="34DE82E0">
      <w:pPr>
        <w:pStyle w:val="12"/>
        <w:shd w:val="clear" w:color="auto" w:fill="auto"/>
        <w:ind w:firstLine="480"/>
        <w:rPr>
          <w:rFonts w:hint="eastAsia"/>
          <w:highlight w:val="none"/>
        </w:rPr>
      </w:pPr>
      <w:r>
        <w:rPr>
          <w:rFonts w:hint="eastAsia"/>
          <w:highlight w:val="none"/>
        </w:rPr>
        <w:t>7.样本核收：检验科核收样本并上机，记录核收时间及核收人；</w:t>
      </w:r>
    </w:p>
    <w:p w14:paraId="3DE90A9B">
      <w:pPr>
        <w:pStyle w:val="12"/>
        <w:shd w:val="clear" w:color="auto" w:fill="auto"/>
        <w:ind w:firstLine="480"/>
        <w:rPr>
          <w:rFonts w:hint="eastAsia"/>
          <w:highlight w:val="none"/>
        </w:rPr>
      </w:pPr>
      <w:r>
        <w:rPr>
          <w:rFonts w:hint="eastAsia"/>
          <w:highlight w:val="none"/>
        </w:rPr>
        <w:t>8.报告生成：检测完成后生成报告，记录生成时间及生成人；</w:t>
      </w:r>
    </w:p>
    <w:p w14:paraId="544EF3BA">
      <w:pPr>
        <w:pStyle w:val="12"/>
        <w:shd w:val="clear" w:color="auto" w:fill="auto"/>
        <w:ind w:firstLine="480"/>
        <w:rPr>
          <w:rFonts w:hint="eastAsia"/>
          <w:highlight w:val="none"/>
        </w:rPr>
      </w:pPr>
      <w:r>
        <w:rPr>
          <w:rFonts w:hint="eastAsia"/>
          <w:highlight w:val="none"/>
        </w:rPr>
        <w:t>9.报告审核：上级医师审核发布，结果回传，记录审核时间及审核人；</w:t>
      </w:r>
    </w:p>
    <w:p w14:paraId="549EDD33">
      <w:pPr>
        <w:pStyle w:val="12"/>
        <w:shd w:val="clear" w:color="auto" w:fill="auto"/>
        <w:ind w:firstLine="480"/>
        <w:rPr>
          <w:rFonts w:hint="eastAsia"/>
          <w:highlight w:val="none"/>
        </w:rPr>
      </w:pPr>
      <w:r>
        <w:rPr>
          <w:rFonts w:hint="eastAsia"/>
          <w:highlight w:val="none"/>
        </w:rPr>
        <w:t>10.危急值发送与接收：发现危急值得即时发送，医生护士接收并处理，记录发送、接收及处理时间与人员。</w:t>
      </w:r>
    </w:p>
    <w:p w14:paraId="534FA5A3">
      <w:pPr>
        <w:pStyle w:val="6"/>
        <w:rPr>
          <w:rFonts w:hint="eastAsia"/>
          <w:highlight w:val="none"/>
        </w:rPr>
      </w:pPr>
      <w:r>
        <w:rPr>
          <w:rFonts w:hint="eastAsia"/>
          <w:highlight w:val="none"/>
          <w:lang w:val="en-US" w:eastAsia="zh-CN"/>
        </w:rPr>
        <w:t xml:space="preserve"> </w:t>
      </w:r>
      <w:r>
        <w:rPr>
          <w:rFonts w:hint="eastAsia"/>
          <w:highlight w:val="none"/>
        </w:rPr>
        <w:t>住院检查闭环</w:t>
      </w:r>
    </w:p>
    <w:p w14:paraId="15957A6E">
      <w:pPr>
        <w:pStyle w:val="12"/>
        <w:shd w:val="clear" w:color="auto" w:fill="auto"/>
        <w:ind w:firstLine="480"/>
        <w:rPr>
          <w:rFonts w:hint="eastAsia"/>
          <w:highlight w:val="none"/>
        </w:rPr>
      </w:pPr>
      <w:r>
        <w:rPr>
          <w:rFonts w:hint="eastAsia"/>
          <w:highlight w:val="none"/>
        </w:rPr>
        <w:t>住院各类检查（放射、超声、心电、内镜、病理及其他）均遵循统一闭环管理流程，核心环节包括：</w:t>
      </w:r>
    </w:p>
    <w:p w14:paraId="0C5F8B9D">
      <w:pPr>
        <w:pStyle w:val="12"/>
        <w:shd w:val="clear" w:color="auto" w:fill="auto"/>
        <w:ind w:firstLine="480"/>
        <w:rPr>
          <w:rFonts w:hint="eastAsia"/>
          <w:highlight w:val="none"/>
        </w:rPr>
      </w:pPr>
      <w:r>
        <w:rPr>
          <w:rFonts w:hint="eastAsia"/>
          <w:highlight w:val="none"/>
        </w:rPr>
        <w:t>1.开立检查：病房医生通过医生站开立检查申请单，系统支持CDSS规则校验，记录医嘱开立时间及开立人。</w:t>
      </w:r>
    </w:p>
    <w:p w14:paraId="7C5BBF47">
      <w:pPr>
        <w:pStyle w:val="12"/>
        <w:shd w:val="clear" w:color="auto" w:fill="auto"/>
        <w:ind w:firstLine="480"/>
        <w:rPr>
          <w:rFonts w:hint="eastAsia"/>
          <w:highlight w:val="none"/>
        </w:rPr>
      </w:pPr>
      <w:r>
        <w:rPr>
          <w:rFonts w:hint="eastAsia"/>
          <w:highlight w:val="none"/>
        </w:rPr>
        <w:t>2.预约登记：系统自动按统一规则预约并登记（部分为动态节点，如床旁检查无此环节），记录登记时间及登记人。</w:t>
      </w:r>
    </w:p>
    <w:p w14:paraId="29B57C3C">
      <w:pPr>
        <w:pStyle w:val="12"/>
        <w:shd w:val="clear" w:color="auto" w:fill="auto"/>
        <w:ind w:firstLine="480"/>
        <w:rPr>
          <w:rFonts w:hint="eastAsia"/>
          <w:highlight w:val="none"/>
        </w:rPr>
      </w:pPr>
      <w:r>
        <w:rPr>
          <w:rFonts w:hint="eastAsia"/>
          <w:highlight w:val="none"/>
        </w:rPr>
        <w:t>3.医嘱审核：病房护士对已预约医嘱进行审核，记录审核时间及审核护士。</w:t>
      </w:r>
    </w:p>
    <w:p w14:paraId="4ABEDFF6">
      <w:pPr>
        <w:pStyle w:val="12"/>
        <w:shd w:val="clear" w:color="auto" w:fill="auto"/>
        <w:ind w:firstLine="480"/>
        <w:rPr>
          <w:rFonts w:hint="eastAsia"/>
          <w:highlight w:val="none"/>
        </w:rPr>
      </w:pPr>
      <w:r>
        <w:rPr>
          <w:rFonts w:hint="eastAsia"/>
          <w:highlight w:val="none"/>
        </w:rPr>
        <w:t>4.患者报到：患者按预约时间至相应科室分诊台报到确认，记录报到时间及登记人（部分为动态节点）。</w:t>
      </w:r>
    </w:p>
    <w:p w14:paraId="5A1BE030">
      <w:pPr>
        <w:pStyle w:val="12"/>
        <w:shd w:val="clear" w:color="auto" w:fill="auto"/>
        <w:ind w:firstLine="480"/>
        <w:rPr>
          <w:rFonts w:hint="eastAsia"/>
          <w:highlight w:val="none"/>
        </w:rPr>
      </w:pPr>
      <w:r>
        <w:rPr>
          <w:rFonts w:hint="eastAsia"/>
          <w:highlight w:val="none"/>
        </w:rPr>
        <w:t>5.入室检查：检查科室扫描患者腕带和申请单条码核对身份并确认入室，记录入室时间及核对人（部分为动态节点）。</w:t>
      </w:r>
    </w:p>
    <w:p w14:paraId="6FCFF252">
      <w:pPr>
        <w:pStyle w:val="12"/>
        <w:shd w:val="clear" w:color="auto" w:fill="auto"/>
        <w:ind w:firstLine="480"/>
        <w:rPr>
          <w:rFonts w:hint="eastAsia"/>
          <w:highlight w:val="none"/>
        </w:rPr>
      </w:pPr>
      <w:r>
        <w:rPr>
          <w:rFonts w:hint="eastAsia"/>
          <w:highlight w:val="none"/>
        </w:rPr>
        <w:t>6.报告完成：检查完成后由相应科室书写报告，记录报告完成时间及完成人（该节点根据业务场景可动态调整）。</w:t>
      </w:r>
    </w:p>
    <w:p w14:paraId="15BFC81F">
      <w:pPr>
        <w:pStyle w:val="12"/>
        <w:shd w:val="clear" w:color="auto" w:fill="auto"/>
        <w:ind w:firstLine="480"/>
        <w:rPr>
          <w:rFonts w:hint="eastAsia"/>
          <w:highlight w:val="none"/>
        </w:rPr>
      </w:pPr>
      <w:r>
        <w:rPr>
          <w:rFonts w:hint="eastAsia"/>
          <w:highlight w:val="none"/>
        </w:rPr>
        <w:t>7.审核报告：上级医师审核检查报告，记录审核时间及审核人。</w:t>
      </w:r>
    </w:p>
    <w:p w14:paraId="423669EE">
      <w:pPr>
        <w:pStyle w:val="12"/>
        <w:shd w:val="clear" w:color="auto" w:fill="auto"/>
        <w:ind w:firstLine="480"/>
        <w:rPr>
          <w:rFonts w:hint="eastAsia"/>
          <w:highlight w:val="none"/>
        </w:rPr>
      </w:pPr>
      <w:r>
        <w:rPr>
          <w:rFonts w:hint="eastAsia"/>
          <w:highlight w:val="none"/>
        </w:rPr>
        <w:t>8.危急值发送：发现危急值时，检查科室医师通过PC端发送预警信息，记录发送时间及发送人（动态节点）。</w:t>
      </w:r>
    </w:p>
    <w:p w14:paraId="7F7A3BD0">
      <w:pPr>
        <w:pStyle w:val="12"/>
        <w:shd w:val="clear" w:color="auto" w:fill="auto"/>
        <w:ind w:firstLine="480"/>
        <w:rPr>
          <w:rFonts w:hint="eastAsia"/>
          <w:highlight w:val="none"/>
        </w:rPr>
      </w:pPr>
      <w:r>
        <w:rPr>
          <w:rFonts w:hint="eastAsia"/>
          <w:highlight w:val="none"/>
        </w:rPr>
        <w:t>9.危急值接收：医生站、护士站弹窗提醒并需回复处理，记录接收处理时间及接收人（动态节点）。</w:t>
      </w:r>
    </w:p>
    <w:p w14:paraId="665EA1F6">
      <w:pPr>
        <w:pStyle w:val="12"/>
        <w:shd w:val="clear" w:color="auto" w:fill="auto"/>
        <w:ind w:firstLine="480"/>
        <w:rPr>
          <w:rFonts w:hint="eastAsia"/>
          <w:highlight w:val="none"/>
        </w:rPr>
      </w:pPr>
      <w:r>
        <w:rPr>
          <w:rFonts w:hint="eastAsia"/>
          <w:highlight w:val="none"/>
        </w:rPr>
        <w:t>10.病程书写：病房医生在规定时间内完成危急值相关病程记录，记录创建时间及创建人（动态节点）。</w:t>
      </w:r>
    </w:p>
    <w:p w14:paraId="41441A41">
      <w:pPr>
        <w:pStyle w:val="12"/>
        <w:shd w:val="clear" w:color="auto" w:fill="auto"/>
        <w:ind w:firstLine="480"/>
        <w:rPr>
          <w:rFonts w:hint="eastAsia"/>
          <w:highlight w:val="none"/>
        </w:rPr>
      </w:pPr>
      <w:r>
        <w:rPr>
          <w:rFonts w:hint="eastAsia"/>
          <w:highlight w:val="none"/>
        </w:rPr>
        <w:t>注：超声、心电、内镜、病理及其他检查中，涉及现场操作或业务模式差异的节点（如预约、报到、报告等）可根据医院实际设为动态调整节点，其余流程保持一致。病理类另含标本条码打印、采集、送检、签收与登记等专项步骤。</w:t>
      </w:r>
    </w:p>
    <w:p w14:paraId="400A1F1C">
      <w:pPr>
        <w:pStyle w:val="6"/>
        <w:rPr>
          <w:rFonts w:hint="eastAsia"/>
          <w:highlight w:val="none"/>
        </w:rPr>
      </w:pPr>
      <w:r>
        <w:rPr>
          <w:rFonts w:hint="eastAsia"/>
          <w:highlight w:val="none"/>
          <w:lang w:val="en-US" w:eastAsia="zh-CN"/>
        </w:rPr>
        <w:t xml:space="preserve"> </w:t>
      </w:r>
      <w:r>
        <w:rPr>
          <w:rFonts w:hint="eastAsia"/>
          <w:highlight w:val="none"/>
        </w:rPr>
        <w:t>住院检验闭环</w:t>
      </w:r>
    </w:p>
    <w:p w14:paraId="6780ABE6">
      <w:pPr>
        <w:pStyle w:val="12"/>
        <w:shd w:val="clear" w:color="auto" w:fill="auto"/>
        <w:ind w:firstLine="480"/>
        <w:rPr>
          <w:rFonts w:hint="eastAsia"/>
          <w:highlight w:val="none"/>
        </w:rPr>
      </w:pPr>
      <w:r>
        <w:rPr>
          <w:rFonts w:hint="eastAsia"/>
          <w:highlight w:val="none"/>
        </w:rPr>
        <w:t>1.开立检验：住院医生站具有检验项目CDSS规则校验，通过医嘱或检验申请单形式开立检验医嘱，需记录医嘱开立时间及开立人；</w:t>
      </w:r>
    </w:p>
    <w:p w14:paraId="172F47CC">
      <w:pPr>
        <w:pStyle w:val="12"/>
        <w:shd w:val="clear" w:color="auto" w:fill="auto"/>
        <w:ind w:firstLine="480"/>
        <w:rPr>
          <w:rFonts w:hint="eastAsia"/>
          <w:highlight w:val="none"/>
        </w:rPr>
      </w:pPr>
      <w:r>
        <w:rPr>
          <w:rFonts w:hint="eastAsia"/>
          <w:highlight w:val="none"/>
        </w:rPr>
        <w:t>2.医嘱审核：住院护士需对开立完成的检验医嘱进行审核，需记录审核时间及审核人；</w:t>
      </w:r>
    </w:p>
    <w:p w14:paraId="6813902D">
      <w:pPr>
        <w:pStyle w:val="12"/>
        <w:shd w:val="clear" w:color="auto" w:fill="auto"/>
        <w:ind w:firstLine="480"/>
        <w:rPr>
          <w:rFonts w:hint="eastAsia"/>
          <w:highlight w:val="none"/>
        </w:rPr>
      </w:pPr>
      <w:r>
        <w:rPr>
          <w:rFonts w:hint="eastAsia"/>
          <w:highlight w:val="none"/>
        </w:rPr>
        <w:t>3.打印条码：住院护士需对审核完成的检验医嘱进行条码打印，并贴管，需记录打印时间及打印人；</w:t>
      </w:r>
    </w:p>
    <w:p w14:paraId="2755C3B4">
      <w:pPr>
        <w:pStyle w:val="12"/>
        <w:shd w:val="clear" w:color="auto" w:fill="auto"/>
        <w:ind w:firstLine="480"/>
        <w:rPr>
          <w:rFonts w:hint="eastAsia"/>
          <w:highlight w:val="none"/>
        </w:rPr>
      </w:pPr>
      <w:r>
        <w:rPr>
          <w:rFonts w:hint="eastAsia"/>
          <w:highlight w:val="none"/>
        </w:rPr>
        <w:t>4.样本采集：住院护士需通过PDA扫描患者腕带身份确认，进行样本采集，需记录采集时间及采集人；</w:t>
      </w:r>
    </w:p>
    <w:p w14:paraId="5F5ED617">
      <w:pPr>
        <w:pStyle w:val="12"/>
        <w:shd w:val="clear" w:color="auto" w:fill="auto"/>
        <w:ind w:firstLine="480"/>
        <w:rPr>
          <w:rFonts w:hint="eastAsia"/>
          <w:highlight w:val="none"/>
        </w:rPr>
      </w:pPr>
      <w:r>
        <w:rPr>
          <w:rFonts w:hint="eastAsia"/>
          <w:highlight w:val="none"/>
        </w:rPr>
        <w:t>5.样本送检：样本全部采集完成后，需由护工/病房护士将标本统一扫码打包、送检，需记录送检时间及送检人；</w:t>
      </w:r>
    </w:p>
    <w:p w14:paraId="296B46C1">
      <w:pPr>
        <w:pStyle w:val="12"/>
        <w:shd w:val="clear" w:color="auto" w:fill="auto"/>
        <w:ind w:firstLine="480"/>
        <w:rPr>
          <w:rFonts w:hint="eastAsia"/>
          <w:highlight w:val="none"/>
        </w:rPr>
      </w:pPr>
      <w:r>
        <w:rPr>
          <w:rFonts w:hint="eastAsia"/>
          <w:highlight w:val="none"/>
        </w:rPr>
        <w:t>6.样本接收：样本送至检验科后，需由检验科医师对样本进行扫码接收，需记录接收时间及接收人；</w:t>
      </w:r>
    </w:p>
    <w:p w14:paraId="311CC185">
      <w:pPr>
        <w:pStyle w:val="12"/>
        <w:shd w:val="clear" w:color="auto" w:fill="auto"/>
        <w:ind w:firstLine="480"/>
        <w:rPr>
          <w:rFonts w:hint="eastAsia"/>
          <w:highlight w:val="none"/>
        </w:rPr>
      </w:pPr>
      <w:r>
        <w:rPr>
          <w:rFonts w:hint="eastAsia"/>
          <w:highlight w:val="none"/>
        </w:rPr>
        <w:t>7.样本核收：样本接收后，检验科医师需扫码核收至对应机器上机检测，需记录核收时间及核收人；</w:t>
      </w:r>
    </w:p>
    <w:p w14:paraId="513B16D8">
      <w:pPr>
        <w:pStyle w:val="12"/>
        <w:shd w:val="clear" w:color="auto" w:fill="auto"/>
        <w:ind w:firstLine="480"/>
        <w:rPr>
          <w:rFonts w:hint="eastAsia"/>
          <w:highlight w:val="none"/>
        </w:rPr>
      </w:pPr>
      <w:r>
        <w:rPr>
          <w:rFonts w:hint="eastAsia"/>
          <w:highlight w:val="none"/>
        </w:rPr>
        <w:t>8.报告生成：上机检测完成后，检验医师需生成报告，需记录报告生成时间及生成人；</w:t>
      </w:r>
    </w:p>
    <w:p w14:paraId="0079B497">
      <w:pPr>
        <w:pStyle w:val="12"/>
        <w:shd w:val="clear" w:color="auto" w:fill="auto"/>
        <w:ind w:firstLine="480"/>
        <w:rPr>
          <w:rFonts w:hint="eastAsia"/>
          <w:highlight w:val="none"/>
        </w:rPr>
      </w:pPr>
      <w:r>
        <w:rPr>
          <w:rFonts w:hint="eastAsia"/>
          <w:highlight w:val="none"/>
        </w:rPr>
        <w:t>9.报告审核：报告生成后，需由上级医师进行报告审核发布，并且结果通过系统回传至医护站，需记录审核时间及审核人；</w:t>
      </w:r>
    </w:p>
    <w:p w14:paraId="4FC19DBC">
      <w:pPr>
        <w:pStyle w:val="12"/>
        <w:shd w:val="clear" w:color="auto" w:fill="auto"/>
        <w:ind w:firstLine="480"/>
        <w:rPr>
          <w:rFonts w:hint="eastAsia"/>
          <w:highlight w:val="none"/>
        </w:rPr>
      </w:pPr>
      <w:r>
        <w:rPr>
          <w:rFonts w:hint="eastAsia"/>
          <w:highlight w:val="none"/>
        </w:rPr>
        <w:t>10.危急值发送（动态节点）：患者检验报告结果完成后，如发现有危急值，则检验科医师需通过PC端向医生、护士发送检查危急值结果，需记录发送时间及发送人；</w:t>
      </w:r>
    </w:p>
    <w:p w14:paraId="29C4476A">
      <w:pPr>
        <w:pStyle w:val="12"/>
        <w:shd w:val="clear" w:color="auto" w:fill="auto"/>
        <w:ind w:firstLine="480"/>
        <w:rPr>
          <w:rFonts w:hint="eastAsia"/>
          <w:highlight w:val="none"/>
        </w:rPr>
      </w:pPr>
      <w:r>
        <w:rPr>
          <w:rFonts w:hint="eastAsia"/>
          <w:highlight w:val="none"/>
        </w:rPr>
        <w:t>11.危急值接收（动态节点）：医生站、护士站需接收患者危急值消息弹窗提醒，并在系统中进行回复处理，需记录病房医生接收处理时间及接收人；</w:t>
      </w:r>
    </w:p>
    <w:p w14:paraId="3073D09C">
      <w:pPr>
        <w:pStyle w:val="12"/>
        <w:shd w:val="clear" w:color="auto" w:fill="auto"/>
        <w:ind w:firstLine="480"/>
        <w:rPr>
          <w:rFonts w:hint="eastAsia"/>
          <w:highlight w:val="none"/>
        </w:rPr>
      </w:pPr>
      <w:r>
        <w:rPr>
          <w:rFonts w:hint="eastAsia"/>
          <w:highlight w:val="none"/>
        </w:rPr>
        <w:t>12.病程书写（动态节点）：病房医生在接收患者危急值信息后，需在规定时间内书写患者危急值病程记录，需记录危急值病程记录创建时间及创建人。</w:t>
      </w:r>
    </w:p>
    <w:p w14:paraId="1BD7493B">
      <w:pPr>
        <w:pStyle w:val="6"/>
        <w:rPr>
          <w:rFonts w:hint="eastAsia"/>
          <w:highlight w:val="none"/>
        </w:rPr>
      </w:pPr>
      <w:r>
        <w:rPr>
          <w:rFonts w:hint="eastAsia"/>
          <w:highlight w:val="none"/>
          <w:lang w:val="en-US" w:eastAsia="zh-CN"/>
        </w:rPr>
        <w:t xml:space="preserve"> </w:t>
      </w:r>
      <w:r>
        <w:rPr>
          <w:rFonts w:hint="eastAsia"/>
          <w:highlight w:val="none"/>
        </w:rPr>
        <w:t>药品闭环</w:t>
      </w:r>
    </w:p>
    <w:p w14:paraId="7E710547">
      <w:pPr>
        <w:pStyle w:val="7"/>
        <w:rPr>
          <w:rFonts w:hint="eastAsia"/>
          <w:highlight w:val="none"/>
        </w:rPr>
      </w:pPr>
      <w:r>
        <w:rPr>
          <w:rFonts w:hint="eastAsia"/>
          <w:highlight w:val="none"/>
          <w:lang w:val="en-US" w:eastAsia="zh-CN"/>
        </w:rPr>
        <w:t xml:space="preserve"> </w:t>
      </w:r>
      <w:r>
        <w:rPr>
          <w:rFonts w:hint="eastAsia"/>
          <w:highlight w:val="none"/>
        </w:rPr>
        <w:t>住院药品闭环</w:t>
      </w:r>
    </w:p>
    <w:p w14:paraId="6CD08E1A">
      <w:pPr>
        <w:pStyle w:val="12"/>
        <w:shd w:val="clear" w:color="auto" w:fill="auto"/>
        <w:ind w:firstLine="480"/>
        <w:rPr>
          <w:rFonts w:hint="eastAsia"/>
          <w:highlight w:val="none"/>
        </w:rPr>
      </w:pPr>
      <w:r>
        <w:rPr>
          <w:rFonts w:hint="eastAsia"/>
          <w:highlight w:val="none"/>
        </w:rPr>
        <w:t>住院药品闭环（PIVAS）</w:t>
      </w:r>
    </w:p>
    <w:p w14:paraId="7D5B4180">
      <w:pPr>
        <w:pStyle w:val="12"/>
        <w:shd w:val="clear" w:color="auto" w:fill="auto"/>
        <w:ind w:firstLine="480"/>
        <w:rPr>
          <w:rFonts w:hint="eastAsia"/>
          <w:highlight w:val="none"/>
        </w:rPr>
      </w:pPr>
      <w:r>
        <w:rPr>
          <w:rFonts w:hint="eastAsia"/>
          <w:highlight w:val="none"/>
        </w:rPr>
        <w:t>1.医嘱开立：医生开立药疗医嘱，调用合理用药及权限管理，记录时间与开立人；</w:t>
      </w:r>
    </w:p>
    <w:p w14:paraId="760F94E6">
      <w:pPr>
        <w:pStyle w:val="12"/>
        <w:shd w:val="clear" w:color="auto" w:fill="auto"/>
        <w:ind w:firstLine="480"/>
        <w:rPr>
          <w:rFonts w:hint="eastAsia"/>
          <w:highlight w:val="none"/>
        </w:rPr>
      </w:pPr>
      <w:r>
        <w:rPr>
          <w:rFonts w:hint="eastAsia"/>
          <w:highlight w:val="none"/>
        </w:rPr>
        <w:t>2.医嘱审方：药师依据合理用药规则和患者信息进行事前审核，记录审方时间与审方人；</w:t>
      </w:r>
    </w:p>
    <w:p w14:paraId="49304591">
      <w:pPr>
        <w:pStyle w:val="12"/>
        <w:shd w:val="clear" w:color="auto" w:fill="auto"/>
        <w:ind w:firstLine="480"/>
        <w:rPr>
          <w:rFonts w:hint="eastAsia"/>
          <w:highlight w:val="none"/>
        </w:rPr>
      </w:pPr>
      <w:r>
        <w:rPr>
          <w:rFonts w:hint="eastAsia"/>
          <w:highlight w:val="none"/>
        </w:rPr>
        <w:t>3.医嘱审核：护士站审核通过后发送至药房，记录审核时间与审核人；</w:t>
      </w:r>
    </w:p>
    <w:p w14:paraId="252BFF83">
      <w:pPr>
        <w:pStyle w:val="12"/>
        <w:shd w:val="clear" w:color="auto" w:fill="auto"/>
        <w:ind w:firstLine="480"/>
        <w:rPr>
          <w:rFonts w:hint="eastAsia"/>
          <w:highlight w:val="none"/>
        </w:rPr>
      </w:pPr>
      <w:r>
        <w:rPr>
          <w:rFonts w:hint="eastAsia"/>
          <w:highlight w:val="none"/>
        </w:rPr>
        <w:t>4.摆药核对：药师完成静配药品摆药并核对，记录摆药时间与摆药人；</w:t>
      </w:r>
    </w:p>
    <w:p w14:paraId="680326A5">
      <w:pPr>
        <w:pStyle w:val="12"/>
        <w:shd w:val="clear" w:color="auto" w:fill="auto"/>
        <w:ind w:firstLine="480"/>
        <w:rPr>
          <w:rFonts w:hint="eastAsia"/>
          <w:highlight w:val="none"/>
        </w:rPr>
      </w:pPr>
      <w:r>
        <w:rPr>
          <w:rFonts w:hint="eastAsia"/>
          <w:highlight w:val="none"/>
        </w:rPr>
        <w:t>5.贴签入仓：打印瓶贴并入仓，记录入仓时间与操作人；</w:t>
      </w:r>
    </w:p>
    <w:p w14:paraId="3BD52AFA">
      <w:pPr>
        <w:pStyle w:val="12"/>
        <w:shd w:val="clear" w:color="auto" w:fill="auto"/>
        <w:ind w:firstLine="480"/>
        <w:rPr>
          <w:rFonts w:hint="eastAsia"/>
          <w:highlight w:val="none"/>
        </w:rPr>
      </w:pPr>
      <w:r>
        <w:rPr>
          <w:rFonts w:hint="eastAsia"/>
          <w:highlight w:val="none"/>
        </w:rPr>
        <w:t>6.仓内配置：静配中心护士配置药品，记录配置时间与配置人；</w:t>
      </w:r>
    </w:p>
    <w:p w14:paraId="0690AD69">
      <w:pPr>
        <w:pStyle w:val="12"/>
        <w:shd w:val="clear" w:color="auto" w:fill="auto"/>
        <w:ind w:firstLine="480"/>
        <w:rPr>
          <w:rFonts w:hint="eastAsia"/>
          <w:highlight w:val="none"/>
        </w:rPr>
      </w:pPr>
      <w:r>
        <w:rPr>
          <w:rFonts w:hint="eastAsia"/>
          <w:highlight w:val="none"/>
        </w:rPr>
        <w:t>7.出仓核对：护士出仓前核对，记录出仓时间与操作人；</w:t>
      </w:r>
    </w:p>
    <w:p w14:paraId="32D52F18">
      <w:pPr>
        <w:pStyle w:val="12"/>
        <w:shd w:val="clear" w:color="auto" w:fill="auto"/>
        <w:ind w:firstLine="480"/>
        <w:rPr>
          <w:rFonts w:hint="eastAsia"/>
          <w:highlight w:val="none"/>
        </w:rPr>
      </w:pPr>
      <w:r>
        <w:rPr>
          <w:rFonts w:hint="eastAsia"/>
          <w:highlight w:val="none"/>
        </w:rPr>
        <w:t>8.分拣发药：分拣静配药品，记录分拣时间与分拣人；</w:t>
      </w:r>
    </w:p>
    <w:p w14:paraId="1DEA8D05">
      <w:pPr>
        <w:pStyle w:val="12"/>
        <w:shd w:val="clear" w:color="auto" w:fill="auto"/>
        <w:ind w:firstLine="480"/>
        <w:rPr>
          <w:rFonts w:hint="eastAsia"/>
          <w:highlight w:val="none"/>
        </w:rPr>
      </w:pPr>
      <w:r>
        <w:rPr>
          <w:rFonts w:hint="eastAsia"/>
          <w:highlight w:val="none"/>
        </w:rPr>
        <w:t>9.打包配送：贴码打包配送，记录配送时间与配送人；</w:t>
      </w:r>
    </w:p>
    <w:p w14:paraId="125CE19E">
      <w:pPr>
        <w:pStyle w:val="12"/>
        <w:shd w:val="clear" w:color="auto" w:fill="auto"/>
        <w:ind w:firstLine="480"/>
        <w:rPr>
          <w:rFonts w:hint="eastAsia"/>
          <w:highlight w:val="none"/>
        </w:rPr>
      </w:pPr>
      <w:r>
        <w:rPr>
          <w:rFonts w:hint="eastAsia"/>
          <w:highlight w:val="none"/>
        </w:rPr>
        <w:t>10.药品接收：护士站与物流交接扫码核对，记录操作时间与操作人；</w:t>
      </w:r>
    </w:p>
    <w:p w14:paraId="4BE99D13">
      <w:pPr>
        <w:pStyle w:val="12"/>
        <w:shd w:val="clear" w:color="auto" w:fill="auto"/>
        <w:ind w:firstLine="480"/>
        <w:rPr>
          <w:rFonts w:hint="eastAsia"/>
          <w:highlight w:val="none"/>
        </w:rPr>
      </w:pPr>
      <w:r>
        <w:rPr>
          <w:rFonts w:hint="eastAsia"/>
          <w:highlight w:val="none"/>
        </w:rPr>
        <w:t>11.输液执行：护士扫描腕带核对身份并执行输液，记录执行时间与执行人；</w:t>
      </w:r>
    </w:p>
    <w:p w14:paraId="029B8679">
      <w:pPr>
        <w:pStyle w:val="12"/>
        <w:shd w:val="clear" w:color="auto" w:fill="auto"/>
        <w:ind w:firstLine="480"/>
        <w:rPr>
          <w:rFonts w:hint="eastAsia"/>
          <w:highlight w:val="none"/>
        </w:rPr>
      </w:pPr>
      <w:r>
        <w:rPr>
          <w:rFonts w:hint="eastAsia"/>
          <w:highlight w:val="none"/>
        </w:rPr>
        <w:t>12.输液巡回：在输液后15分钟、30分钟及结束后巡回观察，分别记录时间与巡回人；</w:t>
      </w:r>
    </w:p>
    <w:p w14:paraId="128BF980">
      <w:pPr>
        <w:pStyle w:val="12"/>
        <w:shd w:val="clear" w:color="auto" w:fill="auto"/>
        <w:ind w:firstLine="480"/>
        <w:rPr>
          <w:rFonts w:hint="eastAsia"/>
          <w:highlight w:val="none"/>
        </w:rPr>
      </w:pPr>
      <w:r>
        <w:rPr>
          <w:rFonts w:hint="eastAsia"/>
          <w:highlight w:val="none"/>
        </w:rPr>
        <w:t>13.输液结束：完成输液登记，记录完成时间与完成人；</w:t>
      </w:r>
    </w:p>
    <w:p w14:paraId="18D3AC84">
      <w:pPr>
        <w:pStyle w:val="12"/>
        <w:shd w:val="clear" w:color="auto" w:fill="auto"/>
        <w:ind w:firstLine="480"/>
        <w:rPr>
          <w:rFonts w:hint="eastAsia"/>
          <w:highlight w:val="none"/>
        </w:rPr>
      </w:pPr>
      <w:r>
        <w:rPr>
          <w:rFonts w:hint="eastAsia"/>
          <w:highlight w:val="none"/>
        </w:rPr>
        <w:t>14.不良反应上报：发生不良反应时由医师上报系统，记录上报时间与上报人；</w:t>
      </w:r>
    </w:p>
    <w:p w14:paraId="25D7C828">
      <w:pPr>
        <w:pStyle w:val="12"/>
        <w:shd w:val="clear" w:color="auto" w:fill="auto"/>
        <w:ind w:firstLine="480"/>
        <w:rPr>
          <w:rFonts w:hint="eastAsia"/>
          <w:highlight w:val="none"/>
        </w:rPr>
      </w:pPr>
      <w:r>
        <w:rPr>
          <w:rFonts w:hint="eastAsia"/>
          <w:highlight w:val="none"/>
        </w:rPr>
        <w:t>15.不良反应审核：药剂科审核不良反应记录，记录审核时间与审核人。</w:t>
      </w:r>
    </w:p>
    <w:p w14:paraId="776F1FD5">
      <w:pPr>
        <w:pStyle w:val="12"/>
        <w:shd w:val="clear" w:color="auto" w:fill="auto"/>
        <w:ind w:firstLine="480"/>
        <w:rPr>
          <w:rFonts w:hint="eastAsia"/>
          <w:highlight w:val="none"/>
        </w:rPr>
      </w:pPr>
      <w:r>
        <w:rPr>
          <w:rFonts w:hint="eastAsia"/>
          <w:highlight w:val="none"/>
        </w:rPr>
        <w:t>住院药品闭环（口服药）</w:t>
      </w:r>
    </w:p>
    <w:p w14:paraId="1187EA67">
      <w:pPr>
        <w:pStyle w:val="12"/>
        <w:shd w:val="clear" w:color="auto" w:fill="auto"/>
        <w:ind w:firstLine="480"/>
        <w:rPr>
          <w:rFonts w:hint="eastAsia"/>
          <w:highlight w:val="none"/>
        </w:rPr>
      </w:pPr>
      <w:r>
        <w:rPr>
          <w:rFonts w:hint="eastAsia"/>
          <w:highlight w:val="none"/>
        </w:rPr>
        <w:t>1.医嘱开立与审方同PIVAS流程；</w:t>
      </w:r>
    </w:p>
    <w:p w14:paraId="210057D9">
      <w:pPr>
        <w:pStyle w:val="12"/>
        <w:shd w:val="clear" w:color="auto" w:fill="auto"/>
        <w:ind w:firstLine="480"/>
        <w:rPr>
          <w:rFonts w:hint="eastAsia"/>
          <w:highlight w:val="none"/>
        </w:rPr>
      </w:pPr>
      <w:r>
        <w:rPr>
          <w:rFonts w:hint="eastAsia"/>
          <w:highlight w:val="none"/>
        </w:rPr>
        <w:t>2.医嘱审核：护士站审核后发送至药房包药机接口，记录审核信息；</w:t>
      </w:r>
    </w:p>
    <w:p w14:paraId="0162DFCE">
      <w:pPr>
        <w:pStyle w:val="12"/>
        <w:shd w:val="clear" w:color="auto" w:fill="auto"/>
        <w:ind w:firstLine="480"/>
        <w:rPr>
          <w:rFonts w:hint="eastAsia"/>
          <w:highlight w:val="none"/>
        </w:rPr>
      </w:pPr>
      <w:r>
        <w:rPr>
          <w:rFonts w:hint="eastAsia"/>
          <w:highlight w:val="none"/>
        </w:rPr>
        <w:t>3.包药/摆药：药房按病区摆药或包药机自动包药，记录摆药时间与摆药人；</w:t>
      </w:r>
    </w:p>
    <w:p w14:paraId="260C4714">
      <w:pPr>
        <w:pStyle w:val="12"/>
        <w:shd w:val="clear" w:color="auto" w:fill="auto"/>
        <w:ind w:firstLine="480"/>
        <w:rPr>
          <w:rFonts w:hint="eastAsia"/>
          <w:highlight w:val="none"/>
        </w:rPr>
      </w:pPr>
      <w:r>
        <w:rPr>
          <w:rFonts w:hint="eastAsia"/>
          <w:highlight w:val="none"/>
        </w:rPr>
        <w:t>4.发药核对：包药机按时间点包药并打印执行码，记录发药时间与发药人；</w:t>
      </w:r>
    </w:p>
    <w:p w14:paraId="55670741">
      <w:pPr>
        <w:pStyle w:val="12"/>
        <w:shd w:val="clear" w:color="auto" w:fill="auto"/>
        <w:ind w:firstLine="480"/>
        <w:rPr>
          <w:rFonts w:hint="eastAsia"/>
          <w:highlight w:val="none"/>
        </w:rPr>
      </w:pPr>
      <w:r>
        <w:rPr>
          <w:rFonts w:hint="eastAsia"/>
          <w:highlight w:val="none"/>
        </w:rPr>
        <w:t>5.药品接收：护士站与物流交接扫码核对，记录操作时间与操作人；</w:t>
      </w:r>
    </w:p>
    <w:p w14:paraId="0C635C6F">
      <w:pPr>
        <w:pStyle w:val="12"/>
        <w:shd w:val="clear" w:color="auto" w:fill="auto"/>
        <w:ind w:firstLine="480"/>
        <w:rPr>
          <w:rFonts w:hint="eastAsia"/>
          <w:highlight w:val="none"/>
        </w:rPr>
      </w:pPr>
      <w:r>
        <w:rPr>
          <w:rFonts w:hint="eastAsia"/>
          <w:highlight w:val="none"/>
        </w:rPr>
        <w:t>6.药品执行：护士扫描腕带核对并给药，记录执行时间与执行人；</w:t>
      </w:r>
    </w:p>
    <w:p w14:paraId="6CA06D0A">
      <w:pPr>
        <w:pStyle w:val="12"/>
        <w:shd w:val="clear" w:color="auto" w:fill="auto"/>
        <w:ind w:firstLine="480"/>
        <w:rPr>
          <w:rFonts w:hint="eastAsia"/>
          <w:highlight w:val="none"/>
        </w:rPr>
      </w:pPr>
      <w:r>
        <w:rPr>
          <w:rFonts w:hint="eastAsia"/>
          <w:highlight w:val="none"/>
        </w:rPr>
        <w:t>7.不良反应上报与审核同PIVAS流程。</w:t>
      </w:r>
    </w:p>
    <w:p w14:paraId="38305775">
      <w:pPr>
        <w:pStyle w:val="12"/>
        <w:shd w:val="clear" w:color="auto" w:fill="auto"/>
        <w:ind w:firstLine="480"/>
        <w:rPr>
          <w:rFonts w:hint="eastAsia"/>
          <w:highlight w:val="none"/>
        </w:rPr>
      </w:pPr>
      <w:r>
        <w:rPr>
          <w:rFonts w:hint="eastAsia"/>
          <w:highlight w:val="none"/>
        </w:rPr>
        <w:t>住院药品闭环（科室配液）</w:t>
      </w:r>
    </w:p>
    <w:p w14:paraId="23736822">
      <w:pPr>
        <w:pStyle w:val="12"/>
        <w:shd w:val="clear" w:color="auto" w:fill="auto"/>
        <w:ind w:firstLine="480"/>
        <w:rPr>
          <w:rFonts w:hint="eastAsia"/>
          <w:highlight w:val="none"/>
        </w:rPr>
      </w:pPr>
      <w:r>
        <w:rPr>
          <w:rFonts w:hint="eastAsia"/>
          <w:highlight w:val="none"/>
        </w:rPr>
        <w:t>1.医嘱开立、审方、审核、药房摆药与发药核对同前述流程；</w:t>
      </w:r>
    </w:p>
    <w:p w14:paraId="7EDD2A5B">
      <w:pPr>
        <w:pStyle w:val="12"/>
        <w:shd w:val="clear" w:color="auto" w:fill="auto"/>
        <w:ind w:firstLine="480"/>
        <w:rPr>
          <w:rFonts w:hint="eastAsia"/>
          <w:highlight w:val="none"/>
        </w:rPr>
      </w:pPr>
      <w:r>
        <w:rPr>
          <w:rFonts w:hint="eastAsia"/>
          <w:highlight w:val="none"/>
        </w:rPr>
        <w:t>2.药品接收：护士站与物流交接扫码确认，记录时间与操作人；</w:t>
      </w:r>
    </w:p>
    <w:p w14:paraId="500D59C7">
      <w:pPr>
        <w:pStyle w:val="12"/>
        <w:shd w:val="clear" w:color="auto" w:fill="auto"/>
        <w:ind w:firstLine="480"/>
        <w:rPr>
          <w:rFonts w:hint="eastAsia"/>
          <w:highlight w:val="none"/>
        </w:rPr>
      </w:pPr>
      <w:r>
        <w:rPr>
          <w:rFonts w:hint="eastAsia"/>
          <w:highlight w:val="none"/>
        </w:rPr>
        <w:t>3.护士摆药与配置：以成组液体为单位打印瓶贴、摆药及配置，分别记录时间与责任人；</w:t>
      </w:r>
    </w:p>
    <w:p w14:paraId="75CA1A3C">
      <w:pPr>
        <w:pStyle w:val="12"/>
        <w:shd w:val="clear" w:color="auto" w:fill="auto"/>
        <w:ind w:firstLine="480"/>
        <w:rPr>
          <w:rFonts w:hint="eastAsia"/>
          <w:highlight w:val="none"/>
        </w:rPr>
      </w:pPr>
      <w:r>
        <w:rPr>
          <w:rFonts w:hint="eastAsia"/>
          <w:highlight w:val="none"/>
        </w:rPr>
        <w:t>4.输液执行、巡回、结束流程同PIVAS；</w:t>
      </w:r>
    </w:p>
    <w:p w14:paraId="020C6411">
      <w:pPr>
        <w:pStyle w:val="12"/>
        <w:shd w:val="clear" w:color="auto" w:fill="auto"/>
        <w:ind w:firstLine="480"/>
        <w:rPr>
          <w:rFonts w:hint="eastAsia"/>
          <w:highlight w:val="none"/>
        </w:rPr>
      </w:pPr>
      <w:r>
        <w:rPr>
          <w:rFonts w:hint="eastAsia"/>
          <w:highlight w:val="none"/>
        </w:rPr>
        <w:t>5.不良反应上报与审核同PIVAS。</w:t>
      </w:r>
    </w:p>
    <w:p w14:paraId="1ECB4251">
      <w:pPr>
        <w:pStyle w:val="12"/>
        <w:shd w:val="clear" w:color="auto" w:fill="auto"/>
        <w:ind w:firstLine="480"/>
        <w:rPr>
          <w:rFonts w:hint="eastAsia"/>
          <w:highlight w:val="none"/>
        </w:rPr>
      </w:pPr>
      <w:r>
        <w:rPr>
          <w:rFonts w:hint="eastAsia"/>
          <w:highlight w:val="none"/>
        </w:rPr>
        <w:t>住院药品闭环（针剂注射）</w:t>
      </w:r>
    </w:p>
    <w:p w14:paraId="45246697">
      <w:pPr>
        <w:pStyle w:val="12"/>
        <w:shd w:val="clear" w:color="auto" w:fill="auto"/>
        <w:ind w:firstLine="480"/>
        <w:rPr>
          <w:rFonts w:hint="eastAsia"/>
          <w:highlight w:val="none"/>
        </w:rPr>
      </w:pPr>
      <w:r>
        <w:rPr>
          <w:rFonts w:hint="eastAsia"/>
          <w:highlight w:val="none"/>
        </w:rPr>
        <w:t>1.医嘱开立至药房发药流程同科室配液；</w:t>
      </w:r>
    </w:p>
    <w:p w14:paraId="29E4D1B2">
      <w:pPr>
        <w:pStyle w:val="12"/>
        <w:shd w:val="clear" w:color="auto" w:fill="auto"/>
        <w:ind w:firstLine="480"/>
        <w:rPr>
          <w:rFonts w:hint="eastAsia"/>
          <w:highlight w:val="none"/>
        </w:rPr>
      </w:pPr>
      <w:r>
        <w:rPr>
          <w:rFonts w:hint="eastAsia"/>
          <w:highlight w:val="none"/>
        </w:rPr>
        <w:t>2.药品接收：交接扫码核对，记录时间与操作人；</w:t>
      </w:r>
    </w:p>
    <w:p w14:paraId="1F7067F0">
      <w:pPr>
        <w:pStyle w:val="12"/>
        <w:shd w:val="clear" w:color="auto" w:fill="auto"/>
        <w:ind w:firstLine="480"/>
        <w:rPr>
          <w:rFonts w:hint="eastAsia"/>
          <w:highlight w:val="none"/>
        </w:rPr>
      </w:pPr>
      <w:r>
        <w:rPr>
          <w:rFonts w:hint="eastAsia"/>
          <w:highlight w:val="none"/>
        </w:rPr>
        <w:t>3.护士摆药与配置：以患者为单位进行，记录时间与责任人；</w:t>
      </w:r>
    </w:p>
    <w:p w14:paraId="28EAC485">
      <w:pPr>
        <w:pStyle w:val="12"/>
        <w:shd w:val="clear" w:color="auto" w:fill="auto"/>
        <w:ind w:firstLine="480"/>
        <w:rPr>
          <w:rFonts w:hint="eastAsia"/>
          <w:highlight w:val="none"/>
        </w:rPr>
      </w:pPr>
      <w:r>
        <w:rPr>
          <w:rFonts w:hint="eastAsia"/>
          <w:highlight w:val="none"/>
        </w:rPr>
        <w:t>4.输液执行：扫描腕带执行给药，记录执行时间与执行人；</w:t>
      </w:r>
    </w:p>
    <w:p w14:paraId="3ECA564E">
      <w:pPr>
        <w:pStyle w:val="12"/>
        <w:shd w:val="clear" w:color="auto" w:fill="auto"/>
        <w:ind w:firstLine="480"/>
        <w:rPr>
          <w:rFonts w:hint="eastAsia"/>
          <w:highlight w:val="none"/>
        </w:rPr>
      </w:pPr>
      <w:r>
        <w:rPr>
          <w:rFonts w:hint="eastAsia"/>
          <w:highlight w:val="none"/>
        </w:rPr>
        <w:t>5.不良反应上报与审核同PIVAS。</w:t>
      </w:r>
    </w:p>
    <w:p w14:paraId="65C58F7E">
      <w:pPr>
        <w:pStyle w:val="7"/>
        <w:rPr>
          <w:rFonts w:hint="eastAsia"/>
          <w:highlight w:val="none"/>
        </w:rPr>
      </w:pPr>
      <w:r>
        <w:rPr>
          <w:rFonts w:hint="eastAsia"/>
          <w:highlight w:val="none"/>
          <w:lang w:val="en-US" w:eastAsia="zh-CN"/>
        </w:rPr>
        <w:t xml:space="preserve"> </w:t>
      </w:r>
      <w:r>
        <w:rPr>
          <w:rFonts w:hint="eastAsia"/>
          <w:highlight w:val="none"/>
        </w:rPr>
        <w:t>门诊药品闭环</w:t>
      </w:r>
    </w:p>
    <w:p w14:paraId="6F2B1A45">
      <w:pPr>
        <w:pStyle w:val="12"/>
        <w:shd w:val="clear" w:color="auto" w:fill="auto"/>
        <w:ind w:firstLine="480"/>
        <w:rPr>
          <w:rFonts w:hint="eastAsia"/>
          <w:highlight w:val="none"/>
        </w:rPr>
      </w:pPr>
      <w:r>
        <w:rPr>
          <w:rFonts w:hint="eastAsia"/>
          <w:highlight w:val="none"/>
        </w:rPr>
        <w:t>门诊药品闭环（急诊输液及注射）</w:t>
      </w:r>
    </w:p>
    <w:p w14:paraId="2380614E">
      <w:pPr>
        <w:pStyle w:val="12"/>
        <w:shd w:val="clear" w:color="auto" w:fill="auto"/>
        <w:ind w:firstLine="480"/>
        <w:rPr>
          <w:rFonts w:hint="eastAsia"/>
          <w:highlight w:val="none"/>
        </w:rPr>
      </w:pPr>
      <w:r>
        <w:rPr>
          <w:rFonts w:hint="eastAsia"/>
          <w:highlight w:val="none"/>
        </w:rPr>
        <w:t>1.医嘱开立：医生根据用药权限及合理用药规则开具医嘱，记录时间与开立人；</w:t>
      </w:r>
    </w:p>
    <w:p w14:paraId="237D4EA2">
      <w:pPr>
        <w:pStyle w:val="12"/>
        <w:shd w:val="clear" w:color="auto" w:fill="auto"/>
        <w:ind w:firstLine="480"/>
        <w:rPr>
          <w:rFonts w:hint="eastAsia"/>
          <w:highlight w:val="none"/>
        </w:rPr>
      </w:pPr>
      <w:r>
        <w:rPr>
          <w:rFonts w:hint="eastAsia"/>
          <w:highlight w:val="none"/>
        </w:rPr>
        <w:t>2.审方：药师结合患者信息及用药规则审核医嘱，记录审方时间与审方人；</w:t>
      </w:r>
    </w:p>
    <w:p w14:paraId="5C682346">
      <w:pPr>
        <w:pStyle w:val="12"/>
        <w:shd w:val="clear" w:color="auto" w:fill="auto"/>
        <w:ind w:firstLine="480"/>
        <w:rPr>
          <w:rFonts w:hint="eastAsia"/>
          <w:highlight w:val="none"/>
        </w:rPr>
      </w:pPr>
      <w:r>
        <w:rPr>
          <w:rFonts w:hint="eastAsia"/>
          <w:highlight w:val="none"/>
        </w:rPr>
        <w:t>3.缴费：患者缴费，记录缴费时间与缴费人；</w:t>
      </w:r>
    </w:p>
    <w:p w14:paraId="32256886">
      <w:pPr>
        <w:pStyle w:val="12"/>
        <w:shd w:val="clear" w:color="auto" w:fill="auto"/>
        <w:ind w:firstLine="480"/>
        <w:rPr>
          <w:rFonts w:hint="eastAsia"/>
          <w:highlight w:val="none"/>
        </w:rPr>
      </w:pPr>
      <w:r>
        <w:rPr>
          <w:rFonts w:hint="eastAsia"/>
          <w:highlight w:val="none"/>
        </w:rPr>
        <w:t>4.摆药：药房摆药并核对，记录时间与摆药人；</w:t>
      </w:r>
    </w:p>
    <w:p w14:paraId="25977056">
      <w:pPr>
        <w:pStyle w:val="12"/>
        <w:shd w:val="clear" w:color="auto" w:fill="auto"/>
        <w:ind w:firstLine="480"/>
        <w:rPr>
          <w:rFonts w:hint="eastAsia"/>
          <w:highlight w:val="none"/>
        </w:rPr>
      </w:pPr>
      <w:r>
        <w:rPr>
          <w:rFonts w:hint="eastAsia"/>
          <w:highlight w:val="none"/>
        </w:rPr>
        <w:t>5.发药核对：药房发药并核对，记录时间与发药人；</w:t>
      </w:r>
    </w:p>
    <w:p w14:paraId="4FCF2803">
      <w:pPr>
        <w:pStyle w:val="12"/>
        <w:shd w:val="clear" w:color="auto" w:fill="auto"/>
        <w:ind w:firstLine="480"/>
        <w:rPr>
          <w:rFonts w:hint="eastAsia"/>
          <w:highlight w:val="none"/>
        </w:rPr>
      </w:pPr>
      <w:r>
        <w:rPr>
          <w:rFonts w:hint="eastAsia"/>
          <w:highlight w:val="none"/>
        </w:rPr>
        <w:t>6.护士摆药：护士按患者组别打印瓶贴、准备药品，记录时间与操作人；</w:t>
      </w:r>
    </w:p>
    <w:p w14:paraId="206CC96F">
      <w:pPr>
        <w:pStyle w:val="12"/>
        <w:shd w:val="clear" w:color="auto" w:fill="auto"/>
        <w:ind w:firstLine="480"/>
        <w:rPr>
          <w:rFonts w:hint="eastAsia"/>
          <w:highlight w:val="none"/>
        </w:rPr>
      </w:pPr>
      <w:r>
        <w:rPr>
          <w:rFonts w:hint="eastAsia"/>
          <w:highlight w:val="none"/>
        </w:rPr>
        <w:t>7.配液：护士配置药品，记录时间与配置人；</w:t>
      </w:r>
    </w:p>
    <w:p w14:paraId="07833BF3">
      <w:pPr>
        <w:pStyle w:val="12"/>
        <w:shd w:val="clear" w:color="auto" w:fill="auto"/>
        <w:ind w:firstLine="480"/>
        <w:rPr>
          <w:rFonts w:hint="eastAsia"/>
          <w:highlight w:val="none"/>
        </w:rPr>
      </w:pPr>
      <w:r>
        <w:rPr>
          <w:rFonts w:hint="eastAsia"/>
          <w:highlight w:val="none"/>
        </w:rPr>
        <w:t>8.输液执行：护士扫描患者标识核对身份并执行，记录执行时间与执行人；</w:t>
      </w:r>
    </w:p>
    <w:p w14:paraId="7D10F12E">
      <w:pPr>
        <w:pStyle w:val="12"/>
        <w:shd w:val="clear" w:color="auto" w:fill="auto"/>
        <w:ind w:firstLine="480"/>
        <w:rPr>
          <w:rFonts w:hint="eastAsia"/>
          <w:highlight w:val="none"/>
        </w:rPr>
      </w:pPr>
      <w:r>
        <w:rPr>
          <w:rFonts w:hint="eastAsia"/>
          <w:highlight w:val="none"/>
        </w:rPr>
        <w:t>9.巡回观察：护士在输液后15分钟、30分钟及结束时巡回，记录各次时间与巡视人；</w:t>
      </w:r>
    </w:p>
    <w:p w14:paraId="4AA9136B">
      <w:pPr>
        <w:pStyle w:val="12"/>
        <w:shd w:val="clear" w:color="auto" w:fill="auto"/>
        <w:ind w:firstLine="480"/>
        <w:rPr>
          <w:rFonts w:hint="eastAsia"/>
          <w:highlight w:val="none"/>
        </w:rPr>
      </w:pPr>
      <w:r>
        <w:rPr>
          <w:rFonts w:hint="eastAsia"/>
          <w:highlight w:val="none"/>
        </w:rPr>
        <w:t>10.执行完成：护士确认输液完成，记录完成时间与完成人；</w:t>
      </w:r>
    </w:p>
    <w:p w14:paraId="66038F9D">
      <w:pPr>
        <w:pStyle w:val="12"/>
        <w:shd w:val="clear" w:color="auto" w:fill="auto"/>
        <w:ind w:firstLine="480"/>
        <w:rPr>
          <w:rFonts w:hint="eastAsia"/>
          <w:highlight w:val="none"/>
        </w:rPr>
      </w:pPr>
      <w:r>
        <w:rPr>
          <w:rFonts w:hint="eastAsia"/>
          <w:highlight w:val="none"/>
        </w:rPr>
        <w:t>11.不良反应上报：发生不良反应时，医师上报系统，记录上报时间与上报人；</w:t>
      </w:r>
    </w:p>
    <w:p w14:paraId="2DFDFEDC">
      <w:pPr>
        <w:pStyle w:val="12"/>
        <w:shd w:val="clear" w:color="auto" w:fill="auto"/>
        <w:ind w:firstLine="480"/>
        <w:rPr>
          <w:rFonts w:hint="eastAsia"/>
          <w:highlight w:val="none"/>
        </w:rPr>
      </w:pPr>
      <w:r>
        <w:rPr>
          <w:rFonts w:hint="eastAsia"/>
          <w:highlight w:val="none"/>
        </w:rPr>
        <w:t>12.审核：药剂科审核不良反应报告，记录审核时间与审核人。</w:t>
      </w:r>
    </w:p>
    <w:p w14:paraId="3652C1E0">
      <w:pPr>
        <w:pStyle w:val="12"/>
        <w:shd w:val="clear" w:color="auto" w:fill="auto"/>
        <w:ind w:firstLine="480"/>
        <w:rPr>
          <w:rFonts w:hint="eastAsia"/>
          <w:highlight w:val="none"/>
        </w:rPr>
      </w:pPr>
      <w:r>
        <w:rPr>
          <w:rFonts w:hint="eastAsia"/>
          <w:highlight w:val="none"/>
        </w:rPr>
        <w:t>门诊药品闭环（口服药品）</w:t>
      </w:r>
    </w:p>
    <w:p w14:paraId="51AEA3E4">
      <w:pPr>
        <w:pStyle w:val="12"/>
        <w:shd w:val="clear" w:color="auto" w:fill="auto"/>
        <w:ind w:firstLine="480"/>
        <w:rPr>
          <w:rFonts w:hint="eastAsia"/>
          <w:highlight w:val="none"/>
        </w:rPr>
      </w:pPr>
      <w:r>
        <w:rPr>
          <w:rFonts w:hint="eastAsia"/>
          <w:highlight w:val="none"/>
        </w:rPr>
        <w:t>1.医嘱开立：医生依权限及规则开立医嘱，记录时间与开立人；</w:t>
      </w:r>
    </w:p>
    <w:p w14:paraId="5058C705">
      <w:pPr>
        <w:pStyle w:val="12"/>
        <w:shd w:val="clear" w:color="auto" w:fill="auto"/>
        <w:ind w:firstLine="480"/>
        <w:rPr>
          <w:rFonts w:hint="eastAsia"/>
          <w:highlight w:val="none"/>
        </w:rPr>
      </w:pPr>
      <w:r>
        <w:rPr>
          <w:rFonts w:hint="eastAsia"/>
          <w:highlight w:val="none"/>
        </w:rPr>
        <w:t>2.审方：药师审核医嘱，记录时间与审方人；</w:t>
      </w:r>
    </w:p>
    <w:p w14:paraId="12B683FB">
      <w:pPr>
        <w:pStyle w:val="12"/>
        <w:shd w:val="clear" w:color="auto" w:fill="auto"/>
        <w:ind w:firstLine="480"/>
        <w:rPr>
          <w:rFonts w:hint="eastAsia"/>
          <w:highlight w:val="none"/>
        </w:rPr>
      </w:pPr>
      <w:r>
        <w:rPr>
          <w:rFonts w:hint="eastAsia"/>
          <w:highlight w:val="none"/>
        </w:rPr>
        <w:t>3.缴费：患者缴费，记录时间与缴费人；</w:t>
      </w:r>
    </w:p>
    <w:p w14:paraId="36FAEC3F">
      <w:pPr>
        <w:pStyle w:val="12"/>
        <w:shd w:val="clear" w:color="auto" w:fill="auto"/>
        <w:ind w:firstLine="480"/>
        <w:rPr>
          <w:rFonts w:hint="eastAsia"/>
          <w:highlight w:val="none"/>
        </w:rPr>
      </w:pPr>
      <w:r>
        <w:rPr>
          <w:rFonts w:hint="eastAsia"/>
          <w:highlight w:val="none"/>
        </w:rPr>
        <w:t>4.配药：药房或发药机摆药，记录时间与摆药人；</w:t>
      </w:r>
    </w:p>
    <w:p w14:paraId="6850AA0E">
      <w:pPr>
        <w:pStyle w:val="12"/>
        <w:shd w:val="clear" w:color="auto" w:fill="auto"/>
        <w:ind w:firstLine="480"/>
        <w:rPr>
          <w:rFonts w:hint="eastAsia"/>
          <w:highlight w:val="none"/>
        </w:rPr>
      </w:pPr>
      <w:r>
        <w:rPr>
          <w:rFonts w:hint="eastAsia"/>
          <w:highlight w:val="none"/>
        </w:rPr>
        <w:t>5.发药核对：药房核对发药，记录时间与发药人；</w:t>
      </w:r>
    </w:p>
    <w:p w14:paraId="7C7BC63C">
      <w:pPr>
        <w:pStyle w:val="12"/>
        <w:shd w:val="clear" w:color="auto" w:fill="auto"/>
        <w:ind w:firstLine="480"/>
        <w:rPr>
          <w:rFonts w:hint="eastAsia"/>
          <w:highlight w:val="none"/>
        </w:rPr>
      </w:pPr>
      <w:r>
        <w:rPr>
          <w:rFonts w:hint="eastAsia"/>
          <w:highlight w:val="none"/>
        </w:rPr>
        <w:t>6.不良反应上报：发生不良反应由医师上报，记录时间与上报人；</w:t>
      </w:r>
    </w:p>
    <w:p w14:paraId="5F2F15F7">
      <w:pPr>
        <w:pStyle w:val="12"/>
        <w:shd w:val="clear" w:color="auto" w:fill="auto"/>
        <w:ind w:firstLine="480"/>
        <w:rPr>
          <w:rFonts w:hint="eastAsia"/>
          <w:highlight w:val="none"/>
        </w:rPr>
      </w:pPr>
      <w:r>
        <w:rPr>
          <w:rFonts w:hint="eastAsia"/>
          <w:highlight w:val="none"/>
        </w:rPr>
        <w:t>7.审核：药剂科审核报告，记录审核时间与审核人。</w:t>
      </w:r>
    </w:p>
    <w:p w14:paraId="6CB029DC">
      <w:pPr>
        <w:pStyle w:val="6"/>
        <w:rPr>
          <w:rFonts w:hint="eastAsia"/>
          <w:highlight w:val="none"/>
        </w:rPr>
      </w:pPr>
      <w:r>
        <w:rPr>
          <w:rFonts w:hint="eastAsia"/>
          <w:highlight w:val="none"/>
          <w:lang w:val="en-US" w:eastAsia="zh-CN"/>
        </w:rPr>
        <w:t xml:space="preserve"> </w:t>
      </w:r>
      <w:r>
        <w:rPr>
          <w:rFonts w:hint="eastAsia"/>
          <w:highlight w:val="none"/>
        </w:rPr>
        <w:t>输血闭环</w:t>
      </w:r>
    </w:p>
    <w:p w14:paraId="1AE00A55">
      <w:pPr>
        <w:pStyle w:val="12"/>
        <w:shd w:val="clear" w:color="auto" w:fill="auto"/>
        <w:ind w:firstLine="480"/>
        <w:rPr>
          <w:rFonts w:hint="eastAsia"/>
          <w:highlight w:val="none"/>
        </w:rPr>
      </w:pPr>
      <w:r>
        <w:rPr>
          <w:rFonts w:hint="eastAsia"/>
          <w:highlight w:val="none"/>
        </w:rPr>
        <w:t>1.输血申请：医师开立前须确认知情同意书、输血前评估单及检验医嘱（ABO血型、艾滋病、梅毒、乙肝），完成后自动生成医嘱，记录时间与申请人；</w:t>
      </w:r>
    </w:p>
    <w:p w14:paraId="7133B4D5">
      <w:pPr>
        <w:pStyle w:val="12"/>
        <w:shd w:val="clear" w:color="auto" w:fill="auto"/>
        <w:ind w:firstLine="480"/>
        <w:rPr>
          <w:rFonts w:hint="eastAsia"/>
          <w:highlight w:val="none"/>
        </w:rPr>
      </w:pPr>
      <w:r>
        <w:rPr>
          <w:rFonts w:hint="eastAsia"/>
          <w:highlight w:val="none"/>
        </w:rPr>
        <w:t>2.科主任审核：大量用血需科主任审批，记录时间与审批人；</w:t>
      </w:r>
    </w:p>
    <w:p w14:paraId="5A514365">
      <w:pPr>
        <w:pStyle w:val="12"/>
        <w:shd w:val="clear" w:color="auto" w:fill="auto"/>
        <w:ind w:firstLine="480"/>
        <w:rPr>
          <w:rFonts w:hint="eastAsia"/>
          <w:highlight w:val="none"/>
        </w:rPr>
      </w:pPr>
      <w:r>
        <w:rPr>
          <w:rFonts w:hint="eastAsia"/>
          <w:highlight w:val="none"/>
        </w:rPr>
        <w:t>3.医务处审核：大量用血还需管理部门审批，记录时间与审批人；</w:t>
      </w:r>
    </w:p>
    <w:p w14:paraId="2B8D3C0D">
      <w:pPr>
        <w:pStyle w:val="12"/>
        <w:shd w:val="clear" w:color="auto" w:fill="auto"/>
        <w:ind w:firstLine="480"/>
        <w:rPr>
          <w:rFonts w:hint="eastAsia"/>
          <w:highlight w:val="none"/>
        </w:rPr>
      </w:pPr>
      <w:r>
        <w:rPr>
          <w:rFonts w:hint="eastAsia"/>
          <w:highlight w:val="none"/>
        </w:rPr>
        <w:t>4.输血科审核：输血科医生审核申请单，记录时间与审核人；</w:t>
      </w:r>
    </w:p>
    <w:p w14:paraId="723AD0FC">
      <w:pPr>
        <w:pStyle w:val="12"/>
        <w:shd w:val="clear" w:color="auto" w:fill="auto"/>
        <w:ind w:firstLine="480"/>
        <w:rPr>
          <w:rFonts w:hint="eastAsia"/>
          <w:highlight w:val="none"/>
        </w:rPr>
      </w:pPr>
      <w:r>
        <w:rPr>
          <w:rFonts w:hint="eastAsia"/>
          <w:highlight w:val="none"/>
        </w:rPr>
        <w:t>5.配血（双人）：审核通过后进行交叉配血，记录开始时间与配血人；</w:t>
      </w:r>
    </w:p>
    <w:p w14:paraId="6A374B2C">
      <w:pPr>
        <w:pStyle w:val="12"/>
        <w:shd w:val="clear" w:color="auto" w:fill="auto"/>
        <w:ind w:firstLine="480"/>
        <w:rPr>
          <w:rFonts w:hint="eastAsia"/>
          <w:highlight w:val="none"/>
        </w:rPr>
      </w:pPr>
      <w:r>
        <w:rPr>
          <w:rFonts w:hint="eastAsia"/>
          <w:highlight w:val="none"/>
        </w:rPr>
        <w:t>6.发血（双人）：配血完成打印执行码并发血，记录发血时间与发血人；</w:t>
      </w:r>
    </w:p>
    <w:p w14:paraId="3EEC8823">
      <w:pPr>
        <w:pStyle w:val="12"/>
        <w:shd w:val="clear" w:color="auto" w:fill="auto"/>
        <w:ind w:firstLine="480"/>
        <w:rPr>
          <w:rFonts w:hint="eastAsia"/>
          <w:highlight w:val="none"/>
        </w:rPr>
      </w:pPr>
      <w:r>
        <w:rPr>
          <w:rFonts w:hint="eastAsia"/>
          <w:highlight w:val="none"/>
        </w:rPr>
        <w:t>7.输血执行（双人）：护士双人核对腕带后输血，记录开始时间与执行人；</w:t>
      </w:r>
    </w:p>
    <w:p w14:paraId="02218A2D">
      <w:pPr>
        <w:pStyle w:val="12"/>
        <w:shd w:val="clear" w:color="auto" w:fill="auto"/>
        <w:ind w:firstLine="480"/>
        <w:rPr>
          <w:rFonts w:hint="eastAsia"/>
          <w:highlight w:val="none"/>
        </w:rPr>
      </w:pPr>
      <w:r>
        <w:rPr>
          <w:rFonts w:hint="eastAsia"/>
          <w:highlight w:val="none"/>
        </w:rPr>
        <w:t>8–10.巡视与结束：输血后15分钟、2小时及结束后4小时各巡视一次，分别记录时间与巡视人；输血完成记录结束时间与操作人；</w:t>
      </w:r>
    </w:p>
    <w:p w14:paraId="465C8BBF">
      <w:pPr>
        <w:pStyle w:val="12"/>
        <w:shd w:val="clear" w:color="auto" w:fill="auto"/>
        <w:ind w:firstLine="480"/>
        <w:rPr>
          <w:rFonts w:hint="eastAsia"/>
          <w:highlight w:val="none"/>
        </w:rPr>
      </w:pPr>
      <w:r>
        <w:rPr>
          <w:rFonts w:hint="eastAsia"/>
          <w:highlight w:val="none"/>
        </w:rPr>
        <w:t>11.不良反应上报：发生反应时由医师上报，记录时间与上报人；</w:t>
      </w:r>
    </w:p>
    <w:p w14:paraId="6594E1D5">
      <w:pPr>
        <w:pStyle w:val="12"/>
        <w:shd w:val="clear" w:color="auto" w:fill="auto"/>
        <w:ind w:firstLine="480"/>
        <w:rPr>
          <w:rFonts w:hint="eastAsia"/>
          <w:highlight w:val="none"/>
        </w:rPr>
      </w:pPr>
      <w:r>
        <w:rPr>
          <w:rFonts w:hint="eastAsia"/>
          <w:highlight w:val="none"/>
        </w:rPr>
        <w:t>12.上报审核：输血科审核不良反应，记录时间与审核人；</w:t>
      </w:r>
    </w:p>
    <w:p w14:paraId="253CBBF4">
      <w:pPr>
        <w:pStyle w:val="12"/>
        <w:shd w:val="clear" w:color="auto" w:fill="auto"/>
        <w:ind w:firstLine="480"/>
        <w:rPr>
          <w:rFonts w:hint="eastAsia"/>
          <w:highlight w:val="none"/>
        </w:rPr>
      </w:pPr>
      <w:r>
        <w:rPr>
          <w:rFonts w:hint="eastAsia"/>
          <w:highlight w:val="none"/>
        </w:rPr>
        <w:t>13.血袋回收：输血后血袋回收至输血科，记录回收时间与回收人。</w:t>
      </w:r>
    </w:p>
    <w:p w14:paraId="3CF1C9A8">
      <w:pPr>
        <w:pStyle w:val="6"/>
        <w:rPr>
          <w:rFonts w:hint="eastAsia"/>
          <w:highlight w:val="none"/>
        </w:rPr>
      </w:pPr>
      <w:r>
        <w:rPr>
          <w:rFonts w:hint="eastAsia"/>
          <w:highlight w:val="none"/>
          <w:lang w:val="en-US" w:eastAsia="zh-CN"/>
        </w:rPr>
        <w:t xml:space="preserve"> </w:t>
      </w:r>
      <w:r>
        <w:rPr>
          <w:rFonts w:hint="eastAsia"/>
          <w:highlight w:val="none"/>
        </w:rPr>
        <w:t>手术闭环</w:t>
      </w:r>
    </w:p>
    <w:p w14:paraId="4FF7694A">
      <w:pPr>
        <w:pStyle w:val="12"/>
        <w:shd w:val="clear" w:color="auto" w:fill="auto"/>
        <w:ind w:firstLine="480"/>
        <w:rPr>
          <w:rFonts w:hint="eastAsia"/>
          <w:highlight w:val="none"/>
        </w:rPr>
      </w:pPr>
      <w:r>
        <w:rPr>
          <w:rFonts w:hint="eastAsia"/>
          <w:highlight w:val="none"/>
        </w:rPr>
        <w:t>1.手术申请：住院医生需根据手术级别判断是否需术前讨论及知情同意书，确认自身权限，并开立术前四项、血常规、凝血功能检查；申请完成后自动生成手术医嘱，记录开立时间与开立人；</w:t>
      </w:r>
    </w:p>
    <w:p w14:paraId="3F9B34EC">
      <w:pPr>
        <w:pStyle w:val="12"/>
        <w:shd w:val="clear" w:color="auto" w:fill="auto"/>
        <w:ind w:firstLine="480"/>
        <w:rPr>
          <w:rFonts w:hint="eastAsia"/>
          <w:highlight w:val="none"/>
        </w:rPr>
      </w:pPr>
      <w:r>
        <w:rPr>
          <w:rFonts w:hint="eastAsia"/>
          <w:highlight w:val="none"/>
        </w:rPr>
        <w:t>2.手术安排：手术室自动接收申请，结合全院资源安排手术，记录安排时间与安排人；</w:t>
      </w:r>
    </w:p>
    <w:p w14:paraId="4EA2EA42">
      <w:pPr>
        <w:pStyle w:val="12"/>
        <w:shd w:val="clear" w:color="auto" w:fill="auto"/>
        <w:ind w:firstLine="480"/>
        <w:rPr>
          <w:rFonts w:hint="eastAsia"/>
          <w:highlight w:val="none"/>
        </w:rPr>
      </w:pPr>
      <w:r>
        <w:rPr>
          <w:rFonts w:hint="eastAsia"/>
          <w:highlight w:val="none"/>
        </w:rPr>
        <w:t>3.术前麻醉访视：麻醉师完成访视并记录，注明访视时间与访视人；</w:t>
      </w:r>
    </w:p>
    <w:p w14:paraId="15626DCE">
      <w:pPr>
        <w:pStyle w:val="12"/>
        <w:shd w:val="clear" w:color="auto" w:fill="auto"/>
        <w:ind w:firstLine="480"/>
        <w:rPr>
          <w:rFonts w:hint="eastAsia"/>
          <w:highlight w:val="none"/>
        </w:rPr>
      </w:pPr>
      <w:r>
        <w:rPr>
          <w:rFonts w:hint="eastAsia"/>
          <w:highlight w:val="none"/>
        </w:rPr>
        <w:t>4.离开病区：手术日由病房护士与接诊人员扫码核对患者身份，评估状况，记录交接时间、人员及物品信息；</w:t>
      </w:r>
    </w:p>
    <w:p w14:paraId="66A83AA4">
      <w:pPr>
        <w:pStyle w:val="12"/>
        <w:shd w:val="clear" w:color="auto" w:fill="auto"/>
        <w:ind w:firstLine="480"/>
        <w:rPr>
          <w:rFonts w:hint="eastAsia"/>
          <w:highlight w:val="none"/>
        </w:rPr>
      </w:pPr>
      <w:r>
        <w:rPr>
          <w:rFonts w:hint="eastAsia"/>
          <w:highlight w:val="none"/>
        </w:rPr>
        <w:t>5.进入手术室：手术室护士扫码确认身份并交接，系统记录时间与交接人；</w:t>
      </w:r>
    </w:p>
    <w:p w14:paraId="45BB4D2B">
      <w:pPr>
        <w:pStyle w:val="12"/>
        <w:shd w:val="clear" w:color="auto" w:fill="auto"/>
        <w:ind w:firstLine="480"/>
        <w:rPr>
          <w:rFonts w:hint="eastAsia"/>
          <w:highlight w:val="none"/>
        </w:rPr>
      </w:pPr>
      <w:r>
        <w:rPr>
          <w:rFonts w:hint="eastAsia"/>
          <w:highlight w:val="none"/>
        </w:rPr>
        <w:t>6.进入术间：手术室护士再次扫码确认，记录进入时间与核对人；</w:t>
      </w:r>
    </w:p>
    <w:p w14:paraId="0603D983">
      <w:pPr>
        <w:pStyle w:val="12"/>
        <w:shd w:val="clear" w:color="auto" w:fill="auto"/>
        <w:ind w:firstLine="480"/>
        <w:rPr>
          <w:rFonts w:hint="eastAsia"/>
          <w:highlight w:val="none"/>
        </w:rPr>
      </w:pPr>
      <w:r>
        <w:rPr>
          <w:rFonts w:hint="eastAsia"/>
          <w:highlight w:val="none"/>
        </w:rPr>
        <w:t>7.手术安全核查一：麻醉前由麻醉医师主持三方核查，记录时间与核查人；</w:t>
      </w:r>
    </w:p>
    <w:p w14:paraId="492D4262">
      <w:pPr>
        <w:pStyle w:val="12"/>
        <w:shd w:val="clear" w:color="auto" w:fill="auto"/>
        <w:ind w:firstLine="480"/>
        <w:rPr>
          <w:rFonts w:hint="eastAsia"/>
          <w:highlight w:val="none"/>
        </w:rPr>
      </w:pPr>
      <w:r>
        <w:rPr>
          <w:rFonts w:hint="eastAsia"/>
          <w:highlight w:val="none"/>
        </w:rPr>
        <w:t>8.麻醉开始：麻醉实施，系统记录麻醉时间与麻醉人；</w:t>
      </w:r>
    </w:p>
    <w:p w14:paraId="0FF11A62">
      <w:pPr>
        <w:pStyle w:val="12"/>
        <w:shd w:val="clear" w:color="auto" w:fill="auto"/>
        <w:ind w:firstLine="480"/>
        <w:rPr>
          <w:rFonts w:hint="eastAsia"/>
          <w:highlight w:val="none"/>
        </w:rPr>
      </w:pPr>
      <w:r>
        <w:rPr>
          <w:rFonts w:hint="eastAsia"/>
          <w:highlight w:val="none"/>
        </w:rPr>
        <w:t>9.手术安全核查二：手术前由手术医师主持三方核查，记录时间与核查人；</w:t>
      </w:r>
    </w:p>
    <w:p w14:paraId="15D90476">
      <w:pPr>
        <w:pStyle w:val="12"/>
        <w:shd w:val="clear" w:color="auto" w:fill="auto"/>
        <w:ind w:firstLine="480"/>
        <w:rPr>
          <w:rFonts w:hint="eastAsia"/>
          <w:highlight w:val="none"/>
        </w:rPr>
      </w:pPr>
      <w:r>
        <w:rPr>
          <w:rFonts w:hint="eastAsia"/>
          <w:highlight w:val="none"/>
        </w:rPr>
        <w:t>10.手术开始：准备手术文书及系统数据采集，记录开始时间与操作人；</w:t>
      </w:r>
    </w:p>
    <w:p w14:paraId="166D552E">
      <w:pPr>
        <w:pStyle w:val="12"/>
        <w:shd w:val="clear" w:color="auto" w:fill="auto"/>
        <w:ind w:firstLine="480"/>
        <w:rPr>
          <w:rFonts w:hint="eastAsia"/>
          <w:highlight w:val="none"/>
        </w:rPr>
      </w:pPr>
      <w:r>
        <w:rPr>
          <w:rFonts w:hint="eastAsia"/>
          <w:highlight w:val="none"/>
        </w:rPr>
        <w:t>11.手术结束：系统记录结束时间与结束人；</w:t>
      </w:r>
    </w:p>
    <w:p w14:paraId="2B88D015">
      <w:pPr>
        <w:pStyle w:val="12"/>
        <w:shd w:val="clear" w:color="auto" w:fill="auto"/>
        <w:ind w:firstLine="480"/>
        <w:rPr>
          <w:rFonts w:hint="eastAsia"/>
          <w:highlight w:val="none"/>
        </w:rPr>
      </w:pPr>
      <w:r>
        <w:rPr>
          <w:rFonts w:hint="eastAsia"/>
          <w:highlight w:val="none"/>
        </w:rPr>
        <w:t>12.麻醉结束：记录麻醉终止时间与操作人；</w:t>
      </w:r>
    </w:p>
    <w:p w14:paraId="3232A979">
      <w:pPr>
        <w:pStyle w:val="12"/>
        <w:shd w:val="clear" w:color="auto" w:fill="auto"/>
        <w:ind w:firstLine="480"/>
        <w:rPr>
          <w:rFonts w:hint="eastAsia"/>
          <w:highlight w:val="none"/>
        </w:rPr>
      </w:pPr>
      <w:r>
        <w:rPr>
          <w:rFonts w:hint="eastAsia"/>
          <w:highlight w:val="none"/>
        </w:rPr>
        <w:t>13.手术安全核查三：患者离室前由护士主持三方核查，记录时间与核查人；</w:t>
      </w:r>
    </w:p>
    <w:p w14:paraId="30D543D8">
      <w:pPr>
        <w:pStyle w:val="12"/>
        <w:shd w:val="clear" w:color="auto" w:fill="auto"/>
        <w:ind w:firstLine="480"/>
        <w:rPr>
          <w:rFonts w:hint="eastAsia"/>
          <w:highlight w:val="none"/>
        </w:rPr>
      </w:pPr>
      <w:r>
        <w:rPr>
          <w:rFonts w:hint="eastAsia"/>
          <w:highlight w:val="none"/>
        </w:rPr>
        <w:t>14.离开手术间：手术护士运送患者出术间，记录离间时间；</w:t>
      </w:r>
    </w:p>
    <w:p w14:paraId="0B86B1D5">
      <w:pPr>
        <w:pStyle w:val="12"/>
        <w:shd w:val="clear" w:color="auto" w:fill="auto"/>
        <w:ind w:firstLine="480"/>
        <w:rPr>
          <w:rFonts w:hint="eastAsia"/>
          <w:highlight w:val="none"/>
        </w:rPr>
      </w:pPr>
      <w:r>
        <w:rPr>
          <w:rFonts w:hint="eastAsia"/>
          <w:highlight w:val="none"/>
        </w:rPr>
        <w:t>15.进入复苏室：需复苏者进入PACU，记录入室时间及交接信息；</w:t>
      </w:r>
    </w:p>
    <w:p w14:paraId="6BA74E62">
      <w:pPr>
        <w:pStyle w:val="12"/>
        <w:shd w:val="clear" w:color="auto" w:fill="auto"/>
        <w:ind w:firstLine="480"/>
        <w:rPr>
          <w:rFonts w:hint="eastAsia"/>
          <w:highlight w:val="none"/>
        </w:rPr>
      </w:pPr>
      <w:r>
        <w:rPr>
          <w:rFonts w:hint="eastAsia"/>
          <w:highlight w:val="none"/>
        </w:rPr>
        <w:t>16.离开复苏室：复苏完成后出PACU，记录出室时间与交接信息；</w:t>
      </w:r>
    </w:p>
    <w:p w14:paraId="4647FDAB">
      <w:pPr>
        <w:pStyle w:val="12"/>
        <w:shd w:val="clear" w:color="auto" w:fill="auto"/>
        <w:ind w:firstLine="480"/>
        <w:rPr>
          <w:rFonts w:hint="eastAsia"/>
          <w:highlight w:val="none"/>
        </w:rPr>
      </w:pPr>
      <w:r>
        <w:rPr>
          <w:rFonts w:hint="eastAsia"/>
          <w:highlight w:val="none"/>
        </w:rPr>
        <w:t>17.离开手术室：患者出手术室，记录离室时间与交接人；</w:t>
      </w:r>
    </w:p>
    <w:p w14:paraId="22F8CB04">
      <w:pPr>
        <w:pStyle w:val="12"/>
        <w:shd w:val="clear" w:color="auto" w:fill="auto"/>
        <w:ind w:firstLine="480"/>
        <w:rPr>
          <w:rFonts w:hint="eastAsia"/>
          <w:highlight w:val="none"/>
        </w:rPr>
      </w:pPr>
      <w:r>
        <w:rPr>
          <w:rFonts w:hint="eastAsia"/>
          <w:highlight w:val="none"/>
        </w:rPr>
        <w:t>18.回到病区：患者返回科室，护士确认接收，记录回科时间与接收人；</w:t>
      </w:r>
    </w:p>
    <w:p w14:paraId="5D6AEE08">
      <w:pPr>
        <w:pStyle w:val="12"/>
        <w:shd w:val="clear" w:color="auto" w:fill="auto"/>
        <w:ind w:firstLine="480"/>
        <w:rPr>
          <w:rFonts w:hint="eastAsia"/>
          <w:highlight w:val="none"/>
        </w:rPr>
      </w:pPr>
      <w:r>
        <w:rPr>
          <w:rFonts w:hint="eastAsia"/>
          <w:highlight w:val="none"/>
        </w:rPr>
        <w:t>19.术后访视：麻醉师进行访视并记录，注明访视时间与访视人。</w:t>
      </w:r>
    </w:p>
    <w:p w14:paraId="2DFD77D7">
      <w:pPr>
        <w:pStyle w:val="6"/>
        <w:rPr>
          <w:rFonts w:hint="eastAsia"/>
          <w:highlight w:val="none"/>
        </w:rPr>
      </w:pPr>
      <w:r>
        <w:rPr>
          <w:rFonts w:hint="eastAsia"/>
          <w:highlight w:val="none"/>
          <w:lang w:val="en-US" w:eastAsia="zh-CN"/>
        </w:rPr>
        <w:t xml:space="preserve"> </w:t>
      </w:r>
      <w:r>
        <w:rPr>
          <w:rFonts w:hint="eastAsia"/>
          <w:highlight w:val="none"/>
        </w:rPr>
        <w:t>危急值闭环</w:t>
      </w:r>
    </w:p>
    <w:p w14:paraId="2D8F73E2">
      <w:pPr>
        <w:pStyle w:val="12"/>
        <w:shd w:val="clear" w:color="auto" w:fill="auto"/>
        <w:ind w:firstLine="480"/>
        <w:rPr>
          <w:rFonts w:hint="eastAsia"/>
          <w:highlight w:val="none"/>
        </w:rPr>
      </w:pPr>
      <w:r>
        <w:rPr>
          <w:rFonts w:hint="eastAsia"/>
          <w:highlight w:val="none"/>
        </w:rPr>
        <w:t>支持《电子病历系统应用水平分级评价标准》（试行）评审要求，支持检查、检验危急值闭环展示。危急值业务全流程可追溯，由危急值发生、审核、发送、接收、处理、确认到危急值病程同步，均记录相关责任人、操作时间、操作科室信息。危急值发送医护信息、接收医护信息全数据保存。可辅助医疗责任划分、医疗事故调查、保障医疗安全。</w:t>
      </w:r>
    </w:p>
    <w:p w14:paraId="2B56CE65">
      <w:pPr>
        <w:pStyle w:val="5"/>
        <w:rPr>
          <w:rFonts w:hint="eastAsia"/>
          <w:highlight w:val="none"/>
        </w:rPr>
      </w:pPr>
      <w:r>
        <w:rPr>
          <w:rFonts w:hint="eastAsia"/>
          <w:highlight w:val="none"/>
          <w:lang w:val="en-US" w:eastAsia="zh-CN"/>
        </w:rPr>
        <w:t xml:space="preserve"> </w:t>
      </w:r>
      <w:r>
        <w:rPr>
          <w:rFonts w:hint="eastAsia"/>
          <w:highlight w:val="none"/>
        </w:rPr>
        <w:t>公立医院绩效考核系统</w:t>
      </w:r>
    </w:p>
    <w:p w14:paraId="1CB3EF0D">
      <w:pPr>
        <w:pStyle w:val="6"/>
        <w:rPr>
          <w:rFonts w:hint="eastAsia"/>
          <w:highlight w:val="none"/>
        </w:rPr>
      </w:pPr>
      <w:bookmarkStart w:id="201" w:name="_Toc197780520"/>
      <w:r>
        <w:rPr>
          <w:rFonts w:hint="eastAsia"/>
          <w:highlight w:val="none"/>
          <w:lang w:val="en-US" w:eastAsia="zh-CN"/>
        </w:rPr>
        <w:t xml:space="preserve"> </w:t>
      </w:r>
      <w:r>
        <w:rPr>
          <w:rFonts w:hint="eastAsia"/>
          <w:highlight w:val="none"/>
        </w:rPr>
        <w:t>数据上报</w:t>
      </w:r>
      <w:bookmarkEnd w:id="201"/>
    </w:p>
    <w:p w14:paraId="77B65683">
      <w:pPr>
        <w:pStyle w:val="12"/>
        <w:shd w:val="clear" w:color="auto" w:fill="auto"/>
        <w:ind w:firstLine="480"/>
        <w:rPr>
          <w:rFonts w:hint="eastAsia"/>
          <w:highlight w:val="none"/>
        </w:rPr>
      </w:pPr>
      <w:r>
        <w:rPr>
          <w:rFonts w:hint="eastAsia"/>
          <w:highlight w:val="none"/>
        </w:rPr>
        <w:t>依据</w:t>
      </w:r>
      <w:r>
        <w:rPr>
          <w:rFonts w:hint="eastAsia"/>
          <w:highlight w:val="none"/>
        </w:rPr>
        <w:t>公立医院绩效考核系统依据相关文件要求，统一对三级公立医院绩效进行考核，考核的指标体系由医疗质量、运营效率、持续发展、满意度评价4个方面的指标构成。要求具备以下功能：支持医疗质量、运营效率、持续发展、满意度评价4个方面56个指标统计上报。</w:t>
      </w:r>
    </w:p>
    <w:p w14:paraId="64ACB014">
      <w:pPr>
        <w:pStyle w:val="6"/>
        <w:rPr>
          <w:rFonts w:hint="eastAsia"/>
          <w:highlight w:val="none"/>
        </w:rPr>
      </w:pPr>
      <w:bookmarkStart w:id="202" w:name="_Toc197780521"/>
      <w:r>
        <w:rPr>
          <w:rFonts w:hint="eastAsia"/>
          <w:highlight w:val="none"/>
          <w:lang w:val="en-US" w:eastAsia="zh-CN"/>
        </w:rPr>
        <w:t xml:space="preserve"> </w:t>
      </w:r>
      <w:r>
        <w:rPr>
          <w:rFonts w:hint="eastAsia"/>
          <w:highlight w:val="none"/>
        </w:rPr>
        <w:t>数据分析</w:t>
      </w:r>
      <w:bookmarkEnd w:id="202"/>
    </w:p>
    <w:p w14:paraId="6BBD30D2">
      <w:pPr>
        <w:pStyle w:val="12"/>
        <w:shd w:val="clear" w:color="auto" w:fill="auto"/>
        <w:ind w:firstLine="480"/>
        <w:rPr>
          <w:rFonts w:hint="eastAsia"/>
          <w:highlight w:val="none"/>
        </w:rPr>
      </w:pPr>
      <w:r>
        <w:rPr>
          <w:rFonts w:hint="eastAsia"/>
          <w:highlight w:val="none"/>
        </w:rPr>
        <w:t>基于考核指标体系和系统可获取的数据展开数据的统计分析，使院内各层管理者及时掌握医院运营情况，支持按全院、科室的权限分别查看数据结果，支持数据结果下钻、下载的功能。</w:t>
      </w:r>
    </w:p>
    <w:p w14:paraId="0B064F72">
      <w:pPr>
        <w:pStyle w:val="6"/>
        <w:rPr>
          <w:rFonts w:hint="eastAsia"/>
          <w:highlight w:val="none"/>
        </w:rPr>
      </w:pPr>
      <w:bookmarkStart w:id="203" w:name="_Toc197780522"/>
      <w:r>
        <w:rPr>
          <w:rFonts w:hint="eastAsia"/>
          <w:highlight w:val="none"/>
          <w:lang w:val="en-US" w:eastAsia="zh-CN"/>
        </w:rPr>
        <w:t xml:space="preserve"> </w:t>
      </w:r>
      <w:r>
        <w:rPr>
          <w:rFonts w:hint="eastAsia"/>
          <w:highlight w:val="none"/>
        </w:rPr>
        <w:t>数据自动采集</w:t>
      </w:r>
      <w:bookmarkEnd w:id="203"/>
    </w:p>
    <w:p w14:paraId="74F8EBC9">
      <w:pPr>
        <w:pStyle w:val="12"/>
        <w:shd w:val="clear" w:color="auto" w:fill="auto"/>
        <w:ind w:firstLine="480"/>
        <w:rPr>
          <w:rFonts w:hint="eastAsia"/>
          <w:highlight w:val="none"/>
        </w:rPr>
      </w:pPr>
      <w:r>
        <w:rPr>
          <w:rFonts w:hint="eastAsia"/>
          <w:highlight w:val="none"/>
        </w:rPr>
        <w:t>支持数据自动采集，系统能提供的数据直接从各个业务系统自动采集，进行数据清洗、转换，数据口径计算后通过界面进行整体数据展示和数据分析。</w:t>
      </w:r>
    </w:p>
    <w:p w14:paraId="3243E969">
      <w:pPr>
        <w:pStyle w:val="6"/>
        <w:rPr>
          <w:rFonts w:hint="eastAsia"/>
          <w:highlight w:val="none"/>
        </w:rPr>
      </w:pPr>
      <w:bookmarkStart w:id="204" w:name="_Toc197780523"/>
      <w:r>
        <w:rPr>
          <w:rFonts w:hint="eastAsia"/>
          <w:highlight w:val="none"/>
          <w:lang w:val="en-US" w:eastAsia="zh-CN"/>
        </w:rPr>
        <w:t xml:space="preserve"> </w:t>
      </w:r>
      <w:r>
        <w:rPr>
          <w:rFonts w:hint="eastAsia"/>
          <w:highlight w:val="none"/>
        </w:rPr>
        <w:t>数据补充填报</w:t>
      </w:r>
      <w:bookmarkEnd w:id="204"/>
    </w:p>
    <w:p w14:paraId="57A13A80">
      <w:pPr>
        <w:pStyle w:val="12"/>
        <w:shd w:val="clear" w:color="auto" w:fill="auto"/>
        <w:ind w:firstLine="480"/>
        <w:rPr>
          <w:rFonts w:hint="eastAsia"/>
          <w:highlight w:val="none"/>
        </w:rPr>
      </w:pPr>
      <w:r>
        <w:rPr>
          <w:rFonts w:hint="eastAsia"/>
          <w:highlight w:val="none"/>
        </w:rPr>
        <w:t>对业务系统不能获取的指标，可通过指标填报页面进行数据补充填写，需要补充填报的指标可设置填报的责任部门与填报周期（年、季、月），保证各个科室填报各自负责的指标。</w:t>
      </w:r>
    </w:p>
    <w:p w14:paraId="411B483E">
      <w:pPr>
        <w:pStyle w:val="6"/>
        <w:rPr>
          <w:rFonts w:hint="eastAsia"/>
          <w:highlight w:val="none"/>
        </w:rPr>
      </w:pPr>
      <w:bookmarkStart w:id="205" w:name="_Toc197780524"/>
      <w:r>
        <w:rPr>
          <w:rFonts w:hint="eastAsia"/>
          <w:highlight w:val="none"/>
          <w:lang w:val="en-US" w:eastAsia="zh-CN"/>
        </w:rPr>
        <w:t xml:space="preserve"> </w:t>
      </w:r>
      <w:r>
        <w:rPr>
          <w:rFonts w:hint="eastAsia"/>
          <w:highlight w:val="none"/>
        </w:rPr>
        <w:t>评分指标监测</w:t>
      </w:r>
      <w:bookmarkEnd w:id="205"/>
    </w:p>
    <w:p w14:paraId="414C1C80">
      <w:pPr>
        <w:pStyle w:val="12"/>
        <w:shd w:val="clear" w:color="auto" w:fill="auto"/>
        <w:ind w:firstLine="480"/>
        <w:rPr>
          <w:rFonts w:hint="eastAsia"/>
          <w:highlight w:val="none"/>
        </w:rPr>
      </w:pPr>
      <w:r>
        <w:rPr>
          <w:rFonts w:hint="eastAsia"/>
          <w:highlight w:val="none"/>
        </w:rPr>
        <w:t>针对绩效考核文件中标注的26个国家重点监测指标进行统一数据展示与分析，能直观的展示指标结果数据、指标对比目标值的达成情况，方便管理者一目了然的看到评分指标在院内的运营情况，为管理者制定管理方针与策略提供数据支撑。</w:t>
      </w:r>
    </w:p>
    <w:p w14:paraId="13DAA6CE">
      <w:pPr>
        <w:pStyle w:val="6"/>
        <w:rPr>
          <w:rFonts w:hint="eastAsia"/>
          <w:highlight w:val="none"/>
        </w:rPr>
      </w:pPr>
      <w:bookmarkStart w:id="206" w:name="_Toc197780525"/>
      <w:r>
        <w:rPr>
          <w:rFonts w:hint="eastAsia"/>
          <w:highlight w:val="none"/>
          <w:lang w:val="en-US" w:eastAsia="zh-CN"/>
        </w:rPr>
        <w:t xml:space="preserve"> </w:t>
      </w:r>
      <w:r>
        <w:rPr>
          <w:rFonts w:hint="eastAsia"/>
          <w:highlight w:val="none"/>
        </w:rPr>
        <w:t>指标统一管理</w:t>
      </w:r>
      <w:bookmarkEnd w:id="206"/>
    </w:p>
    <w:p w14:paraId="55DE0EF5">
      <w:pPr>
        <w:pStyle w:val="12"/>
        <w:shd w:val="clear" w:color="auto" w:fill="auto"/>
        <w:ind w:firstLine="480"/>
        <w:rPr>
          <w:rFonts w:hint="eastAsia"/>
          <w:highlight w:val="none"/>
        </w:rPr>
      </w:pPr>
      <w:r>
        <w:rPr>
          <w:rFonts w:hint="eastAsia"/>
          <w:highlight w:val="none"/>
        </w:rPr>
        <w:t>对公立医院绩效考核相关指标进行统一维护管理，主要维护指标的基本信息，包括指标名称、指标定义、计算方法、指标说明、指标意义、指标属性、指标类型、指标导向、采集方式、数据来源等。</w:t>
      </w:r>
    </w:p>
    <w:p w14:paraId="6E559AE6">
      <w:pPr>
        <w:pStyle w:val="6"/>
        <w:rPr>
          <w:rFonts w:hint="eastAsia"/>
          <w:highlight w:val="none"/>
        </w:rPr>
      </w:pPr>
      <w:bookmarkStart w:id="207" w:name="_Toc197780526"/>
      <w:r>
        <w:rPr>
          <w:rFonts w:hint="eastAsia"/>
          <w:highlight w:val="none"/>
          <w:lang w:val="en-US" w:eastAsia="zh-CN"/>
        </w:rPr>
        <w:t xml:space="preserve"> </w:t>
      </w:r>
      <w:r>
        <w:rPr>
          <w:rFonts w:hint="eastAsia"/>
          <w:highlight w:val="none"/>
        </w:rPr>
        <w:t>指标目标维护</w:t>
      </w:r>
      <w:bookmarkEnd w:id="207"/>
    </w:p>
    <w:p w14:paraId="2DCED50F">
      <w:pPr>
        <w:pStyle w:val="12"/>
        <w:shd w:val="clear" w:color="auto" w:fill="auto"/>
        <w:ind w:firstLine="480"/>
        <w:rPr>
          <w:rFonts w:hint="eastAsia"/>
          <w:highlight w:val="none"/>
        </w:rPr>
      </w:pPr>
      <w:r>
        <w:rPr>
          <w:rFonts w:hint="eastAsia"/>
          <w:highlight w:val="none"/>
        </w:rPr>
        <w:t>支持自定义维护指标的目标值，支持按全院或某一个科室分别维护，支持单条维护，支持按指标选择科室或按科室选择指标两种批量新增的方式。</w:t>
      </w:r>
    </w:p>
    <w:p w14:paraId="750E9288">
      <w:pPr>
        <w:pStyle w:val="5"/>
        <w:rPr>
          <w:rFonts w:hint="eastAsia"/>
          <w:highlight w:val="none"/>
        </w:rPr>
      </w:pPr>
      <w:r>
        <w:rPr>
          <w:rFonts w:hint="eastAsia"/>
          <w:highlight w:val="none"/>
          <w:lang w:val="en-US" w:eastAsia="zh-CN"/>
        </w:rPr>
        <w:t xml:space="preserve"> </w:t>
      </w:r>
      <w:r>
        <w:rPr>
          <w:rFonts w:hint="eastAsia"/>
          <w:highlight w:val="none"/>
        </w:rPr>
        <w:t>无纸化病案归档系统</w:t>
      </w:r>
    </w:p>
    <w:p w14:paraId="32966B95">
      <w:pPr>
        <w:pStyle w:val="12"/>
        <w:shd w:val="clear" w:color="auto" w:fill="auto"/>
        <w:ind w:firstLine="480"/>
        <w:rPr>
          <w:rFonts w:hint="eastAsia"/>
          <w:highlight w:val="none"/>
        </w:rPr>
      </w:pPr>
      <w:r>
        <w:rPr>
          <w:rFonts w:hint="eastAsia"/>
          <w:highlight w:val="none"/>
        </w:rPr>
        <w:t>无纸化病案信息采集：借助一体化数据集成技术与三方系统接口实现临床病历数据自动采集与更新、对采集信息自动转换P</w:t>
      </w:r>
      <w:r>
        <w:rPr>
          <w:highlight w:val="none"/>
        </w:rPr>
        <w:t>DF</w:t>
      </w:r>
      <w:r>
        <w:rPr>
          <w:rFonts w:hint="eastAsia"/>
          <w:highlight w:val="none"/>
        </w:rPr>
        <w:t>、OFD格式文档并存储。</w:t>
      </w:r>
    </w:p>
    <w:p w14:paraId="69979A50">
      <w:pPr>
        <w:pStyle w:val="12"/>
        <w:shd w:val="clear" w:color="auto" w:fill="auto"/>
        <w:ind w:firstLine="480"/>
        <w:rPr>
          <w:rFonts w:hint="eastAsia"/>
          <w:highlight w:val="none"/>
        </w:rPr>
      </w:pPr>
      <w:r>
        <w:rPr>
          <w:rFonts w:hint="eastAsia"/>
          <w:highlight w:val="none"/>
        </w:rPr>
        <w:t>无纸化病案归档管理：能够实现传统纸质病历回收产物的流程管理方式能够实现患者病历的分类整理和归档，具备完善的电子输出物存储机制和保障机制对采集的信息进行合理分配与存储。</w:t>
      </w:r>
    </w:p>
    <w:p w14:paraId="36DC6595">
      <w:pPr>
        <w:pStyle w:val="12"/>
        <w:shd w:val="clear" w:color="auto" w:fill="auto"/>
        <w:ind w:firstLine="480"/>
        <w:rPr>
          <w:rFonts w:hint="eastAsia"/>
          <w:highlight w:val="none"/>
        </w:rPr>
      </w:pPr>
      <w:r>
        <w:rPr>
          <w:rFonts w:hint="eastAsia"/>
          <w:highlight w:val="none"/>
        </w:rPr>
        <w:t>应用场景：实现临床医护科室病历提交无纸化、病案首页编码无纸化、病案质控无纸化、病案存储无纸化，可从物理空间存储与病案文档运用两个维度大幅降低医院运营成本，结合数据自动采集、分类、及校验进一步减轻医务人员工作压力。</w:t>
      </w:r>
    </w:p>
    <w:p w14:paraId="1476D945">
      <w:pPr>
        <w:pStyle w:val="6"/>
        <w:rPr>
          <w:rFonts w:hint="eastAsia"/>
          <w:highlight w:val="none"/>
        </w:rPr>
      </w:pPr>
      <w:r>
        <w:rPr>
          <w:rFonts w:hint="eastAsia"/>
          <w:highlight w:val="none"/>
          <w:lang w:val="en-US" w:eastAsia="zh-CN"/>
        </w:rPr>
        <w:t xml:space="preserve"> </w:t>
      </w:r>
      <w:r>
        <w:rPr>
          <w:rFonts w:hint="eastAsia"/>
          <w:highlight w:val="none"/>
        </w:rPr>
        <w:t>病案采集</w:t>
      </w:r>
    </w:p>
    <w:p w14:paraId="4BC9B9D6">
      <w:pPr>
        <w:pStyle w:val="7"/>
        <w:rPr>
          <w:rFonts w:hint="eastAsia"/>
          <w:highlight w:val="none"/>
        </w:rPr>
      </w:pPr>
      <w:bookmarkStart w:id="208" w:name="_Toc128483978"/>
      <w:r>
        <w:rPr>
          <w:rFonts w:hint="eastAsia"/>
          <w:highlight w:val="none"/>
          <w:lang w:val="en-US" w:eastAsia="zh-CN"/>
        </w:rPr>
        <w:t xml:space="preserve"> </w:t>
      </w:r>
      <w:r>
        <w:rPr>
          <w:rFonts w:hint="eastAsia"/>
          <w:highlight w:val="none"/>
        </w:rPr>
        <w:t>病案采集服务</w:t>
      </w:r>
    </w:p>
    <w:p w14:paraId="05875705">
      <w:pPr>
        <w:pStyle w:val="12"/>
        <w:shd w:val="clear" w:color="auto" w:fill="auto"/>
        <w:ind w:firstLine="480"/>
        <w:rPr>
          <w:rFonts w:hint="eastAsia"/>
          <w:highlight w:val="none"/>
        </w:rPr>
      </w:pPr>
      <w:r>
        <w:rPr>
          <w:rFonts w:hint="eastAsia"/>
          <w:highlight w:val="none"/>
        </w:rPr>
        <w:t>具备以下功能：</w:t>
      </w:r>
    </w:p>
    <w:p w14:paraId="758A41EE">
      <w:pPr>
        <w:pStyle w:val="12"/>
        <w:shd w:val="clear" w:color="auto" w:fill="auto"/>
        <w:ind w:firstLine="480"/>
        <w:rPr>
          <w:rFonts w:hint="eastAsia"/>
          <w:highlight w:val="none"/>
        </w:rPr>
      </w:pPr>
      <w:r>
        <w:rPr>
          <w:rFonts w:hint="eastAsia"/>
          <w:highlight w:val="none"/>
        </w:rPr>
        <w:t>1.采集功能展示形式与应用人员定位：具备电子诊疗信息的自动采集功能，并提供采集信息的展示界面供医生、护士、病案室人员核对确认；</w:t>
      </w:r>
    </w:p>
    <w:p w14:paraId="0A3AF6EE">
      <w:pPr>
        <w:pStyle w:val="12"/>
        <w:shd w:val="clear" w:color="auto" w:fill="auto"/>
        <w:ind w:firstLine="480"/>
        <w:rPr>
          <w:rFonts w:hint="eastAsia"/>
          <w:highlight w:val="none"/>
        </w:rPr>
      </w:pPr>
      <w:r>
        <w:rPr>
          <w:rFonts w:hint="eastAsia"/>
          <w:highlight w:val="none"/>
        </w:rPr>
        <w:t>2.采集对接数据业务涵盖分布：结合临床应用系统及其产生文书类信息进行对接业务需涵盖H</w:t>
      </w:r>
      <w:r>
        <w:rPr>
          <w:highlight w:val="none"/>
        </w:rPr>
        <w:t>IS</w:t>
      </w:r>
      <w:r>
        <w:rPr>
          <w:rFonts w:hint="eastAsia"/>
          <w:highlight w:val="none"/>
        </w:rPr>
        <w:t>、E</w:t>
      </w:r>
      <w:r>
        <w:rPr>
          <w:highlight w:val="none"/>
        </w:rPr>
        <w:t>MR</w:t>
      </w:r>
      <w:r>
        <w:rPr>
          <w:rFonts w:hint="eastAsia"/>
          <w:highlight w:val="none"/>
        </w:rPr>
        <w:t>、护理、L</w:t>
      </w:r>
      <w:r>
        <w:rPr>
          <w:highlight w:val="none"/>
        </w:rPr>
        <w:t>IS</w:t>
      </w:r>
      <w:r>
        <w:rPr>
          <w:rFonts w:hint="eastAsia"/>
          <w:highlight w:val="none"/>
        </w:rPr>
        <w:t>、P</w:t>
      </w:r>
      <w:r>
        <w:rPr>
          <w:highlight w:val="none"/>
        </w:rPr>
        <w:t>ACS</w:t>
      </w:r>
      <w:r>
        <w:rPr>
          <w:rFonts w:hint="eastAsia"/>
          <w:highlight w:val="none"/>
        </w:rPr>
        <w:t>、手麻、心电、重症、血透等临床应用系统的病案文书信息；</w:t>
      </w:r>
    </w:p>
    <w:p w14:paraId="4FE439D9">
      <w:pPr>
        <w:pStyle w:val="12"/>
        <w:shd w:val="clear" w:color="auto" w:fill="auto"/>
        <w:ind w:firstLine="480"/>
        <w:rPr>
          <w:rFonts w:hint="eastAsia"/>
          <w:highlight w:val="none"/>
        </w:rPr>
      </w:pPr>
      <w:r>
        <w:rPr>
          <w:rFonts w:hint="eastAsia"/>
          <w:highlight w:val="none"/>
        </w:rPr>
        <w:t>3.采集数据生成格式：采集信息以P</w:t>
      </w:r>
      <w:r>
        <w:rPr>
          <w:highlight w:val="none"/>
        </w:rPr>
        <w:t>DF</w:t>
      </w:r>
      <w:r>
        <w:rPr>
          <w:rFonts w:hint="eastAsia"/>
          <w:highlight w:val="none"/>
        </w:rPr>
        <w:t>、</w:t>
      </w:r>
      <w:r>
        <w:rPr>
          <w:highlight w:val="none"/>
        </w:rPr>
        <w:t>OFD</w:t>
      </w:r>
      <w:r>
        <w:rPr>
          <w:rFonts w:hint="eastAsia"/>
          <w:highlight w:val="none"/>
        </w:rPr>
        <w:t>文档形式展示和存储，能够满足各应用场景调阅和分析展示；</w:t>
      </w:r>
    </w:p>
    <w:p w14:paraId="18DC4714">
      <w:pPr>
        <w:pStyle w:val="12"/>
        <w:shd w:val="clear" w:color="auto" w:fill="auto"/>
        <w:ind w:firstLine="480"/>
        <w:rPr>
          <w:rFonts w:hint="eastAsia"/>
          <w:highlight w:val="none"/>
        </w:rPr>
      </w:pPr>
      <w:r>
        <w:rPr>
          <w:rFonts w:hint="eastAsia"/>
          <w:highlight w:val="none"/>
        </w:rPr>
        <w:t>4.数据安全保障：文件加密，对采集的</w:t>
      </w:r>
      <w:r>
        <w:rPr>
          <w:highlight w:val="none"/>
        </w:rPr>
        <w:t>PDF</w:t>
      </w:r>
      <w:r>
        <w:rPr>
          <w:rFonts w:hint="eastAsia"/>
          <w:highlight w:val="none"/>
        </w:rPr>
        <w:t>、</w:t>
      </w:r>
      <w:r>
        <w:rPr>
          <w:highlight w:val="none"/>
        </w:rPr>
        <w:t>OFD</w:t>
      </w:r>
      <w:r>
        <w:rPr>
          <w:rFonts w:hint="eastAsia"/>
          <w:highlight w:val="none"/>
        </w:rPr>
        <w:t>文件进行加密处理。</w:t>
      </w:r>
    </w:p>
    <w:p w14:paraId="1A620BDC">
      <w:pPr>
        <w:pStyle w:val="12"/>
        <w:shd w:val="clear" w:color="auto" w:fill="auto"/>
        <w:ind w:firstLine="480"/>
        <w:rPr>
          <w:rFonts w:hint="eastAsia"/>
          <w:highlight w:val="none"/>
        </w:rPr>
      </w:pPr>
      <w:r>
        <w:rPr>
          <w:rFonts w:hint="eastAsia"/>
          <w:highlight w:val="none"/>
        </w:rPr>
        <w:t>制定统一展示数据原则，采集数据只能经过系统直接展示和授权才能予以查看，输出形式和输出物需由系统统一管理保障数据的一元性。</w:t>
      </w:r>
    </w:p>
    <w:p w14:paraId="470616C4">
      <w:pPr>
        <w:pStyle w:val="12"/>
        <w:shd w:val="clear" w:color="auto" w:fill="auto"/>
        <w:ind w:firstLine="480"/>
        <w:rPr>
          <w:rFonts w:hint="eastAsia"/>
          <w:highlight w:val="none"/>
        </w:rPr>
      </w:pPr>
      <w:r>
        <w:rPr>
          <w:rFonts w:hint="eastAsia"/>
          <w:highlight w:val="none"/>
        </w:rPr>
        <w:t>5.采集服务机制与处理：满足自动采集无需干预，保障归档服务于服务器平稳运行，通过接口服务自动采集各个业务系统中需归档病案文书信息，可分体式采集相关信息避免耗费需采集方运行资源。</w:t>
      </w:r>
    </w:p>
    <w:p w14:paraId="12E9C6F2">
      <w:pPr>
        <w:pStyle w:val="7"/>
        <w:rPr>
          <w:rFonts w:hint="eastAsia"/>
          <w:highlight w:val="none"/>
        </w:rPr>
      </w:pPr>
      <w:r>
        <w:rPr>
          <w:rFonts w:hint="eastAsia"/>
          <w:highlight w:val="none"/>
          <w:lang w:val="en-US" w:eastAsia="zh-CN"/>
        </w:rPr>
        <w:t xml:space="preserve"> </w:t>
      </w:r>
      <w:r>
        <w:rPr>
          <w:rFonts w:hint="eastAsia"/>
          <w:highlight w:val="none"/>
        </w:rPr>
        <w:t>采集接口</w:t>
      </w:r>
    </w:p>
    <w:p w14:paraId="35A71499">
      <w:pPr>
        <w:pStyle w:val="12"/>
        <w:shd w:val="clear" w:color="auto" w:fill="auto"/>
        <w:ind w:firstLine="480"/>
        <w:rPr>
          <w:rFonts w:hint="eastAsia"/>
          <w:highlight w:val="none"/>
        </w:rPr>
      </w:pPr>
      <w:r>
        <w:rPr>
          <w:rFonts w:hint="eastAsia"/>
          <w:highlight w:val="none"/>
        </w:rPr>
        <w:t>电子病案系统是收集、整理、管理患者于院内诊疗期间的电子化病案输出物的系统需满足与各医疗资源模块的数据对接。系统需提供标准的接口协议以应对不同医疗模块、不同系统的电子产出物数据对接。</w:t>
      </w:r>
    </w:p>
    <w:p w14:paraId="25C94690">
      <w:pPr>
        <w:pStyle w:val="12"/>
        <w:shd w:val="clear" w:color="auto" w:fill="auto"/>
        <w:ind w:firstLine="480"/>
        <w:rPr>
          <w:rFonts w:hint="eastAsia"/>
          <w:highlight w:val="none"/>
        </w:rPr>
      </w:pPr>
      <w:r>
        <w:rPr>
          <w:rFonts w:hint="eastAsia"/>
          <w:highlight w:val="none"/>
        </w:rPr>
        <w:t>1.高拍仪接口</w:t>
      </w:r>
    </w:p>
    <w:p w14:paraId="423A3AF5">
      <w:pPr>
        <w:pStyle w:val="12"/>
        <w:shd w:val="clear" w:color="auto" w:fill="auto"/>
        <w:ind w:firstLine="480"/>
        <w:rPr>
          <w:rFonts w:hint="eastAsia"/>
          <w:highlight w:val="none"/>
        </w:rPr>
      </w:pPr>
      <w:r>
        <w:rPr>
          <w:rFonts w:hint="eastAsia"/>
          <w:highlight w:val="none"/>
        </w:rPr>
        <w:t>需通过第三方高拍仪设备获取高拍仪所拍图片信息。</w:t>
      </w:r>
    </w:p>
    <w:p w14:paraId="2695F2A0">
      <w:pPr>
        <w:pStyle w:val="12"/>
        <w:shd w:val="clear" w:color="auto" w:fill="auto"/>
        <w:ind w:firstLine="480"/>
        <w:rPr>
          <w:rFonts w:hint="eastAsia"/>
          <w:highlight w:val="none"/>
        </w:rPr>
      </w:pPr>
      <w:r>
        <w:rPr>
          <w:rFonts w:hint="eastAsia"/>
          <w:highlight w:val="none"/>
        </w:rPr>
        <w:t>2.医生病历归档接口</w:t>
      </w:r>
    </w:p>
    <w:p w14:paraId="21D8EC20">
      <w:pPr>
        <w:pStyle w:val="12"/>
        <w:shd w:val="clear" w:color="auto" w:fill="auto"/>
        <w:ind w:firstLine="480"/>
        <w:rPr>
          <w:rFonts w:hint="eastAsia"/>
          <w:highlight w:val="none"/>
        </w:rPr>
      </w:pPr>
      <w:r>
        <w:rPr>
          <w:rFonts w:hint="eastAsia"/>
          <w:highlight w:val="none"/>
        </w:rPr>
        <w:t>需将医生归档的所有病历按照约定接口形式归档至系统中。</w:t>
      </w:r>
    </w:p>
    <w:p w14:paraId="15B04CE9">
      <w:pPr>
        <w:pStyle w:val="12"/>
        <w:shd w:val="clear" w:color="auto" w:fill="auto"/>
        <w:ind w:firstLine="480"/>
        <w:rPr>
          <w:rFonts w:hint="eastAsia"/>
          <w:highlight w:val="none"/>
        </w:rPr>
      </w:pPr>
      <w:r>
        <w:rPr>
          <w:rFonts w:hint="eastAsia"/>
          <w:highlight w:val="none"/>
        </w:rPr>
        <w:t>3.护理病历归档接口</w:t>
      </w:r>
    </w:p>
    <w:p w14:paraId="4DFF87E8">
      <w:pPr>
        <w:pStyle w:val="12"/>
        <w:shd w:val="clear" w:color="auto" w:fill="auto"/>
        <w:ind w:firstLine="480"/>
        <w:rPr>
          <w:rFonts w:hint="eastAsia"/>
          <w:highlight w:val="none"/>
        </w:rPr>
      </w:pPr>
      <w:r>
        <w:rPr>
          <w:rFonts w:hint="eastAsia"/>
          <w:highlight w:val="none"/>
        </w:rPr>
        <w:t>需将护理归档的所有病历按照约定接口形式归档至本系统中。</w:t>
      </w:r>
    </w:p>
    <w:p w14:paraId="414815CD">
      <w:pPr>
        <w:pStyle w:val="12"/>
        <w:shd w:val="clear" w:color="auto" w:fill="auto"/>
        <w:ind w:firstLine="480"/>
        <w:rPr>
          <w:rFonts w:hint="eastAsia"/>
          <w:highlight w:val="none"/>
        </w:rPr>
      </w:pPr>
      <w:r>
        <w:rPr>
          <w:rFonts w:hint="eastAsia"/>
          <w:highlight w:val="none"/>
        </w:rPr>
        <w:t>4.医嘱单系统归档接口</w:t>
      </w:r>
    </w:p>
    <w:p w14:paraId="311C02E6">
      <w:pPr>
        <w:pStyle w:val="12"/>
        <w:shd w:val="clear" w:color="auto" w:fill="auto"/>
        <w:ind w:firstLine="480"/>
        <w:rPr>
          <w:rFonts w:hint="eastAsia"/>
          <w:highlight w:val="none"/>
        </w:rPr>
      </w:pPr>
      <w:r>
        <w:rPr>
          <w:rFonts w:hint="eastAsia"/>
          <w:highlight w:val="none"/>
        </w:rPr>
        <w:t>需将长期医嘱单和临时医嘱单按照约定接口形式归档系统中。</w:t>
      </w:r>
    </w:p>
    <w:p w14:paraId="23D6D27D">
      <w:pPr>
        <w:pStyle w:val="12"/>
        <w:shd w:val="clear" w:color="auto" w:fill="auto"/>
        <w:ind w:firstLine="480"/>
        <w:rPr>
          <w:rFonts w:hint="eastAsia"/>
          <w:highlight w:val="none"/>
        </w:rPr>
      </w:pPr>
      <w:r>
        <w:rPr>
          <w:rFonts w:hint="eastAsia"/>
          <w:highlight w:val="none"/>
        </w:rPr>
        <w:t>5.LIS系统归档接口</w:t>
      </w:r>
    </w:p>
    <w:p w14:paraId="5EDDBB41">
      <w:pPr>
        <w:pStyle w:val="12"/>
        <w:shd w:val="clear" w:color="auto" w:fill="auto"/>
        <w:ind w:firstLine="480"/>
        <w:rPr>
          <w:rFonts w:hint="eastAsia"/>
          <w:highlight w:val="none"/>
        </w:rPr>
      </w:pPr>
      <w:r>
        <w:rPr>
          <w:rFonts w:hint="eastAsia"/>
          <w:highlight w:val="none"/>
        </w:rPr>
        <w:t>需将检验系统中的所有患者检验报告按照约定接口形式归档至系统中。</w:t>
      </w:r>
    </w:p>
    <w:p w14:paraId="68350BB7">
      <w:pPr>
        <w:pStyle w:val="12"/>
        <w:shd w:val="clear" w:color="auto" w:fill="auto"/>
        <w:ind w:firstLine="480"/>
        <w:rPr>
          <w:rFonts w:hint="eastAsia"/>
          <w:highlight w:val="none"/>
        </w:rPr>
      </w:pPr>
      <w:r>
        <w:rPr>
          <w:rFonts w:hint="eastAsia"/>
          <w:highlight w:val="none"/>
        </w:rPr>
        <w:t>6.PACS系统归档接口</w:t>
      </w:r>
    </w:p>
    <w:p w14:paraId="35F6BD4A">
      <w:pPr>
        <w:pStyle w:val="12"/>
        <w:shd w:val="clear" w:color="auto" w:fill="auto"/>
        <w:ind w:firstLine="480"/>
        <w:rPr>
          <w:rFonts w:hint="eastAsia"/>
          <w:highlight w:val="none"/>
        </w:rPr>
      </w:pPr>
      <w:r>
        <w:rPr>
          <w:rFonts w:hint="eastAsia"/>
          <w:highlight w:val="none"/>
        </w:rPr>
        <w:t>需将检查系统中的所有患者检查报告按照约定接口形式归档至系统中。</w:t>
      </w:r>
    </w:p>
    <w:p w14:paraId="4A9C375E">
      <w:pPr>
        <w:pStyle w:val="12"/>
        <w:shd w:val="clear" w:color="auto" w:fill="auto"/>
        <w:ind w:firstLine="480"/>
        <w:rPr>
          <w:rFonts w:hint="eastAsia"/>
          <w:highlight w:val="none"/>
        </w:rPr>
      </w:pPr>
      <w:r>
        <w:rPr>
          <w:rFonts w:hint="eastAsia"/>
          <w:highlight w:val="none"/>
        </w:rPr>
        <w:t>7.病理系统归档接口</w:t>
      </w:r>
    </w:p>
    <w:p w14:paraId="0E0E5CD1">
      <w:pPr>
        <w:pStyle w:val="12"/>
        <w:shd w:val="clear" w:color="auto" w:fill="auto"/>
        <w:ind w:firstLine="480"/>
        <w:rPr>
          <w:rFonts w:hint="eastAsia"/>
          <w:highlight w:val="none"/>
        </w:rPr>
      </w:pPr>
      <w:r>
        <w:rPr>
          <w:rFonts w:hint="eastAsia"/>
          <w:highlight w:val="none"/>
        </w:rPr>
        <w:t>需将病理系统中的所有患者病理报告按照约定接口形式归档至系统中。</w:t>
      </w:r>
    </w:p>
    <w:p w14:paraId="404A1305">
      <w:pPr>
        <w:pStyle w:val="12"/>
        <w:shd w:val="clear" w:color="auto" w:fill="auto"/>
        <w:ind w:firstLine="480"/>
        <w:rPr>
          <w:rFonts w:hint="eastAsia"/>
          <w:highlight w:val="none"/>
        </w:rPr>
      </w:pPr>
      <w:r>
        <w:rPr>
          <w:rFonts w:hint="eastAsia"/>
          <w:highlight w:val="none"/>
        </w:rPr>
        <w:t>8.心电系统归档接口</w:t>
      </w:r>
    </w:p>
    <w:p w14:paraId="08A0AAA4">
      <w:pPr>
        <w:pStyle w:val="12"/>
        <w:shd w:val="clear" w:color="auto" w:fill="auto"/>
        <w:ind w:firstLine="480"/>
        <w:rPr>
          <w:rFonts w:hint="eastAsia"/>
          <w:highlight w:val="none"/>
        </w:rPr>
      </w:pPr>
      <w:r>
        <w:rPr>
          <w:rFonts w:hint="eastAsia"/>
          <w:highlight w:val="none"/>
        </w:rPr>
        <w:t>需将心电系统中的所有患者心电报告按照约定接口形式归档至系统中。</w:t>
      </w:r>
    </w:p>
    <w:p w14:paraId="2A322344">
      <w:pPr>
        <w:pStyle w:val="12"/>
        <w:shd w:val="clear" w:color="auto" w:fill="auto"/>
        <w:ind w:firstLine="480"/>
        <w:rPr>
          <w:rFonts w:hint="eastAsia"/>
          <w:highlight w:val="none"/>
        </w:rPr>
      </w:pPr>
      <w:r>
        <w:rPr>
          <w:rFonts w:hint="eastAsia"/>
          <w:highlight w:val="none"/>
        </w:rPr>
        <w:t>9.重症系统归档接口</w:t>
      </w:r>
    </w:p>
    <w:p w14:paraId="5B74AD30">
      <w:pPr>
        <w:pStyle w:val="12"/>
        <w:shd w:val="clear" w:color="auto" w:fill="auto"/>
        <w:ind w:firstLine="480"/>
        <w:rPr>
          <w:rFonts w:hint="eastAsia"/>
          <w:highlight w:val="none"/>
        </w:rPr>
      </w:pPr>
      <w:r>
        <w:rPr>
          <w:rFonts w:hint="eastAsia"/>
          <w:highlight w:val="none"/>
        </w:rPr>
        <w:t>需将重症系统中的所有患者重症报告按照约定接口形式归档至系统中。</w:t>
      </w:r>
    </w:p>
    <w:p w14:paraId="6CC2610C">
      <w:pPr>
        <w:pStyle w:val="12"/>
        <w:shd w:val="clear" w:color="auto" w:fill="auto"/>
        <w:ind w:firstLine="480"/>
        <w:rPr>
          <w:rFonts w:hint="eastAsia"/>
          <w:highlight w:val="none"/>
        </w:rPr>
      </w:pPr>
      <w:r>
        <w:rPr>
          <w:rFonts w:hint="eastAsia"/>
          <w:highlight w:val="none"/>
        </w:rPr>
        <w:t>10.血透系统归档接口</w:t>
      </w:r>
    </w:p>
    <w:p w14:paraId="0AE648E4">
      <w:pPr>
        <w:pStyle w:val="12"/>
        <w:shd w:val="clear" w:color="auto" w:fill="auto"/>
        <w:ind w:firstLine="480"/>
        <w:rPr>
          <w:rFonts w:hint="eastAsia"/>
          <w:highlight w:val="none"/>
        </w:rPr>
      </w:pPr>
      <w:r>
        <w:rPr>
          <w:rFonts w:hint="eastAsia"/>
          <w:highlight w:val="none"/>
        </w:rPr>
        <w:t>需将血透系统中的所有患者血透报告按照约定接口形式归档至系统中。</w:t>
      </w:r>
    </w:p>
    <w:p w14:paraId="73BD2506">
      <w:pPr>
        <w:pStyle w:val="12"/>
        <w:shd w:val="clear" w:color="auto" w:fill="auto"/>
        <w:ind w:firstLine="480"/>
        <w:rPr>
          <w:rFonts w:hint="eastAsia"/>
          <w:highlight w:val="none"/>
        </w:rPr>
      </w:pPr>
      <w:r>
        <w:rPr>
          <w:rFonts w:hint="eastAsia"/>
          <w:highlight w:val="none"/>
        </w:rPr>
        <w:t>11.自助机/线上预约打印接口</w:t>
      </w:r>
    </w:p>
    <w:p w14:paraId="41F5467A">
      <w:pPr>
        <w:pStyle w:val="12"/>
        <w:shd w:val="clear" w:color="auto" w:fill="auto"/>
        <w:ind w:firstLine="480"/>
        <w:rPr>
          <w:rFonts w:hint="eastAsia"/>
          <w:highlight w:val="none"/>
        </w:rPr>
      </w:pPr>
      <w:r>
        <w:rPr>
          <w:rFonts w:hint="eastAsia"/>
          <w:highlight w:val="none"/>
        </w:rPr>
        <w:t>需为自助机或微信公众号预约打印提供归档患者及病案信息接口。</w:t>
      </w:r>
    </w:p>
    <w:p w14:paraId="234EC641">
      <w:pPr>
        <w:pStyle w:val="12"/>
        <w:shd w:val="clear" w:color="auto" w:fill="auto"/>
        <w:ind w:firstLine="480"/>
        <w:rPr>
          <w:rFonts w:hint="eastAsia"/>
          <w:highlight w:val="none"/>
        </w:rPr>
      </w:pPr>
      <w:r>
        <w:rPr>
          <w:rFonts w:hint="eastAsia"/>
          <w:highlight w:val="none"/>
        </w:rPr>
        <w:t>12.第三方主动注册电子病案接口</w:t>
      </w:r>
    </w:p>
    <w:p w14:paraId="39ADEAE4">
      <w:pPr>
        <w:pStyle w:val="12"/>
        <w:shd w:val="clear" w:color="auto" w:fill="auto"/>
        <w:ind w:firstLine="480"/>
        <w:rPr>
          <w:rFonts w:hint="eastAsia"/>
          <w:highlight w:val="none"/>
        </w:rPr>
      </w:pPr>
      <w:r>
        <w:rPr>
          <w:rFonts w:hint="eastAsia"/>
          <w:highlight w:val="none"/>
        </w:rPr>
        <w:t>需支持第三方系统按指定格式主动向归档系统注册相应文书的电子版。</w:t>
      </w:r>
    </w:p>
    <w:p w14:paraId="03100929">
      <w:pPr>
        <w:pStyle w:val="12"/>
        <w:shd w:val="clear" w:color="auto" w:fill="auto"/>
        <w:ind w:firstLine="480"/>
        <w:rPr>
          <w:rFonts w:hint="eastAsia"/>
          <w:highlight w:val="none"/>
        </w:rPr>
      </w:pPr>
      <w:r>
        <w:rPr>
          <w:rFonts w:hint="eastAsia"/>
          <w:highlight w:val="none"/>
        </w:rPr>
        <w:t>13.CA电子签章</w:t>
      </w:r>
    </w:p>
    <w:p w14:paraId="4908BC6E">
      <w:pPr>
        <w:pStyle w:val="12"/>
        <w:shd w:val="clear" w:color="auto" w:fill="auto"/>
        <w:ind w:firstLine="480"/>
        <w:rPr>
          <w:rFonts w:hint="eastAsia"/>
          <w:highlight w:val="none"/>
        </w:rPr>
      </w:pPr>
      <w:r>
        <w:rPr>
          <w:rFonts w:hint="eastAsia"/>
          <w:highlight w:val="none"/>
        </w:rPr>
        <w:t>需对归档病案进行电子签章，对接CA厂商。</w:t>
      </w:r>
    </w:p>
    <w:p w14:paraId="04E52EEA">
      <w:pPr>
        <w:pStyle w:val="6"/>
        <w:rPr>
          <w:rFonts w:hint="eastAsia"/>
          <w:highlight w:val="none"/>
        </w:rPr>
      </w:pPr>
      <w:r>
        <w:rPr>
          <w:rFonts w:hint="eastAsia"/>
          <w:highlight w:val="none"/>
          <w:lang w:val="en-US" w:eastAsia="zh-CN"/>
        </w:rPr>
        <w:t xml:space="preserve"> </w:t>
      </w:r>
      <w:r>
        <w:rPr>
          <w:rFonts w:hint="eastAsia"/>
          <w:highlight w:val="none"/>
        </w:rPr>
        <w:t>病案归档</w:t>
      </w:r>
    </w:p>
    <w:p w14:paraId="4F5CE7F8">
      <w:pPr>
        <w:pStyle w:val="12"/>
        <w:shd w:val="clear" w:color="auto" w:fill="auto"/>
        <w:ind w:firstLine="480"/>
        <w:rPr>
          <w:rFonts w:hint="eastAsia"/>
          <w:highlight w:val="none"/>
        </w:rPr>
      </w:pPr>
      <w:r>
        <w:rPr>
          <w:rFonts w:hint="eastAsia"/>
          <w:highlight w:val="none"/>
        </w:rPr>
        <w:t>具备电子诊疗信息的分类管理机制，分类符合病案文书分类管理机制以病历规范章节形式进行电子病案的整理。</w:t>
      </w:r>
    </w:p>
    <w:p w14:paraId="7D47B71E">
      <w:pPr>
        <w:pStyle w:val="12"/>
        <w:shd w:val="clear" w:color="auto" w:fill="auto"/>
        <w:ind w:firstLine="480"/>
        <w:rPr>
          <w:rFonts w:hint="eastAsia"/>
          <w:highlight w:val="none"/>
        </w:rPr>
      </w:pPr>
      <w:r>
        <w:rPr>
          <w:rFonts w:hint="eastAsia"/>
          <w:highlight w:val="none"/>
        </w:rPr>
        <w:t>具备电子数据异常的处理机制，可对异常问题进行分析处理保障电子病历归档整个机制的稳定性和数据的完整性。</w:t>
      </w:r>
    </w:p>
    <w:p w14:paraId="757D28BE">
      <w:pPr>
        <w:pStyle w:val="12"/>
        <w:shd w:val="clear" w:color="auto" w:fill="auto"/>
        <w:ind w:firstLine="480"/>
        <w:rPr>
          <w:rFonts w:hint="eastAsia"/>
          <w:highlight w:val="none"/>
        </w:rPr>
      </w:pPr>
      <w:r>
        <w:rPr>
          <w:rFonts w:hint="eastAsia"/>
          <w:highlight w:val="none"/>
        </w:rPr>
        <w:t>遵循传统纸张病案管理一样的工作流程，具备如纸质病案的提交、驳回、归档、解归档的工作流管理模型。</w:t>
      </w:r>
    </w:p>
    <w:p w14:paraId="0E21D105">
      <w:pPr>
        <w:pStyle w:val="12"/>
        <w:shd w:val="clear" w:color="auto" w:fill="auto"/>
        <w:ind w:firstLine="480"/>
        <w:rPr>
          <w:rFonts w:hint="eastAsia"/>
          <w:highlight w:val="none"/>
        </w:rPr>
      </w:pPr>
      <w:r>
        <w:rPr>
          <w:rFonts w:hint="eastAsia"/>
          <w:highlight w:val="none"/>
        </w:rPr>
        <w:t>提供对于无电子化报告、单据、患者同意书等形式纸张文档的处理机制可通过扫描、翻拍等形式转化为电子文档产物进行归档处理。</w:t>
      </w:r>
    </w:p>
    <w:p w14:paraId="1B23E440">
      <w:pPr>
        <w:pStyle w:val="12"/>
        <w:shd w:val="clear" w:color="auto" w:fill="auto"/>
        <w:ind w:firstLine="480"/>
        <w:rPr>
          <w:rFonts w:hint="eastAsia"/>
          <w:highlight w:val="none"/>
        </w:rPr>
      </w:pPr>
      <w:r>
        <w:rPr>
          <w:rFonts w:hint="eastAsia"/>
          <w:highlight w:val="none"/>
        </w:rPr>
        <w:t>具备电子病案归档物的完整性校验机制，对提交的电子病历结合病历规范进行完整性校验。</w:t>
      </w:r>
    </w:p>
    <w:p w14:paraId="17E26668">
      <w:pPr>
        <w:pStyle w:val="12"/>
        <w:shd w:val="clear" w:color="auto" w:fill="auto"/>
        <w:ind w:firstLine="480"/>
        <w:rPr>
          <w:rFonts w:hint="eastAsia"/>
          <w:highlight w:val="none"/>
        </w:rPr>
      </w:pPr>
      <w:r>
        <w:rPr>
          <w:rFonts w:hint="eastAsia"/>
          <w:highlight w:val="none"/>
        </w:rPr>
        <w:t>1.病案提交</w:t>
      </w:r>
    </w:p>
    <w:p w14:paraId="5C66BB90">
      <w:pPr>
        <w:pStyle w:val="12"/>
        <w:shd w:val="clear" w:color="auto" w:fill="auto"/>
        <w:ind w:firstLine="480"/>
        <w:rPr>
          <w:rFonts w:hint="eastAsia"/>
          <w:highlight w:val="none"/>
        </w:rPr>
      </w:pPr>
      <w:r>
        <w:rPr>
          <w:rFonts w:hint="eastAsia"/>
          <w:highlight w:val="none"/>
        </w:rPr>
        <w:t>在患者诊疗结束后，医生/护士确认病历书写完毕后，在归档系统中进行标识；</w:t>
      </w:r>
    </w:p>
    <w:p w14:paraId="26EE8DC9">
      <w:pPr>
        <w:pStyle w:val="12"/>
        <w:shd w:val="clear" w:color="auto" w:fill="auto"/>
        <w:ind w:firstLine="480"/>
        <w:rPr>
          <w:rFonts w:hint="eastAsia"/>
          <w:highlight w:val="none"/>
        </w:rPr>
      </w:pPr>
      <w:r>
        <w:rPr>
          <w:rFonts w:hint="eastAsia"/>
          <w:highlight w:val="none"/>
        </w:rPr>
        <w:t>支持与医生工作站实现对接，可通过操作便捷地方式进入医生工作站，实现系统间快捷切换，提高医生系统体验感；</w:t>
      </w:r>
    </w:p>
    <w:p w14:paraId="5465530B">
      <w:pPr>
        <w:pStyle w:val="12"/>
        <w:shd w:val="clear" w:color="auto" w:fill="auto"/>
        <w:ind w:firstLine="480"/>
        <w:rPr>
          <w:rFonts w:hint="eastAsia"/>
          <w:highlight w:val="none"/>
        </w:rPr>
      </w:pPr>
      <w:r>
        <w:rPr>
          <w:rFonts w:hint="eastAsia"/>
          <w:highlight w:val="none"/>
        </w:rPr>
        <w:t>2.文件上传：对于无法接入系统的单机设备，通过虚拟打印方式生成P</w:t>
      </w:r>
      <w:r>
        <w:rPr>
          <w:highlight w:val="none"/>
        </w:rPr>
        <w:t>DF</w:t>
      </w:r>
      <w:r>
        <w:rPr>
          <w:rFonts w:hint="eastAsia"/>
          <w:highlight w:val="none"/>
        </w:rPr>
        <w:t>、</w:t>
      </w:r>
      <w:r>
        <w:rPr>
          <w:highlight w:val="none"/>
        </w:rPr>
        <w:t>OFD</w:t>
      </w:r>
      <w:r>
        <w:rPr>
          <w:rFonts w:hint="eastAsia"/>
          <w:highlight w:val="none"/>
        </w:rPr>
        <w:t>文件，通过“手动上传</w:t>
      </w:r>
      <w:r>
        <w:rPr>
          <w:highlight w:val="none"/>
        </w:rPr>
        <w:t>”</w:t>
      </w:r>
      <w:r>
        <w:rPr>
          <w:rFonts w:hint="eastAsia"/>
          <w:highlight w:val="none"/>
        </w:rPr>
        <w:t>方式上传至归档系统；</w:t>
      </w:r>
    </w:p>
    <w:p w14:paraId="69A9DF1A">
      <w:pPr>
        <w:pStyle w:val="12"/>
        <w:shd w:val="clear" w:color="auto" w:fill="auto"/>
        <w:ind w:firstLine="480"/>
        <w:rPr>
          <w:rFonts w:hint="eastAsia"/>
          <w:highlight w:val="none"/>
        </w:rPr>
      </w:pPr>
      <w:r>
        <w:rPr>
          <w:rFonts w:hint="eastAsia"/>
          <w:highlight w:val="none"/>
        </w:rPr>
        <w:t>3.数字文件自动分类</w:t>
      </w:r>
    </w:p>
    <w:p w14:paraId="36541AE9">
      <w:pPr>
        <w:pStyle w:val="12"/>
        <w:shd w:val="clear" w:color="auto" w:fill="auto"/>
        <w:ind w:firstLine="480"/>
        <w:rPr>
          <w:rFonts w:hint="eastAsia"/>
          <w:highlight w:val="none"/>
        </w:rPr>
      </w:pPr>
      <w:r>
        <w:rPr>
          <w:rFonts w:hint="eastAsia"/>
          <w:highlight w:val="none"/>
        </w:rPr>
        <w:t>将电子诊疗相关记录传输至病案归档系统时，依据归档系统中约束好的类别，将电子诊疗记录自动分类到对应类别中；</w:t>
      </w:r>
    </w:p>
    <w:p w14:paraId="566ECF65">
      <w:pPr>
        <w:pStyle w:val="12"/>
        <w:shd w:val="clear" w:color="auto" w:fill="auto"/>
        <w:ind w:firstLine="480"/>
        <w:rPr>
          <w:rFonts w:hint="eastAsia"/>
          <w:highlight w:val="none"/>
        </w:rPr>
      </w:pPr>
      <w:r>
        <w:rPr>
          <w:rFonts w:hint="eastAsia"/>
          <w:highlight w:val="none"/>
        </w:rPr>
        <w:t>分类对照管理：需提供分类对照功能，将各业务系统上传的文书信息与标准分类进行对照保障自动分类的有序进行；</w:t>
      </w:r>
    </w:p>
    <w:p w14:paraId="447E18DF">
      <w:pPr>
        <w:pStyle w:val="12"/>
        <w:shd w:val="clear" w:color="auto" w:fill="auto"/>
        <w:ind w:firstLine="480"/>
        <w:rPr>
          <w:rFonts w:hint="eastAsia"/>
          <w:highlight w:val="none"/>
        </w:rPr>
      </w:pPr>
      <w:r>
        <w:rPr>
          <w:rFonts w:hint="eastAsia"/>
          <w:highlight w:val="none"/>
        </w:rPr>
        <w:t>4.异常信息校验</w:t>
      </w:r>
    </w:p>
    <w:p w14:paraId="56E97694">
      <w:pPr>
        <w:pStyle w:val="12"/>
        <w:shd w:val="clear" w:color="auto" w:fill="auto"/>
        <w:ind w:firstLine="480"/>
        <w:rPr>
          <w:rFonts w:hint="eastAsia"/>
          <w:highlight w:val="none"/>
        </w:rPr>
      </w:pPr>
      <w:r>
        <w:rPr>
          <w:rFonts w:hint="eastAsia"/>
          <w:highlight w:val="none"/>
        </w:rPr>
        <w:t>采集监控：支持监控服务器上归档工具的运行情况及患者归档状态进行监控管理。将电子诊疗相关记录传输至病案归档系统时，于过程中出现的程序异常信息，用户可在系统中查看异常信息日志，依据日志针对性处理；</w:t>
      </w:r>
    </w:p>
    <w:p w14:paraId="454983BF">
      <w:pPr>
        <w:pStyle w:val="12"/>
        <w:shd w:val="clear" w:color="auto" w:fill="auto"/>
        <w:ind w:firstLine="480"/>
        <w:rPr>
          <w:rFonts w:hint="eastAsia"/>
          <w:highlight w:val="none"/>
        </w:rPr>
      </w:pPr>
      <w:r>
        <w:rPr>
          <w:rFonts w:hint="eastAsia"/>
          <w:highlight w:val="none"/>
        </w:rPr>
        <w:t>手动归档：提供手动归档功能保障问题应对运维，当某个接口收录异常时，可以通过手动归档工具单独调取异常待处理后重新归档；</w:t>
      </w:r>
    </w:p>
    <w:p w14:paraId="39BA5D41">
      <w:pPr>
        <w:pStyle w:val="12"/>
        <w:shd w:val="clear" w:color="auto" w:fill="auto"/>
        <w:ind w:firstLine="480"/>
        <w:rPr>
          <w:rFonts w:hint="eastAsia"/>
          <w:highlight w:val="none"/>
        </w:rPr>
      </w:pPr>
      <w:r>
        <w:rPr>
          <w:rFonts w:hint="eastAsia"/>
          <w:highlight w:val="none"/>
        </w:rPr>
        <w:t>5.病案核对</w:t>
      </w:r>
    </w:p>
    <w:p w14:paraId="7EA8AB7E">
      <w:pPr>
        <w:pStyle w:val="12"/>
        <w:shd w:val="clear" w:color="auto" w:fill="auto"/>
        <w:ind w:firstLine="480"/>
        <w:rPr>
          <w:rFonts w:hint="eastAsia"/>
          <w:highlight w:val="none"/>
        </w:rPr>
      </w:pPr>
      <w:r>
        <w:rPr>
          <w:rFonts w:hint="eastAsia"/>
          <w:highlight w:val="none"/>
        </w:rPr>
        <w:t>归档系统自动采集完成电子诊疗记录后，医生/护士可再次核对已采集信息，对错误信息进行更正；</w:t>
      </w:r>
    </w:p>
    <w:p w14:paraId="7F685D83">
      <w:pPr>
        <w:pStyle w:val="12"/>
        <w:shd w:val="clear" w:color="auto" w:fill="auto"/>
        <w:ind w:firstLine="480"/>
        <w:rPr>
          <w:rFonts w:hint="eastAsia"/>
          <w:highlight w:val="none"/>
        </w:rPr>
      </w:pPr>
      <w:r>
        <w:rPr>
          <w:rFonts w:hint="eastAsia"/>
          <w:highlight w:val="none"/>
        </w:rPr>
        <w:t>6.病案室病案核对</w:t>
      </w:r>
    </w:p>
    <w:p w14:paraId="24802D46">
      <w:pPr>
        <w:pStyle w:val="12"/>
        <w:shd w:val="clear" w:color="auto" w:fill="auto"/>
        <w:ind w:firstLine="480"/>
        <w:rPr>
          <w:rFonts w:hint="eastAsia"/>
          <w:highlight w:val="none"/>
        </w:rPr>
      </w:pPr>
      <w:r>
        <w:rPr>
          <w:rFonts w:hint="eastAsia"/>
          <w:highlight w:val="none"/>
        </w:rPr>
        <w:t>对于已经提交至病案室的电子病案，由病案室进行二次核对审议工作。</w:t>
      </w:r>
    </w:p>
    <w:p w14:paraId="506C684D">
      <w:pPr>
        <w:pStyle w:val="12"/>
        <w:shd w:val="clear" w:color="auto" w:fill="auto"/>
        <w:ind w:firstLine="480"/>
        <w:rPr>
          <w:rFonts w:hint="eastAsia"/>
          <w:highlight w:val="none"/>
        </w:rPr>
      </w:pPr>
      <w:r>
        <w:rPr>
          <w:highlight w:val="none"/>
        </w:rPr>
        <w:t>支持与病历终末质控对接</w:t>
      </w:r>
      <w:r>
        <w:rPr>
          <w:rFonts w:hint="eastAsia"/>
          <w:highlight w:val="none"/>
        </w:rPr>
        <w:t>，</w:t>
      </w:r>
      <w:r>
        <w:rPr>
          <w:highlight w:val="none"/>
        </w:rPr>
        <w:t>病案室在接收病历时能够直接进行终末质控。</w:t>
      </w:r>
    </w:p>
    <w:p w14:paraId="32B1AF3C">
      <w:pPr>
        <w:pStyle w:val="12"/>
        <w:shd w:val="clear" w:color="auto" w:fill="auto"/>
        <w:ind w:firstLine="480"/>
        <w:rPr>
          <w:rFonts w:hint="eastAsia"/>
          <w:highlight w:val="none"/>
        </w:rPr>
      </w:pPr>
      <w:r>
        <w:rPr>
          <w:rFonts w:hint="eastAsia"/>
          <w:highlight w:val="none"/>
        </w:rPr>
        <w:t>7.病案驳回</w:t>
      </w:r>
    </w:p>
    <w:p w14:paraId="667D3B98">
      <w:pPr>
        <w:pStyle w:val="12"/>
        <w:shd w:val="clear" w:color="auto" w:fill="auto"/>
        <w:ind w:firstLine="480"/>
        <w:rPr>
          <w:rFonts w:hint="eastAsia"/>
          <w:highlight w:val="none"/>
        </w:rPr>
      </w:pPr>
      <w:r>
        <w:rPr>
          <w:rFonts w:hint="eastAsia"/>
          <w:highlight w:val="none"/>
        </w:rPr>
        <w:t>由病案室对已完成收录的不合格病历进行驳回，并反馈驳回原因，需医护修改后重新提交。</w:t>
      </w:r>
    </w:p>
    <w:p w14:paraId="0DF3DF52">
      <w:pPr>
        <w:pStyle w:val="12"/>
        <w:shd w:val="clear" w:color="auto" w:fill="auto"/>
        <w:ind w:firstLine="480"/>
        <w:rPr>
          <w:rFonts w:hint="eastAsia"/>
          <w:highlight w:val="none"/>
        </w:rPr>
      </w:pPr>
      <w:r>
        <w:rPr>
          <w:rFonts w:hint="eastAsia"/>
          <w:highlight w:val="none"/>
        </w:rPr>
        <w:t>8.病案归档</w:t>
      </w:r>
    </w:p>
    <w:p w14:paraId="07FC7CAE">
      <w:pPr>
        <w:pStyle w:val="12"/>
        <w:shd w:val="clear" w:color="auto" w:fill="auto"/>
        <w:ind w:firstLine="480"/>
        <w:rPr>
          <w:rFonts w:hint="eastAsia"/>
          <w:highlight w:val="none"/>
        </w:rPr>
      </w:pPr>
      <w:r>
        <w:rPr>
          <w:rFonts w:hint="eastAsia"/>
          <w:highlight w:val="none"/>
        </w:rPr>
        <w:t>经由病案室核对后电子病案，完成患者电子病案正式归档，归档后可进行复印、借阅等各业务系统间相关查看应用操作。</w:t>
      </w:r>
    </w:p>
    <w:p w14:paraId="6F3E2AA6">
      <w:pPr>
        <w:pStyle w:val="12"/>
        <w:shd w:val="clear" w:color="auto" w:fill="auto"/>
        <w:ind w:firstLine="480"/>
        <w:rPr>
          <w:rFonts w:hint="eastAsia"/>
          <w:highlight w:val="none"/>
        </w:rPr>
      </w:pPr>
      <w:r>
        <w:rPr>
          <w:rFonts w:hint="eastAsia"/>
          <w:highlight w:val="none"/>
        </w:rPr>
        <w:t>9.电子病案解归档</w:t>
      </w:r>
    </w:p>
    <w:p w14:paraId="4E3F121C">
      <w:pPr>
        <w:pStyle w:val="12"/>
        <w:shd w:val="clear" w:color="auto" w:fill="auto"/>
        <w:ind w:firstLine="480"/>
        <w:rPr>
          <w:rFonts w:hint="eastAsia"/>
          <w:highlight w:val="none"/>
        </w:rPr>
      </w:pPr>
      <w:r>
        <w:rPr>
          <w:rFonts w:hint="eastAsia"/>
          <w:highlight w:val="none"/>
        </w:rPr>
        <w:t>对已归档的病案，若发现遗漏需改进则需要进行解归档操作，待完成解归档流程后，医生方可予以修改并再次重新提交完成病案归档；</w:t>
      </w:r>
    </w:p>
    <w:p w14:paraId="67BE65B4">
      <w:pPr>
        <w:pStyle w:val="12"/>
        <w:shd w:val="clear" w:color="auto" w:fill="auto"/>
        <w:ind w:firstLine="480"/>
        <w:rPr>
          <w:rFonts w:hint="eastAsia"/>
          <w:highlight w:val="none"/>
        </w:rPr>
      </w:pPr>
      <w:r>
        <w:rPr>
          <w:rFonts w:hint="eastAsia"/>
          <w:highlight w:val="none"/>
        </w:rPr>
        <w:t>10.病案完整性校验</w:t>
      </w:r>
    </w:p>
    <w:p w14:paraId="162A9643">
      <w:pPr>
        <w:pStyle w:val="12"/>
        <w:shd w:val="clear" w:color="auto" w:fill="auto"/>
        <w:ind w:firstLine="480"/>
        <w:rPr>
          <w:rFonts w:hint="eastAsia"/>
          <w:highlight w:val="none"/>
        </w:rPr>
      </w:pPr>
      <w:r>
        <w:rPr>
          <w:rFonts w:hint="eastAsia"/>
          <w:highlight w:val="none"/>
        </w:rPr>
        <w:t>结合医嘱接口信息及分报告原则校验检查、检验报告诊疗文书信息是否完备；结合病历书写规范校验病历相应文书是否完备，相应大类文书数量是否足够；</w:t>
      </w:r>
    </w:p>
    <w:p w14:paraId="039CB645">
      <w:pPr>
        <w:pStyle w:val="12"/>
        <w:shd w:val="clear" w:color="auto" w:fill="auto"/>
        <w:ind w:firstLine="480"/>
        <w:rPr>
          <w:rFonts w:hint="eastAsia"/>
          <w:highlight w:val="none"/>
        </w:rPr>
      </w:pPr>
      <w:r>
        <w:rPr>
          <w:rFonts w:hint="eastAsia"/>
          <w:highlight w:val="none"/>
        </w:rPr>
        <w:t>11.报告迟归</w:t>
      </w:r>
    </w:p>
    <w:p w14:paraId="0BCF28AE">
      <w:pPr>
        <w:pStyle w:val="12"/>
        <w:shd w:val="clear" w:color="auto" w:fill="auto"/>
        <w:ind w:firstLine="480"/>
        <w:rPr>
          <w:rFonts w:hint="eastAsia"/>
          <w:highlight w:val="none"/>
        </w:rPr>
      </w:pPr>
      <w:r>
        <w:rPr>
          <w:rFonts w:hint="eastAsia"/>
          <w:highlight w:val="none"/>
        </w:rPr>
        <w:t>满足对于患者已出院后才产生的报告进行归档，例如病理或细菌培养类报告，进行报告迟归处理。系统需自动标记患者存在迟归报告，并在前台进行标识，给出提示，待报告完成后，归档程序予以自动采集补充到相应归档病案中；</w:t>
      </w:r>
    </w:p>
    <w:p w14:paraId="233B259E">
      <w:pPr>
        <w:pStyle w:val="12"/>
        <w:shd w:val="clear" w:color="auto" w:fill="auto"/>
        <w:ind w:firstLine="480"/>
        <w:rPr>
          <w:rFonts w:hint="eastAsia"/>
          <w:highlight w:val="none"/>
        </w:rPr>
      </w:pPr>
      <w:r>
        <w:rPr>
          <w:rFonts w:hint="eastAsia"/>
          <w:highlight w:val="none"/>
        </w:rPr>
        <w:t>12.病案室纸质病案补拍</w:t>
      </w:r>
    </w:p>
    <w:p w14:paraId="67D19D60">
      <w:pPr>
        <w:pStyle w:val="12"/>
        <w:shd w:val="clear" w:color="auto" w:fill="auto"/>
        <w:ind w:firstLine="480"/>
        <w:rPr>
          <w:rFonts w:hint="eastAsia"/>
          <w:highlight w:val="none"/>
        </w:rPr>
      </w:pPr>
      <w:r>
        <w:rPr>
          <w:rFonts w:hint="eastAsia"/>
          <w:highlight w:val="none"/>
        </w:rPr>
        <w:t>对于已经归档的病案，若发现有纸质病案遗漏在不影响规范原则的情况下，病案室可直接通过高拍仪进行补拍，再进行归档。</w:t>
      </w:r>
    </w:p>
    <w:p w14:paraId="267B83FD">
      <w:pPr>
        <w:pStyle w:val="12"/>
        <w:shd w:val="clear" w:color="auto" w:fill="auto"/>
        <w:ind w:firstLine="480"/>
        <w:rPr>
          <w:rFonts w:hint="eastAsia"/>
          <w:highlight w:val="none"/>
        </w:rPr>
      </w:pPr>
      <w:r>
        <w:rPr>
          <w:rFonts w:hint="eastAsia"/>
          <w:highlight w:val="none"/>
        </w:rPr>
        <w:t>13.分布式存储</w:t>
      </w:r>
    </w:p>
    <w:p w14:paraId="6394C2C7">
      <w:pPr>
        <w:pStyle w:val="12"/>
        <w:shd w:val="clear" w:color="auto" w:fill="auto"/>
        <w:ind w:firstLine="480"/>
        <w:rPr>
          <w:rFonts w:hint="eastAsia"/>
          <w:highlight w:val="none"/>
        </w:rPr>
      </w:pPr>
      <w:r>
        <w:rPr>
          <w:rFonts w:hint="eastAsia"/>
          <w:highlight w:val="none"/>
        </w:rPr>
        <w:t>系统支持同时连接多个F</w:t>
      </w:r>
      <w:r>
        <w:rPr>
          <w:highlight w:val="none"/>
        </w:rPr>
        <w:t>TP</w:t>
      </w:r>
      <w:r>
        <w:rPr>
          <w:rFonts w:hint="eastAsia"/>
          <w:highlight w:val="none"/>
        </w:rPr>
        <w:t>服务器存储资源，便于医院灵活调配电子输出物存储资源，降低服务器存储资源容量扩充风险；</w:t>
      </w:r>
    </w:p>
    <w:p w14:paraId="573005DB">
      <w:pPr>
        <w:pStyle w:val="12"/>
        <w:shd w:val="clear" w:color="auto" w:fill="auto"/>
        <w:ind w:firstLine="480"/>
        <w:rPr>
          <w:rFonts w:hint="eastAsia"/>
          <w:highlight w:val="none"/>
        </w:rPr>
      </w:pPr>
      <w:r>
        <w:rPr>
          <w:rFonts w:hint="eastAsia"/>
          <w:highlight w:val="none"/>
        </w:rPr>
        <w:t>14.门诊报告归档</w:t>
      </w:r>
    </w:p>
    <w:p w14:paraId="5A56A303">
      <w:pPr>
        <w:pStyle w:val="12"/>
        <w:shd w:val="clear" w:color="auto" w:fill="auto"/>
        <w:ind w:firstLine="480"/>
        <w:rPr>
          <w:rFonts w:hint="eastAsia"/>
          <w:highlight w:val="none"/>
        </w:rPr>
      </w:pPr>
      <w:r>
        <w:rPr>
          <w:rFonts w:hint="eastAsia"/>
          <w:highlight w:val="none"/>
        </w:rPr>
        <w:t>支持归档本次入院所涉及的门诊就诊病历信息，建立关联机制保障两者数据的联系性，支持关联本次住院前一次及多次的门诊相关病历文书信息。关联信息采集需提供选取界面展示供医生自主选取决定。</w:t>
      </w:r>
    </w:p>
    <w:p w14:paraId="0FF0A8CE">
      <w:pPr>
        <w:pStyle w:val="6"/>
        <w:rPr>
          <w:rFonts w:hint="eastAsia"/>
          <w:highlight w:val="none"/>
        </w:rPr>
      </w:pPr>
      <w:bookmarkStart w:id="209" w:name="_Toc128483990"/>
      <w:bookmarkStart w:id="210" w:name="_Toc128483984"/>
      <w:r>
        <w:rPr>
          <w:rFonts w:hint="eastAsia"/>
          <w:highlight w:val="none"/>
          <w:lang w:val="en-US" w:eastAsia="zh-CN"/>
        </w:rPr>
        <w:t xml:space="preserve"> </w:t>
      </w:r>
      <w:r>
        <w:rPr>
          <w:rFonts w:hint="eastAsia"/>
          <w:highlight w:val="none"/>
        </w:rPr>
        <w:t>诊间高拍</w:t>
      </w:r>
      <w:bookmarkEnd w:id="209"/>
    </w:p>
    <w:p w14:paraId="690AB039">
      <w:pPr>
        <w:pStyle w:val="12"/>
        <w:shd w:val="clear" w:color="auto" w:fill="auto"/>
        <w:ind w:firstLine="480"/>
        <w:rPr>
          <w:rFonts w:hint="eastAsia"/>
          <w:highlight w:val="none"/>
        </w:rPr>
      </w:pPr>
      <w:r>
        <w:rPr>
          <w:rFonts w:hint="eastAsia"/>
          <w:highlight w:val="none"/>
        </w:rPr>
        <w:t>具备对病历中的非电子化纸张输出物的电子化转化功能，对纸张物以高拍的形式进行电子化输出，并对转化的电子化输出物进行分类，整理至电子病案相应节点中。支持对高拍转化物的浏览功能，并于转化过程中提供对转化物的排版编辑功能。</w:t>
      </w:r>
    </w:p>
    <w:p w14:paraId="2F982700">
      <w:pPr>
        <w:pStyle w:val="12"/>
        <w:shd w:val="clear" w:color="auto" w:fill="auto"/>
        <w:ind w:firstLine="480"/>
        <w:rPr>
          <w:rFonts w:hint="eastAsia"/>
          <w:highlight w:val="none"/>
        </w:rPr>
      </w:pPr>
      <w:r>
        <w:rPr>
          <w:rFonts w:hint="eastAsia"/>
          <w:highlight w:val="none"/>
        </w:rPr>
        <w:t>1.诊间高拍上传</w:t>
      </w:r>
    </w:p>
    <w:p w14:paraId="3855182A">
      <w:pPr>
        <w:pStyle w:val="12"/>
        <w:shd w:val="clear" w:color="auto" w:fill="auto"/>
        <w:ind w:firstLine="480"/>
        <w:rPr>
          <w:rFonts w:hint="eastAsia"/>
          <w:highlight w:val="none"/>
        </w:rPr>
      </w:pPr>
      <w:r>
        <w:rPr>
          <w:rFonts w:hint="eastAsia"/>
          <w:highlight w:val="none"/>
        </w:rPr>
        <w:t>临床诊疗过程中，针对于纸质病案内容，医/护人员通过高拍仪设备将纸质病历文书借助“高拍转化”处理，以电子形式保存。</w:t>
      </w:r>
    </w:p>
    <w:p w14:paraId="091BF442">
      <w:pPr>
        <w:pStyle w:val="12"/>
        <w:shd w:val="clear" w:color="auto" w:fill="auto"/>
        <w:ind w:firstLine="480"/>
        <w:rPr>
          <w:rFonts w:hint="eastAsia"/>
          <w:highlight w:val="none"/>
        </w:rPr>
      </w:pPr>
      <w:r>
        <w:rPr>
          <w:rFonts w:hint="eastAsia"/>
          <w:highlight w:val="none"/>
        </w:rPr>
        <w:t>2.诊间高拍分类</w:t>
      </w:r>
    </w:p>
    <w:p w14:paraId="0685FDC0">
      <w:pPr>
        <w:pStyle w:val="12"/>
        <w:shd w:val="clear" w:color="auto" w:fill="auto"/>
        <w:ind w:firstLine="480"/>
        <w:rPr>
          <w:rFonts w:hint="eastAsia"/>
          <w:highlight w:val="none"/>
        </w:rPr>
      </w:pPr>
      <w:r>
        <w:rPr>
          <w:rFonts w:hint="eastAsia"/>
          <w:highlight w:val="none"/>
        </w:rPr>
        <w:t>对经由“诊间高拍”上传的电子化输出物，于系统中分类归属，供查阅及归档使用。</w:t>
      </w:r>
    </w:p>
    <w:p w14:paraId="71D477DC">
      <w:pPr>
        <w:pStyle w:val="12"/>
        <w:shd w:val="clear" w:color="auto" w:fill="auto"/>
        <w:ind w:firstLine="480"/>
        <w:rPr>
          <w:rFonts w:hint="eastAsia"/>
          <w:highlight w:val="none"/>
        </w:rPr>
      </w:pPr>
      <w:r>
        <w:rPr>
          <w:rFonts w:hint="eastAsia"/>
          <w:highlight w:val="none"/>
        </w:rPr>
        <w:t>3.诊间高拍文件浏览</w:t>
      </w:r>
    </w:p>
    <w:p w14:paraId="323B298F">
      <w:pPr>
        <w:pStyle w:val="12"/>
        <w:shd w:val="clear" w:color="auto" w:fill="auto"/>
        <w:ind w:firstLine="480"/>
        <w:rPr>
          <w:rFonts w:hint="eastAsia"/>
          <w:highlight w:val="none"/>
        </w:rPr>
      </w:pPr>
      <w:r>
        <w:rPr>
          <w:rFonts w:hint="eastAsia"/>
          <w:highlight w:val="none"/>
        </w:rPr>
        <w:t>系统可查阅到当前患者本次住院期间通过“高拍转化”的所有电子病案文书。</w:t>
      </w:r>
    </w:p>
    <w:p w14:paraId="4F2490AA">
      <w:pPr>
        <w:pStyle w:val="6"/>
        <w:rPr>
          <w:rFonts w:hint="eastAsia"/>
          <w:highlight w:val="none"/>
        </w:rPr>
      </w:pPr>
      <w:r>
        <w:rPr>
          <w:rFonts w:hint="eastAsia"/>
          <w:highlight w:val="none"/>
          <w:lang w:val="en-US" w:eastAsia="zh-CN"/>
        </w:rPr>
        <w:t xml:space="preserve"> </w:t>
      </w:r>
      <w:r>
        <w:rPr>
          <w:rFonts w:hint="eastAsia"/>
          <w:highlight w:val="none"/>
        </w:rPr>
        <w:t>病案借阅</w:t>
      </w:r>
      <w:bookmarkEnd w:id="210"/>
    </w:p>
    <w:p w14:paraId="75AF0416">
      <w:pPr>
        <w:pStyle w:val="12"/>
        <w:shd w:val="clear" w:color="auto" w:fill="auto"/>
        <w:ind w:firstLine="480"/>
        <w:rPr>
          <w:rFonts w:hint="eastAsia"/>
          <w:highlight w:val="none"/>
        </w:rPr>
      </w:pPr>
      <w:r>
        <w:rPr>
          <w:rFonts w:hint="eastAsia"/>
          <w:highlight w:val="none"/>
        </w:rPr>
        <w:t>继承传统病案系统的借阅功能，但形式上有别于传统的纸质病案，电子病案需通过阅读权限的形式对患者以归档病案进行管控，医生需通过申请形式对病案管理部门提出借阅申请，由管理部门审批后获得申请病案信息的阅读权限，在申请阅读的规定时限内进行病案的查阅。管理部门可对医生申请做批准和驳回的审批操作。</w:t>
      </w:r>
    </w:p>
    <w:p w14:paraId="435CCA2A">
      <w:pPr>
        <w:pStyle w:val="12"/>
        <w:shd w:val="clear" w:color="auto" w:fill="auto"/>
        <w:ind w:firstLine="480"/>
        <w:rPr>
          <w:rFonts w:hint="eastAsia"/>
          <w:highlight w:val="none"/>
        </w:rPr>
      </w:pPr>
      <w:r>
        <w:rPr>
          <w:rFonts w:hint="eastAsia"/>
          <w:highlight w:val="none"/>
        </w:rPr>
        <w:t>具备电子病案借阅的自动回收功能，对于超时的借阅病案自动回收。系统应满足借阅申请的历史追溯功能，可查询过往的申请信息与审批信息，可通过申请人、审批人、病案号、患者姓名、住院号、身份证号等形式进行条件过滤精准定位。</w:t>
      </w:r>
    </w:p>
    <w:p w14:paraId="5B203D69">
      <w:pPr>
        <w:pStyle w:val="12"/>
        <w:shd w:val="clear" w:color="auto" w:fill="auto"/>
        <w:ind w:firstLine="480"/>
        <w:rPr>
          <w:rFonts w:hint="eastAsia"/>
          <w:highlight w:val="none"/>
        </w:rPr>
      </w:pPr>
      <w:r>
        <w:rPr>
          <w:rFonts w:hint="eastAsia"/>
          <w:highlight w:val="none"/>
        </w:rPr>
        <w:t>1.电子病案借阅申请</w:t>
      </w:r>
    </w:p>
    <w:p w14:paraId="21C6B531">
      <w:pPr>
        <w:pStyle w:val="12"/>
        <w:shd w:val="clear" w:color="auto" w:fill="auto"/>
        <w:ind w:firstLine="480"/>
        <w:rPr>
          <w:rFonts w:hint="eastAsia"/>
          <w:highlight w:val="none"/>
        </w:rPr>
      </w:pPr>
      <w:r>
        <w:rPr>
          <w:rFonts w:hint="eastAsia"/>
          <w:highlight w:val="none"/>
        </w:rPr>
        <w:t>医生通过系统申请查阅所需要的病案，以及借阅期限。可通过使用不同条件如：诊断名称，手术名称等，筛选出不同类型的电子病案。</w:t>
      </w:r>
    </w:p>
    <w:p w14:paraId="337C26B8">
      <w:pPr>
        <w:pStyle w:val="12"/>
        <w:shd w:val="clear" w:color="auto" w:fill="auto"/>
        <w:ind w:firstLine="480"/>
        <w:rPr>
          <w:rFonts w:hint="eastAsia"/>
          <w:highlight w:val="none"/>
        </w:rPr>
      </w:pPr>
      <w:r>
        <w:rPr>
          <w:rFonts w:hint="eastAsia"/>
          <w:highlight w:val="none"/>
        </w:rPr>
        <w:t>2.按病案类型借阅</w:t>
      </w:r>
    </w:p>
    <w:p w14:paraId="351D65CA">
      <w:pPr>
        <w:pStyle w:val="12"/>
        <w:shd w:val="clear" w:color="auto" w:fill="auto"/>
        <w:ind w:firstLine="480"/>
        <w:rPr>
          <w:rFonts w:hint="eastAsia"/>
          <w:highlight w:val="none"/>
        </w:rPr>
      </w:pPr>
      <w:r>
        <w:rPr>
          <w:highlight w:val="none"/>
        </w:rPr>
        <w:t>借阅申请时</w:t>
      </w:r>
      <w:r>
        <w:rPr>
          <w:rFonts w:hint="eastAsia"/>
          <w:highlight w:val="none"/>
        </w:rPr>
        <w:t>，</w:t>
      </w:r>
      <w:r>
        <w:rPr>
          <w:highlight w:val="none"/>
        </w:rPr>
        <w:t>医生可以根据借阅需求选择病案类型进行借阅</w:t>
      </w:r>
      <w:r>
        <w:rPr>
          <w:rFonts w:hint="eastAsia"/>
          <w:highlight w:val="none"/>
        </w:rPr>
        <w:t>，病案室审批后只能看见借阅选择的类型的病案。</w:t>
      </w:r>
    </w:p>
    <w:p w14:paraId="7001B3BA">
      <w:pPr>
        <w:pStyle w:val="12"/>
        <w:shd w:val="clear" w:color="auto" w:fill="auto"/>
        <w:ind w:firstLine="480"/>
        <w:rPr>
          <w:rFonts w:hint="eastAsia"/>
          <w:highlight w:val="none"/>
        </w:rPr>
      </w:pPr>
      <w:r>
        <w:rPr>
          <w:rFonts w:hint="eastAsia"/>
          <w:highlight w:val="none"/>
        </w:rPr>
        <w:t>3.电子病案借阅审批</w:t>
      </w:r>
    </w:p>
    <w:p w14:paraId="5224465F">
      <w:pPr>
        <w:pStyle w:val="12"/>
        <w:shd w:val="clear" w:color="auto" w:fill="auto"/>
        <w:ind w:firstLine="480"/>
        <w:rPr>
          <w:rFonts w:hint="eastAsia"/>
          <w:highlight w:val="none"/>
        </w:rPr>
      </w:pPr>
      <w:r>
        <w:rPr>
          <w:rFonts w:hint="eastAsia"/>
          <w:highlight w:val="none"/>
        </w:rPr>
        <w:t>病案室人员审批或拒绝医生借阅申请。</w:t>
      </w:r>
    </w:p>
    <w:p w14:paraId="53C8FA84">
      <w:pPr>
        <w:pStyle w:val="12"/>
        <w:shd w:val="clear" w:color="auto" w:fill="auto"/>
        <w:ind w:firstLine="480"/>
        <w:rPr>
          <w:rFonts w:hint="eastAsia"/>
          <w:highlight w:val="none"/>
        </w:rPr>
      </w:pPr>
      <w:r>
        <w:rPr>
          <w:rFonts w:hint="eastAsia"/>
          <w:highlight w:val="none"/>
        </w:rPr>
        <w:t>4.电子病案借阅查阅</w:t>
      </w:r>
    </w:p>
    <w:p w14:paraId="17B48A5B">
      <w:pPr>
        <w:pStyle w:val="12"/>
        <w:shd w:val="clear" w:color="auto" w:fill="auto"/>
        <w:ind w:firstLine="480"/>
        <w:rPr>
          <w:rFonts w:hint="eastAsia"/>
          <w:highlight w:val="none"/>
        </w:rPr>
      </w:pPr>
      <w:r>
        <w:rPr>
          <w:rFonts w:hint="eastAsia"/>
          <w:highlight w:val="none"/>
        </w:rPr>
        <w:t>医生在提出申请并审批后，可以查阅患者完整的电子病案信息。</w:t>
      </w:r>
    </w:p>
    <w:p w14:paraId="491E514B">
      <w:pPr>
        <w:pStyle w:val="12"/>
        <w:shd w:val="clear" w:color="auto" w:fill="auto"/>
        <w:ind w:firstLine="480"/>
        <w:rPr>
          <w:rFonts w:hint="eastAsia"/>
          <w:highlight w:val="none"/>
        </w:rPr>
      </w:pPr>
      <w:r>
        <w:rPr>
          <w:rFonts w:hint="eastAsia"/>
          <w:highlight w:val="none"/>
        </w:rPr>
        <w:t>5.超时自动回收</w:t>
      </w:r>
    </w:p>
    <w:p w14:paraId="57AEB2EF">
      <w:pPr>
        <w:pStyle w:val="12"/>
        <w:shd w:val="clear" w:color="auto" w:fill="auto"/>
        <w:ind w:firstLine="480"/>
        <w:rPr>
          <w:rFonts w:hint="eastAsia"/>
          <w:highlight w:val="none"/>
        </w:rPr>
      </w:pPr>
      <w:r>
        <w:rPr>
          <w:rFonts w:hint="eastAsia"/>
          <w:highlight w:val="none"/>
        </w:rPr>
        <w:t>若借阅申请结束日期截止时，医生便不能再查看患者的病案信息，系统自动回收查阅病案权限。</w:t>
      </w:r>
    </w:p>
    <w:p w14:paraId="37E88FD0">
      <w:pPr>
        <w:pStyle w:val="12"/>
        <w:shd w:val="clear" w:color="auto" w:fill="auto"/>
        <w:ind w:firstLine="480"/>
        <w:rPr>
          <w:rFonts w:hint="eastAsia"/>
          <w:highlight w:val="none"/>
        </w:rPr>
      </w:pPr>
      <w:r>
        <w:rPr>
          <w:rFonts w:hint="eastAsia"/>
          <w:highlight w:val="none"/>
        </w:rPr>
        <w:t>6.申请记录查阅</w:t>
      </w:r>
    </w:p>
    <w:p w14:paraId="386ECFCF">
      <w:pPr>
        <w:pStyle w:val="12"/>
        <w:shd w:val="clear" w:color="auto" w:fill="auto"/>
        <w:ind w:firstLine="480"/>
        <w:rPr>
          <w:rFonts w:hint="eastAsia"/>
          <w:highlight w:val="none"/>
        </w:rPr>
      </w:pPr>
      <w:r>
        <w:rPr>
          <w:rFonts w:hint="eastAsia"/>
          <w:highlight w:val="none"/>
        </w:rPr>
        <w:t>病案借阅申请、审批、借阅时间记录查看。</w:t>
      </w:r>
    </w:p>
    <w:p w14:paraId="27AD42BE">
      <w:pPr>
        <w:pStyle w:val="6"/>
        <w:rPr>
          <w:rFonts w:hint="eastAsia"/>
          <w:highlight w:val="none"/>
        </w:rPr>
      </w:pPr>
      <w:r>
        <w:rPr>
          <w:rFonts w:hint="eastAsia"/>
          <w:highlight w:val="none"/>
          <w:lang w:val="en-US" w:eastAsia="zh-CN"/>
        </w:rPr>
        <w:t xml:space="preserve"> </w:t>
      </w:r>
      <w:r>
        <w:rPr>
          <w:rFonts w:hint="eastAsia"/>
          <w:highlight w:val="none"/>
        </w:rPr>
        <w:t>病案导出</w:t>
      </w:r>
    </w:p>
    <w:p w14:paraId="72808132">
      <w:pPr>
        <w:pStyle w:val="12"/>
        <w:shd w:val="clear" w:color="auto" w:fill="auto"/>
        <w:ind w:firstLine="480"/>
        <w:rPr>
          <w:rFonts w:hint="eastAsia"/>
          <w:highlight w:val="none"/>
        </w:rPr>
      </w:pPr>
      <w:r>
        <w:rPr>
          <w:rFonts w:hint="eastAsia"/>
          <w:highlight w:val="none"/>
        </w:rPr>
        <w:t>满足病案导出功能，以适应病案室的病历导出和数据上报业务需求，具备对导出操作做详细记录，具备对导出病案进行增加水印等保护操作。</w:t>
      </w:r>
    </w:p>
    <w:p w14:paraId="3F230267">
      <w:pPr>
        <w:pStyle w:val="12"/>
        <w:shd w:val="clear" w:color="auto" w:fill="auto"/>
        <w:ind w:firstLine="480"/>
        <w:rPr>
          <w:rFonts w:hint="eastAsia"/>
          <w:highlight w:val="none"/>
        </w:rPr>
      </w:pPr>
      <w:r>
        <w:rPr>
          <w:rFonts w:hint="eastAsia"/>
          <w:highlight w:val="none"/>
        </w:rPr>
        <w:t>1.病案批量导出</w:t>
      </w:r>
    </w:p>
    <w:p w14:paraId="383B874B">
      <w:pPr>
        <w:pStyle w:val="12"/>
        <w:shd w:val="clear" w:color="auto" w:fill="auto"/>
        <w:ind w:firstLine="480"/>
        <w:rPr>
          <w:rFonts w:hint="eastAsia"/>
          <w:highlight w:val="none"/>
        </w:rPr>
      </w:pPr>
      <w:r>
        <w:rPr>
          <w:rFonts w:hint="eastAsia"/>
          <w:highlight w:val="none"/>
        </w:rPr>
        <w:t>导出时可根据文件查询出病案患者信息。系统提供对单份病案的单独操作，如按类别导出、合并导出等。系统提供单个病案预览。</w:t>
      </w:r>
    </w:p>
    <w:p w14:paraId="5BBAEBCB">
      <w:pPr>
        <w:pStyle w:val="12"/>
        <w:shd w:val="clear" w:color="auto" w:fill="auto"/>
        <w:ind w:firstLine="480"/>
        <w:rPr>
          <w:rFonts w:hint="eastAsia"/>
          <w:highlight w:val="none"/>
        </w:rPr>
      </w:pPr>
      <w:r>
        <w:rPr>
          <w:rFonts w:hint="eastAsia"/>
          <w:highlight w:val="none"/>
        </w:rPr>
        <w:t>2.病案套餐导出</w:t>
      </w:r>
    </w:p>
    <w:p w14:paraId="68E1DF7E">
      <w:pPr>
        <w:pStyle w:val="12"/>
        <w:shd w:val="clear" w:color="auto" w:fill="auto"/>
        <w:ind w:firstLine="480"/>
        <w:rPr>
          <w:rFonts w:hint="eastAsia"/>
          <w:highlight w:val="none"/>
        </w:rPr>
      </w:pPr>
      <w:r>
        <w:rPr>
          <w:rFonts w:hint="eastAsia"/>
          <w:highlight w:val="none"/>
        </w:rPr>
        <w:t>病历导出工作人员可根据患者导出病案的用途选择套餐，系统自动按照套餐中维护的病历类型导出病历。</w:t>
      </w:r>
    </w:p>
    <w:p w14:paraId="6C142A93">
      <w:pPr>
        <w:pStyle w:val="12"/>
        <w:shd w:val="clear" w:color="auto" w:fill="auto"/>
        <w:ind w:firstLine="480"/>
        <w:rPr>
          <w:rFonts w:hint="eastAsia"/>
          <w:highlight w:val="none"/>
        </w:rPr>
      </w:pPr>
      <w:r>
        <w:rPr>
          <w:rFonts w:hint="eastAsia"/>
          <w:highlight w:val="none"/>
        </w:rPr>
        <w:t>3.病案导出水印</w:t>
      </w:r>
    </w:p>
    <w:p w14:paraId="0C18E7F9">
      <w:pPr>
        <w:pStyle w:val="12"/>
        <w:shd w:val="clear" w:color="auto" w:fill="auto"/>
        <w:ind w:firstLine="480"/>
        <w:rPr>
          <w:rFonts w:hint="eastAsia"/>
          <w:highlight w:val="none"/>
        </w:rPr>
      </w:pPr>
      <w:r>
        <w:rPr>
          <w:rFonts w:hint="eastAsia"/>
          <w:highlight w:val="none"/>
        </w:rPr>
        <w:t>病历导出工作人员可根据病案类型选择导出病案是否增加水印。</w:t>
      </w:r>
    </w:p>
    <w:p w14:paraId="749E4469">
      <w:pPr>
        <w:pStyle w:val="12"/>
        <w:shd w:val="clear" w:color="auto" w:fill="auto"/>
        <w:ind w:firstLine="480"/>
        <w:rPr>
          <w:rFonts w:hint="eastAsia"/>
          <w:highlight w:val="none"/>
        </w:rPr>
      </w:pPr>
      <w:r>
        <w:rPr>
          <w:rFonts w:hint="eastAsia"/>
          <w:highlight w:val="none"/>
        </w:rPr>
        <w:t>4.病案导出套餐设置</w:t>
      </w:r>
    </w:p>
    <w:p w14:paraId="7739C520">
      <w:pPr>
        <w:pStyle w:val="12"/>
        <w:shd w:val="clear" w:color="auto" w:fill="auto"/>
        <w:ind w:firstLine="480"/>
        <w:rPr>
          <w:rFonts w:hint="eastAsia"/>
          <w:highlight w:val="none"/>
        </w:rPr>
      </w:pPr>
      <w:r>
        <w:rPr>
          <w:rFonts w:hint="eastAsia"/>
          <w:highlight w:val="none"/>
        </w:rPr>
        <w:t>系统提供导出套餐维护功能，可修改</w:t>
      </w:r>
      <w:r>
        <w:rPr>
          <w:highlight w:val="none"/>
        </w:rPr>
        <w:t>、添加</w:t>
      </w:r>
      <w:r>
        <w:rPr>
          <w:rFonts w:hint="eastAsia"/>
          <w:highlight w:val="none"/>
        </w:rPr>
        <w:t>套餐中的病案</w:t>
      </w:r>
      <w:r>
        <w:rPr>
          <w:highlight w:val="none"/>
        </w:rPr>
        <w:t>类别</w:t>
      </w:r>
      <w:r>
        <w:rPr>
          <w:rFonts w:hint="eastAsia"/>
          <w:highlight w:val="none"/>
        </w:rPr>
        <w:t>。</w:t>
      </w:r>
    </w:p>
    <w:p w14:paraId="35E548D2">
      <w:pPr>
        <w:pStyle w:val="6"/>
        <w:rPr>
          <w:rFonts w:hint="eastAsia"/>
          <w:highlight w:val="none"/>
        </w:rPr>
      </w:pPr>
      <w:r>
        <w:rPr>
          <w:rFonts w:hint="eastAsia"/>
          <w:highlight w:val="none"/>
          <w:lang w:val="en-US" w:eastAsia="zh-CN"/>
        </w:rPr>
        <w:t xml:space="preserve"> </w:t>
      </w:r>
      <w:r>
        <w:rPr>
          <w:rFonts w:hint="eastAsia"/>
          <w:highlight w:val="none"/>
        </w:rPr>
        <w:t>病案打印</w:t>
      </w:r>
      <w:bookmarkEnd w:id="208"/>
    </w:p>
    <w:p w14:paraId="4E6EB9BC">
      <w:pPr>
        <w:pStyle w:val="12"/>
        <w:shd w:val="clear" w:color="auto" w:fill="auto"/>
        <w:ind w:firstLine="480"/>
        <w:rPr>
          <w:rFonts w:hint="eastAsia"/>
          <w:highlight w:val="none"/>
        </w:rPr>
      </w:pPr>
      <w:bookmarkStart w:id="211" w:name="_Toc128484017"/>
      <w:bookmarkStart w:id="212" w:name="_Toc128484008"/>
      <w:r>
        <w:rPr>
          <w:rFonts w:hint="eastAsia"/>
          <w:highlight w:val="none"/>
        </w:rPr>
        <w:t>支持传统病案打印及登记功能，用于患者病历复印，记录打印人信息，代办人须翻拍身份证件。支持电子病案批量、单页或多页选择打印及补打，并按病历节点设置可维护的打印套餐以满足个性化需求。通过患者基本信息定位归档病历，选择打印套餐并自动计费。支持代办人证件翻拍、打印队列管理、打印预览及套餐化复印。医院可自定义水印内容与显示，用于电子病案的浏览、打印和导出，实现机构认证与信息保护。</w:t>
      </w:r>
    </w:p>
    <w:p w14:paraId="40C33997">
      <w:pPr>
        <w:pStyle w:val="6"/>
        <w:rPr>
          <w:rFonts w:hint="eastAsia"/>
          <w:highlight w:val="none"/>
        </w:rPr>
      </w:pPr>
      <w:r>
        <w:rPr>
          <w:rFonts w:hint="eastAsia"/>
          <w:highlight w:val="none"/>
          <w:lang w:val="en-US" w:eastAsia="zh-CN"/>
        </w:rPr>
        <w:t xml:space="preserve"> </w:t>
      </w:r>
      <w:r>
        <w:rPr>
          <w:highlight w:val="none"/>
        </w:rPr>
        <w:t>病案封存</w:t>
      </w:r>
      <w:bookmarkEnd w:id="211"/>
    </w:p>
    <w:p w14:paraId="4D74D460">
      <w:pPr>
        <w:pStyle w:val="12"/>
        <w:shd w:val="clear" w:color="auto" w:fill="auto"/>
        <w:ind w:firstLine="480"/>
        <w:rPr>
          <w:rFonts w:hint="eastAsia"/>
          <w:highlight w:val="none"/>
        </w:rPr>
      </w:pPr>
      <w:r>
        <w:rPr>
          <w:rFonts w:hint="eastAsia"/>
          <w:highlight w:val="none"/>
        </w:rPr>
        <w:t>具备病历封存的管理方案，管理争议病案，做到封存（不可编辑、不可借阅）、解封、过程记录。</w:t>
      </w:r>
    </w:p>
    <w:p w14:paraId="7580F738">
      <w:pPr>
        <w:pStyle w:val="12"/>
        <w:shd w:val="clear" w:color="auto" w:fill="auto"/>
        <w:ind w:firstLine="480"/>
        <w:rPr>
          <w:rFonts w:hint="eastAsia"/>
          <w:highlight w:val="none"/>
        </w:rPr>
      </w:pPr>
      <w:r>
        <w:rPr>
          <w:rFonts w:hint="eastAsia"/>
          <w:highlight w:val="none"/>
        </w:rPr>
        <w:t>1.病案封存</w:t>
      </w:r>
    </w:p>
    <w:p w14:paraId="35A813F0">
      <w:pPr>
        <w:pStyle w:val="12"/>
        <w:shd w:val="clear" w:color="auto" w:fill="auto"/>
        <w:ind w:firstLine="480"/>
        <w:rPr>
          <w:rFonts w:hint="eastAsia"/>
          <w:highlight w:val="none"/>
        </w:rPr>
      </w:pPr>
      <w:r>
        <w:rPr>
          <w:rFonts w:hint="eastAsia"/>
          <w:highlight w:val="none"/>
        </w:rPr>
        <w:t>在系统中对已归档病案进行封存，封存后不允许解归档，打印，借阅。</w:t>
      </w:r>
    </w:p>
    <w:p w14:paraId="77608459">
      <w:pPr>
        <w:pStyle w:val="12"/>
        <w:shd w:val="clear" w:color="auto" w:fill="auto"/>
        <w:ind w:firstLine="480"/>
        <w:rPr>
          <w:rFonts w:hint="eastAsia"/>
          <w:highlight w:val="none"/>
        </w:rPr>
      </w:pPr>
      <w:r>
        <w:rPr>
          <w:rFonts w:hint="eastAsia"/>
          <w:highlight w:val="none"/>
        </w:rPr>
        <w:t>2.封存病案管理</w:t>
      </w:r>
    </w:p>
    <w:p w14:paraId="5982E1FF">
      <w:pPr>
        <w:pStyle w:val="12"/>
        <w:shd w:val="clear" w:color="auto" w:fill="auto"/>
        <w:ind w:firstLine="480"/>
        <w:rPr>
          <w:rFonts w:hint="eastAsia"/>
          <w:highlight w:val="none"/>
        </w:rPr>
      </w:pPr>
      <w:r>
        <w:rPr>
          <w:rFonts w:hint="eastAsia"/>
          <w:highlight w:val="none"/>
        </w:rPr>
        <w:t>对于封存的病案，有封存权限的账号可以对封存病案进行操作。</w:t>
      </w:r>
    </w:p>
    <w:p w14:paraId="034E7E6F">
      <w:pPr>
        <w:pStyle w:val="12"/>
        <w:shd w:val="clear" w:color="auto" w:fill="auto"/>
        <w:ind w:firstLine="480"/>
        <w:rPr>
          <w:rFonts w:hint="eastAsia"/>
          <w:highlight w:val="none"/>
        </w:rPr>
      </w:pPr>
      <w:r>
        <w:rPr>
          <w:rFonts w:hint="eastAsia"/>
          <w:highlight w:val="none"/>
        </w:rPr>
        <w:t>3.病案解封</w:t>
      </w:r>
    </w:p>
    <w:p w14:paraId="422EC947">
      <w:pPr>
        <w:pStyle w:val="12"/>
        <w:shd w:val="clear" w:color="auto" w:fill="auto"/>
        <w:ind w:firstLine="480"/>
        <w:rPr>
          <w:rFonts w:hint="eastAsia"/>
          <w:highlight w:val="none"/>
        </w:rPr>
      </w:pPr>
      <w:r>
        <w:rPr>
          <w:rFonts w:hint="eastAsia"/>
          <w:highlight w:val="none"/>
        </w:rPr>
        <w:t>对于封存的病案，有封存权限的账号在系统中可进行取消封存。</w:t>
      </w:r>
    </w:p>
    <w:p w14:paraId="50C22C42">
      <w:pPr>
        <w:pStyle w:val="12"/>
        <w:shd w:val="clear" w:color="auto" w:fill="auto"/>
        <w:ind w:firstLine="480"/>
        <w:rPr>
          <w:rFonts w:hint="eastAsia"/>
          <w:highlight w:val="none"/>
        </w:rPr>
      </w:pPr>
      <w:r>
        <w:rPr>
          <w:rFonts w:hint="eastAsia"/>
          <w:highlight w:val="none"/>
        </w:rPr>
        <w:t>4.封存记录查阅</w:t>
      </w:r>
    </w:p>
    <w:p w14:paraId="608D4ABA">
      <w:pPr>
        <w:pStyle w:val="12"/>
        <w:shd w:val="clear" w:color="auto" w:fill="auto"/>
        <w:ind w:firstLine="480"/>
        <w:rPr>
          <w:rFonts w:hint="eastAsia"/>
          <w:highlight w:val="none"/>
        </w:rPr>
      </w:pPr>
      <w:r>
        <w:rPr>
          <w:rFonts w:hint="eastAsia"/>
          <w:highlight w:val="none"/>
        </w:rPr>
        <w:t>对于封存的病案可查看操作痕迹、操作时间、操作人员记录。</w:t>
      </w:r>
    </w:p>
    <w:p w14:paraId="27D78DC8">
      <w:pPr>
        <w:pStyle w:val="6"/>
        <w:rPr>
          <w:rFonts w:hint="eastAsia"/>
          <w:highlight w:val="none"/>
        </w:rPr>
      </w:pPr>
      <w:r>
        <w:rPr>
          <w:rFonts w:hint="eastAsia"/>
          <w:highlight w:val="none"/>
          <w:lang w:val="en-US" w:eastAsia="zh-CN"/>
        </w:rPr>
        <w:t xml:space="preserve"> </w:t>
      </w:r>
      <w:r>
        <w:rPr>
          <w:highlight w:val="none"/>
        </w:rPr>
        <w:t>归档统计</w:t>
      </w:r>
      <w:bookmarkEnd w:id="212"/>
    </w:p>
    <w:p w14:paraId="6D8BB256">
      <w:pPr>
        <w:pStyle w:val="12"/>
        <w:shd w:val="clear" w:color="auto" w:fill="auto"/>
        <w:ind w:firstLine="480"/>
        <w:rPr>
          <w:rFonts w:hint="eastAsia"/>
          <w:highlight w:val="none"/>
        </w:rPr>
      </w:pPr>
      <w:r>
        <w:rPr>
          <w:rFonts w:hint="eastAsia"/>
          <w:highlight w:val="none"/>
        </w:rPr>
        <w:t>结合业务本身提供相关的查询统计功能，如归档流程业务类查询、借阅流程业务类查询、复印流程业务类查询；需提供以患者唯一检索标识的历次病案信息查询。</w:t>
      </w:r>
    </w:p>
    <w:p w14:paraId="7E644BE5">
      <w:pPr>
        <w:pStyle w:val="12"/>
        <w:shd w:val="clear" w:color="auto" w:fill="auto"/>
        <w:ind w:firstLine="480"/>
        <w:rPr>
          <w:rFonts w:hint="eastAsia"/>
          <w:highlight w:val="none"/>
        </w:rPr>
      </w:pPr>
      <w:r>
        <w:rPr>
          <w:rFonts w:hint="eastAsia"/>
          <w:highlight w:val="none"/>
        </w:rPr>
        <w:t>1.病案状态查询</w:t>
      </w:r>
    </w:p>
    <w:p w14:paraId="1CFF0C2D">
      <w:pPr>
        <w:pStyle w:val="12"/>
        <w:shd w:val="clear" w:color="auto" w:fill="auto"/>
        <w:ind w:firstLine="480"/>
        <w:rPr>
          <w:rFonts w:hint="eastAsia"/>
          <w:highlight w:val="none"/>
        </w:rPr>
      </w:pPr>
      <w:r>
        <w:rPr>
          <w:rFonts w:hint="eastAsia"/>
          <w:highlight w:val="none"/>
        </w:rPr>
        <w:t>可通过住院号、出院时间等查询患者电子病案是否已经归档，已经出院到归档之间的过程状态。</w:t>
      </w:r>
    </w:p>
    <w:p w14:paraId="3BDEEACC">
      <w:pPr>
        <w:pStyle w:val="12"/>
        <w:shd w:val="clear" w:color="auto" w:fill="auto"/>
        <w:ind w:firstLine="480"/>
        <w:rPr>
          <w:rFonts w:hint="eastAsia"/>
          <w:highlight w:val="none"/>
        </w:rPr>
      </w:pPr>
      <w:r>
        <w:rPr>
          <w:rFonts w:hint="eastAsia"/>
          <w:highlight w:val="none"/>
        </w:rPr>
        <w:t>2.病案示踪</w:t>
      </w:r>
    </w:p>
    <w:p w14:paraId="5ADA77FC">
      <w:pPr>
        <w:pStyle w:val="12"/>
        <w:shd w:val="clear" w:color="auto" w:fill="auto"/>
        <w:ind w:firstLine="480"/>
        <w:rPr>
          <w:rFonts w:hint="eastAsia"/>
          <w:highlight w:val="none"/>
        </w:rPr>
      </w:pPr>
      <w:r>
        <w:rPr>
          <w:rFonts w:hint="eastAsia"/>
          <w:highlight w:val="none"/>
        </w:rPr>
        <w:t>可通过住院号、出院时间等查询患者电子病案归档期间流程踪迹，做到可追溯。</w:t>
      </w:r>
    </w:p>
    <w:p w14:paraId="3407A683">
      <w:pPr>
        <w:pStyle w:val="12"/>
        <w:shd w:val="clear" w:color="auto" w:fill="auto"/>
        <w:ind w:firstLine="480"/>
        <w:rPr>
          <w:rFonts w:hint="eastAsia"/>
          <w:highlight w:val="none"/>
        </w:rPr>
      </w:pPr>
      <w:r>
        <w:rPr>
          <w:rFonts w:hint="eastAsia"/>
          <w:highlight w:val="none"/>
        </w:rPr>
        <w:t>3.复印缴费查询</w:t>
      </w:r>
    </w:p>
    <w:p w14:paraId="682FB44E">
      <w:pPr>
        <w:pStyle w:val="12"/>
        <w:shd w:val="clear" w:color="auto" w:fill="auto"/>
        <w:ind w:firstLine="480"/>
        <w:rPr>
          <w:rFonts w:hint="eastAsia"/>
          <w:highlight w:val="none"/>
        </w:rPr>
      </w:pPr>
      <w:r>
        <w:rPr>
          <w:rFonts w:hint="eastAsia"/>
          <w:highlight w:val="none"/>
        </w:rPr>
        <w:t>按照复印日期查询当前日期复印的哪些病案及收取的金额等信息。</w:t>
      </w:r>
    </w:p>
    <w:p w14:paraId="4819767A">
      <w:pPr>
        <w:pStyle w:val="12"/>
        <w:shd w:val="clear" w:color="auto" w:fill="auto"/>
        <w:ind w:firstLine="480"/>
        <w:rPr>
          <w:rFonts w:hint="eastAsia"/>
          <w:highlight w:val="none"/>
        </w:rPr>
      </w:pPr>
      <w:r>
        <w:rPr>
          <w:rFonts w:hint="eastAsia"/>
          <w:highlight w:val="none"/>
        </w:rPr>
        <w:t>4.患者查询</w:t>
      </w:r>
    </w:p>
    <w:p w14:paraId="5B2C7D3E">
      <w:pPr>
        <w:pStyle w:val="12"/>
        <w:shd w:val="clear" w:color="auto" w:fill="auto"/>
        <w:ind w:firstLine="480"/>
        <w:rPr>
          <w:rFonts w:hint="eastAsia"/>
          <w:highlight w:val="none"/>
        </w:rPr>
      </w:pPr>
      <w:r>
        <w:rPr>
          <w:rFonts w:hint="eastAsia"/>
          <w:highlight w:val="none"/>
        </w:rPr>
        <w:t>以患者唯一索引（如身份证号）为单位查询该患者历次就诊归档病案情况。</w:t>
      </w:r>
    </w:p>
    <w:p w14:paraId="431E77EC">
      <w:pPr>
        <w:pStyle w:val="6"/>
        <w:rPr>
          <w:rFonts w:hint="eastAsia"/>
          <w:highlight w:val="none"/>
        </w:rPr>
      </w:pPr>
      <w:bookmarkStart w:id="213" w:name="_Toc128484026"/>
      <w:r>
        <w:rPr>
          <w:rFonts w:hint="eastAsia"/>
          <w:highlight w:val="none"/>
          <w:lang w:val="en-US" w:eastAsia="zh-CN"/>
        </w:rPr>
        <w:t xml:space="preserve"> </w:t>
      </w:r>
      <w:r>
        <w:rPr>
          <w:rFonts w:hint="eastAsia"/>
          <w:highlight w:val="none"/>
        </w:rPr>
        <w:t>高拍纸质原件</w:t>
      </w:r>
      <w:r>
        <w:rPr>
          <w:highlight w:val="none"/>
        </w:rPr>
        <w:t>管理</w:t>
      </w:r>
      <w:bookmarkEnd w:id="213"/>
    </w:p>
    <w:p w14:paraId="70570638">
      <w:pPr>
        <w:pStyle w:val="12"/>
        <w:shd w:val="clear" w:color="auto" w:fill="auto"/>
        <w:ind w:firstLine="480"/>
        <w:rPr>
          <w:rFonts w:hint="eastAsia"/>
          <w:highlight w:val="none"/>
        </w:rPr>
      </w:pPr>
      <w:r>
        <w:rPr>
          <w:rFonts w:hint="eastAsia"/>
          <w:highlight w:val="none"/>
        </w:rPr>
        <w:t>高拍纸质原件管理是对高拍产物原始文件（纸张、其它形式）的管理，对于不可避免生成的纸张物（如新生儿足印），需满足纸张物的管控，需形成与电子病案关联的条码号，已打印或粘贴的形式赋予纸张原件，并统一上架管理。提供条打印功能、上架管理功能满足对高拍纸质原件的管理。</w:t>
      </w:r>
    </w:p>
    <w:p w14:paraId="46227E56">
      <w:pPr>
        <w:pStyle w:val="12"/>
        <w:shd w:val="clear" w:color="auto" w:fill="auto"/>
        <w:ind w:firstLine="480"/>
        <w:rPr>
          <w:rFonts w:hint="eastAsia"/>
          <w:highlight w:val="none"/>
        </w:rPr>
      </w:pPr>
      <w:r>
        <w:rPr>
          <w:rFonts w:hint="eastAsia"/>
          <w:highlight w:val="none"/>
        </w:rPr>
        <w:t>1.纸质病案接收</w:t>
      </w:r>
    </w:p>
    <w:p w14:paraId="02E3AD5D">
      <w:pPr>
        <w:pStyle w:val="12"/>
        <w:shd w:val="clear" w:color="auto" w:fill="auto"/>
        <w:ind w:firstLine="480"/>
        <w:rPr>
          <w:rFonts w:hint="eastAsia"/>
          <w:highlight w:val="none"/>
        </w:rPr>
      </w:pPr>
      <w:r>
        <w:rPr>
          <w:rFonts w:hint="eastAsia"/>
          <w:highlight w:val="none"/>
        </w:rPr>
        <w:t>可为患者在院期间产生的纸质病案进行病案室接收。</w:t>
      </w:r>
    </w:p>
    <w:p w14:paraId="4E454617">
      <w:pPr>
        <w:pStyle w:val="12"/>
        <w:shd w:val="clear" w:color="auto" w:fill="auto"/>
        <w:ind w:firstLine="480"/>
        <w:rPr>
          <w:rFonts w:hint="eastAsia"/>
          <w:highlight w:val="none"/>
        </w:rPr>
      </w:pPr>
      <w:r>
        <w:rPr>
          <w:rFonts w:hint="eastAsia"/>
          <w:highlight w:val="none"/>
        </w:rPr>
        <w:t>2.条码打印</w:t>
      </w:r>
    </w:p>
    <w:p w14:paraId="09AA5CC0">
      <w:pPr>
        <w:pStyle w:val="12"/>
        <w:shd w:val="clear" w:color="auto" w:fill="auto"/>
        <w:ind w:firstLine="480"/>
        <w:rPr>
          <w:rFonts w:hint="eastAsia"/>
          <w:highlight w:val="none"/>
        </w:rPr>
      </w:pPr>
      <w:r>
        <w:rPr>
          <w:rFonts w:hint="eastAsia"/>
          <w:highlight w:val="none"/>
        </w:rPr>
        <w:t>可为患者在院期间产生的纸质病案进行管理，打印纸质条码。</w:t>
      </w:r>
    </w:p>
    <w:p w14:paraId="315B3B5C">
      <w:pPr>
        <w:pStyle w:val="12"/>
        <w:shd w:val="clear" w:color="auto" w:fill="auto"/>
        <w:ind w:firstLine="480"/>
        <w:rPr>
          <w:rFonts w:hint="eastAsia"/>
          <w:highlight w:val="none"/>
        </w:rPr>
      </w:pPr>
      <w:r>
        <w:rPr>
          <w:rFonts w:hint="eastAsia"/>
          <w:highlight w:val="none"/>
        </w:rPr>
        <w:t>3.上架管理</w:t>
      </w:r>
    </w:p>
    <w:p w14:paraId="06D5CF06">
      <w:pPr>
        <w:pStyle w:val="12"/>
        <w:shd w:val="clear" w:color="auto" w:fill="auto"/>
        <w:ind w:firstLine="480"/>
        <w:rPr>
          <w:rFonts w:hint="eastAsia"/>
          <w:highlight w:val="none"/>
        </w:rPr>
      </w:pPr>
      <w:r>
        <w:rPr>
          <w:rFonts w:hint="eastAsia"/>
          <w:highlight w:val="none"/>
        </w:rPr>
        <w:t>可为患者在院期间产生的纸质病案进行上架入库操作。</w:t>
      </w:r>
    </w:p>
    <w:p w14:paraId="2CEB7874">
      <w:pPr>
        <w:pStyle w:val="5"/>
        <w:rPr>
          <w:rFonts w:hint="eastAsia"/>
          <w:highlight w:val="none"/>
        </w:rPr>
      </w:pPr>
      <w:r>
        <w:rPr>
          <w:rFonts w:hint="eastAsia"/>
          <w:highlight w:val="none"/>
          <w:lang w:val="en-US" w:eastAsia="zh-CN"/>
        </w:rPr>
        <w:t xml:space="preserve"> </w:t>
      </w:r>
      <w:r>
        <w:rPr>
          <w:rFonts w:hint="eastAsia"/>
          <w:highlight w:val="none"/>
        </w:rPr>
        <w:t>历史病案翻拍系统</w:t>
      </w:r>
    </w:p>
    <w:p w14:paraId="51B5C6A5">
      <w:pPr>
        <w:pStyle w:val="6"/>
        <w:rPr>
          <w:rFonts w:hint="eastAsia"/>
          <w:highlight w:val="none"/>
        </w:rPr>
      </w:pPr>
      <w:r>
        <w:rPr>
          <w:rFonts w:hint="eastAsia"/>
          <w:highlight w:val="none"/>
          <w:lang w:val="en-US" w:eastAsia="zh-CN"/>
        </w:rPr>
        <w:t xml:space="preserve"> </w:t>
      </w:r>
      <w:r>
        <w:rPr>
          <w:rFonts w:hint="eastAsia"/>
          <w:highlight w:val="none"/>
        </w:rPr>
        <w:t>项目清单</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716"/>
        <w:gridCol w:w="750"/>
        <w:gridCol w:w="4532"/>
      </w:tblGrid>
      <w:tr w14:paraId="4BF6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Pr>
          <w:p w14:paraId="307AE414">
            <w:pPr>
              <w:pStyle w:val="38"/>
              <w:jc w:val="center"/>
              <w:rPr>
                <w:rFonts w:hint="eastAsia"/>
                <w:highlight w:val="none"/>
              </w:rPr>
            </w:pPr>
            <w:r>
              <w:rPr>
                <w:rFonts w:hint="eastAsia"/>
                <w:highlight w:val="none"/>
              </w:rPr>
              <w:t>名称</w:t>
            </w:r>
          </w:p>
        </w:tc>
        <w:tc>
          <w:tcPr>
            <w:tcW w:w="716" w:type="dxa"/>
          </w:tcPr>
          <w:p w14:paraId="41754826">
            <w:pPr>
              <w:pStyle w:val="38"/>
              <w:jc w:val="center"/>
              <w:rPr>
                <w:rFonts w:hint="eastAsia"/>
                <w:highlight w:val="none"/>
              </w:rPr>
            </w:pPr>
            <w:r>
              <w:rPr>
                <w:rFonts w:hint="eastAsia"/>
                <w:highlight w:val="none"/>
              </w:rPr>
              <w:t>单位</w:t>
            </w:r>
          </w:p>
        </w:tc>
        <w:tc>
          <w:tcPr>
            <w:tcW w:w="750" w:type="dxa"/>
          </w:tcPr>
          <w:p w14:paraId="635AA683">
            <w:pPr>
              <w:pStyle w:val="38"/>
              <w:jc w:val="center"/>
              <w:rPr>
                <w:rFonts w:hint="eastAsia"/>
                <w:highlight w:val="none"/>
              </w:rPr>
            </w:pPr>
            <w:r>
              <w:rPr>
                <w:rFonts w:hint="eastAsia"/>
                <w:highlight w:val="none"/>
              </w:rPr>
              <w:t>数量</w:t>
            </w:r>
          </w:p>
        </w:tc>
        <w:tc>
          <w:tcPr>
            <w:tcW w:w="4532" w:type="dxa"/>
          </w:tcPr>
          <w:p w14:paraId="200D4A46">
            <w:pPr>
              <w:pStyle w:val="38"/>
              <w:jc w:val="center"/>
              <w:rPr>
                <w:rFonts w:hint="eastAsia"/>
                <w:highlight w:val="none"/>
              </w:rPr>
            </w:pPr>
            <w:r>
              <w:rPr>
                <w:rFonts w:hint="eastAsia"/>
                <w:highlight w:val="none"/>
              </w:rPr>
              <w:t>备注</w:t>
            </w:r>
          </w:p>
        </w:tc>
      </w:tr>
      <w:tr w14:paraId="1188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Align w:val="center"/>
          </w:tcPr>
          <w:p w14:paraId="74FE5B15">
            <w:pPr>
              <w:pStyle w:val="38"/>
              <w:jc w:val="center"/>
              <w:rPr>
                <w:rFonts w:hint="eastAsia"/>
                <w:highlight w:val="none"/>
              </w:rPr>
            </w:pPr>
            <w:r>
              <w:rPr>
                <w:rFonts w:hint="eastAsia"/>
                <w:highlight w:val="none"/>
              </w:rPr>
              <w:t>病案数字化系统</w:t>
            </w:r>
          </w:p>
        </w:tc>
        <w:tc>
          <w:tcPr>
            <w:tcW w:w="716" w:type="dxa"/>
            <w:vAlign w:val="center"/>
          </w:tcPr>
          <w:p w14:paraId="67989B1E">
            <w:pPr>
              <w:pStyle w:val="38"/>
              <w:jc w:val="center"/>
              <w:rPr>
                <w:rFonts w:hint="eastAsia"/>
                <w:highlight w:val="none"/>
              </w:rPr>
            </w:pPr>
            <w:r>
              <w:rPr>
                <w:rFonts w:hint="eastAsia"/>
                <w:highlight w:val="none"/>
              </w:rPr>
              <w:t>套</w:t>
            </w:r>
          </w:p>
        </w:tc>
        <w:tc>
          <w:tcPr>
            <w:tcW w:w="750" w:type="dxa"/>
            <w:vAlign w:val="center"/>
          </w:tcPr>
          <w:p w14:paraId="226A1138">
            <w:pPr>
              <w:pStyle w:val="38"/>
              <w:jc w:val="center"/>
              <w:rPr>
                <w:rFonts w:hint="eastAsia"/>
                <w:highlight w:val="none"/>
              </w:rPr>
            </w:pPr>
            <w:r>
              <w:rPr>
                <w:rFonts w:hint="eastAsia"/>
                <w:highlight w:val="none"/>
              </w:rPr>
              <w:t>1</w:t>
            </w:r>
          </w:p>
        </w:tc>
        <w:tc>
          <w:tcPr>
            <w:tcW w:w="4532" w:type="dxa"/>
            <w:vAlign w:val="center"/>
          </w:tcPr>
          <w:p w14:paraId="16F036F6">
            <w:pPr>
              <w:pStyle w:val="38"/>
              <w:rPr>
                <w:rFonts w:hint="eastAsia"/>
                <w:highlight w:val="none"/>
              </w:rPr>
            </w:pPr>
            <w:r>
              <w:rPr>
                <w:rFonts w:hint="eastAsia"/>
                <w:highlight w:val="none"/>
              </w:rPr>
              <w:t>包含技术要求、功能权限、病案示踪、数字化采集模块、检索模块、打印模块、病案借阅、病案锁定、病案导出、安全要求、云病案、系统接口要求。</w:t>
            </w:r>
          </w:p>
        </w:tc>
      </w:tr>
      <w:tr w14:paraId="77F7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Align w:val="center"/>
          </w:tcPr>
          <w:p w14:paraId="12E87D5C">
            <w:pPr>
              <w:pStyle w:val="38"/>
              <w:jc w:val="center"/>
              <w:rPr>
                <w:rFonts w:hint="eastAsia"/>
                <w:highlight w:val="none"/>
              </w:rPr>
            </w:pPr>
            <w:r>
              <w:rPr>
                <w:rFonts w:hint="eastAsia"/>
                <w:highlight w:val="none"/>
              </w:rPr>
              <w:t>翻拍仪</w:t>
            </w:r>
          </w:p>
          <w:p w14:paraId="21240352">
            <w:pPr>
              <w:pStyle w:val="38"/>
              <w:jc w:val="center"/>
              <w:rPr>
                <w:rFonts w:hint="eastAsia"/>
                <w:highlight w:val="none"/>
              </w:rPr>
            </w:pPr>
            <w:r>
              <w:rPr>
                <w:rFonts w:hint="eastAsia"/>
                <w:highlight w:val="none"/>
              </w:rPr>
              <w:t>（不带身份证读卡）</w:t>
            </w:r>
          </w:p>
        </w:tc>
        <w:tc>
          <w:tcPr>
            <w:tcW w:w="716" w:type="dxa"/>
            <w:vAlign w:val="center"/>
          </w:tcPr>
          <w:p w14:paraId="148CB645">
            <w:pPr>
              <w:pStyle w:val="38"/>
              <w:jc w:val="center"/>
              <w:rPr>
                <w:rFonts w:hint="default" w:eastAsiaTheme="minorEastAsia"/>
                <w:highlight w:val="none"/>
                <w:lang w:val="en-US" w:eastAsia="zh-CN"/>
              </w:rPr>
            </w:pPr>
            <w:r>
              <w:rPr>
                <w:rFonts w:hint="eastAsia"/>
                <w:highlight w:val="none"/>
                <w:lang w:val="en-US" w:eastAsia="zh-CN"/>
              </w:rPr>
              <w:t>组</w:t>
            </w:r>
          </w:p>
        </w:tc>
        <w:tc>
          <w:tcPr>
            <w:tcW w:w="750" w:type="dxa"/>
            <w:vAlign w:val="center"/>
          </w:tcPr>
          <w:p w14:paraId="3D2565E0">
            <w:pPr>
              <w:pStyle w:val="38"/>
              <w:jc w:val="center"/>
              <w:rPr>
                <w:rFonts w:hint="eastAsia" w:eastAsiaTheme="minorEastAsia"/>
                <w:highlight w:val="none"/>
                <w:lang w:val="en-US" w:eastAsia="zh-CN"/>
              </w:rPr>
            </w:pPr>
            <w:r>
              <w:rPr>
                <w:rFonts w:hint="eastAsia"/>
                <w:highlight w:val="none"/>
                <w:lang w:val="en-US" w:eastAsia="zh-CN"/>
              </w:rPr>
              <w:t>1</w:t>
            </w:r>
          </w:p>
        </w:tc>
        <w:tc>
          <w:tcPr>
            <w:tcW w:w="4532" w:type="dxa"/>
            <w:vAlign w:val="center"/>
          </w:tcPr>
          <w:p w14:paraId="7BD2C92C">
            <w:pPr>
              <w:pStyle w:val="38"/>
              <w:rPr>
                <w:rFonts w:hint="eastAsia"/>
                <w:highlight w:val="none"/>
              </w:rPr>
            </w:pPr>
            <w:r>
              <w:rPr>
                <w:rFonts w:hint="eastAsia"/>
                <w:highlight w:val="none"/>
              </w:rPr>
              <w:t>用于科室人工采集</w:t>
            </w:r>
          </w:p>
        </w:tc>
      </w:tr>
      <w:tr w14:paraId="32E8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Align w:val="center"/>
          </w:tcPr>
          <w:p w14:paraId="1CBB80C1">
            <w:pPr>
              <w:pStyle w:val="38"/>
              <w:jc w:val="center"/>
              <w:rPr>
                <w:rFonts w:hint="eastAsia"/>
                <w:highlight w:val="none"/>
              </w:rPr>
            </w:pPr>
            <w:r>
              <w:rPr>
                <w:rFonts w:hint="eastAsia"/>
                <w:highlight w:val="none"/>
              </w:rPr>
              <w:t>翻拍仪</w:t>
            </w:r>
          </w:p>
          <w:p w14:paraId="5CAE5EE4">
            <w:pPr>
              <w:pStyle w:val="38"/>
              <w:jc w:val="center"/>
              <w:rPr>
                <w:rFonts w:hint="eastAsia"/>
                <w:highlight w:val="none"/>
              </w:rPr>
            </w:pPr>
            <w:r>
              <w:rPr>
                <w:rFonts w:hint="eastAsia"/>
                <w:highlight w:val="none"/>
              </w:rPr>
              <w:t>（带身份证读卡）</w:t>
            </w:r>
          </w:p>
        </w:tc>
        <w:tc>
          <w:tcPr>
            <w:tcW w:w="716" w:type="dxa"/>
            <w:vAlign w:val="center"/>
          </w:tcPr>
          <w:p w14:paraId="391CB234">
            <w:pPr>
              <w:pStyle w:val="38"/>
              <w:jc w:val="center"/>
              <w:rPr>
                <w:rFonts w:hint="eastAsia" w:eastAsiaTheme="minorEastAsia"/>
                <w:highlight w:val="none"/>
                <w:lang w:val="en-US" w:eastAsia="zh-CN"/>
              </w:rPr>
            </w:pPr>
            <w:r>
              <w:rPr>
                <w:rFonts w:hint="eastAsia"/>
                <w:highlight w:val="none"/>
                <w:lang w:val="en-US" w:eastAsia="zh-CN"/>
              </w:rPr>
              <w:t>组</w:t>
            </w:r>
          </w:p>
        </w:tc>
        <w:tc>
          <w:tcPr>
            <w:tcW w:w="750" w:type="dxa"/>
            <w:vAlign w:val="center"/>
          </w:tcPr>
          <w:p w14:paraId="703F357A">
            <w:pPr>
              <w:pStyle w:val="38"/>
              <w:jc w:val="center"/>
              <w:rPr>
                <w:rFonts w:hint="eastAsia" w:eastAsiaTheme="minorEastAsia"/>
                <w:highlight w:val="none"/>
                <w:lang w:val="en-US" w:eastAsia="zh-CN"/>
              </w:rPr>
            </w:pPr>
            <w:r>
              <w:rPr>
                <w:rFonts w:hint="eastAsia"/>
                <w:highlight w:val="none"/>
                <w:lang w:val="en-US" w:eastAsia="zh-CN"/>
              </w:rPr>
              <w:t>1</w:t>
            </w:r>
          </w:p>
        </w:tc>
        <w:tc>
          <w:tcPr>
            <w:tcW w:w="4532" w:type="dxa"/>
            <w:vAlign w:val="center"/>
          </w:tcPr>
          <w:p w14:paraId="0DF22F92">
            <w:pPr>
              <w:pStyle w:val="38"/>
              <w:rPr>
                <w:rFonts w:hint="eastAsia"/>
                <w:highlight w:val="none"/>
              </w:rPr>
            </w:pPr>
            <w:r>
              <w:rPr>
                <w:rFonts w:hint="eastAsia"/>
                <w:highlight w:val="none"/>
              </w:rPr>
              <w:t>用于患者病案打印窗口，留取患者身份证信息</w:t>
            </w:r>
          </w:p>
        </w:tc>
      </w:tr>
    </w:tbl>
    <w:p w14:paraId="08DE5D18">
      <w:pPr>
        <w:pStyle w:val="6"/>
        <w:rPr>
          <w:rFonts w:hint="eastAsia"/>
          <w:highlight w:val="none"/>
        </w:rPr>
      </w:pPr>
      <w:r>
        <w:rPr>
          <w:rFonts w:hint="eastAsia"/>
          <w:highlight w:val="none"/>
          <w:lang w:val="en-US" w:eastAsia="zh-CN"/>
        </w:rPr>
        <w:t xml:space="preserve"> </w:t>
      </w:r>
      <w:r>
        <w:rPr>
          <w:rFonts w:hint="eastAsia"/>
          <w:highlight w:val="none"/>
        </w:rPr>
        <w:t>技术要求</w:t>
      </w:r>
    </w:p>
    <w:p w14:paraId="30C28CAE">
      <w:pPr>
        <w:pStyle w:val="12"/>
        <w:shd w:val="clear" w:color="auto" w:fill="auto"/>
        <w:ind w:firstLine="480"/>
        <w:rPr>
          <w:rFonts w:hint="eastAsia"/>
          <w:highlight w:val="none"/>
        </w:rPr>
      </w:pPr>
      <w:r>
        <w:rPr>
          <w:rFonts w:hint="eastAsia"/>
          <w:highlight w:val="none"/>
        </w:rPr>
        <w:t>1.系统符合国家、卫生部等各种标准和规范，符合医院实际需求。</w:t>
      </w:r>
    </w:p>
    <w:p w14:paraId="00478DE3">
      <w:pPr>
        <w:pStyle w:val="12"/>
        <w:shd w:val="clear" w:color="auto" w:fill="auto"/>
        <w:ind w:firstLine="480"/>
        <w:rPr>
          <w:rFonts w:hint="eastAsia"/>
          <w:highlight w:val="none"/>
        </w:rPr>
      </w:pPr>
      <w:r>
        <w:rPr>
          <w:rFonts w:hint="eastAsia"/>
          <w:highlight w:val="none"/>
        </w:rPr>
        <w:t>2.符合电子病历分级评价标准中病案数字化的相关要求。</w:t>
      </w:r>
    </w:p>
    <w:p w14:paraId="563EC4A9">
      <w:pPr>
        <w:pStyle w:val="12"/>
        <w:shd w:val="clear" w:color="auto" w:fill="auto"/>
        <w:ind w:firstLine="480"/>
        <w:rPr>
          <w:rFonts w:hint="eastAsia"/>
          <w:highlight w:val="none"/>
        </w:rPr>
      </w:pPr>
      <w:r>
        <w:rPr>
          <w:rFonts w:hint="eastAsia"/>
          <w:highlight w:val="none"/>
        </w:rPr>
        <w:t>3.系统采用开放性设计，能根据医院实际需求进行应用系统的功能重组、二次开发。</w:t>
      </w:r>
    </w:p>
    <w:p w14:paraId="6BA7C83A">
      <w:pPr>
        <w:pStyle w:val="12"/>
        <w:shd w:val="clear" w:color="auto" w:fill="auto"/>
        <w:ind w:firstLine="480"/>
        <w:rPr>
          <w:rFonts w:hint="eastAsia"/>
          <w:highlight w:val="none"/>
        </w:rPr>
      </w:pPr>
      <w:r>
        <w:rPr>
          <w:rFonts w:hint="eastAsia"/>
          <w:highlight w:val="none"/>
        </w:rPr>
        <w:t>4.应用系统授权方便、数据库登录用户权限、有完善备份功能、有完备的恢复功能、提供数据修改全程监控、提供错误日志、提供系统运行日志。提供包括单点登录、数据签名、信息安全保障措施。</w:t>
      </w:r>
    </w:p>
    <w:p w14:paraId="6A1319E7">
      <w:pPr>
        <w:pStyle w:val="12"/>
        <w:shd w:val="clear" w:color="auto" w:fill="auto"/>
        <w:ind w:firstLine="480"/>
        <w:rPr>
          <w:rFonts w:hint="eastAsia"/>
          <w:highlight w:val="none"/>
        </w:rPr>
      </w:pPr>
      <w:r>
        <w:rPr>
          <w:rFonts w:hint="eastAsia"/>
          <w:highlight w:val="none"/>
        </w:rPr>
        <w:t>5.图像高清，数字化病案的图像尺寸为2048×1536（310万像素）及以上，同时提供彩色图像和黑白图像。数字化病案的图像清晰、无歪斜、打印清晰，每幅图像均有属性标注，病历索引数据与病历图像对应完全正确。</w:t>
      </w:r>
    </w:p>
    <w:p w14:paraId="062FDC86">
      <w:pPr>
        <w:pStyle w:val="12"/>
        <w:shd w:val="clear" w:color="auto" w:fill="auto"/>
        <w:ind w:firstLine="480"/>
        <w:rPr>
          <w:rFonts w:hint="eastAsia"/>
          <w:highlight w:val="none"/>
        </w:rPr>
      </w:pPr>
      <w:r>
        <w:rPr>
          <w:rFonts w:hint="eastAsia"/>
          <w:highlight w:val="none"/>
        </w:rPr>
        <w:t>6.原始纸质病案使用条形码技术装箱保存，定位管理，便于对原始纸质病案的快速查找，并运送指定存放点。</w:t>
      </w:r>
    </w:p>
    <w:p w14:paraId="551F0E91">
      <w:pPr>
        <w:pStyle w:val="12"/>
        <w:shd w:val="clear" w:color="auto" w:fill="auto"/>
        <w:ind w:firstLine="480"/>
        <w:rPr>
          <w:rFonts w:hint="eastAsia"/>
          <w:highlight w:val="none"/>
        </w:rPr>
      </w:pPr>
      <w:r>
        <w:rPr>
          <w:rFonts w:hint="eastAsia"/>
          <w:highlight w:val="none"/>
        </w:rPr>
        <w:t>7.所有页面涉及病案检索的都应该有条码扫描框，避免手工录入和错误。条码扫描框同时还需要支持手工录入，能够输入病案号，患者姓名进行检索，患者有多条就诊记录的要显示就诊次数、出院科室和出院时间便于区分。</w:t>
      </w:r>
    </w:p>
    <w:p w14:paraId="7F7FF925">
      <w:pPr>
        <w:pStyle w:val="7"/>
        <w:rPr>
          <w:rFonts w:hint="eastAsia"/>
          <w:highlight w:val="none"/>
        </w:rPr>
      </w:pPr>
      <w:r>
        <w:rPr>
          <w:rFonts w:hint="eastAsia"/>
          <w:highlight w:val="none"/>
          <w:lang w:val="en-US" w:eastAsia="zh-CN"/>
        </w:rPr>
        <w:t xml:space="preserve"> </w:t>
      </w:r>
      <w:r>
        <w:rPr>
          <w:rFonts w:hint="eastAsia"/>
          <w:highlight w:val="none"/>
        </w:rPr>
        <w:t>功能权限</w:t>
      </w:r>
    </w:p>
    <w:p w14:paraId="121D6B4B">
      <w:pPr>
        <w:pStyle w:val="12"/>
        <w:shd w:val="clear" w:color="auto" w:fill="auto"/>
        <w:ind w:firstLine="480"/>
        <w:rPr>
          <w:rFonts w:hint="eastAsia"/>
          <w:highlight w:val="none"/>
        </w:rPr>
      </w:pPr>
      <w:r>
        <w:rPr>
          <w:rFonts w:hint="eastAsia"/>
          <w:highlight w:val="none"/>
        </w:rPr>
        <w:t>权限管理模块</w:t>
      </w:r>
    </w:p>
    <w:p w14:paraId="265C81A1">
      <w:pPr>
        <w:pStyle w:val="12"/>
        <w:shd w:val="clear" w:color="auto" w:fill="auto"/>
        <w:ind w:firstLine="480"/>
        <w:rPr>
          <w:rFonts w:hint="eastAsia"/>
          <w:highlight w:val="none"/>
        </w:rPr>
      </w:pPr>
      <w:r>
        <w:rPr>
          <w:rFonts w:hint="eastAsia"/>
          <w:highlight w:val="none"/>
        </w:rPr>
        <w:t>1.用户管理：维护系统用户信息，支持查询、增删改。</w:t>
      </w:r>
    </w:p>
    <w:p w14:paraId="09749668">
      <w:pPr>
        <w:pStyle w:val="12"/>
        <w:shd w:val="clear" w:color="auto" w:fill="auto"/>
        <w:ind w:firstLine="480"/>
        <w:rPr>
          <w:rFonts w:hint="eastAsia"/>
          <w:highlight w:val="none"/>
        </w:rPr>
      </w:pPr>
      <w:r>
        <w:rPr>
          <w:rFonts w:hint="eastAsia"/>
          <w:highlight w:val="none"/>
        </w:rPr>
        <w:t>2.HIS同步：通过接口自动同步HIS科室及人员信息（含密码）。</w:t>
      </w:r>
    </w:p>
    <w:p w14:paraId="6C624BA1">
      <w:pPr>
        <w:pStyle w:val="12"/>
        <w:shd w:val="clear" w:color="auto" w:fill="auto"/>
        <w:ind w:firstLine="480"/>
        <w:rPr>
          <w:rFonts w:hint="eastAsia"/>
          <w:highlight w:val="none"/>
        </w:rPr>
      </w:pPr>
      <w:r>
        <w:rPr>
          <w:rFonts w:hint="eastAsia"/>
          <w:highlight w:val="none"/>
        </w:rPr>
        <w:t>3.科室管理：管理科室信息及所属人员。</w:t>
      </w:r>
    </w:p>
    <w:p w14:paraId="32E2647A">
      <w:pPr>
        <w:pStyle w:val="12"/>
        <w:shd w:val="clear" w:color="auto" w:fill="auto"/>
        <w:ind w:firstLine="480"/>
        <w:rPr>
          <w:rFonts w:hint="eastAsia"/>
          <w:highlight w:val="none"/>
        </w:rPr>
      </w:pPr>
      <w:r>
        <w:rPr>
          <w:rFonts w:hint="eastAsia"/>
          <w:highlight w:val="none"/>
        </w:rPr>
        <w:t>4.角色管理：自定义角色菜单并关联人员。</w:t>
      </w:r>
    </w:p>
    <w:p w14:paraId="3B0FFB1E">
      <w:pPr>
        <w:pStyle w:val="12"/>
        <w:shd w:val="clear" w:color="auto" w:fill="auto"/>
        <w:ind w:firstLine="480"/>
        <w:rPr>
          <w:rFonts w:hint="eastAsia"/>
          <w:highlight w:val="none"/>
        </w:rPr>
      </w:pPr>
      <w:r>
        <w:rPr>
          <w:rFonts w:hint="eastAsia"/>
          <w:highlight w:val="none"/>
        </w:rPr>
        <w:t>5.示踪权限：设置病案流通各环节的科室或人员操作权限，防止越权操作。</w:t>
      </w:r>
    </w:p>
    <w:p w14:paraId="6BC85E2B">
      <w:pPr>
        <w:pStyle w:val="12"/>
        <w:shd w:val="clear" w:color="auto" w:fill="auto"/>
        <w:ind w:firstLine="480"/>
        <w:rPr>
          <w:rFonts w:hint="eastAsia"/>
          <w:highlight w:val="none"/>
        </w:rPr>
      </w:pPr>
      <w:r>
        <w:rPr>
          <w:rFonts w:hint="eastAsia"/>
          <w:highlight w:val="none"/>
        </w:rPr>
        <w:t>6.分类对照：支持病案分类与打印分类多对一映射，可设定禁打分类。</w:t>
      </w:r>
    </w:p>
    <w:p w14:paraId="76FFAA76">
      <w:pPr>
        <w:pStyle w:val="12"/>
        <w:shd w:val="clear" w:color="auto" w:fill="auto"/>
        <w:ind w:firstLine="480"/>
        <w:rPr>
          <w:rFonts w:hint="eastAsia"/>
          <w:highlight w:val="none"/>
        </w:rPr>
      </w:pPr>
      <w:r>
        <w:rPr>
          <w:rFonts w:hint="eastAsia"/>
          <w:highlight w:val="none"/>
        </w:rPr>
        <w:t>7.访问控制：限制指定IP地址访问系统。</w:t>
      </w:r>
    </w:p>
    <w:p w14:paraId="7A20D4B4">
      <w:pPr>
        <w:pStyle w:val="12"/>
        <w:shd w:val="clear" w:color="auto" w:fill="auto"/>
        <w:ind w:firstLine="480"/>
        <w:rPr>
          <w:rFonts w:hint="eastAsia"/>
          <w:highlight w:val="none"/>
        </w:rPr>
      </w:pPr>
      <w:r>
        <w:rPr>
          <w:rFonts w:hint="eastAsia"/>
          <w:highlight w:val="none"/>
        </w:rPr>
        <w:t>8.水印设置：配置打印时叠加在病案上的水印。</w:t>
      </w:r>
    </w:p>
    <w:p w14:paraId="0383C546">
      <w:pPr>
        <w:pStyle w:val="12"/>
        <w:shd w:val="clear" w:color="auto" w:fill="auto"/>
        <w:ind w:firstLine="480"/>
        <w:rPr>
          <w:rFonts w:hint="eastAsia"/>
          <w:highlight w:val="none"/>
        </w:rPr>
      </w:pPr>
      <w:r>
        <w:rPr>
          <w:rFonts w:hint="eastAsia"/>
          <w:highlight w:val="none"/>
        </w:rPr>
        <w:t>9.申请审批：审批电子病案借阅申请，按申请时限授权查阅。</w:t>
      </w:r>
    </w:p>
    <w:p w14:paraId="59D26BF5">
      <w:pPr>
        <w:pStyle w:val="12"/>
        <w:shd w:val="clear" w:color="auto" w:fill="auto"/>
        <w:ind w:firstLine="480"/>
        <w:rPr>
          <w:rFonts w:hint="eastAsia"/>
          <w:highlight w:val="none"/>
        </w:rPr>
      </w:pPr>
      <w:r>
        <w:rPr>
          <w:rFonts w:hint="eastAsia"/>
          <w:highlight w:val="none"/>
        </w:rPr>
        <w:t>10.监控中心：监控用户在线状态、待审申请、浏览历史及权限信息。</w:t>
      </w:r>
    </w:p>
    <w:p w14:paraId="40B9A448">
      <w:pPr>
        <w:pStyle w:val="12"/>
        <w:shd w:val="clear" w:color="auto" w:fill="auto"/>
        <w:ind w:firstLine="480"/>
        <w:rPr>
          <w:rFonts w:hint="eastAsia"/>
          <w:highlight w:val="none"/>
        </w:rPr>
      </w:pPr>
      <w:r>
        <w:rPr>
          <w:rFonts w:hint="eastAsia"/>
          <w:highlight w:val="none"/>
        </w:rPr>
        <w:t>11.错误报告：处理用户反馈的病案问题（如缺页、分类错误）。</w:t>
      </w:r>
    </w:p>
    <w:p w14:paraId="1305192F">
      <w:pPr>
        <w:pStyle w:val="12"/>
        <w:shd w:val="clear" w:color="auto" w:fill="auto"/>
        <w:ind w:firstLine="480"/>
        <w:rPr>
          <w:rFonts w:hint="eastAsia"/>
          <w:highlight w:val="none"/>
        </w:rPr>
      </w:pPr>
      <w:r>
        <w:rPr>
          <w:rFonts w:hint="eastAsia"/>
          <w:highlight w:val="none"/>
        </w:rPr>
        <w:t>12.病案日志：按日期查看系统对病案的所有操作记录。</w:t>
      </w:r>
    </w:p>
    <w:p w14:paraId="0AC0569D">
      <w:pPr>
        <w:pStyle w:val="7"/>
        <w:rPr>
          <w:rFonts w:hint="eastAsia"/>
          <w:highlight w:val="none"/>
        </w:rPr>
      </w:pPr>
      <w:r>
        <w:rPr>
          <w:rFonts w:hint="eastAsia"/>
          <w:highlight w:val="none"/>
          <w:lang w:val="en-US" w:eastAsia="zh-CN"/>
        </w:rPr>
        <w:t xml:space="preserve"> </w:t>
      </w:r>
      <w:r>
        <w:rPr>
          <w:rFonts w:hint="eastAsia"/>
          <w:highlight w:val="none"/>
        </w:rPr>
        <w:t>病案示踪</w:t>
      </w:r>
    </w:p>
    <w:p w14:paraId="32963F0A">
      <w:pPr>
        <w:pStyle w:val="12"/>
        <w:shd w:val="clear" w:color="auto" w:fill="auto"/>
        <w:ind w:firstLine="480"/>
        <w:rPr>
          <w:rFonts w:hint="eastAsia"/>
          <w:highlight w:val="none"/>
        </w:rPr>
      </w:pPr>
      <w:r>
        <w:rPr>
          <w:rFonts w:hint="eastAsia"/>
          <w:highlight w:val="none"/>
        </w:rPr>
        <w:t>1.打印条码：为无条码的历史纸质病案打印并粘贴条码，便于扫码识别。</w:t>
      </w:r>
    </w:p>
    <w:p w14:paraId="256FAFDB">
      <w:pPr>
        <w:pStyle w:val="12"/>
        <w:shd w:val="clear" w:color="auto" w:fill="auto"/>
        <w:ind w:firstLine="480"/>
        <w:rPr>
          <w:rFonts w:hint="eastAsia"/>
          <w:highlight w:val="none"/>
        </w:rPr>
      </w:pPr>
      <w:r>
        <w:rPr>
          <w:rFonts w:hint="eastAsia"/>
          <w:highlight w:val="none"/>
        </w:rPr>
        <w:t>2.病案流转：全程记录操作数据，交接需输入系统密码，支持批量交接并打印交接单。</w:t>
      </w:r>
    </w:p>
    <w:p w14:paraId="084B0813">
      <w:pPr>
        <w:pStyle w:val="12"/>
        <w:shd w:val="clear" w:color="auto" w:fill="auto"/>
        <w:ind w:firstLine="480"/>
        <w:rPr>
          <w:rFonts w:hint="eastAsia"/>
          <w:highlight w:val="none"/>
        </w:rPr>
      </w:pPr>
      <w:r>
        <w:rPr>
          <w:rFonts w:hint="eastAsia"/>
          <w:highlight w:val="none"/>
        </w:rPr>
        <w:t>3.示踪报表：可追踪病案当前位置、责任人及上次交接时间，实现可查可溯。</w:t>
      </w:r>
    </w:p>
    <w:p w14:paraId="4CD79A9A">
      <w:pPr>
        <w:pStyle w:val="12"/>
        <w:shd w:val="clear" w:color="auto" w:fill="auto"/>
        <w:ind w:firstLine="480"/>
        <w:rPr>
          <w:rFonts w:hint="eastAsia"/>
          <w:highlight w:val="none"/>
        </w:rPr>
      </w:pPr>
      <w:r>
        <w:rPr>
          <w:rFonts w:hint="eastAsia"/>
          <w:highlight w:val="none"/>
        </w:rPr>
        <w:t>4.支持双密码管理。</w:t>
      </w:r>
    </w:p>
    <w:p w14:paraId="202DDD03">
      <w:pPr>
        <w:pStyle w:val="7"/>
        <w:rPr>
          <w:rFonts w:hint="eastAsia"/>
          <w:highlight w:val="none"/>
        </w:rPr>
      </w:pPr>
      <w:r>
        <w:rPr>
          <w:rFonts w:hint="eastAsia"/>
          <w:highlight w:val="none"/>
          <w:lang w:val="en-US" w:eastAsia="zh-CN"/>
        </w:rPr>
        <w:t xml:space="preserve"> </w:t>
      </w:r>
      <w:r>
        <w:rPr>
          <w:rFonts w:hint="eastAsia"/>
          <w:highlight w:val="none"/>
        </w:rPr>
        <w:t>数字化采集模块</w:t>
      </w:r>
    </w:p>
    <w:p w14:paraId="7502CD14">
      <w:pPr>
        <w:pStyle w:val="12"/>
        <w:shd w:val="clear" w:color="auto" w:fill="auto"/>
        <w:ind w:firstLine="480"/>
        <w:rPr>
          <w:rFonts w:hint="eastAsia"/>
          <w:highlight w:val="none"/>
        </w:rPr>
      </w:pPr>
      <w:r>
        <w:rPr>
          <w:rFonts w:hint="eastAsia"/>
          <w:highlight w:val="none"/>
        </w:rPr>
        <w:t>1.病案翻拍支持彩色/黑白拍摄及存储方式设置，可自由删除、重拍、插页并自动重排序，支持自动上传与暂存，提交后不可修改，大屏实时预览确保质量。</w:t>
      </w:r>
    </w:p>
    <w:p w14:paraId="4CE50660">
      <w:pPr>
        <w:pStyle w:val="12"/>
        <w:shd w:val="clear" w:color="auto" w:fill="auto"/>
        <w:ind w:firstLine="480"/>
        <w:rPr>
          <w:rFonts w:hint="eastAsia"/>
          <w:highlight w:val="none"/>
        </w:rPr>
      </w:pPr>
      <w:r>
        <w:rPr>
          <w:rFonts w:hint="eastAsia"/>
          <w:highlight w:val="none"/>
        </w:rPr>
        <w:t>2.图片可智能优化，支持旋转、对焦、纠斜、裁剪、去黑边、去装订孔、降噪等处理，色彩、亮度、曝光等参数可调。</w:t>
      </w:r>
    </w:p>
    <w:p w14:paraId="16CCD986">
      <w:pPr>
        <w:pStyle w:val="12"/>
        <w:shd w:val="clear" w:color="auto" w:fill="auto"/>
        <w:ind w:firstLine="480"/>
        <w:rPr>
          <w:rFonts w:hint="eastAsia"/>
          <w:highlight w:val="none"/>
        </w:rPr>
      </w:pPr>
      <w:r>
        <w:rPr>
          <w:rFonts w:hint="eastAsia"/>
          <w:highlight w:val="none"/>
        </w:rPr>
        <w:t>3.图片清晰度达A4标准，支持最优压缩，像素与压缩比可参数控制。</w:t>
      </w:r>
    </w:p>
    <w:p w14:paraId="2531DC74">
      <w:pPr>
        <w:pStyle w:val="12"/>
        <w:shd w:val="clear" w:color="auto" w:fill="auto"/>
        <w:ind w:firstLine="480"/>
        <w:rPr>
          <w:rFonts w:hint="eastAsia"/>
          <w:highlight w:val="none"/>
        </w:rPr>
      </w:pPr>
      <w:r>
        <w:rPr>
          <w:rFonts w:hint="eastAsia"/>
          <w:highlight w:val="none"/>
        </w:rPr>
        <w:t>4.编目内容可维护，通过OCR自动识别分类，支持手动编目及错误调整，无需重拍，支持多种快速检索方式。</w:t>
      </w:r>
    </w:p>
    <w:p w14:paraId="71ECB12F">
      <w:pPr>
        <w:pStyle w:val="12"/>
        <w:shd w:val="clear" w:color="auto" w:fill="auto"/>
        <w:ind w:firstLine="480"/>
        <w:rPr>
          <w:rFonts w:hint="eastAsia"/>
          <w:highlight w:val="none"/>
        </w:rPr>
      </w:pPr>
      <w:r>
        <w:rPr>
          <w:rFonts w:hint="eastAsia"/>
          <w:highlight w:val="none"/>
        </w:rPr>
        <w:t>6.翻拍过程全程记录日志，可追踪操作员。</w:t>
      </w:r>
    </w:p>
    <w:p w14:paraId="4FD67A10">
      <w:pPr>
        <w:pStyle w:val="12"/>
        <w:shd w:val="clear" w:color="auto" w:fill="auto"/>
        <w:ind w:firstLine="480"/>
        <w:rPr>
          <w:rFonts w:hint="eastAsia"/>
          <w:highlight w:val="none"/>
        </w:rPr>
      </w:pPr>
      <w:r>
        <w:rPr>
          <w:rFonts w:hint="eastAsia"/>
          <w:highlight w:val="none"/>
        </w:rPr>
        <w:t>7.数据存储时间小于2秒，上传后本地不留可查看临时文件。</w:t>
      </w:r>
    </w:p>
    <w:p w14:paraId="42543432">
      <w:pPr>
        <w:pStyle w:val="12"/>
        <w:shd w:val="clear" w:color="auto" w:fill="auto"/>
        <w:ind w:firstLine="480"/>
        <w:rPr>
          <w:rFonts w:hint="eastAsia"/>
          <w:highlight w:val="none"/>
        </w:rPr>
      </w:pPr>
      <w:r>
        <w:rPr>
          <w:rFonts w:hint="eastAsia"/>
          <w:highlight w:val="none"/>
        </w:rPr>
        <w:t>8.可标记缺陷病案并记录不数字化原因。</w:t>
      </w:r>
    </w:p>
    <w:p w14:paraId="61D491F1">
      <w:pPr>
        <w:pStyle w:val="12"/>
        <w:shd w:val="clear" w:color="auto" w:fill="auto"/>
        <w:ind w:firstLine="480"/>
        <w:rPr>
          <w:rFonts w:hint="eastAsia"/>
          <w:highlight w:val="none"/>
        </w:rPr>
      </w:pPr>
      <w:r>
        <w:rPr>
          <w:rFonts w:hint="eastAsia"/>
          <w:highlight w:val="none"/>
        </w:rPr>
        <w:t>9.翻拍页面可查看审核打回列表及原因，便于重拍或补拍。</w:t>
      </w:r>
    </w:p>
    <w:p w14:paraId="0F10A78D">
      <w:pPr>
        <w:pStyle w:val="12"/>
        <w:shd w:val="clear" w:color="auto" w:fill="auto"/>
        <w:ind w:firstLine="480"/>
        <w:rPr>
          <w:rFonts w:hint="eastAsia"/>
          <w:highlight w:val="none"/>
        </w:rPr>
      </w:pPr>
      <w:r>
        <w:rPr>
          <w:rFonts w:hint="eastAsia"/>
          <w:highlight w:val="none"/>
        </w:rPr>
        <w:t>10.审核内容包括缺页、重复、清晰度、分类错误，可标记打回（整份或单面），重复与错编可直接修正。</w:t>
      </w:r>
    </w:p>
    <w:p w14:paraId="38470586">
      <w:pPr>
        <w:pStyle w:val="12"/>
        <w:shd w:val="clear" w:color="auto" w:fill="auto"/>
        <w:ind w:firstLine="480"/>
        <w:rPr>
          <w:rFonts w:hint="eastAsia"/>
          <w:highlight w:val="none"/>
        </w:rPr>
      </w:pPr>
      <w:r>
        <w:rPr>
          <w:rFonts w:hint="eastAsia"/>
          <w:highlight w:val="none"/>
        </w:rPr>
        <w:t>11.支持查看打回列表及重拍进度，进行重审。</w:t>
      </w:r>
    </w:p>
    <w:p w14:paraId="1B6AA923">
      <w:pPr>
        <w:pStyle w:val="12"/>
        <w:shd w:val="clear" w:color="auto" w:fill="auto"/>
        <w:ind w:firstLine="480"/>
        <w:rPr>
          <w:rFonts w:hint="eastAsia"/>
          <w:highlight w:val="none"/>
        </w:rPr>
      </w:pPr>
      <w:r>
        <w:rPr>
          <w:rFonts w:hint="eastAsia"/>
          <w:highlight w:val="none"/>
        </w:rPr>
        <w:t>12.审核操作记入日志，记录打回信息用于考核。</w:t>
      </w:r>
    </w:p>
    <w:p w14:paraId="6182198B">
      <w:pPr>
        <w:pStyle w:val="12"/>
        <w:shd w:val="clear" w:color="auto" w:fill="auto"/>
        <w:ind w:firstLine="480"/>
        <w:rPr>
          <w:rFonts w:hint="eastAsia"/>
          <w:highlight w:val="none"/>
        </w:rPr>
      </w:pPr>
      <w:r>
        <w:rPr>
          <w:rFonts w:hint="eastAsia"/>
          <w:highlight w:val="none"/>
        </w:rPr>
        <w:t>13.医院可按条件或比例随机抽查翻拍结果。</w:t>
      </w:r>
    </w:p>
    <w:p w14:paraId="2A6C68D4">
      <w:pPr>
        <w:pStyle w:val="12"/>
        <w:shd w:val="clear" w:color="auto" w:fill="auto"/>
        <w:ind w:firstLine="480"/>
        <w:rPr>
          <w:rFonts w:hint="eastAsia"/>
          <w:highlight w:val="none"/>
        </w:rPr>
      </w:pPr>
      <w:r>
        <w:rPr>
          <w:rFonts w:hint="eastAsia"/>
          <w:highlight w:val="none"/>
        </w:rPr>
        <w:t>14.抽查时可浏览结果，标识不合格病案并自动计算不合格率。</w:t>
      </w:r>
    </w:p>
    <w:p w14:paraId="6D223427">
      <w:pPr>
        <w:pStyle w:val="12"/>
        <w:shd w:val="clear" w:color="auto" w:fill="auto"/>
        <w:ind w:firstLine="480"/>
        <w:rPr>
          <w:rFonts w:hint="eastAsia"/>
          <w:highlight w:val="none"/>
        </w:rPr>
      </w:pPr>
      <w:r>
        <w:rPr>
          <w:rFonts w:hint="eastAsia"/>
          <w:highlight w:val="none"/>
        </w:rPr>
        <w:t>15.合格病案装箱，打印条码贴箱，扫码记录病案与箱的关联、数量及顺序。</w:t>
      </w:r>
    </w:p>
    <w:p w14:paraId="0A765D15">
      <w:pPr>
        <w:pStyle w:val="12"/>
        <w:shd w:val="clear" w:color="auto" w:fill="auto"/>
        <w:ind w:firstLine="480"/>
        <w:rPr>
          <w:rFonts w:hint="eastAsia"/>
          <w:highlight w:val="none"/>
        </w:rPr>
      </w:pPr>
      <w:r>
        <w:rPr>
          <w:rFonts w:hint="eastAsia"/>
          <w:highlight w:val="none"/>
        </w:rPr>
        <w:t>16.可维护库房与货架，入库时建立库房、货架、箱、病案四级关联，便于管理查询。</w:t>
      </w:r>
    </w:p>
    <w:p w14:paraId="6E3B2EC3">
      <w:pPr>
        <w:pStyle w:val="7"/>
        <w:rPr>
          <w:rFonts w:hint="eastAsia"/>
          <w:highlight w:val="none"/>
        </w:rPr>
      </w:pPr>
      <w:r>
        <w:rPr>
          <w:rFonts w:hint="eastAsia"/>
          <w:highlight w:val="none"/>
          <w:lang w:val="en-US" w:eastAsia="zh-CN"/>
        </w:rPr>
        <w:t xml:space="preserve"> </w:t>
      </w:r>
      <w:r>
        <w:rPr>
          <w:rFonts w:hint="eastAsia"/>
          <w:highlight w:val="none"/>
        </w:rPr>
        <w:t>检索模块</w:t>
      </w:r>
    </w:p>
    <w:p w14:paraId="77D5949E">
      <w:pPr>
        <w:pStyle w:val="12"/>
        <w:shd w:val="clear" w:color="auto" w:fill="auto"/>
        <w:ind w:firstLine="480"/>
        <w:rPr>
          <w:rFonts w:hint="eastAsia"/>
          <w:highlight w:val="none"/>
        </w:rPr>
      </w:pPr>
      <w:r>
        <w:rPr>
          <w:rFonts w:hint="eastAsia"/>
          <w:highlight w:val="none"/>
        </w:rPr>
        <w:t>支持病案号、姓名、身份证号等精准查询，以及基于首页结构化数据的组合检索；具备中文分词与关键字全文检索功能，可在十万级数据中1秒内响应，支持多关键字联合检索及与结构化检索融合使用，并在浏览时对病历内容自动脱敏显示，关键信息模糊处理，检索结果可高亮提示。</w:t>
      </w:r>
    </w:p>
    <w:p w14:paraId="4D858D4F">
      <w:pPr>
        <w:pStyle w:val="7"/>
        <w:rPr>
          <w:rFonts w:hint="eastAsia"/>
          <w:highlight w:val="none"/>
        </w:rPr>
      </w:pPr>
      <w:r>
        <w:rPr>
          <w:rFonts w:hint="eastAsia"/>
          <w:highlight w:val="none"/>
          <w:lang w:val="en-US" w:eastAsia="zh-CN"/>
        </w:rPr>
        <w:t xml:space="preserve"> </w:t>
      </w:r>
      <w:r>
        <w:rPr>
          <w:rFonts w:hint="eastAsia"/>
          <w:highlight w:val="none"/>
        </w:rPr>
        <w:t>打印模块</w:t>
      </w:r>
    </w:p>
    <w:p w14:paraId="45603065">
      <w:pPr>
        <w:pStyle w:val="12"/>
        <w:shd w:val="clear" w:color="auto" w:fill="auto"/>
        <w:ind w:firstLine="480"/>
        <w:rPr>
          <w:rFonts w:hint="eastAsia"/>
          <w:highlight w:val="none"/>
        </w:rPr>
      </w:pPr>
      <w:r>
        <w:rPr>
          <w:rFonts w:hint="eastAsia"/>
          <w:highlight w:val="none"/>
        </w:rPr>
        <w:t>可根据身份证、出入院时间、科室等多条件检索病历，支持按套餐打印并自动计费，打印界面可浏览病历、关键词筛选文书、自选内容与份数一次性打印。打印需权限控制，所有操作留痕并生成日志。具备追溯功能，记录病案号、姓名、时间、内容、IP、页数、费用等信息，支持一键补打和抽屉式预览。可自动读取二代身份证，拍照留存其他证件或委托书，并生成含证件图片的申请单。支持套餐维护并与病历分类关联，实现窗口信息登记、证件采集、套餐打印、费用计算与核对，支持对公打印及原因填写。与线上预约邮寄系统对接，自动获取线上凭证，无需重复上传。支持多份病案集中打印收费，窗口与云病案数据互通，费用可通过线上支付。</w:t>
      </w:r>
    </w:p>
    <w:p w14:paraId="1916852F">
      <w:pPr>
        <w:pStyle w:val="7"/>
        <w:rPr>
          <w:rFonts w:hint="eastAsia"/>
          <w:highlight w:val="none"/>
        </w:rPr>
      </w:pPr>
      <w:r>
        <w:rPr>
          <w:rFonts w:hint="eastAsia"/>
          <w:highlight w:val="none"/>
          <w:lang w:val="en-US" w:eastAsia="zh-CN"/>
        </w:rPr>
        <w:t xml:space="preserve"> </w:t>
      </w:r>
      <w:r>
        <w:rPr>
          <w:rFonts w:hint="eastAsia"/>
          <w:highlight w:val="none"/>
        </w:rPr>
        <w:t>病案借阅</w:t>
      </w:r>
    </w:p>
    <w:p w14:paraId="4A614B2B">
      <w:pPr>
        <w:pStyle w:val="12"/>
        <w:shd w:val="clear" w:color="auto" w:fill="auto"/>
        <w:ind w:firstLine="480"/>
        <w:rPr>
          <w:rFonts w:hint="eastAsia"/>
          <w:highlight w:val="none"/>
        </w:rPr>
      </w:pPr>
      <w:r>
        <w:rPr>
          <w:rFonts w:hint="eastAsia"/>
          <w:highlight w:val="none"/>
        </w:rPr>
        <w:t>病案借阅支持时限控制与自动归还；临床申请经病案室审批，驳回需注明原因且仅审批科室可见，系统按时收回权限；审批通过后可在线浏览数字化病历，支持按病历类别及科室集体借阅；支持批量借阅、收藏及自定义收藏夹名称与备注；浏览时可对敏感信息脱敏显示。</w:t>
      </w:r>
    </w:p>
    <w:p w14:paraId="5F0C77C0">
      <w:pPr>
        <w:pStyle w:val="7"/>
        <w:rPr>
          <w:rFonts w:hint="eastAsia"/>
          <w:highlight w:val="none"/>
        </w:rPr>
      </w:pPr>
      <w:r>
        <w:rPr>
          <w:rFonts w:hint="eastAsia"/>
          <w:highlight w:val="none"/>
          <w:lang w:val="en-US" w:eastAsia="zh-CN"/>
        </w:rPr>
        <w:t xml:space="preserve"> </w:t>
      </w:r>
      <w:r>
        <w:rPr>
          <w:rFonts w:hint="eastAsia"/>
          <w:highlight w:val="none"/>
        </w:rPr>
        <w:t>病案锁定</w:t>
      </w:r>
    </w:p>
    <w:p w14:paraId="451AB127">
      <w:pPr>
        <w:pStyle w:val="12"/>
        <w:shd w:val="clear" w:color="auto" w:fill="auto"/>
        <w:ind w:firstLine="480"/>
        <w:rPr>
          <w:rFonts w:hint="eastAsia"/>
          <w:highlight w:val="none"/>
        </w:rPr>
      </w:pPr>
      <w:r>
        <w:rPr>
          <w:rFonts w:hint="eastAsia"/>
          <w:highlight w:val="none"/>
        </w:rPr>
        <w:t>1.对锁定的病案提供至少两种封存模式，并详细描述两种封存模式实现方式。</w:t>
      </w:r>
    </w:p>
    <w:p w14:paraId="17849336">
      <w:pPr>
        <w:pStyle w:val="12"/>
        <w:shd w:val="clear" w:color="auto" w:fill="auto"/>
        <w:ind w:firstLine="480"/>
        <w:rPr>
          <w:rFonts w:hint="eastAsia"/>
          <w:highlight w:val="none"/>
        </w:rPr>
      </w:pPr>
      <w:r>
        <w:rPr>
          <w:rFonts w:hint="eastAsia"/>
          <w:highlight w:val="none"/>
        </w:rPr>
        <w:t>2.对特殊的病案（例如：官司、患者要求等）进行锁定，锁定后不能进行其他的操作，如不能进行借阅，打印等操作。</w:t>
      </w:r>
    </w:p>
    <w:p w14:paraId="265D3D40">
      <w:pPr>
        <w:pStyle w:val="12"/>
        <w:shd w:val="clear" w:color="auto" w:fill="auto"/>
        <w:ind w:firstLine="480"/>
        <w:rPr>
          <w:rFonts w:hint="eastAsia"/>
          <w:highlight w:val="none"/>
        </w:rPr>
      </w:pPr>
      <w:r>
        <w:rPr>
          <w:rFonts w:hint="eastAsia"/>
          <w:highlight w:val="none"/>
        </w:rPr>
        <w:t>3.支持锁定原因录入，可通过现场实时录制影像（视频、拍照）及附件批量上传实现病案锁定相关内容证据固化。</w:t>
      </w:r>
    </w:p>
    <w:p w14:paraId="4DF39CD8">
      <w:pPr>
        <w:pStyle w:val="7"/>
        <w:rPr>
          <w:rFonts w:hint="eastAsia"/>
          <w:highlight w:val="none"/>
        </w:rPr>
      </w:pPr>
      <w:r>
        <w:rPr>
          <w:rFonts w:hint="eastAsia"/>
          <w:highlight w:val="none"/>
          <w:lang w:val="en-US" w:eastAsia="zh-CN"/>
        </w:rPr>
        <w:t xml:space="preserve"> </w:t>
      </w:r>
      <w:r>
        <w:rPr>
          <w:rFonts w:hint="eastAsia"/>
          <w:highlight w:val="none"/>
        </w:rPr>
        <w:t>病案导出</w:t>
      </w:r>
    </w:p>
    <w:p w14:paraId="37D4F0DD">
      <w:pPr>
        <w:pStyle w:val="12"/>
        <w:shd w:val="clear" w:color="auto" w:fill="auto"/>
        <w:ind w:firstLine="480"/>
        <w:rPr>
          <w:rFonts w:hint="eastAsia"/>
          <w:highlight w:val="none"/>
        </w:rPr>
      </w:pPr>
      <w:r>
        <w:rPr>
          <w:rFonts w:hint="eastAsia"/>
          <w:highlight w:val="none"/>
        </w:rPr>
        <w:t>导出功能支持按病案分类排序并自动生成书签，可选择普通或加密方式导出。普通导出可自定义病历分类，PDF自动加水印；加密导出支持密码保护、有效期设置及独立程序浏览，具备双重密码校验和格式设定。支持含CA签章和时间戳的PDF/OFD导出，确保可信验证。可自动导出符合国家卫健委要求的死亡及非医嘱离院患者全病案，并规范排版。支持翻拍病历与上报分类对照，批量导出病案内容，包括首页、入院记录、病程、手术、医嘱、护理、影像等资料，以及带明细的费用清单，并支持补充翻拍与完整性判断。导出文件自动命名，格式为“省份_医院_病案号_出院日期”，生成带标签的电子全病案文件，支持自定义多水印，按分类单份或批量导出，文件有序、带水印、符合国家标准。</w:t>
      </w:r>
    </w:p>
    <w:p w14:paraId="03389279">
      <w:pPr>
        <w:pStyle w:val="7"/>
        <w:rPr>
          <w:rFonts w:hint="eastAsia"/>
          <w:highlight w:val="none"/>
        </w:rPr>
      </w:pPr>
      <w:r>
        <w:rPr>
          <w:rFonts w:hint="eastAsia"/>
          <w:highlight w:val="none"/>
          <w:lang w:val="en-US" w:eastAsia="zh-CN"/>
        </w:rPr>
        <w:t xml:space="preserve"> </w:t>
      </w:r>
      <w:r>
        <w:rPr>
          <w:rFonts w:hint="eastAsia"/>
          <w:highlight w:val="none"/>
        </w:rPr>
        <w:t>安全要求</w:t>
      </w:r>
    </w:p>
    <w:p w14:paraId="42824223">
      <w:pPr>
        <w:pStyle w:val="12"/>
        <w:shd w:val="clear" w:color="auto" w:fill="auto"/>
        <w:ind w:firstLine="480"/>
        <w:rPr>
          <w:rFonts w:hint="eastAsia"/>
          <w:highlight w:val="none"/>
        </w:rPr>
      </w:pPr>
      <w:r>
        <w:rPr>
          <w:rFonts w:hint="eastAsia"/>
          <w:highlight w:val="none"/>
        </w:rPr>
        <w:t>1.病案图像带水印，防数码偷拍，屏蔽非法拷贝，支持彩色黑白打印。</w:t>
      </w:r>
    </w:p>
    <w:p w14:paraId="496ED86D">
      <w:pPr>
        <w:pStyle w:val="12"/>
        <w:shd w:val="clear" w:color="auto" w:fill="auto"/>
        <w:ind w:firstLine="480"/>
        <w:rPr>
          <w:rFonts w:hint="eastAsia"/>
          <w:highlight w:val="none"/>
        </w:rPr>
      </w:pPr>
      <w:r>
        <w:rPr>
          <w:rFonts w:hint="eastAsia"/>
          <w:highlight w:val="none"/>
        </w:rPr>
        <w:t>2.设有权限管理、网络申请审批功能，按授权时段（永久至小时级）自动控制访问，外部单位可获临时权限查阅。</w:t>
      </w:r>
    </w:p>
    <w:p w14:paraId="4BDB9E81">
      <w:pPr>
        <w:pStyle w:val="12"/>
        <w:shd w:val="clear" w:color="auto" w:fill="auto"/>
        <w:ind w:firstLine="480"/>
        <w:rPr>
          <w:rFonts w:hint="eastAsia"/>
          <w:highlight w:val="none"/>
        </w:rPr>
      </w:pPr>
      <w:r>
        <w:rPr>
          <w:rFonts w:hint="eastAsia"/>
          <w:highlight w:val="none"/>
        </w:rPr>
        <w:t>3.自动记录用户操作日志并生成报表，支持追溯。</w:t>
      </w:r>
    </w:p>
    <w:p w14:paraId="7F468EC8">
      <w:pPr>
        <w:pStyle w:val="12"/>
        <w:shd w:val="clear" w:color="auto" w:fill="auto"/>
        <w:ind w:firstLine="480"/>
        <w:rPr>
          <w:rFonts w:hint="eastAsia"/>
          <w:highlight w:val="none"/>
        </w:rPr>
      </w:pPr>
      <w:r>
        <w:rPr>
          <w:rFonts w:hint="eastAsia"/>
          <w:highlight w:val="none"/>
        </w:rPr>
        <w:t>4.支持病案数据定时备份与还原。</w:t>
      </w:r>
    </w:p>
    <w:p w14:paraId="7DC300BA">
      <w:pPr>
        <w:pStyle w:val="7"/>
        <w:rPr>
          <w:rFonts w:hint="eastAsia"/>
          <w:highlight w:val="none"/>
        </w:rPr>
      </w:pPr>
      <w:r>
        <w:rPr>
          <w:rFonts w:hint="eastAsia"/>
          <w:highlight w:val="none"/>
          <w:lang w:val="en-US" w:eastAsia="zh-CN"/>
        </w:rPr>
        <w:t xml:space="preserve"> </w:t>
      </w:r>
      <w:r>
        <w:rPr>
          <w:rFonts w:hint="eastAsia"/>
          <w:highlight w:val="none"/>
        </w:rPr>
        <w:t>云病案</w:t>
      </w:r>
    </w:p>
    <w:p w14:paraId="248282EC">
      <w:pPr>
        <w:pStyle w:val="12"/>
        <w:shd w:val="clear" w:color="auto" w:fill="auto"/>
        <w:ind w:firstLine="480"/>
        <w:rPr>
          <w:rFonts w:hint="eastAsia"/>
          <w:highlight w:val="none"/>
        </w:rPr>
      </w:pPr>
      <w:r>
        <w:rPr>
          <w:rFonts w:hint="eastAsia"/>
          <w:highlight w:val="none"/>
        </w:rPr>
        <w:t>支持预约自提、邮寄登记，可本人或代办办理，具备人脸识别与人证核验功能，可对接快递及发票平台。病案室可通过线上审核预约信息，查看患者及订单详情，完成审核与费用催缴。提供线上病案预约邮寄平台著作权。</w:t>
      </w:r>
    </w:p>
    <w:p w14:paraId="7F45D7D6">
      <w:pPr>
        <w:pStyle w:val="7"/>
        <w:rPr>
          <w:rFonts w:hint="eastAsia"/>
          <w:highlight w:val="none"/>
        </w:rPr>
      </w:pPr>
      <w:r>
        <w:rPr>
          <w:rFonts w:hint="eastAsia"/>
          <w:highlight w:val="none"/>
          <w:lang w:val="en-US" w:eastAsia="zh-CN"/>
        </w:rPr>
        <w:t xml:space="preserve"> </w:t>
      </w:r>
      <w:r>
        <w:rPr>
          <w:rFonts w:hint="eastAsia"/>
          <w:highlight w:val="none"/>
        </w:rPr>
        <w:t>系统接口要求</w:t>
      </w:r>
    </w:p>
    <w:p w14:paraId="2E57A7CD">
      <w:pPr>
        <w:pStyle w:val="12"/>
        <w:shd w:val="clear" w:color="auto" w:fill="auto"/>
        <w:ind w:firstLine="480"/>
        <w:rPr>
          <w:rFonts w:hint="eastAsia"/>
          <w:highlight w:val="none"/>
        </w:rPr>
      </w:pPr>
      <w:r>
        <w:rPr>
          <w:rFonts w:hint="eastAsia"/>
          <w:highlight w:val="none"/>
        </w:rPr>
        <w:t>1.需对接病案首页（含基本信息、诊断、手术等）、科室与HIS同步、人员与HIS同步、示踪状态互通、出院患者信息、界面融合接口。</w:t>
      </w:r>
    </w:p>
    <w:p w14:paraId="4BF07E64">
      <w:pPr>
        <w:pStyle w:val="12"/>
        <w:shd w:val="clear" w:color="auto" w:fill="auto"/>
        <w:ind w:firstLine="480"/>
        <w:rPr>
          <w:rFonts w:hint="eastAsia"/>
          <w:highlight w:val="none"/>
        </w:rPr>
      </w:pPr>
      <w:r>
        <w:rPr>
          <w:rFonts w:hint="eastAsia"/>
          <w:highlight w:val="none"/>
        </w:rPr>
        <w:t>2.提供B/S或C/S形式的数字化病案调用接口，支持其他系统调用。</w:t>
      </w:r>
    </w:p>
    <w:p w14:paraId="00BF2D68">
      <w:pPr>
        <w:pStyle w:val="7"/>
        <w:rPr>
          <w:rFonts w:hint="eastAsia"/>
          <w:highlight w:val="none"/>
        </w:rPr>
      </w:pPr>
      <w:r>
        <w:rPr>
          <w:rFonts w:hint="eastAsia"/>
          <w:highlight w:val="none"/>
          <w:lang w:val="en-US" w:eastAsia="zh-CN"/>
        </w:rPr>
        <w:t xml:space="preserve"> </w:t>
      </w:r>
      <w:r>
        <w:rPr>
          <w:rFonts w:hint="eastAsia"/>
          <w:highlight w:val="none"/>
        </w:rPr>
        <w:t>纸质病案数字化翻拍服务</w:t>
      </w:r>
    </w:p>
    <w:p w14:paraId="0AC13075">
      <w:pPr>
        <w:pStyle w:val="12"/>
        <w:shd w:val="clear" w:color="auto" w:fill="auto"/>
        <w:ind w:firstLine="480"/>
        <w:rPr>
          <w:rFonts w:hint="eastAsia"/>
          <w:highlight w:val="none"/>
        </w:rPr>
      </w:pPr>
      <w:r>
        <w:rPr>
          <w:rFonts w:hint="eastAsia"/>
          <w:highlight w:val="none"/>
        </w:rPr>
        <w:t>对原始纸质病案应用数码技术分页数字化加工制作，形成数码图像，并负责对后续产生的原始纸质病案定期处理。</w:t>
      </w:r>
    </w:p>
    <w:p w14:paraId="671CDCF4">
      <w:pPr>
        <w:pStyle w:val="12"/>
        <w:shd w:val="clear" w:color="auto" w:fill="auto"/>
        <w:ind w:firstLine="480"/>
        <w:rPr>
          <w:rFonts w:hint="eastAsia"/>
          <w:highlight w:val="none"/>
        </w:rPr>
      </w:pPr>
      <w:r>
        <w:rPr>
          <w:rFonts w:hint="eastAsia"/>
          <w:highlight w:val="none"/>
        </w:rPr>
        <w:t>制作地点与病案保存地按招标人指定，中标人负责制作、拆装、分类、装箱，不另收费。</w:t>
      </w:r>
    </w:p>
    <w:p w14:paraId="15ECD8C9">
      <w:pPr>
        <w:pStyle w:val="7"/>
        <w:rPr>
          <w:rFonts w:hint="eastAsia"/>
          <w:highlight w:val="none"/>
        </w:rPr>
      </w:pPr>
      <w:r>
        <w:rPr>
          <w:rFonts w:hint="eastAsia"/>
          <w:highlight w:val="none"/>
          <w:lang w:val="en-US" w:eastAsia="zh-CN"/>
        </w:rPr>
        <w:t xml:space="preserve"> </w:t>
      </w:r>
      <w:r>
        <w:rPr>
          <w:rFonts w:hint="eastAsia"/>
          <w:highlight w:val="none"/>
        </w:rPr>
        <w:t>翻拍仪（不带身份证读卡）</w:t>
      </w:r>
    </w:p>
    <w:p w14:paraId="4AB8DF96">
      <w:pPr>
        <w:pStyle w:val="12"/>
        <w:shd w:val="clear" w:color="auto" w:fill="auto"/>
        <w:ind w:firstLine="480"/>
        <w:rPr>
          <w:rFonts w:hint="eastAsia"/>
          <w:highlight w:val="none"/>
        </w:rPr>
      </w:pPr>
      <w:r>
        <w:rPr>
          <w:rFonts w:hint="eastAsia"/>
          <w:highlight w:val="none"/>
        </w:rPr>
        <w:t>①摄像头：≥500万像素，画幅A3</w:t>
      </w:r>
    </w:p>
    <w:p w14:paraId="4987E429">
      <w:pPr>
        <w:pStyle w:val="12"/>
        <w:shd w:val="clear" w:color="auto" w:fill="auto"/>
        <w:ind w:firstLine="480"/>
        <w:rPr>
          <w:rFonts w:hint="eastAsia"/>
          <w:highlight w:val="none"/>
        </w:rPr>
      </w:pPr>
      <w:r>
        <w:rPr>
          <w:rFonts w:hint="eastAsia"/>
          <w:highlight w:val="none"/>
        </w:rPr>
        <w:t>②拍摄幅面可设置：A4、A5、身份证、自动寻边、鼠标框选等,支持证件双面拍摄后合并为一张图像</w:t>
      </w:r>
    </w:p>
    <w:p w14:paraId="45B880DB">
      <w:pPr>
        <w:pStyle w:val="12"/>
        <w:shd w:val="clear" w:color="auto" w:fill="auto"/>
        <w:ind w:firstLine="480"/>
        <w:rPr>
          <w:rFonts w:hint="eastAsia"/>
          <w:highlight w:val="none"/>
        </w:rPr>
      </w:pPr>
      <w:r>
        <w:rPr>
          <w:rFonts w:hint="eastAsia"/>
          <w:highlight w:val="none"/>
        </w:rPr>
        <w:t>③拍摄速度≤1秒</w:t>
      </w:r>
    </w:p>
    <w:p w14:paraId="67318614">
      <w:pPr>
        <w:pStyle w:val="12"/>
        <w:shd w:val="clear" w:color="auto" w:fill="auto"/>
        <w:ind w:firstLine="480"/>
        <w:rPr>
          <w:rFonts w:hint="eastAsia"/>
          <w:highlight w:val="none"/>
        </w:rPr>
      </w:pPr>
      <w:r>
        <w:rPr>
          <w:rFonts w:hint="eastAsia"/>
          <w:highlight w:val="none"/>
        </w:rPr>
        <w:t>④图片大小:彩色≤300K；黑白≤60K</w:t>
      </w:r>
    </w:p>
    <w:p w14:paraId="308DE958">
      <w:pPr>
        <w:pStyle w:val="12"/>
        <w:shd w:val="clear" w:color="auto" w:fill="auto"/>
        <w:ind w:firstLine="480"/>
        <w:rPr>
          <w:rFonts w:hint="eastAsia"/>
          <w:highlight w:val="none"/>
        </w:rPr>
      </w:pPr>
      <w:r>
        <w:rPr>
          <w:rFonts w:hint="eastAsia"/>
          <w:highlight w:val="none"/>
        </w:rPr>
        <w:t>⑤无肉眼可识别的闪烁、波纹、噪点等、常规光线变化不影响图片质量，自动压缩反光点。</w:t>
      </w:r>
    </w:p>
    <w:p w14:paraId="60F012C3">
      <w:pPr>
        <w:pStyle w:val="12"/>
        <w:shd w:val="clear" w:color="auto" w:fill="auto"/>
        <w:ind w:firstLine="480"/>
        <w:rPr>
          <w:rFonts w:hint="eastAsia"/>
          <w:highlight w:val="none"/>
        </w:rPr>
      </w:pPr>
      <w:r>
        <w:rPr>
          <w:rFonts w:hint="eastAsia"/>
          <w:highlight w:val="none"/>
        </w:rPr>
        <w:t>⑥二次开发接口DEMO/API/SDK，支持去黑边，去黑点等，可与无纸化系统深度兼容。</w:t>
      </w:r>
    </w:p>
    <w:p w14:paraId="13CBEE0F">
      <w:pPr>
        <w:pStyle w:val="7"/>
        <w:rPr>
          <w:rFonts w:hint="eastAsia"/>
          <w:highlight w:val="none"/>
        </w:rPr>
      </w:pPr>
      <w:r>
        <w:rPr>
          <w:rFonts w:hint="eastAsia"/>
          <w:highlight w:val="none"/>
          <w:lang w:val="en-US" w:eastAsia="zh-CN"/>
        </w:rPr>
        <w:t xml:space="preserve"> </w:t>
      </w:r>
      <w:r>
        <w:rPr>
          <w:rFonts w:hint="eastAsia"/>
          <w:highlight w:val="none"/>
        </w:rPr>
        <w:t>翻拍仪（带身份证读卡）</w:t>
      </w:r>
    </w:p>
    <w:p w14:paraId="143D645A">
      <w:pPr>
        <w:pStyle w:val="12"/>
        <w:shd w:val="clear" w:color="auto" w:fill="auto"/>
        <w:ind w:firstLine="480"/>
        <w:rPr>
          <w:rFonts w:hint="eastAsia"/>
          <w:highlight w:val="none"/>
        </w:rPr>
      </w:pPr>
      <w:r>
        <w:rPr>
          <w:rFonts w:hint="eastAsia"/>
          <w:highlight w:val="none"/>
        </w:rPr>
        <w:t>①摄像头：≥500万像素，画幅A3，底座集成身份证</w:t>
      </w:r>
    </w:p>
    <w:p w14:paraId="3D91AC93">
      <w:pPr>
        <w:pStyle w:val="12"/>
        <w:shd w:val="clear" w:color="auto" w:fill="auto"/>
        <w:ind w:firstLine="480"/>
        <w:rPr>
          <w:rFonts w:hint="eastAsia"/>
          <w:highlight w:val="none"/>
        </w:rPr>
      </w:pPr>
      <w:r>
        <w:rPr>
          <w:rFonts w:hint="eastAsia"/>
          <w:highlight w:val="none"/>
        </w:rPr>
        <w:t>②拍摄幅面可设置：A4、A5、身份证、自动寻边、鼠标框选等,支持证件双面拍摄后合并为一张图像</w:t>
      </w:r>
    </w:p>
    <w:p w14:paraId="14317B2D">
      <w:pPr>
        <w:pStyle w:val="12"/>
        <w:shd w:val="clear" w:color="auto" w:fill="auto"/>
        <w:ind w:firstLine="480"/>
        <w:rPr>
          <w:rFonts w:hint="eastAsia"/>
          <w:highlight w:val="none"/>
        </w:rPr>
      </w:pPr>
      <w:r>
        <w:rPr>
          <w:rFonts w:hint="eastAsia"/>
          <w:highlight w:val="none"/>
        </w:rPr>
        <w:t>③拍摄速度≤1秒</w:t>
      </w:r>
    </w:p>
    <w:p w14:paraId="23C41952">
      <w:pPr>
        <w:pStyle w:val="12"/>
        <w:shd w:val="clear" w:color="auto" w:fill="auto"/>
        <w:ind w:firstLine="480"/>
        <w:rPr>
          <w:rFonts w:hint="eastAsia"/>
          <w:highlight w:val="none"/>
        </w:rPr>
      </w:pPr>
      <w:r>
        <w:rPr>
          <w:rFonts w:hint="eastAsia"/>
          <w:highlight w:val="none"/>
        </w:rPr>
        <w:t>④图片大小:彩色≤300K；黑白≤60K</w:t>
      </w:r>
    </w:p>
    <w:p w14:paraId="146D08B9">
      <w:pPr>
        <w:pStyle w:val="12"/>
        <w:shd w:val="clear" w:color="auto" w:fill="auto"/>
        <w:ind w:firstLine="480"/>
        <w:rPr>
          <w:rFonts w:hint="eastAsia"/>
          <w:highlight w:val="none"/>
        </w:rPr>
      </w:pPr>
      <w:r>
        <w:rPr>
          <w:rFonts w:hint="eastAsia"/>
          <w:highlight w:val="none"/>
        </w:rPr>
        <w:t>⑤无肉眼可识别的闪烁、波纹、噪点等、常规光线变化不影响图片质量，自动压缩反光点。</w:t>
      </w:r>
    </w:p>
    <w:p w14:paraId="15CB5D61">
      <w:pPr>
        <w:pStyle w:val="12"/>
        <w:shd w:val="clear" w:color="auto" w:fill="auto"/>
        <w:ind w:firstLine="480"/>
        <w:rPr>
          <w:rFonts w:hint="eastAsia"/>
          <w:highlight w:val="none"/>
        </w:rPr>
      </w:pPr>
      <w:r>
        <w:rPr>
          <w:rFonts w:hint="eastAsia"/>
          <w:highlight w:val="none"/>
        </w:rPr>
        <w:t>⑥二次开发接口DEMO/API/SDK，支持去黑边，去黑点等，可与无纸化系统深度兼容。</w:t>
      </w:r>
    </w:p>
    <w:p w14:paraId="4D91A00E">
      <w:pPr>
        <w:pStyle w:val="5"/>
        <w:rPr>
          <w:rFonts w:hint="eastAsia"/>
          <w:highlight w:val="none"/>
        </w:rPr>
      </w:pPr>
      <w:r>
        <w:rPr>
          <w:rFonts w:hint="eastAsia"/>
          <w:highlight w:val="none"/>
          <w:lang w:val="en-US" w:eastAsia="zh-CN"/>
        </w:rPr>
        <w:t xml:space="preserve"> </w:t>
      </w:r>
      <w:r>
        <w:rPr>
          <w:rFonts w:hint="eastAsia"/>
          <w:highlight w:val="none"/>
        </w:rPr>
        <w:t>数字签名（CA）系统</w:t>
      </w:r>
    </w:p>
    <w:p w14:paraId="25F4E1F2">
      <w:pPr>
        <w:pStyle w:val="6"/>
        <w:rPr>
          <w:rFonts w:hint="eastAsia"/>
          <w:highlight w:val="none"/>
        </w:rPr>
      </w:pPr>
      <w:r>
        <w:rPr>
          <w:rFonts w:hint="eastAsia"/>
          <w:highlight w:val="none"/>
          <w:lang w:val="en-US" w:eastAsia="zh-CN"/>
        </w:rPr>
        <w:t xml:space="preserve"> </w:t>
      </w:r>
      <w:r>
        <w:rPr>
          <w:rFonts w:hint="eastAsia"/>
          <w:highlight w:val="none"/>
        </w:rPr>
        <w:t>建设清单</w:t>
      </w:r>
    </w:p>
    <w:tbl>
      <w:tblPr>
        <w:tblStyle w:val="31"/>
        <w:tblW w:w="5424" w:type="dxa"/>
        <w:jc w:val="center"/>
        <w:tblLayout w:type="fixed"/>
        <w:tblCellMar>
          <w:top w:w="0" w:type="dxa"/>
          <w:left w:w="108" w:type="dxa"/>
          <w:bottom w:w="0" w:type="dxa"/>
          <w:right w:w="108" w:type="dxa"/>
        </w:tblCellMar>
      </w:tblPr>
      <w:tblGrid>
        <w:gridCol w:w="696"/>
        <w:gridCol w:w="3336"/>
        <w:gridCol w:w="696"/>
        <w:gridCol w:w="696"/>
      </w:tblGrid>
      <w:tr w14:paraId="026C758A">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282793C8">
            <w:pPr>
              <w:pStyle w:val="38"/>
              <w:jc w:val="center"/>
              <w:rPr>
                <w:rFonts w:hint="eastAsia"/>
                <w:highlight w:val="none"/>
              </w:rPr>
            </w:pPr>
            <w:r>
              <w:rPr>
                <w:rFonts w:hint="eastAsia"/>
                <w:highlight w:val="none"/>
                <w:lang w:bidi="ar"/>
              </w:rPr>
              <w:t>序号</w:t>
            </w:r>
          </w:p>
        </w:tc>
        <w:tc>
          <w:tcPr>
            <w:tcW w:w="3336" w:type="dxa"/>
            <w:tcBorders>
              <w:top w:val="single" w:color="000000" w:sz="4" w:space="0"/>
              <w:left w:val="single" w:color="000000" w:sz="4" w:space="0"/>
              <w:bottom w:val="single" w:color="000000" w:sz="4" w:space="0"/>
              <w:right w:val="single" w:color="000000" w:sz="4" w:space="0"/>
            </w:tcBorders>
            <w:vAlign w:val="center"/>
          </w:tcPr>
          <w:p w14:paraId="5A5161CB">
            <w:pPr>
              <w:pStyle w:val="38"/>
              <w:jc w:val="center"/>
              <w:rPr>
                <w:rFonts w:hint="eastAsia"/>
                <w:highlight w:val="none"/>
                <w:lang w:bidi="ar"/>
              </w:rPr>
            </w:pPr>
            <w:r>
              <w:rPr>
                <w:rFonts w:hint="eastAsia"/>
                <w:highlight w:val="none"/>
                <w:lang w:bidi="ar"/>
              </w:rPr>
              <w:t>系统名称</w:t>
            </w:r>
          </w:p>
        </w:tc>
        <w:tc>
          <w:tcPr>
            <w:tcW w:w="696" w:type="dxa"/>
            <w:tcBorders>
              <w:top w:val="single" w:color="000000" w:sz="4" w:space="0"/>
              <w:left w:val="single" w:color="000000" w:sz="4" w:space="0"/>
              <w:bottom w:val="single" w:color="000000" w:sz="4" w:space="0"/>
              <w:right w:val="single" w:color="000000" w:sz="4" w:space="0"/>
            </w:tcBorders>
            <w:vAlign w:val="center"/>
          </w:tcPr>
          <w:p w14:paraId="47DDABCE">
            <w:pPr>
              <w:pStyle w:val="38"/>
              <w:jc w:val="center"/>
              <w:rPr>
                <w:rFonts w:hint="eastAsia"/>
                <w:highlight w:val="none"/>
                <w:lang w:bidi="ar"/>
              </w:rPr>
            </w:pPr>
            <w:r>
              <w:rPr>
                <w:rFonts w:hint="eastAsia"/>
                <w:highlight w:val="none"/>
                <w:lang w:bidi="ar"/>
              </w:rPr>
              <w:t>数量</w:t>
            </w:r>
          </w:p>
        </w:tc>
        <w:tc>
          <w:tcPr>
            <w:tcW w:w="696" w:type="dxa"/>
            <w:tcBorders>
              <w:top w:val="single" w:color="000000" w:sz="4" w:space="0"/>
              <w:left w:val="single" w:color="000000" w:sz="4" w:space="0"/>
              <w:bottom w:val="single" w:color="000000" w:sz="4" w:space="0"/>
              <w:right w:val="single" w:color="000000" w:sz="4" w:space="0"/>
            </w:tcBorders>
            <w:vAlign w:val="center"/>
          </w:tcPr>
          <w:p w14:paraId="49314FDE">
            <w:pPr>
              <w:pStyle w:val="38"/>
              <w:jc w:val="center"/>
              <w:rPr>
                <w:rFonts w:hint="eastAsia"/>
                <w:highlight w:val="none"/>
                <w:lang w:bidi="ar"/>
              </w:rPr>
            </w:pPr>
            <w:r>
              <w:rPr>
                <w:rFonts w:hint="eastAsia"/>
                <w:highlight w:val="none"/>
                <w:lang w:bidi="ar"/>
              </w:rPr>
              <w:t>单位</w:t>
            </w:r>
          </w:p>
        </w:tc>
      </w:tr>
      <w:tr w14:paraId="79894E54">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678F43B9">
            <w:pPr>
              <w:pStyle w:val="38"/>
              <w:jc w:val="center"/>
              <w:rPr>
                <w:rFonts w:hint="eastAsia"/>
                <w:highlight w:val="none"/>
                <w:lang w:bidi="ar"/>
              </w:rPr>
            </w:pPr>
            <w:r>
              <w:rPr>
                <w:rFonts w:hint="eastAsia"/>
                <w:highlight w:val="none"/>
                <w:lang w:bidi="ar"/>
              </w:rPr>
              <w:t>1</w:t>
            </w:r>
          </w:p>
        </w:tc>
        <w:tc>
          <w:tcPr>
            <w:tcW w:w="3336" w:type="dxa"/>
            <w:tcBorders>
              <w:top w:val="single" w:color="000000" w:sz="4" w:space="0"/>
              <w:left w:val="single" w:color="000000" w:sz="4" w:space="0"/>
              <w:bottom w:val="single" w:color="000000" w:sz="4" w:space="0"/>
              <w:right w:val="single" w:color="000000" w:sz="4" w:space="0"/>
            </w:tcBorders>
            <w:vAlign w:val="center"/>
          </w:tcPr>
          <w:p w14:paraId="6541B77C">
            <w:pPr>
              <w:pStyle w:val="38"/>
              <w:jc w:val="center"/>
              <w:rPr>
                <w:rFonts w:hint="eastAsia"/>
                <w:highlight w:val="none"/>
                <w:lang w:bidi="ar"/>
              </w:rPr>
            </w:pPr>
            <w:r>
              <w:rPr>
                <w:rFonts w:hint="eastAsia"/>
                <w:highlight w:val="none"/>
                <w:lang w:bidi="ar"/>
              </w:rPr>
              <w:t>协同签名系统</w:t>
            </w:r>
          </w:p>
        </w:tc>
        <w:tc>
          <w:tcPr>
            <w:tcW w:w="696" w:type="dxa"/>
            <w:tcBorders>
              <w:top w:val="single" w:color="000000" w:sz="4" w:space="0"/>
              <w:left w:val="single" w:color="000000" w:sz="4" w:space="0"/>
              <w:bottom w:val="single" w:color="000000" w:sz="4" w:space="0"/>
              <w:right w:val="single" w:color="000000" w:sz="4" w:space="0"/>
            </w:tcBorders>
            <w:vAlign w:val="center"/>
          </w:tcPr>
          <w:p w14:paraId="1699F216">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286E79E8">
            <w:pPr>
              <w:pStyle w:val="38"/>
              <w:jc w:val="center"/>
              <w:rPr>
                <w:rFonts w:hint="eastAsia" w:eastAsiaTheme="minorEastAsia"/>
                <w:highlight w:val="none"/>
                <w:lang w:eastAsia="zh-CN" w:bidi="ar"/>
              </w:rPr>
            </w:pPr>
            <w:r>
              <w:rPr>
                <w:rFonts w:hint="eastAsia"/>
                <w:highlight w:val="none"/>
                <w:lang w:val="en-US" w:eastAsia="zh-CN" w:bidi="ar"/>
              </w:rPr>
              <w:t>套</w:t>
            </w:r>
          </w:p>
        </w:tc>
      </w:tr>
      <w:tr w14:paraId="4039CA42">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7DD0FA07">
            <w:pPr>
              <w:pStyle w:val="38"/>
              <w:jc w:val="center"/>
              <w:rPr>
                <w:rFonts w:hint="eastAsia"/>
                <w:highlight w:val="none"/>
                <w:lang w:bidi="ar"/>
              </w:rPr>
            </w:pPr>
            <w:r>
              <w:rPr>
                <w:rFonts w:hint="eastAsia"/>
                <w:highlight w:val="none"/>
                <w:lang w:bidi="ar"/>
              </w:rPr>
              <w:t>2</w:t>
            </w:r>
          </w:p>
        </w:tc>
        <w:tc>
          <w:tcPr>
            <w:tcW w:w="3336" w:type="dxa"/>
            <w:tcBorders>
              <w:top w:val="single" w:color="000000" w:sz="4" w:space="0"/>
              <w:left w:val="single" w:color="000000" w:sz="4" w:space="0"/>
              <w:bottom w:val="single" w:color="000000" w:sz="4" w:space="0"/>
              <w:right w:val="single" w:color="000000" w:sz="4" w:space="0"/>
            </w:tcBorders>
            <w:vAlign w:val="center"/>
          </w:tcPr>
          <w:p w14:paraId="3F3EF5A4">
            <w:pPr>
              <w:pStyle w:val="38"/>
              <w:jc w:val="center"/>
              <w:rPr>
                <w:rFonts w:hint="eastAsia"/>
                <w:highlight w:val="none"/>
                <w:lang w:bidi="ar"/>
              </w:rPr>
            </w:pPr>
            <w:r>
              <w:rPr>
                <w:rFonts w:hint="eastAsia"/>
                <w:highlight w:val="none"/>
                <w:lang w:bidi="ar"/>
              </w:rPr>
              <w:t>时间戳服务器</w:t>
            </w:r>
          </w:p>
        </w:tc>
        <w:tc>
          <w:tcPr>
            <w:tcW w:w="696" w:type="dxa"/>
            <w:tcBorders>
              <w:top w:val="single" w:color="000000" w:sz="4" w:space="0"/>
              <w:left w:val="single" w:color="000000" w:sz="4" w:space="0"/>
              <w:bottom w:val="single" w:color="000000" w:sz="4" w:space="0"/>
              <w:right w:val="single" w:color="000000" w:sz="4" w:space="0"/>
            </w:tcBorders>
            <w:vAlign w:val="center"/>
          </w:tcPr>
          <w:p w14:paraId="16E38727">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79E09E48">
            <w:pPr>
              <w:pStyle w:val="38"/>
              <w:jc w:val="center"/>
              <w:rPr>
                <w:rFonts w:hint="eastAsia" w:eastAsiaTheme="minorEastAsia"/>
                <w:highlight w:val="none"/>
                <w:lang w:val="en-US" w:eastAsia="zh-CN" w:bidi="ar"/>
              </w:rPr>
            </w:pPr>
            <w:r>
              <w:rPr>
                <w:rFonts w:hint="eastAsia"/>
                <w:highlight w:val="none"/>
                <w:lang w:val="en-US" w:eastAsia="zh-CN" w:bidi="ar"/>
              </w:rPr>
              <w:t>套</w:t>
            </w:r>
          </w:p>
        </w:tc>
      </w:tr>
      <w:tr w14:paraId="6FF9BCB2">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0DEE312F">
            <w:pPr>
              <w:pStyle w:val="38"/>
              <w:jc w:val="center"/>
              <w:rPr>
                <w:rFonts w:hint="eastAsia"/>
                <w:highlight w:val="none"/>
                <w:lang w:bidi="ar"/>
              </w:rPr>
            </w:pPr>
            <w:r>
              <w:rPr>
                <w:rFonts w:hint="eastAsia"/>
                <w:highlight w:val="none"/>
                <w:lang w:bidi="ar"/>
              </w:rPr>
              <w:t>3</w:t>
            </w:r>
          </w:p>
        </w:tc>
        <w:tc>
          <w:tcPr>
            <w:tcW w:w="3336" w:type="dxa"/>
            <w:tcBorders>
              <w:top w:val="single" w:color="000000" w:sz="4" w:space="0"/>
              <w:left w:val="single" w:color="000000" w:sz="4" w:space="0"/>
              <w:bottom w:val="single" w:color="000000" w:sz="4" w:space="0"/>
              <w:right w:val="single" w:color="000000" w:sz="4" w:space="0"/>
            </w:tcBorders>
            <w:vAlign w:val="center"/>
          </w:tcPr>
          <w:p w14:paraId="66B5892E">
            <w:pPr>
              <w:pStyle w:val="38"/>
              <w:jc w:val="center"/>
              <w:rPr>
                <w:rFonts w:hint="eastAsia"/>
                <w:highlight w:val="none"/>
                <w:lang w:bidi="ar"/>
              </w:rPr>
            </w:pPr>
            <w:r>
              <w:rPr>
                <w:rFonts w:hint="eastAsia"/>
                <w:highlight w:val="none"/>
                <w:lang w:bidi="ar"/>
              </w:rPr>
              <w:t>电子签章系统</w:t>
            </w:r>
          </w:p>
        </w:tc>
        <w:tc>
          <w:tcPr>
            <w:tcW w:w="696" w:type="dxa"/>
            <w:tcBorders>
              <w:top w:val="single" w:color="000000" w:sz="4" w:space="0"/>
              <w:left w:val="single" w:color="000000" w:sz="4" w:space="0"/>
              <w:bottom w:val="single" w:color="000000" w:sz="4" w:space="0"/>
              <w:right w:val="single" w:color="000000" w:sz="4" w:space="0"/>
            </w:tcBorders>
            <w:vAlign w:val="center"/>
          </w:tcPr>
          <w:p w14:paraId="185DF6D3">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7AE6D752">
            <w:pPr>
              <w:pStyle w:val="38"/>
              <w:jc w:val="center"/>
              <w:rPr>
                <w:rFonts w:hint="eastAsia"/>
                <w:highlight w:val="none"/>
                <w:lang w:bidi="ar"/>
              </w:rPr>
            </w:pPr>
            <w:r>
              <w:rPr>
                <w:rFonts w:hint="eastAsia"/>
                <w:highlight w:val="none"/>
                <w:lang w:bidi="ar"/>
              </w:rPr>
              <w:t>套</w:t>
            </w:r>
          </w:p>
        </w:tc>
      </w:tr>
      <w:tr w14:paraId="4CDE8398">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048BAC75">
            <w:pPr>
              <w:pStyle w:val="38"/>
              <w:jc w:val="center"/>
              <w:rPr>
                <w:rFonts w:hint="eastAsia"/>
                <w:highlight w:val="none"/>
                <w:lang w:bidi="ar"/>
              </w:rPr>
            </w:pPr>
            <w:r>
              <w:rPr>
                <w:rFonts w:hint="eastAsia"/>
                <w:highlight w:val="none"/>
                <w:lang w:bidi="ar"/>
              </w:rPr>
              <w:t>4</w:t>
            </w:r>
          </w:p>
        </w:tc>
        <w:tc>
          <w:tcPr>
            <w:tcW w:w="3336" w:type="dxa"/>
            <w:tcBorders>
              <w:top w:val="single" w:color="000000" w:sz="4" w:space="0"/>
              <w:left w:val="single" w:color="000000" w:sz="4" w:space="0"/>
              <w:bottom w:val="single" w:color="000000" w:sz="4" w:space="0"/>
              <w:right w:val="single" w:color="000000" w:sz="4" w:space="0"/>
            </w:tcBorders>
            <w:vAlign w:val="center"/>
          </w:tcPr>
          <w:p w14:paraId="169E1497">
            <w:pPr>
              <w:pStyle w:val="38"/>
              <w:jc w:val="center"/>
              <w:rPr>
                <w:rFonts w:hint="eastAsia"/>
                <w:highlight w:val="none"/>
                <w:lang w:bidi="ar"/>
              </w:rPr>
            </w:pPr>
            <w:r>
              <w:rPr>
                <w:rFonts w:hint="eastAsia"/>
                <w:highlight w:val="none"/>
                <w:lang w:bidi="ar"/>
              </w:rPr>
              <w:t>个人数字证书</w:t>
            </w:r>
          </w:p>
        </w:tc>
        <w:tc>
          <w:tcPr>
            <w:tcW w:w="696" w:type="dxa"/>
            <w:tcBorders>
              <w:top w:val="single" w:color="000000" w:sz="4" w:space="0"/>
              <w:left w:val="single" w:color="000000" w:sz="4" w:space="0"/>
              <w:bottom w:val="single" w:color="000000" w:sz="4" w:space="0"/>
              <w:right w:val="single" w:color="000000" w:sz="4" w:space="0"/>
            </w:tcBorders>
            <w:vAlign w:val="center"/>
          </w:tcPr>
          <w:p w14:paraId="37A5FA25">
            <w:pPr>
              <w:pStyle w:val="38"/>
              <w:jc w:val="center"/>
              <w:rPr>
                <w:rFonts w:hint="default" w:eastAsiaTheme="minorEastAsia"/>
                <w:highlight w:val="none"/>
                <w:lang w:val="en-US" w:eastAsia="zh-CN" w:bidi="ar"/>
              </w:rPr>
            </w:pPr>
            <w:r>
              <w:rPr>
                <w:rFonts w:hint="eastAsia"/>
                <w:highlight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7D817A11">
            <w:pPr>
              <w:pStyle w:val="38"/>
              <w:jc w:val="center"/>
              <w:rPr>
                <w:rFonts w:hint="eastAsia" w:eastAsiaTheme="minorEastAsia"/>
                <w:highlight w:val="none"/>
                <w:lang w:eastAsia="zh-CN" w:bidi="ar"/>
              </w:rPr>
            </w:pPr>
            <w:r>
              <w:rPr>
                <w:rFonts w:hint="eastAsia"/>
                <w:highlight w:val="none"/>
                <w:lang w:val="en-US" w:eastAsia="zh-CN" w:bidi="ar"/>
              </w:rPr>
              <w:t>组</w:t>
            </w:r>
          </w:p>
        </w:tc>
      </w:tr>
      <w:tr w14:paraId="6A0E3974">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2594AB70">
            <w:pPr>
              <w:pStyle w:val="38"/>
              <w:jc w:val="center"/>
              <w:rPr>
                <w:rFonts w:hint="eastAsia"/>
                <w:highlight w:val="none"/>
                <w:lang w:bidi="ar"/>
              </w:rPr>
            </w:pPr>
            <w:r>
              <w:rPr>
                <w:rFonts w:hint="eastAsia"/>
                <w:highlight w:val="none"/>
                <w:lang w:bidi="ar"/>
              </w:rPr>
              <w:t>5</w:t>
            </w:r>
          </w:p>
        </w:tc>
        <w:tc>
          <w:tcPr>
            <w:tcW w:w="3336" w:type="dxa"/>
            <w:tcBorders>
              <w:top w:val="single" w:color="000000" w:sz="4" w:space="0"/>
              <w:left w:val="single" w:color="000000" w:sz="4" w:space="0"/>
              <w:bottom w:val="single" w:color="000000" w:sz="4" w:space="0"/>
              <w:right w:val="single" w:color="000000" w:sz="4" w:space="0"/>
            </w:tcBorders>
            <w:vAlign w:val="center"/>
          </w:tcPr>
          <w:p w14:paraId="337C107D">
            <w:pPr>
              <w:pStyle w:val="38"/>
              <w:jc w:val="center"/>
              <w:rPr>
                <w:rFonts w:hint="eastAsia"/>
                <w:highlight w:val="none"/>
                <w:lang w:bidi="ar"/>
              </w:rPr>
            </w:pPr>
            <w:r>
              <w:rPr>
                <w:rFonts w:hint="eastAsia"/>
                <w:highlight w:val="none"/>
                <w:lang w:bidi="ar"/>
              </w:rPr>
              <w:t>单位证书</w:t>
            </w:r>
          </w:p>
        </w:tc>
        <w:tc>
          <w:tcPr>
            <w:tcW w:w="696" w:type="dxa"/>
            <w:tcBorders>
              <w:top w:val="single" w:color="000000" w:sz="4" w:space="0"/>
              <w:left w:val="single" w:color="000000" w:sz="4" w:space="0"/>
              <w:bottom w:val="single" w:color="000000" w:sz="4" w:space="0"/>
              <w:right w:val="single" w:color="000000" w:sz="4" w:space="0"/>
            </w:tcBorders>
            <w:vAlign w:val="center"/>
          </w:tcPr>
          <w:p w14:paraId="0208F5FC">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29B0B5B1">
            <w:pPr>
              <w:pStyle w:val="38"/>
              <w:jc w:val="center"/>
              <w:rPr>
                <w:rFonts w:hint="eastAsia"/>
                <w:highlight w:val="none"/>
                <w:lang w:bidi="ar"/>
              </w:rPr>
            </w:pPr>
            <w:r>
              <w:rPr>
                <w:rFonts w:hint="eastAsia"/>
                <w:highlight w:val="none"/>
                <w:lang w:val="en-US" w:eastAsia="zh-CN" w:bidi="ar"/>
              </w:rPr>
              <w:t>组</w:t>
            </w:r>
          </w:p>
        </w:tc>
      </w:tr>
      <w:tr w14:paraId="6BE0FD36">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3820CBD7">
            <w:pPr>
              <w:pStyle w:val="38"/>
              <w:jc w:val="center"/>
              <w:rPr>
                <w:rFonts w:hint="eastAsia"/>
                <w:highlight w:val="none"/>
                <w:lang w:bidi="ar"/>
              </w:rPr>
            </w:pPr>
            <w:r>
              <w:rPr>
                <w:rFonts w:hint="eastAsia"/>
                <w:highlight w:val="none"/>
                <w:lang w:bidi="ar"/>
              </w:rPr>
              <w:t>6</w:t>
            </w:r>
          </w:p>
        </w:tc>
        <w:tc>
          <w:tcPr>
            <w:tcW w:w="3336" w:type="dxa"/>
            <w:tcBorders>
              <w:top w:val="single" w:color="000000" w:sz="4" w:space="0"/>
              <w:left w:val="single" w:color="000000" w:sz="4" w:space="0"/>
              <w:bottom w:val="single" w:color="000000" w:sz="4" w:space="0"/>
              <w:right w:val="single" w:color="000000" w:sz="4" w:space="0"/>
            </w:tcBorders>
            <w:vAlign w:val="center"/>
          </w:tcPr>
          <w:p w14:paraId="216F927F">
            <w:pPr>
              <w:pStyle w:val="38"/>
              <w:jc w:val="center"/>
              <w:rPr>
                <w:rFonts w:hint="eastAsia"/>
                <w:highlight w:val="none"/>
                <w:lang w:bidi="ar"/>
              </w:rPr>
            </w:pPr>
            <w:r>
              <w:rPr>
                <w:rFonts w:hint="eastAsia"/>
                <w:highlight w:val="none"/>
                <w:lang w:bidi="ar"/>
              </w:rPr>
              <w:t>设备证书</w:t>
            </w:r>
          </w:p>
        </w:tc>
        <w:tc>
          <w:tcPr>
            <w:tcW w:w="696" w:type="dxa"/>
            <w:tcBorders>
              <w:top w:val="single" w:color="000000" w:sz="4" w:space="0"/>
              <w:left w:val="single" w:color="000000" w:sz="4" w:space="0"/>
              <w:bottom w:val="single" w:color="000000" w:sz="4" w:space="0"/>
              <w:right w:val="single" w:color="000000" w:sz="4" w:space="0"/>
            </w:tcBorders>
            <w:vAlign w:val="center"/>
          </w:tcPr>
          <w:p w14:paraId="7F43702B">
            <w:pPr>
              <w:pStyle w:val="38"/>
              <w:jc w:val="center"/>
              <w:rPr>
                <w:rFonts w:hint="eastAsia" w:eastAsiaTheme="minorEastAsia"/>
                <w:highlight w:val="none"/>
                <w:lang w:val="en-US" w:eastAsia="zh-CN" w:bidi="ar"/>
              </w:rPr>
            </w:pPr>
            <w:r>
              <w:rPr>
                <w:rFonts w:hint="eastAsia"/>
                <w:highlight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56B7FDF0">
            <w:pPr>
              <w:pStyle w:val="38"/>
              <w:jc w:val="center"/>
              <w:rPr>
                <w:rFonts w:hint="eastAsia"/>
                <w:highlight w:val="none"/>
                <w:lang w:bidi="ar"/>
              </w:rPr>
            </w:pPr>
            <w:r>
              <w:rPr>
                <w:rFonts w:hint="eastAsia"/>
                <w:highlight w:val="none"/>
                <w:lang w:val="en-US" w:eastAsia="zh-CN" w:bidi="ar"/>
              </w:rPr>
              <w:t>组</w:t>
            </w:r>
          </w:p>
        </w:tc>
      </w:tr>
      <w:tr w14:paraId="6A58EB03">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6BA89869">
            <w:pPr>
              <w:pStyle w:val="38"/>
              <w:jc w:val="center"/>
              <w:rPr>
                <w:rFonts w:hint="eastAsia"/>
                <w:highlight w:val="none"/>
                <w:lang w:bidi="ar"/>
              </w:rPr>
            </w:pPr>
            <w:r>
              <w:rPr>
                <w:rFonts w:hint="eastAsia"/>
                <w:highlight w:val="none"/>
                <w:lang w:bidi="ar"/>
              </w:rPr>
              <w:t>7</w:t>
            </w:r>
          </w:p>
        </w:tc>
        <w:tc>
          <w:tcPr>
            <w:tcW w:w="3336" w:type="dxa"/>
            <w:tcBorders>
              <w:top w:val="single" w:color="000000" w:sz="4" w:space="0"/>
              <w:left w:val="single" w:color="000000" w:sz="4" w:space="0"/>
              <w:bottom w:val="single" w:color="000000" w:sz="4" w:space="0"/>
              <w:right w:val="single" w:color="000000" w:sz="4" w:space="0"/>
            </w:tcBorders>
            <w:vAlign w:val="center"/>
          </w:tcPr>
          <w:p w14:paraId="60135430">
            <w:pPr>
              <w:pStyle w:val="38"/>
              <w:jc w:val="center"/>
              <w:rPr>
                <w:rFonts w:hint="eastAsia"/>
                <w:highlight w:val="none"/>
                <w:lang w:bidi="ar"/>
              </w:rPr>
            </w:pPr>
            <w:r>
              <w:rPr>
                <w:rFonts w:hint="eastAsia"/>
                <w:highlight w:val="none"/>
                <w:lang w:bidi="ar"/>
              </w:rPr>
              <w:t>电子印章制作服务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5ACE1D36">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7D4360A2">
            <w:pPr>
              <w:pStyle w:val="38"/>
              <w:jc w:val="center"/>
              <w:rPr>
                <w:rFonts w:hint="eastAsia" w:eastAsiaTheme="minorEastAsia"/>
                <w:highlight w:val="none"/>
                <w:lang w:eastAsia="zh-CN" w:bidi="ar"/>
              </w:rPr>
            </w:pPr>
            <w:r>
              <w:rPr>
                <w:rFonts w:hint="eastAsia"/>
                <w:highlight w:val="none"/>
                <w:lang w:val="en-US" w:eastAsia="zh-CN" w:bidi="ar"/>
              </w:rPr>
              <w:t>套</w:t>
            </w:r>
          </w:p>
        </w:tc>
      </w:tr>
      <w:tr w14:paraId="58AF0032">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68C9E033">
            <w:pPr>
              <w:pStyle w:val="38"/>
              <w:jc w:val="center"/>
              <w:rPr>
                <w:rFonts w:hint="eastAsia"/>
                <w:highlight w:val="none"/>
                <w:lang w:bidi="ar"/>
              </w:rPr>
            </w:pPr>
            <w:r>
              <w:rPr>
                <w:rFonts w:hint="eastAsia"/>
                <w:highlight w:val="none"/>
                <w:lang w:bidi="ar"/>
              </w:rPr>
              <w:t>8</w:t>
            </w:r>
          </w:p>
        </w:tc>
        <w:tc>
          <w:tcPr>
            <w:tcW w:w="3336" w:type="dxa"/>
            <w:tcBorders>
              <w:top w:val="single" w:color="000000" w:sz="4" w:space="0"/>
              <w:left w:val="single" w:color="000000" w:sz="4" w:space="0"/>
              <w:bottom w:val="single" w:color="000000" w:sz="4" w:space="0"/>
              <w:right w:val="single" w:color="000000" w:sz="4" w:space="0"/>
            </w:tcBorders>
            <w:vAlign w:val="center"/>
          </w:tcPr>
          <w:p w14:paraId="39206287">
            <w:pPr>
              <w:pStyle w:val="38"/>
              <w:jc w:val="center"/>
              <w:rPr>
                <w:rFonts w:hint="eastAsia"/>
                <w:highlight w:val="none"/>
                <w:lang w:bidi="ar"/>
              </w:rPr>
            </w:pPr>
            <w:r>
              <w:rPr>
                <w:rFonts w:hint="eastAsia"/>
                <w:highlight w:val="none"/>
                <w:lang w:bidi="ar"/>
              </w:rPr>
              <w:t>手写信息数字签名系统</w:t>
            </w:r>
          </w:p>
        </w:tc>
        <w:tc>
          <w:tcPr>
            <w:tcW w:w="696" w:type="dxa"/>
            <w:tcBorders>
              <w:top w:val="single" w:color="000000" w:sz="4" w:space="0"/>
              <w:left w:val="single" w:color="000000" w:sz="4" w:space="0"/>
              <w:bottom w:val="single" w:color="000000" w:sz="4" w:space="0"/>
              <w:right w:val="single" w:color="000000" w:sz="4" w:space="0"/>
            </w:tcBorders>
            <w:vAlign w:val="center"/>
          </w:tcPr>
          <w:p w14:paraId="7B828151">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23F85204">
            <w:pPr>
              <w:pStyle w:val="38"/>
              <w:jc w:val="center"/>
              <w:rPr>
                <w:rFonts w:hint="default" w:eastAsiaTheme="minorEastAsia"/>
                <w:highlight w:val="none"/>
                <w:lang w:val="en-US" w:eastAsia="zh-CN" w:bidi="ar"/>
              </w:rPr>
            </w:pPr>
            <w:r>
              <w:rPr>
                <w:rFonts w:hint="eastAsia"/>
                <w:highlight w:val="none"/>
                <w:lang w:val="en-US" w:eastAsia="zh-CN" w:bidi="ar"/>
              </w:rPr>
              <w:t>套</w:t>
            </w:r>
          </w:p>
        </w:tc>
      </w:tr>
      <w:tr w14:paraId="7480499E">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76C79DEC">
            <w:pPr>
              <w:pStyle w:val="38"/>
              <w:jc w:val="center"/>
              <w:rPr>
                <w:rFonts w:hint="eastAsia"/>
                <w:highlight w:val="none"/>
                <w:lang w:bidi="ar"/>
              </w:rPr>
            </w:pPr>
            <w:r>
              <w:rPr>
                <w:rFonts w:hint="eastAsia"/>
                <w:highlight w:val="none"/>
                <w:lang w:bidi="ar"/>
              </w:rPr>
              <w:t>9</w:t>
            </w:r>
          </w:p>
        </w:tc>
        <w:tc>
          <w:tcPr>
            <w:tcW w:w="3336" w:type="dxa"/>
            <w:tcBorders>
              <w:top w:val="single" w:color="000000" w:sz="4" w:space="0"/>
              <w:left w:val="single" w:color="000000" w:sz="4" w:space="0"/>
              <w:bottom w:val="single" w:color="000000" w:sz="4" w:space="0"/>
              <w:right w:val="single" w:color="000000" w:sz="4" w:space="0"/>
            </w:tcBorders>
            <w:vAlign w:val="center"/>
          </w:tcPr>
          <w:p w14:paraId="4D163379">
            <w:pPr>
              <w:pStyle w:val="38"/>
              <w:jc w:val="center"/>
              <w:rPr>
                <w:rFonts w:hint="eastAsia"/>
                <w:highlight w:val="none"/>
                <w:lang w:bidi="ar"/>
              </w:rPr>
            </w:pPr>
            <w:r>
              <w:rPr>
                <w:rFonts w:hint="eastAsia"/>
                <w:highlight w:val="none"/>
                <w:lang w:bidi="ar"/>
              </w:rPr>
              <w:t>手写信息数字签名板</w:t>
            </w:r>
          </w:p>
        </w:tc>
        <w:tc>
          <w:tcPr>
            <w:tcW w:w="696" w:type="dxa"/>
            <w:tcBorders>
              <w:top w:val="single" w:color="000000" w:sz="4" w:space="0"/>
              <w:left w:val="single" w:color="000000" w:sz="4" w:space="0"/>
              <w:bottom w:val="single" w:color="000000" w:sz="4" w:space="0"/>
              <w:right w:val="single" w:color="000000" w:sz="4" w:space="0"/>
            </w:tcBorders>
            <w:vAlign w:val="center"/>
          </w:tcPr>
          <w:p w14:paraId="0F9A011E">
            <w:pPr>
              <w:pStyle w:val="38"/>
              <w:jc w:val="center"/>
              <w:rPr>
                <w:rFonts w:hint="eastAsia" w:eastAsiaTheme="minorEastAsia"/>
                <w:highlight w:val="none"/>
                <w:lang w:eastAsia="zh-CN" w:bidi="ar"/>
              </w:rPr>
            </w:pPr>
            <w:r>
              <w:rPr>
                <w:rFonts w:hint="eastAsia"/>
                <w:highlight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37372C97">
            <w:pPr>
              <w:pStyle w:val="38"/>
              <w:jc w:val="center"/>
              <w:rPr>
                <w:rFonts w:hint="eastAsia" w:eastAsiaTheme="minorEastAsia"/>
                <w:highlight w:val="none"/>
                <w:lang w:val="en-US" w:eastAsia="zh-CN" w:bidi="ar"/>
              </w:rPr>
            </w:pPr>
            <w:r>
              <w:rPr>
                <w:rFonts w:hint="eastAsia"/>
                <w:highlight w:val="none"/>
                <w:lang w:val="en-US" w:eastAsia="zh-CN" w:bidi="ar"/>
              </w:rPr>
              <w:t>组</w:t>
            </w:r>
          </w:p>
        </w:tc>
      </w:tr>
      <w:tr w14:paraId="0CD5F144">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465E21B8">
            <w:pPr>
              <w:pStyle w:val="38"/>
              <w:jc w:val="center"/>
              <w:rPr>
                <w:rFonts w:hint="eastAsia"/>
                <w:highlight w:val="none"/>
                <w:lang w:bidi="ar"/>
              </w:rPr>
            </w:pPr>
            <w:r>
              <w:rPr>
                <w:rFonts w:hint="eastAsia"/>
                <w:highlight w:val="none"/>
                <w:lang w:bidi="ar"/>
              </w:rPr>
              <w:t>10</w:t>
            </w:r>
          </w:p>
        </w:tc>
        <w:tc>
          <w:tcPr>
            <w:tcW w:w="3336" w:type="dxa"/>
            <w:tcBorders>
              <w:top w:val="single" w:color="000000" w:sz="4" w:space="0"/>
              <w:left w:val="single" w:color="000000" w:sz="4" w:space="0"/>
              <w:bottom w:val="single" w:color="000000" w:sz="4" w:space="0"/>
              <w:right w:val="single" w:color="000000" w:sz="4" w:space="0"/>
            </w:tcBorders>
            <w:vAlign w:val="center"/>
          </w:tcPr>
          <w:p w14:paraId="114F2076">
            <w:pPr>
              <w:pStyle w:val="38"/>
              <w:jc w:val="center"/>
              <w:rPr>
                <w:rFonts w:hint="eastAsia"/>
                <w:highlight w:val="none"/>
                <w:lang w:bidi="ar"/>
              </w:rPr>
            </w:pPr>
            <w:r>
              <w:rPr>
                <w:rFonts w:hint="eastAsia"/>
                <w:highlight w:val="none"/>
              </w:rPr>
              <w:t>手写信息数字签名板维护服务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6264EDAB">
            <w:pPr>
              <w:pStyle w:val="38"/>
              <w:jc w:val="center"/>
              <w:rPr>
                <w:rFonts w:hint="eastAsia" w:eastAsiaTheme="minorEastAsia"/>
                <w:highlight w:val="none"/>
                <w:lang w:val="en-US" w:eastAsia="zh-CN" w:bidi="ar"/>
              </w:rPr>
            </w:pPr>
            <w:r>
              <w:rPr>
                <w:rFonts w:hint="eastAsia"/>
                <w:highlight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4B832DD4">
            <w:pPr>
              <w:pStyle w:val="38"/>
              <w:jc w:val="center"/>
              <w:rPr>
                <w:rFonts w:hint="eastAsia"/>
                <w:highlight w:val="none"/>
                <w:lang w:bidi="ar"/>
              </w:rPr>
            </w:pPr>
            <w:r>
              <w:rPr>
                <w:rFonts w:hint="eastAsia"/>
                <w:highlight w:val="none"/>
                <w:lang w:bidi="ar"/>
              </w:rPr>
              <w:t>套</w:t>
            </w:r>
          </w:p>
        </w:tc>
      </w:tr>
      <w:tr w14:paraId="0A8B7BE4">
        <w:tblPrEx>
          <w:tblCellMar>
            <w:top w:w="0" w:type="dxa"/>
            <w:left w:w="108" w:type="dxa"/>
            <w:bottom w:w="0" w:type="dxa"/>
            <w:right w:w="108" w:type="dxa"/>
          </w:tblCellMar>
        </w:tblPrEx>
        <w:trPr>
          <w:trHeight w:val="203"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14:paraId="31D962DC">
            <w:pPr>
              <w:pStyle w:val="38"/>
              <w:jc w:val="center"/>
              <w:rPr>
                <w:rFonts w:hint="eastAsia"/>
                <w:highlight w:val="none"/>
                <w:lang w:bidi="ar"/>
              </w:rPr>
            </w:pPr>
            <w:r>
              <w:rPr>
                <w:rFonts w:hint="eastAsia"/>
                <w:highlight w:val="none"/>
                <w:lang w:bidi="ar"/>
              </w:rPr>
              <w:t>11</w:t>
            </w:r>
          </w:p>
        </w:tc>
        <w:tc>
          <w:tcPr>
            <w:tcW w:w="3336" w:type="dxa"/>
            <w:tcBorders>
              <w:top w:val="single" w:color="000000" w:sz="4" w:space="0"/>
              <w:left w:val="single" w:color="000000" w:sz="4" w:space="0"/>
              <w:bottom w:val="single" w:color="000000" w:sz="4" w:space="0"/>
              <w:right w:val="single" w:color="000000" w:sz="4" w:space="0"/>
            </w:tcBorders>
            <w:vAlign w:val="center"/>
          </w:tcPr>
          <w:p w14:paraId="30715347">
            <w:pPr>
              <w:pStyle w:val="38"/>
              <w:jc w:val="center"/>
              <w:rPr>
                <w:rFonts w:hint="eastAsia"/>
                <w:highlight w:val="none"/>
              </w:rPr>
            </w:pPr>
            <w:r>
              <w:rPr>
                <w:highlight w:val="none"/>
              </w:rPr>
              <w:t>电子病历移动签署系统</w:t>
            </w:r>
          </w:p>
        </w:tc>
        <w:tc>
          <w:tcPr>
            <w:tcW w:w="696" w:type="dxa"/>
            <w:tcBorders>
              <w:top w:val="single" w:color="000000" w:sz="4" w:space="0"/>
              <w:left w:val="single" w:color="000000" w:sz="4" w:space="0"/>
              <w:bottom w:val="single" w:color="000000" w:sz="4" w:space="0"/>
              <w:right w:val="single" w:color="000000" w:sz="4" w:space="0"/>
            </w:tcBorders>
            <w:vAlign w:val="center"/>
          </w:tcPr>
          <w:p w14:paraId="39A56833">
            <w:pPr>
              <w:pStyle w:val="38"/>
              <w:jc w:val="center"/>
              <w:rPr>
                <w:rFonts w:hint="eastAsia"/>
                <w:highlight w:val="none"/>
                <w:lang w:bidi="ar"/>
              </w:rPr>
            </w:pPr>
            <w:r>
              <w:rPr>
                <w:rFonts w:hint="eastAsia"/>
                <w:highlight w:val="none"/>
                <w:lang w:bidi="ar"/>
              </w:rPr>
              <w:t>1</w:t>
            </w:r>
          </w:p>
        </w:tc>
        <w:tc>
          <w:tcPr>
            <w:tcW w:w="696" w:type="dxa"/>
            <w:tcBorders>
              <w:top w:val="single" w:color="000000" w:sz="4" w:space="0"/>
              <w:left w:val="single" w:color="000000" w:sz="4" w:space="0"/>
              <w:bottom w:val="single" w:color="000000" w:sz="4" w:space="0"/>
              <w:right w:val="single" w:color="000000" w:sz="4" w:space="0"/>
            </w:tcBorders>
            <w:vAlign w:val="center"/>
          </w:tcPr>
          <w:p w14:paraId="75F8451B">
            <w:pPr>
              <w:pStyle w:val="38"/>
              <w:jc w:val="center"/>
              <w:rPr>
                <w:rFonts w:hint="eastAsia"/>
                <w:highlight w:val="none"/>
                <w:lang w:bidi="ar"/>
              </w:rPr>
            </w:pPr>
            <w:r>
              <w:rPr>
                <w:rFonts w:hint="eastAsia"/>
                <w:highlight w:val="none"/>
                <w:lang w:bidi="ar"/>
              </w:rPr>
              <w:t>套</w:t>
            </w:r>
          </w:p>
        </w:tc>
      </w:tr>
    </w:tbl>
    <w:p w14:paraId="5099798C">
      <w:pPr>
        <w:pStyle w:val="6"/>
        <w:rPr>
          <w:rFonts w:hint="eastAsia"/>
          <w:highlight w:val="none"/>
        </w:rPr>
      </w:pPr>
      <w:r>
        <w:rPr>
          <w:rFonts w:hint="eastAsia"/>
          <w:highlight w:val="none"/>
          <w:lang w:val="en-US" w:eastAsia="zh-CN"/>
        </w:rPr>
        <w:t xml:space="preserve"> </w:t>
      </w:r>
      <w:r>
        <w:rPr>
          <w:rFonts w:hint="eastAsia"/>
          <w:highlight w:val="none"/>
        </w:rPr>
        <w:t>产品选型要求</w:t>
      </w:r>
    </w:p>
    <w:p w14:paraId="6F78D370">
      <w:pPr>
        <w:pStyle w:val="12"/>
        <w:shd w:val="clear" w:color="auto" w:fill="auto"/>
        <w:ind w:firstLine="480"/>
        <w:rPr>
          <w:rFonts w:hint="eastAsia"/>
          <w:highlight w:val="none"/>
        </w:rPr>
      </w:pPr>
      <w:r>
        <w:rPr>
          <w:rFonts w:hint="eastAsia"/>
          <w:highlight w:val="none"/>
        </w:rPr>
        <w:t>产品具体指标上应满足如下要求：</w:t>
      </w:r>
    </w:p>
    <w:p w14:paraId="5E1AB316">
      <w:pPr>
        <w:pStyle w:val="7"/>
        <w:rPr>
          <w:rFonts w:hint="eastAsia"/>
          <w:highlight w:val="none"/>
        </w:rPr>
      </w:pPr>
      <w:r>
        <w:rPr>
          <w:rFonts w:hint="eastAsia"/>
          <w:highlight w:val="none"/>
          <w:lang w:val="en-US" w:eastAsia="zh-CN"/>
        </w:rPr>
        <w:t xml:space="preserve"> </w:t>
      </w:r>
      <w:r>
        <w:rPr>
          <w:rFonts w:hint="eastAsia"/>
          <w:highlight w:val="none"/>
        </w:rPr>
        <w:t>协同签名系统</w:t>
      </w:r>
    </w:p>
    <w:p w14:paraId="3BEC470E">
      <w:pPr>
        <w:pStyle w:val="12"/>
        <w:shd w:val="clear" w:color="auto" w:fill="auto"/>
        <w:ind w:firstLine="480"/>
        <w:rPr>
          <w:rFonts w:hint="eastAsia"/>
          <w:highlight w:val="none"/>
        </w:rPr>
      </w:pPr>
      <w:r>
        <w:rPr>
          <w:rFonts w:hint="eastAsia"/>
          <w:highlight w:val="none"/>
        </w:rPr>
        <w:t>1.证书服务：支持连接第三方CA，为用户申请签发数字证书；</w:t>
      </w:r>
    </w:p>
    <w:p w14:paraId="7D19C610">
      <w:pPr>
        <w:pStyle w:val="12"/>
        <w:shd w:val="clear" w:color="auto" w:fill="auto"/>
        <w:ind w:firstLine="480"/>
        <w:rPr>
          <w:rFonts w:hint="eastAsia"/>
          <w:highlight w:val="none"/>
        </w:rPr>
      </w:pPr>
      <w:r>
        <w:rPr>
          <w:rFonts w:hint="eastAsia"/>
          <w:highlight w:val="none"/>
        </w:rPr>
        <w:t>2.身份认证：提供认证服务接口，支持基于数字证书的身份认证方式；</w:t>
      </w:r>
    </w:p>
    <w:p w14:paraId="639AD611">
      <w:pPr>
        <w:pStyle w:val="12"/>
        <w:shd w:val="clear" w:color="auto" w:fill="auto"/>
        <w:ind w:firstLine="480"/>
        <w:rPr>
          <w:rFonts w:hint="eastAsia"/>
          <w:highlight w:val="none"/>
        </w:rPr>
      </w:pPr>
      <w:r>
        <w:rPr>
          <w:rFonts w:hint="eastAsia"/>
          <w:highlight w:val="none"/>
        </w:rPr>
        <w:t>3.数据签名：提供数据签名服务接口，支持业务系统发起签名请求，服务器与用户手机完成协同签名；</w:t>
      </w:r>
    </w:p>
    <w:p w14:paraId="107B46A7">
      <w:pPr>
        <w:pStyle w:val="12"/>
        <w:shd w:val="clear" w:color="auto" w:fill="auto"/>
        <w:ind w:firstLine="480"/>
        <w:rPr>
          <w:rFonts w:hint="eastAsia"/>
          <w:highlight w:val="none"/>
        </w:rPr>
      </w:pPr>
      <w:r>
        <w:rPr>
          <w:rFonts w:hint="eastAsia"/>
          <w:highlight w:val="none"/>
        </w:rPr>
        <w:t>4.签名验证：基于标准PKI验证过程，支持验证PKCS1/PKCS7标准格式的电子签名，包括验证签名及证书有效性等；</w:t>
      </w:r>
    </w:p>
    <w:p w14:paraId="148EB77B">
      <w:pPr>
        <w:pStyle w:val="12"/>
        <w:shd w:val="clear" w:color="auto" w:fill="auto"/>
        <w:ind w:firstLine="480"/>
        <w:rPr>
          <w:rFonts w:hint="eastAsia"/>
          <w:highlight w:val="none"/>
        </w:rPr>
      </w:pPr>
      <w:r>
        <w:rPr>
          <w:rFonts w:hint="eastAsia"/>
          <w:highlight w:val="none"/>
        </w:rPr>
        <w:t>5.二维码推送：支持对PC桌面业务下的认证或签名，将待认证/签名任务信息通过二维码的方式推送到个人移动终端；</w:t>
      </w:r>
    </w:p>
    <w:p w14:paraId="7B6C2B4E">
      <w:pPr>
        <w:pStyle w:val="12"/>
        <w:shd w:val="clear" w:color="auto" w:fill="auto"/>
        <w:ind w:firstLine="480"/>
        <w:rPr>
          <w:rFonts w:hint="eastAsia"/>
          <w:highlight w:val="none"/>
        </w:rPr>
      </w:pPr>
      <w:r>
        <w:rPr>
          <w:rFonts w:hint="eastAsia"/>
          <w:highlight w:val="none"/>
        </w:rPr>
        <w:t>6.APP直接签名：支持在协同签名APP中获取待签名任务直接完成签名；</w:t>
      </w:r>
    </w:p>
    <w:p w14:paraId="2B130923">
      <w:pPr>
        <w:pStyle w:val="12"/>
        <w:shd w:val="clear" w:color="auto" w:fill="auto"/>
        <w:ind w:firstLine="480"/>
        <w:rPr>
          <w:rFonts w:hint="eastAsia"/>
          <w:highlight w:val="none"/>
        </w:rPr>
      </w:pPr>
      <w:r>
        <w:rPr>
          <w:rFonts w:hint="eastAsia"/>
          <w:highlight w:val="none"/>
        </w:rPr>
        <w:t>7.个人签章图片管理：支持签章图片自动生成、修改、批量导入；</w:t>
      </w:r>
    </w:p>
    <w:p w14:paraId="06EB3FE5">
      <w:pPr>
        <w:pStyle w:val="12"/>
        <w:shd w:val="clear" w:color="auto" w:fill="auto"/>
        <w:ind w:firstLine="480"/>
        <w:rPr>
          <w:rFonts w:hint="eastAsia"/>
          <w:highlight w:val="none"/>
        </w:rPr>
      </w:pPr>
      <w:r>
        <w:rPr>
          <w:rFonts w:hint="eastAsia"/>
          <w:highlight w:val="none"/>
        </w:rPr>
        <w:t>8.个人电子签章：支持基于数字证书的个人移动端电子签章和PC端扫码签章；</w:t>
      </w:r>
    </w:p>
    <w:p w14:paraId="6CBDC00B">
      <w:pPr>
        <w:pStyle w:val="12"/>
        <w:shd w:val="clear" w:color="auto" w:fill="auto"/>
        <w:ind w:firstLine="480"/>
        <w:rPr>
          <w:rFonts w:hint="eastAsia"/>
          <w:highlight w:val="none"/>
        </w:rPr>
      </w:pPr>
      <w:r>
        <w:rPr>
          <w:rFonts w:hint="eastAsia"/>
          <w:highlight w:val="none"/>
        </w:rPr>
        <w:t>9.PDF电子签章：对PDF文档进行电子签章，并且在电子文档上显示签章图片；</w:t>
      </w:r>
    </w:p>
    <w:p w14:paraId="6751EBC2">
      <w:pPr>
        <w:pStyle w:val="12"/>
        <w:shd w:val="clear" w:color="auto" w:fill="auto"/>
        <w:ind w:firstLine="480"/>
        <w:rPr>
          <w:rFonts w:hint="eastAsia"/>
          <w:highlight w:val="none"/>
        </w:rPr>
      </w:pPr>
      <w:r>
        <w:rPr>
          <w:rFonts w:hint="eastAsia"/>
          <w:highlight w:val="none"/>
        </w:rPr>
        <w:t>10.PDF电子签章验证：验证PDF签名文档有效性、完整性；</w:t>
      </w:r>
    </w:p>
    <w:p w14:paraId="611C3F37">
      <w:pPr>
        <w:pStyle w:val="12"/>
        <w:shd w:val="clear" w:color="auto" w:fill="auto"/>
        <w:ind w:firstLine="480"/>
        <w:rPr>
          <w:rFonts w:hint="eastAsia"/>
          <w:highlight w:val="none"/>
        </w:rPr>
      </w:pPr>
      <w:r>
        <w:rPr>
          <w:rFonts w:hint="eastAsia"/>
          <w:highlight w:val="none"/>
        </w:rPr>
        <w:t>11.应用管理：管理接入的业务应用，支持对业务应用的添加、编辑、冻结、解冻、注销等；</w:t>
      </w:r>
    </w:p>
    <w:p w14:paraId="490DF701">
      <w:pPr>
        <w:pStyle w:val="12"/>
        <w:shd w:val="clear" w:color="auto" w:fill="auto"/>
        <w:ind w:firstLine="480"/>
        <w:rPr>
          <w:rFonts w:hint="eastAsia"/>
          <w:highlight w:val="none"/>
        </w:rPr>
      </w:pPr>
      <w:r>
        <w:rPr>
          <w:rFonts w:hint="eastAsia"/>
          <w:highlight w:val="none"/>
        </w:rPr>
        <w:t>12.用户管理：管理证书用户，支持用户变更手机号、冻结、解冻、注销等操作；</w:t>
      </w:r>
    </w:p>
    <w:p w14:paraId="255290AE">
      <w:pPr>
        <w:pStyle w:val="12"/>
        <w:shd w:val="clear" w:color="auto" w:fill="auto"/>
        <w:ind w:firstLine="480"/>
        <w:rPr>
          <w:rFonts w:hint="eastAsia"/>
          <w:highlight w:val="none"/>
        </w:rPr>
      </w:pPr>
      <w:r>
        <w:rPr>
          <w:rFonts w:hint="eastAsia"/>
          <w:highlight w:val="none"/>
        </w:rPr>
        <w:t>13.设备管理：支持用户在多个移动终端设备上使用同一个用户身份，支持对用户终端设备的绑定、解绑等；</w:t>
      </w:r>
    </w:p>
    <w:p w14:paraId="6000388C">
      <w:pPr>
        <w:pStyle w:val="12"/>
        <w:shd w:val="clear" w:color="auto" w:fill="auto"/>
        <w:ind w:firstLine="480"/>
        <w:rPr>
          <w:rFonts w:hint="eastAsia"/>
          <w:highlight w:val="none"/>
        </w:rPr>
      </w:pPr>
      <w:r>
        <w:rPr>
          <w:rFonts w:hint="eastAsia"/>
          <w:highlight w:val="none"/>
        </w:rPr>
        <w:t>14.密钥管理：提供密钥生成、存储、销毁、归档、统计产销等功能，支持密钥由移动终端和服务器协商产生，采用密钥分割技术保存密钥；</w:t>
      </w:r>
    </w:p>
    <w:p w14:paraId="70F4D2F0">
      <w:pPr>
        <w:pStyle w:val="12"/>
        <w:shd w:val="clear" w:color="auto" w:fill="auto"/>
        <w:ind w:firstLine="480"/>
        <w:rPr>
          <w:rFonts w:hint="eastAsia"/>
          <w:highlight w:val="none"/>
        </w:rPr>
      </w:pPr>
      <w:r>
        <w:rPr>
          <w:rFonts w:hint="eastAsia"/>
          <w:highlight w:val="none"/>
        </w:rPr>
        <w:t>15.系统管理：支持对系统配置及对系统管理员进行管理；</w:t>
      </w:r>
    </w:p>
    <w:p w14:paraId="7A1AA8E9">
      <w:pPr>
        <w:pStyle w:val="12"/>
        <w:shd w:val="clear" w:color="auto" w:fill="auto"/>
        <w:ind w:firstLine="480"/>
        <w:rPr>
          <w:rFonts w:hint="eastAsia"/>
          <w:highlight w:val="none"/>
        </w:rPr>
      </w:pPr>
      <w:r>
        <w:rPr>
          <w:rFonts w:hint="eastAsia"/>
          <w:highlight w:val="none"/>
        </w:rPr>
        <w:t>16.统计分析：提供对数据签名、PDF签章等数据的统计查询功能；</w:t>
      </w:r>
    </w:p>
    <w:p w14:paraId="0ABE7544">
      <w:pPr>
        <w:pStyle w:val="12"/>
        <w:shd w:val="clear" w:color="auto" w:fill="auto"/>
        <w:ind w:firstLine="480"/>
        <w:rPr>
          <w:rFonts w:hint="eastAsia"/>
          <w:highlight w:val="none"/>
        </w:rPr>
      </w:pPr>
      <w:r>
        <w:rPr>
          <w:rFonts w:hint="eastAsia"/>
          <w:highlight w:val="none"/>
        </w:rPr>
        <w:t>17.日志审计：提供业务操作日志、管理员操作日志等审计功能；</w:t>
      </w:r>
    </w:p>
    <w:p w14:paraId="6D2D39BB">
      <w:pPr>
        <w:pStyle w:val="12"/>
        <w:shd w:val="clear" w:color="auto" w:fill="auto"/>
        <w:ind w:firstLine="480"/>
        <w:rPr>
          <w:rFonts w:hint="eastAsia"/>
          <w:highlight w:val="none"/>
        </w:rPr>
      </w:pPr>
      <w:r>
        <w:rPr>
          <w:rFonts w:hint="eastAsia"/>
          <w:highlight w:val="none"/>
        </w:rPr>
        <w:t>18.支持密钥生成、存储、使用、更新等密钥全生命周期的管理和安全功能，支持密钥由移动终端和服务器协商产生，采用密钥分割技术保存密钥；</w:t>
      </w:r>
    </w:p>
    <w:p w14:paraId="0082214C">
      <w:pPr>
        <w:pStyle w:val="12"/>
        <w:shd w:val="clear" w:color="auto" w:fill="auto"/>
        <w:ind w:firstLine="480"/>
        <w:rPr>
          <w:rFonts w:hint="eastAsia"/>
          <w:highlight w:val="none"/>
        </w:rPr>
      </w:pPr>
      <w:r>
        <w:rPr>
          <w:rFonts w:hint="eastAsia"/>
          <w:highlight w:val="none"/>
        </w:rPr>
        <w:t>19.产品支持Android、iOS、HarmonyOS操作系统，提供《商用密码产品认证证书》作为证明材料。</w:t>
      </w:r>
    </w:p>
    <w:p w14:paraId="130F8A67">
      <w:pPr>
        <w:pStyle w:val="7"/>
        <w:rPr>
          <w:rFonts w:hint="eastAsia"/>
          <w:highlight w:val="none"/>
        </w:rPr>
      </w:pPr>
      <w:r>
        <w:rPr>
          <w:rFonts w:hint="eastAsia"/>
          <w:highlight w:val="none"/>
          <w:lang w:val="en-US" w:eastAsia="zh-CN"/>
        </w:rPr>
        <w:t xml:space="preserve"> </w:t>
      </w:r>
      <w:r>
        <w:rPr>
          <w:rFonts w:hint="eastAsia"/>
          <w:highlight w:val="none"/>
        </w:rPr>
        <w:t>时间戳服务器</w:t>
      </w:r>
    </w:p>
    <w:p w14:paraId="4369B831">
      <w:pPr>
        <w:pStyle w:val="12"/>
        <w:shd w:val="clear" w:color="auto" w:fill="auto"/>
        <w:ind w:firstLine="480"/>
        <w:rPr>
          <w:rFonts w:hint="eastAsia"/>
          <w:highlight w:val="none"/>
        </w:rPr>
      </w:pPr>
      <w:r>
        <w:rPr>
          <w:rFonts w:hint="eastAsia"/>
          <w:highlight w:val="none"/>
        </w:rPr>
        <w:t>1．签发时间戳：接收应用系统发来的时间戳签发请求，签发时间戳后将时间戳返回给应用系统，时间戳服务请求遵循通用的RFC3161标准。</w:t>
      </w:r>
    </w:p>
    <w:p w14:paraId="197B495F">
      <w:pPr>
        <w:pStyle w:val="12"/>
        <w:shd w:val="clear" w:color="auto" w:fill="auto"/>
        <w:ind w:firstLine="480"/>
        <w:rPr>
          <w:rFonts w:hint="eastAsia"/>
          <w:highlight w:val="none"/>
        </w:rPr>
      </w:pPr>
      <w:r>
        <w:rPr>
          <w:rFonts w:hint="eastAsia"/>
          <w:highlight w:val="none"/>
        </w:rPr>
        <w:t>2．验证时间戳：处理应用系统发来的时间戳验证请求，将时间戳验证结果返回给应用系统。</w:t>
      </w:r>
    </w:p>
    <w:p w14:paraId="1E5BD879">
      <w:pPr>
        <w:pStyle w:val="12"/>
        <w:shd w:val="clear" w:color="auto" w:fill="auto"/>
        <w:ind w:firstLine="480"/>
        <w:rPr>
          <w:rFonts w:hint="eastAsia"/>
          <w:highlight w:val="none"/>
        </w:rPr>
      </w:pPr>
      <w:r>
        <w:rPr>
          <w:rFonts w:hint="eastAsia"/>
          <w:highlight w:val="none"/>
        </w:rPr>
        <w:t>3．支持算法：SM2、SM3等算法。</w:t>
      </w:r>
    </w:p>
    <w:p w14:paraId="559D491E">
      <w:pPr>
        <w:pStyle w:val="12"/>
        <w:shd w:val="clear" w:color="auto" w:fill="auto"/>
        <w:ind w:firstLine="480"/>
        <w:rPr>
          <w:rFonts w:hint="eastAsia"/>
          <w:highlight w:val="none"/>
        </w:rPr>
      </w:pPr>
      <w:r>
        <w:rPr>
          <w:rFonts w:hint="eastAsia"/>
          <w:highlight w:val="none"/>
        </w:rPr>
        <w:t>4．权威国家时间源：产品内置国家授时中心时间源,提供多种授时方式，既支持CDMA、北斗、GPS三合一时间源、也分别单独支持CDMA、北斗2、GPS时间源。</w:t>
      </w:r>
    </w:p>
    <w:p w14:paraId="22C2E5FE">
      <w:pPr>
        <w:pStyle w:val="12"/>
        <w:shd w:val="clear" w:color="auto" w:fill="auto"/>
        <w:ind w:firstLine="480"/>
        <w:rPr>
          <w:rFonts w:hint="eastAsia"/>
          <w:highlight w:val="none"/>
        </w:rPr>
      </w:pPr>
      <w:r>
        <w:rPr>
          <w:rFonts w:hint="eastAsia"/>
          <w:highlight w:val="none"/>
        </w:rPr>
        <w:t>5．时间同步：支持NPT、SNTP等时间同步协议。</w:t>
      </w:r>
    </w:p>
    <w:p w14:paraId="22ED4EBD">
      <w:pPr>
        <w:pStyle w:val="12"/>
        <w:shd w:val="clear" w:color="auto" w:fill="auto"/>
        <w:ind w:firstLine="480"/>
        <w:rPr>
          <w:rFonts w:hint="eastAsia"/>
          <w:highlight w:val="none"/>
        </w:rPr>
      </w:pPr>
      <w:r>
        <w:rPr>
          <w:rFonts w:hint="eastAsia"/>
          <w:highlight w:val="none"/>
        </w:rPr>
        <w:t>6．授时精度：0.5-3ms(毫秒)。</w:t>
      </w:r>
    </w:p>
    <w:p w14:paraId="762546DB">
      <w:pPr>
        <w:pStyle w:val="12"/>
        <w:shd w:val="clear" w:color="auto" w:fill="auto"/>
        <w:ind w:firstLine="480"/>
        <w:rPr>
          <w:rFonts w:hint="eastAsia"/>
          <w:highlight w:val="none"/>
        </w:rPr>
      </w:pPr>
      <w:r>
        <w:rPr>
          <w:rFonts w:hint="eastAsia"/>
          <w:highlight w:val="none"/>
        </w:rPr>
        <w:t>7．内置恒温晶振。</w:t>
      </w:r>
    </w:p>
    <w:p w14:paraId="623E6178">
      <w:pPr>
        <w:pStyle w:val="12"/>
        <w:shd w:val="clear" w:color="auto" w:fill="auto"/>
        <w:ind w:firstLine="480"/>
        <w:rPr>
          <w:rFonts w:hint="eastAsia"/>
          <w:highlight w:val="none"/>
        </w:rPr>
      </w:pPr>
      <w:r>
        <w:rPr>
          <w:rFonts w:hint="eastAsia"/>
          <w:highlight w:val="none"/>
        </w:rPr>
        <w:t>8．提供备份恢复功能，可通过界面备份当前所有配置，保证系统瘫痪时的快速恢复。</w:t>
      </w:r>
    </w:p>
    <w:p w14:paraId="07F5C609">
      <w:pPr>
        <w:pStyle w:val="12"/>
        <w:shd w:val="clear" w:color="auto" w:fill="auto"/>
        <w:ind w:firstLine="480"/>
        <w:rPr>
          <w:rFonts w:hint="eastAsia"/>
          <w:highlight w:val="none"/>
        </w:rPr>
      </w:pPr>
      <w:r>
        <w:rPr>
          <w:rFonts w:hint="eastAsia"/>
          <w:highlight w:val="none"/>
        </w:rPr>
        <w:t>9．支持双机、负载均衡功能。</w:t>
      </w:r>
    </w:p>
    <w:p w14:paraId="660EDFFD">
      <w:pPr>
        <w:pStyle w:val="12"/>
        <w:shd w:val="clear" w:color="auto" w:fill="auto"/>
        <w:ind w:firstLine="480"/>
        <w:rPr>
          <w:rFonts w:hint="eastAsia"/>
          <w:highlight w:val="none"/>
        </w:rPr>
      </w:pPr>
      <w:r>
        <w:rPr>
          <w:rFonts w:hint="eastAsia"/>
          <w:highlight w:val="none"/>
        </w:rPr>
        <w:t>10．提供C、COM、Java等主流开发API。</w:t>
      </w:r>
    </w:p>
    <w:p w14:paraId="3101BB21">
      <w:pPr>
        <w:pStyle w:val="12"/>
        <w:shd w:val="clear" w:color="auto" w:fill="auto"/>
        <w:ind w:firstLine="480"/>
        <w:rPr>
          <w:rFonts w:hint="eastAsia"/>
          <w:highlight w:val="none"/>
        </w:rPr>
      </w:pPr>
      <w:r>
        <w:rPr>
          <w:rFonts w:hint="eastAsia"/>
          <w:highlight w:val="none"/>
        </w:rPr>
        <w:t>11．性能参数：SM2签发效率≥5500次/秒，SM2验证效率≥1500次/秒。</w:t>
      </w:r>
    </w:p>
    <w:p w14:paraId="65A95C80">
      <w:pPr>
        <w:pStyle w:val="12"/>
        <w:shd w:val="clear" w:color="auto" w:fill="auto"/>
        <w:ind w:firstLine="480"/>
        <w:rPr>
          <w:rFonts w:hint="eastAsia"/>
          <w:highlight w:val="none"/>
        </w:rPr>
      </w:pPr>
      <w:r>
        <w:rPr>
          <w:rFonts w:hint="eastAsia"/>
          <w:highlight w:val="none"/>
        </w:rPr>
        <w:t>12．可以查看时间源的时间以及状态等信息。</w:t>
      </w:r>
    </w:p>
    <w:p w14:paraId="4216803B">
      <w:pPr>
        <w:pStyle w:val="12"/>
        <w:shd w:val="clear" w:color="auto" w:fill="auto"/>
        <w:ind w:firstLine="480"/>
        <w:rPr>
          <w:rFonts w:hint="eastAsia"/>
          <w:highlight w:val="none"/>
        </w:rPr>
      </w:pPr>
      <w:r>
        <w:rPr>
          <w:rFonts w:hint="eastAsia"/>
          <w:highlight w:val="none"/>
        </w:rPr>
        <w:t>13．提供对于外部导入时间戳服务器证书的上传、查询、导出等功能。</w:t>
      </w:r>
    </w:p>
    <w:p w14:paraId="5B80C237">
      <w:pPr>
        <w:pStyle w:val="12"/>
        <w:shd w:val="clear" w:color="auto" w:fill="auto"/>
        <w:ind w:firstLine="480"/>
        <w:rPr>
          <w:rFonts w:hint="eastAsia"/>
          <w:highlight w:val="none"/>
        </w:rPr>
      </w:pPr>
      <w:r>
        <w:rPr>
          <w:rFonts w:hint="eastAsia"/>
          <w:highlight w:val="none"/>
        </w:rPr>
        <w:t>14．提供日志下载以及syslog服务器地址配置。</w:t>
      </w:r>
    </w:p>
    <w:p w14:paraId="51FB0391">
      <w:pPr>
        <w:pStyle w:val="12"/>
        <w:shd w:val="clear" w:color="auto" w:fill="auto"/>
        <w:ind w:firstLine="480"/>
        <w:rPr>
          <w:rFonts w:hint="eastAsia"/>
          <w:highlight w:val="none"/>
        </w:rPr>
      </w:pPr>
      <w:r>
        <w:rPr>
          <w:rFonts w:hint="eastAsia"/>
          <w:highlight w:val="none"/>
        </w:rPr>
        <w:t>15．提供服务器IP、网关、服务端口、超时时间、连接数等配置。</w:t>
      </w:r>
    </w:p>
    <w:p w14:paraId="233FF5F0">
      <w:pPr>
        <w:pStyle w:val="12"/>
        <w:shd w:val="clear" w:color="auto" w:fill="auto"/>
        <w:ind w:firstLine="480"/>
        <w:rPr>
          <w:rFonts w:hint="eastAsia"/>
          <w:highlight w:val="none"/>
        </w:rPr>
      </w:pPr>
      <w:r>
        <w:rPr>
          <w:rFonts w:hint="eastAsia"/>
          <w:highlight w:val="none"/>
        </w:rPr>
        <w:t>16．可以测试时间戳服务器到其他网络地址的互通状态。</w:t>
      </w:r>
    </w:p>
    <w:p w14:paraId="2CC51D1F">
      <w:pPr>
        <w:pStyle w:val="12"/>
        <w:shd w:val="clear" w:color="auto" w:fill="auto"/>
        <w:ind w:firstLine="480"/>
        <w:rPr>
          <w:rFonts w:hint="eastAsia"/>
          <w:highlight w:val="none"/>
        </w:rPr>
      </w:pPr>
      <w:r>
        <w:rPr>
          <w:rFonts w:hint="eastAsia"/>
          <w:highlight w:val="none"/>
        </w:rPr>
        <w:t>17．可以让某个IP或者IP段端访问服务，而不在白名单内的IP或者IP段不能访问服务器的服务。</w:t>
      </w:r>
    </w:p>
    <w:p w14:paraId="6968792A">
      <w:pPr>
        <w:pStyle w:val="12"/>
        <w:shd w:val="clear" w:color="auto" w:fill="auto"/>
        <w:ind w:firstLine="480"/>
        <w:rPr>
          <w:rFonts w:hint="eastAsia"/>
          <w:highlight w:val="none"/>
        </w:rPr>
      </w:pPr>
      <w:r>
        <w:rPr>
          <w:rFonts w:hint="eastAsia"/>
          <w:highlight w:val="none"/>
        </w:rPr>
        <w:t>18.产品时间信号可溯源于国家授时中心产生的标准时间，网络时间同步精度优于10ms。</w:t>
      </w:r>
    </w:p>
    <w:p w14:paraId="3E814905">
      <w:pPr>
        <w:pStyle w:val="7"/>
        <w:rPr>
          <w:rFonts w:hint="eastAsia"/>
          <w:highlight w:val="none"/>
        </w:rPr>
      </w:pPr>
      <w:r>
        <w:rPr>
          <w:rFonts w:hint="eastAsia"/>
          <w:highlight w:val="none"/>
          <w:lang w:val="en-US" w:eastAsia="zh-CN"/>
        </w:rPr>
        <w:t xml:space="preserve"> </w:t>
      </w:r>
      <w:r>
        <w:rPr>
          <w:rFonts w:hint="eastAsia"/>
          <w:highlight w:val="none"/>
        </w:rPr>
        <w:t>电子签章系统</w:t>
      </w:r>
    </w:p>
    <w:p w14:paraId="2FB04744">
      <w:pPr>
        <w:pStyle w:val="12"/>
        <w:shd w:val="clear" w:color="auto" w:fill="auto"/>
        <w:ind w:firstLine="480"/>
        <w:rPr>
          <w:rFonts w:hint="eastAsia"/>
          <w:highlight w:val="none"/>
        </w:rPr>
      </w:pPr>
      <w:r>
        <w:rPr>
          <w:rFonts w:hint="eastAsia"/>
          <w:highlight w:val="none"/>
        </w:rPr>
        <w:t>1.支持第三方CA机构签发的数字证书；</w:t>
      </w:r>
    </w:p>
    <w:p w14:paraId="16259594">
      <w:pPr>
        <w:pStyle w:val="12"/>
        <w:shd w:val="clear" w:color="auto" w:fill="auto"/>
        <w:ind w:firstLine="480"/>
        <w:rPr>
          <w:rFonts w:hint="eastAsia"/>
          <w:highlight w:val="none"/>
        </w:rPr>
      </w:pPr>
      <w:r>
        <w:rPr>
          <w:rFonts w:hint="eastAsia"/>
          <w:highlight w:val="none"/>
        </w:rPr>
        <w:t>2.提供基于Web界面的电子印章的制作和管理功能，提供日志审计功能；</w:t>
      </w:r>
    </w:p>
    <w:p w14:paraId="7F77C949">
      <w:pPr>
        <w:pStyle w:val="12"/>
        <w:shd w:val="clear" w:color="auto" w:fill="auto"/>
        <w:ind w:firstLine="480"/>
        <w:rPr>
          <w:rFonts w:hint="eastAsia"/>
          <w:highlight w:val="none"/>
        </w:rPr>
      </w:pPr>
      <w:r>
        <w:rPr>
          <w:rFonts w:hint="eastAsia"/>
          <w:highlight w:val="none"/>
        </w:rPr>
        <w:t>3.支持电子印章图片写入证书存储介质中，并与证书绑定；</w:t>
      </w:r>
    </w:p>
    <w:p w14:paraId="2B3883A8">
      <w:pPr>
        <w:pStyle w:val="12"/>
        <w:shd w:val="clear" w:color="auto" w:fill="auto"/>
        <w:ind w:firstLine="480"/>
        <w:rPr>
          <w:rFonts w:hint="eastAsia"/>
          <w:highlight w:val="none"/>
        </w:rPr>
      </w:pPr>
      <w:r>
        <w:rPr>
          <w:rFonts w:hint="eastAsia"/>
          <w:highlight w:val="none"/>
        </w:rPr>
        <w:t>4.支持自动生成电子印章图片，或支持采集的手写签名；</w:t>
      </w:r>
    </w:p>
    <w:p w14:paraId="777EBA15">
      <w:pPr>
        <w:pStyle w:val="12"/>
        <w:shd w:val="clear" w:color="auto" w:fill="auto"/>
        <w:ind w:firstLine="480"/>
        <w:rPr>
          <w:rFonts w:hint="eastAsia"/>
          <w:highlight w:val="none"/>
        </w:rPr>
      </w:pPr>
      <w:r>
        <w:rPr>
          <w:rFonts w:hint="eastAsia"/>
          <w:highlight w:val="none"/>
        </w:rPr>
        <w:t>5.支持对多种文档格式如word\excel\html等的电子签章，实现数据完整性保护，确认签章者身份；</w:t>
      </w:r>
    </w:p>
    <w:p w14:paraId="0DBC1081">
      <w:pPr>
        <w:pStyle w:val="12"/>
        <w:shd w:val="clear" w:color="auto" w:fill="auto"/>
        <w:ind w:firstLine="480"/>
        <w:rPr>
          <w:rFonts w:hint="eastAsia"/>
          <w:highlight w:val="none"/>
        </w:rPr>
      </w:pPr>
      <w:r>
        <w:rPr>
          <w:rFonts w:hint="eastAsia"/>
          <w:highlight w:val="none"/>
        </w:rPr>
        <w:t>6.提供电子签章中间件，满足C/S环境的电子签章集成；</w:t>
      </w:r>
    </w:p>
    <w:p w14:paraId="6315E0EB">
      <w:pPr>
        <w:pStyle w:val="12"/>
        <w:shd w:val="clear" w:color="auto" w:fill="auto"/>
        <w:ind w:firstLine="480"/>
        <w:rPr>
          <w:rFonts w:hint="eastAsia"/>
          <w:highlight w:val="none"/>
        </w:rPr>
      </w:pPr>
      <w:r>
        <w:rPr>
          <w:rFonts w:hint="eastAsia"/>
          <w:highlight w:val="none"/>
        </w:rPr>
        <w:t>7.支持原文、印章图片、数字签名的绑定，能够防止篡改。</w:t>
      </w:r>
    </w:p>
    <w:p w14:paraId="221BEF3D">
      <w:pPr>
        <w:pStyle w:val="7"/>
        <w:rPr>
          <w:rFonts w:hint="eastAsia"/>
          <w:highlight w:val="none"/>
        </w:rPr>
      </w:pPr>
      <w:r>
        <w:rPr>
          <w:rFonts w:hint="eastAsia"/>
          <w:highlight w:val="none"/>
          <w:lang w:val="en-US" w:eastAsia="zh-CN"/>
        </w:rPr>
        <w:t xml:space="preserve"> </w:t>
      </w:r>
      <w:r>
        <w:rPr>
          <w:rFonts w:hint="eastAsia"/>
          <w:highlight w:val="none"/>
        </w:rPr>
        <w:t>个人数字证书</w:t>
      </w:r>
    </w:p>
    <w:p w14:paraId="2E5F9B8F">
      <w:pPr>
        <w:pStyle w:val="12"/>
        <w:shd w:val="clear" w:color="auto" w:fill="auto"/>
        <w:ind w:firstLine="480"/>
        <w:rPr>
          <w:rFonts w:hint="eastAsia"/>
          <w:highlight w:val="none"/>
        </w:rPr>
      </w:pPr>
      <w:r>
        <w:rPr>
          <w:rFonts w:hint="eastAsia"/>
          <w:highlight w:val="none"/>
        </w:rPr>
        <w:t>1.标识移动端个人用户网络身份；</w:t>
      </w:r>
    </w:p>
    <w:p w14:paraId="70114B97">
      <w:pPr>
        <w:pStyle w:val="12"/>
        <w:shd w:val="clear" w:color="auto" w:fill="auto"/>
        <w:ind w:firstLine="480"/>
        <w:rPr>
          <w:rFonts w:hint="eastAsia"/>
          <w:highlight w:val="none"/>
        </w:rPr>
      </w:pPr>
      <w:r>
        <w:rPr>
          <w:rFonts w:hint="eastAsia"/>
          <w:highlight w:val="none"/>
        </w:rPr>
        <w:t>2.证书格式标准遵循x．509v3标准；</w:t>
      </w:r>
    </w:p>
    <w:p w14:paraId="6F93A695">
      <w:pPr>
        <w:pStyle w:val="12"/>
        <w:shd w:val="clear" w:color="auto" w:fill="auto"/>
        <w:ind w:firstLine="480"/>
        <w:rPr>
          <w:rFonts w:hint="eastAsia"/>
          <w:highlight w:val="none"/>
        </w:rPr>
      </w:pPr>
      <w:r>
        <w:rPr>
          <w:rFonts w:hint="eastAsia"/>
          <w:highlight w:val="none"/>
        </w:rPr>
        <w:t>3.支持存放介质：智能密码钥匙；</w:t>
      </w:r>
    </w:p>
    <w:p w14:paraId="461F764C">
      <w:pPr>
        <w:pStyle w:val="12"/>
        <w:shd w:val="clear" w:color="auto" w:fill="auto"/>
        <w:ind w:firstLine="480"/>
        <w:rPr>
          <w:rFonts w:hint="eastAsia"/>
          <w:highlight w:val="none"/>
        </w:rPr>
      </w:pPr>
      <w:r>
        <w:rPr>
          <w:rFonts w:hint="eastAsia"/>
          <w:highlight w:val="none"/>
        </w:rPr>
        <w:t>4.支持自定义证书扩展域管理；</w:t>
      </w:r>
    </w:p>
    <w:p w14:paraId="24E14D04">
      <w:pPr>
        <w:pStyle w:val="12"/>
        <w:shd w:val="clear" w:color="auto" w:fill="auto"/>
        <w:ind w:firstLine="480"/>
        <w:rPr>
          <w:rFonts w:hint="eastAsia"/>
          <w:highlight w:val="none"/>
        </w:rPr>
      </w:pPr>
      <w:r>
        <w:rPr>
          <w:rFonts w:hint="eastAsia"/>
          <w:highlight w:val="none"/>
        </w:rPr>
        <w:t>5.支持标准的国产SM2商用密码算法；</w:t>
      </w:r>
    </w:p>
    <w:p w14:paraId="1CC09685">
      <w:pPr>
        <w:pStyle w:val="7"/>
        <w:rPr>
          <w:rFonts w:hint="eastAsia"/>
          <w:highlight w:val="none"/>
        </w:rPr>
      </w:pPr>
      <w:r>
        <w:rPr>
          <w:rFonts w:hint="eastAsia"/>
          <w:highlight w:val="none"/>
          <w:lang w:val="en-US" w:eastAsia="zh-CN"/>
        </w:rPr>
        <w:t xml:space="preserve"> </w:t>
      </w:r>
      <w:r>
        <w:rPr>
          <w:rFonts w:hint="eastAsia"/>
          <w:highlight w:val="none"/>
        </w:rPr>
        <w:t>单位证书</w:t>
      </w:r>
    </w:p>
    <w:p w14:paraId="54416B67">
      <w:pPr>
        <w:pStyle w:val="12"/>
        <w:shd w:val="clear" w:color="auto" w:fill="auto"/>
        <w:ind w:firstLine="480"/>
        <w:rPr>
          <w:rFonts w:hint="eastAsia"/>
          <w:highlight w:val="none"/>
        </w:rPr>
      </w:pPr>
      <w:r>
        <w:rPr>
          <w:rFonts w:hint="eastAsia"/>
          <w:highlight w:val="none"/>
        </w:rPr>
        <w:t>1.标识单位用户网络身份；</w:t>
      </w:r>
    </w:p>
    <w:p w14:paraId="46A08610">
      <w:pPr>
        <w:pStyle w:val="12"/>
        <w:shd w:val="clear" w:color="auto" w:fill="auto"/>
        <w:ind w:firstLine="480"/>
        <w:rPr>
          <w:rFonts w:hint="eastAsia"/>
          <w:highlight w:val="none"/>
        </w:rPr>
      </w:pPr>
      <w:r>
        <w:rPr>
          <w:rFonts w:hint="eastAsia"/>
          <w:highlight w:val="none"/>
        </w:rPr>
        <w:t>2.证书格式标准遵循x．509v3标准；</w:t>
      </w:r>
    </w:p>
    <w:p w14:paraId="5650FBED">
      <w:pPr>
        <w:pStyle w:val="12"/>
        <w:shd w:val="clear" w:color="auto" w:fill="auto"/>
        <w:ind w:firstLine="480"/>
        <w:rPr>
          <w:rFonts w:hint="eastAsia"/>
          <w:highlight w:val="none"/>
        </w:rPr>
      </w:pPr>
      <w:r>
        <w:rPr>
          <w:rFonts w:hint="eastAsia"/>
          <w:highlight w:val="none"/>
        </w:rPr>
        <w:t>3.支持自定义证书扩展域管理；</w:t>
      </w:r>
    </w:p>
    <w:p w14:paraId="39165029">
      <w:pPr>
        <w:pStyle w:val="12"/>
        <w:shd w:val="clear" w:color="auto" w:fill="auto"/>
        <w:ind w:firstLine="480"/>
        <w:rPr>
          <w:rFonts w:hint="eastAsia"/>
          <w:highlight w:val="none"/>
        </w:rPr>
      </w:pPr>
      <w:r>
        <w:rPr>
          <w:rFonts w:hint="eastAsia"/>
          <w:highlight w:val="none"/>
        </w:rPr>
        <w:t>4.支持标准的国产SM2商用密码算法；</w:t>
      </w:r>
    </w:p>
    <w:p w14:paraId="73B5AB55">
      <w:pPr>
        <w:pStyle w:val="7"/>
        <w:rPr>
          <w:rFonts w:hint="eastAsia"/>
          <w:highlight w:val="none"/>
        </w:rPr>
      </w:pPr>
      <w:r>
        <w:rPr>
          <w:rFonts w:hint="eastAsia"/>
          <w:highlight w:val="none"/>
          <w:lang w:val="en-US" w:eastAsia="zh-CN"/>
        </w:rPr>
        <w:t xml:space="preserve"> </w:t>
      </w:r>
      <w:r>
        <w:rPr>
          <w:rFonts w:hint="eastAsia"/>
          <w:highlight w:val="none"/>
        </w:rPr>
        <w:t>设备证书</w:t>
      </w:r>
    </w:p>
    <w:p w14:paraId="79586717">
      <w:pPr>
        <w:pStyle w:val="12"/>
        <w:shd w:val="clear" w:color="auto" w:fill="auto"/>
        <w:ind w:firstLine="480"/>
        <w:rPr>
          <w:rFonts w:hint="eastAsia"/>
          <w:highlight w:val="none"/>
        </w:rPr>
      </w:pPr>
      <w:r>
        <w:rPr>
          <w:rFonts w:hint="eastAsia"/>
          <w:highlight w:val="none"/>
        </w:rPr>
        <w:t>1.标识设备网络身份；</w:t>
      </w:r>
    </w:p>
    <w:p w14:paraId="0F6D61B7">
      <w:pPr>
        <w:pStyle w:val="12"/>
        <w:shd w:val="clear" w:color="auto" w:fill="auto"/>
        <w:ind w:firstLine="480"/>
        <w:rPr>
          <w:rFonts w:hint="eastAsia"/>
          <w:highlight w:val="none"/>
        </w:rPr>
      </w:pPr>
      <w:r>
        <w:rPr>
          <w:rFonts w:hint="eastAsia"/>
          <w:highlight w:val="none"/>
        </w:rPr>
        <w:t>2.证书格式标准遵循x．509v3标准；</w:t>
      </w:r>
    </w:p>
    <w:p w14:paraId="36F0AEBC">
      <w:pPr>
        <w:pStyle w:val="12"/>
        <w:shd w:val="clear" w:color="auto" w:fill="auto"/>
        <w:ind w:firstLine="480"/>
        <w:rPr>
          <w:rFonts w:hint="eastAsia"/>
          <w:highlight w:val="none"/>
        </w:rPr>
      </w:pPr>
      <w:r>
        <w:rPr>
          <w:rFonts w:hint="eastAsia"/>
          <w:highlight w:val="none"/>
        </w:rPr>
        <w:t>3.支持自定义证书扩展域管理；</w:t>
      </w:r>
    </w:p>
    <w:p w14:paraId="6E01171E">
      <w:pPr>
        <w:pStyle w:val="7"/>
        <w:rPr>
          <w:rFonts w:hint="eastAsia"/>
          <w:highlight w:val="none"/>
        </w:rPr>
      </w:pPr>
      <w:r>
        <w:rPr>
          <w:rFonts w:hint="eastAsia"/>
          <w:highlight w:val="none"/>
          <w:lang w:val="en-US" w:eastAsia="zh-CN" w:bidi="ar"/>
        </w:rPr>
        <w:t xml:space="preserve"> </w:t>
      </w:r>
      <w:r>
        <w:rPr>
          <w:rFonts w:hint="eastAsia"/>
          <w:highlight w:val="none"/>
          <w:lang w:bidi="ar"/>
        </w:rPr>
        <w:t>电子印章制作服务</w:t>
      </w:r>
    </w:p>
    <w:p w14:paraId="61C986E2">
      <w:pPr>
        <w:pStyle w:val="12"/>
        <w:shd w:val="clear" w:color="auto" w:fill="auto"/>
        <w:ind w:firstLine="480"/>
        <w:rPr>
          <w:rFonts w:hint="eastAsia"/>
          <w:highlight w:val="none"/>
        </w:rPr>
      </w:pPr>
      <w:r>
        <w:rPr>
          <w:rFonts w:hint="eastAsia"/>
          <w:highlight w:val="none"/>
        </w:rPr>
        <w:t>1.提供个性化印章图片采样、制作服务。</w:t>
      </w:r>
    </w:p>
    <w:p w14:paraId="18D37348">
      <w:pPr>
        <w:pStyle w:val="7"/>
        <w:rPr>
          <w:rFonts w:hint="eastAsia"/>
          <w:highlight w:val="none"/>
        </w:rPr>
      </w:pPr>
      <w:r>
        <w:rPr>
          <w:rFonts w:hint="eastAsia"/>
          <w:highlight w:val="none"/>
          <w:lang w:val="en-US" w:eastAsia="zh-CN"/>
        </w:rPr>
        <w:t xml:space="preserve"> </w:t>
      </w:r>
      <w:r>
        <w:rPr>
          <w:rFonts w:hint="eastAsia"/>
          <w:highlight w:val="none"/>
        </w:rPr>
        <w:t>手写信息数字签名系统</w:t>
      </w:r>
    </w:p>
    <w:p w14:paraId="4C7F9B36">
      <w:pPr>
        <w:pStyle w:val="12"/>
        <w:shd w:val="clear" w:color="auto" w:fill="auto"/>
        <w:ind w:firstLine="480"/>
        <w:rPr>
          <w:rFonts w:hint="eastAsia"/>
          <w:highlight w:val="none"/>
        </w:rPr>
      </w:pPr>
      <w:r>
        <w:rPr>
          <w:rFonts w:hint="eastAsia"/>
          <w:highlight w:val="none"/>
        </w:rPr>
        <w:t>1．申请和获取签名数字证书，根据签名业务及签名人鉴证信息，向电子认证服务机构证书服务平台申请颁发数字证书；</w:t>
      </w:r>
    </w:p>
    <w:p w14:paraId="7BFE88A5">
      <w:pPr>
        <w:pStyle w:val="12"/>
        <w:shd w:val="clear" w:color="auto" w:fill="auto"/>
        <w:ind w:firstLine="480"/>
        <w:rPr>
          <w:rFonts w:hint="eastAsia"/>
          <w:highlight w:val="none"/>
        </w:rPr>
      </w:pPr>
      <w:r>
        <w:rPr>
          <w:rFonts w:hint="eastAsia"/>
          <w:highlight w:val="none"/>
        </w:rPr>
        <w:t>2．通过手写数字签名终端，获取签名人手写签字笔迹，作为数字签名可视化展现效果图示；</w:t>
      </w:r>
    </w:p>
    <w:p w14:paraId="3DDC1448">
      <w:pPr>
        <w:pStyle w:val="12"/>
        <w:shd w:val="clear" w:color="auto" w:fill="auto"/>
        <w:ind w:firstLine="480"/>
        <w:rPr>
          <w:rFonts w:hint="eastAsia"/>
          <w:highlight w:val="none"/>
        </w:rPr>
      </w:pPr>
      <w:r>
        <w:rPr>
          <w:rFonts w:hint="eastAsia"/>
          <w:highlight w:val="none"/>
        </w:rPr>
        <w:t>3．使用数字签名密码算法，对知情同意书进行签名密码运算，保护知情同意书的有效性；</w:t>
      </w:r>
    </w:p>
    <w:p w14:paraId="14ED717B">
      <w:pPr>
        <w:pStyle w:val="12"/>
        <w:shd w:val="clear" w:color="auto" w:fill="auto"/>
        <w:ind w:firstLine="480"/>
        <w:rPr>
          <w:rFonts w:hint="eastAsia"/>
          <w:highlight w:val="none"/>
        </w:rPr>
      </w:pPr>
      <w:r>
        <w:rPr>
          <w:rFonts w:hint="eastAsia"/>
          <w:highlight w:val="none"/>
        </w:rPr>
        <w:t>4．实现将不同格式的业务数据转化为PDF版式的业务单证。采用虚拟化、动态数据填充的技术方案，可以支持从Html、Word、Xml、图片等格式转化为PDF；</w:t>
      </w:r>
    </w:p>
    <w:p w14:paraId="511D221A">
      <w:pPr>
        <w:pStyle w:val="12"/>
        <w:shd w:val="clear" w:color="auto" w:fill="auto"/>
        <w:ind w:firstLine="480"/>
        <w:rPr>
          <w:rFonts w:hint="eastAsia"/>
          <w:highlight w:val="none"/>
        </w:rPr>
      </w:pPr>
      <w:r>
        <w:rPr>
          <w:rFonts w:hint="eastAsia"/>
          <w:highlight w:val="none"/>
        </w:rPr>
        <w:t>5．提供PDF文件的存储、归档、展现、验证举证服务、司法鉴定服务；</w:t>
      </w:r>
    </w:p>
    <w:p w14:paraId="21A82166">
      <w:pPr>
        <w:pStyle w:val="12"/>
        <w:shd w:val="clear" w:color="auto" w:fill="auto"/>
        <w:ind w:firstLine="480"/>
        <w:rPr>
          <w:rFonts w:hint="eastAsia"/>
          <w:highlight w:val="none"/>
        </w:rPr>
      </w:pPr>
      <w:r>
        <w:rPr>
          <w:rFonts w:hint="eastAsia"/>
          <w:highlight w:val="none"/>
        </w:rPr>
        <w:t>6．支持知情同意书共享、同步到电子病历系统；</w:t>
      </w:r>
    </w:p>
    <w:p w14:paraId="0B1D0C45">
      <w:pPr>
        <w:pStyle w:val="12"/>
        <w:shd w:val="clear" w:color="auto" w:fill="auto"/>
        <w:ind w:firstLine="480"/>
        <w:rPr>
          <w:rFonts w:hint="eastAsia"/>
          <w:highlight w:val="none"/>
        </w:rPr>
      </w:pPr>
      <w:r>
        <w:rPr>
          <w:rFonts w:hint="eastAsia"/>
          <w:highlight w:val="none"/>
        </w:rPr>
        <w:t>7.产品满足《计算机信息系统安全产品部件第一部分：安全功能检测GA216.1-1999》中完整性鉴别类相关要求；</w:t>
      </w:r>
    </w:p>
    <w:p w14:paraId="63FB4E58">
      <w:pPr>
        <w:pStyle w:val="12"/>
        <w:shd w:val="clear" w:color="auto" w:fill="auto"/>
        <w:ind w:firstLine="480"/>
        <w:rPr>
          <w:rFonts w:hint="eastAsia"/>
          <w:highlight w:val="none"/>
        </w:rPr>
      </w:pPr>
      <w:r>
        <w:rPr>
          <w:rFonts w:hint="eastAsia"/>
          <w:highlight w:val="none"/>
        </w:rPr>
        <w:t>8.提供C、Java等主流开发API；</w:t>
      </w:r>
    </w:p>
    <w:p w14:paraId="7E7C991B">
      <w:pPr>
        <w:pStyle w:val="12"/>
        <w:shd w:val="clear" w:color="auto" w:fill="auto"/>
        <w:ind w:firstLine="480"/>
        <w:rPr>
          <w:rFonts w:hint="eastAsia"/>
          <w:highlight w:val="none"/>
        </w:rPr>
      </w:pPr>
      <w:r>
        <w:rPr>
          <w:rFonts w:hint="eastAsia"/>
          <w:highlight w:val="none"/>
        </w:rPr>
        <w:t>9.业务处理能力不少于108000笔/小时；</w:t>
      </w:r>
    </w:p>
    <w:p w14:paraId="63086360">
      <w:pPr>
        <w:pStyle w:val="12"/>
        <w:shd w:val="clear" w:color="auto" w:fill="auto"/>
        <w:ind w:firstLine="480"/>
        <w:rPr>
          <w:rFonts w:hint="eastAsia"/>
          <w:highlight w:val="none"/>
        </w:rPr>
      </w:pPr>
      <w:r>
        <w:rPr>
          <w:rFonts w:hint="eastAsia"/>
          <w:highlight w:val="none"/>
        </w:rPr>
        <w:t>10.适用环境：千兆环境，并发用户多；</w:t>
      </w:r>
    </w:p>
    <w:p w14:paraId="22E88A54">
      <w:pPr>
        <w:pStyle w:val="7"/>
        <w:rPr>
          <w:rFonts w:hint="eastAsia"/>
          <w:highlight w:val="none"/>
        </w:rPr>
      </w:pPr>
      <w:r>
        <w:rPr>
          <w:rFonts w:hint="eastAsia"/>
          <w:highlight w:val="none"/>
          <w:lang w:val="en-US" w:eastAsia="zh-CN"/>
        </w:rPr>
        <w:t xml:space="preserve"> </w:t>
      </w:r>
      <w:r>
        <w:rPr>
          <w:rFonts w:hint="eastAsia"/>
          <w:highlight w:val="none"/>
        </w:rPr>
        <w:t>手写信息数字签名板</w:t>
      </w:r>
    </w:p>
    <w:p w14:paraId="3C7D7F97">
      <w:pPr>
        <w:pStyle w:val="12"/>
        <w:shd w:val="clear" w:color="auto" w:fill="auto"/>
        <w:ind w:firstLine="480"/>
        <w:rPr>
          <w:rFonts w:hint="eastAsia"/>
          <w:highlight w:val="none"/>
        </w:rPr>
      </w:pPr>
      <w:r>
        <w:rPr>
          <w:rFonts w:hint="eastAsia"/>
          <w:highlight w:val="none"/>
        </w:rPr>
        <w:t>1.支持对签署文件进行电子签名，采用第三方CA机构颁发的事件型证书，对签名人签署名字进行电子签名，确保签名的合法性、完整性。</w:t>
      </w:r>
    </w:p>
    <w:p w14:paraId="1D6D7B19">
      <w:pPr>
        <w:pStyle w:val="12"/>
        <w:shd w:val="clear" w:color="auto" w:fill="auto"/>
        <w:ind w:firstLine="480"/>
        <w:rPr>
          <w:rFonts w:hint="eastAsia"/>
          <w:highlight w:val="none"/>
        </w:rPr>
      </w:pPr>
      <w:r>
        <w:rPr>
          <w:rFonts w:hint="eastAsia"/>
          <w:highlight w:val="none"/>
        </w:rPr>
        <w:t>2.支持第三方CA机构颁发的设备证书进行数据签名，可不依赖服务器，同时确保数据防篡改。</w:t>
      </w:r>
    </w:p>
    <w:p w14:paraId="062AF216">
      <w:pPr>
        <w:pStyle w:val="12"/>
        <w:shd w:val="clear" w:color="auto" w:fill="auto"/>
        <w:ind w:firstLine="480"/>
        <w:rPr>
          <w:rFonts w:hint="eastAsia"/>
          <w:highlight w:val="none"/>
        </w:rPr>
      </w:pPr>
      <w:r>
        <w:rPr>
          <w:rFonts w:hint="eastAsia"/>
          <w:highlight w:val="none"/>
        </w:rPr>
        <w:t>3.支持采集手写签名笔迹，通过显示屏采集签名人签字笔迹，并且可查询PDF签名笔迹回放。</w:t>
      </w:r>
    </w:p>
    <w:p w14:paraId="12B39739">
      <w:pPr>
        <w:pStyle w:val="12"/>
        <w:shd w:val="clear" w:color="auto" w:fill="auto"/>
        <w:ind w:firstLine="480"/>
        <w:rPr>
          <w:rFonts w:hint="eastAsia"/>
          <w:highlight w:val="none"/>
        </w:rPr>
      </w:pPr>
      <w:r>
        <w:rPr>
          <w:rFonts w:hint="eastAsia"/>
          <w:highlight w:val="none"/>
        </w:rPr>
        <w:t>4.支持采集行为证据，通过指纹仪采集指纹，形成签名行为的证据。</w:t>
      </w:r>
    </w:p>
    <w:p w14:paraId="3BFC899F">
      <w:pPr>
        <w:pStyle w:val="12"/>
        <w:shd w:val="clear" w:color="auto" w:fill="auto"/>
        <w:ind w:firstLine="480"/>
        <w:rPr>
          <w:rFonts w:hint="eastAsia"/>
          <w:highlight w:val="none"/>
        </w:rPr>
      </w:pPr>
      <w:r>
        <w:rPr>
          <w:rFonts w:hint="eastAsia"/>
          <w:highlight w:val="none"/>
        </w:rPr>
        <w:t>5.支持采集手写批注，通过手写签名板获取签名人手写批注笔迹图片。支持多种批注模式，模式一展示全部文字，仅抄写部分字；模式二展示全部文字，全部需抄写。支持批注样式选择，样式一按照田字格划分；样式二按照行划分。同时批注页面标题可通过接口自定义内容。</w:t>
      </w:r>
    </w:p>
    <w:p w14:paraId="7F677845">
      <w:pPr>
        <w:pStyle w:val="12"/>
        <w:shd w:val="clear" w:color="auto" w:fill="auto"/>
        <w:ind w:firstLine="480"/>
        <w:rPr>
          <w:rFonts w:hint="eastAsia"/>
          <w:highlight w:val="none"/>
        </w:rPr>
      </w:pPr>
      <w:r>
        <w:rPr>
          <w:rFonts w:hint="eastAsia"/>
          <w:highlight w:val="none"/>
        </w:rPr>
        <w:t>6.支持将pc屏幕信息扩展或者复制到手写屏幕上展示和操作。</w:t>
      </w:r>
    </w:p>
    <w:p w14:paraId="24F8D27D">
      <w:pPr>
        <w:pStyle w:val="12"/>
        <w:shd w:val="clear" w:color="auto" w:fill="auto"/>
        <w:ind w:firstLine="480"/>
        <w:rPr>
          <w:rFonts w:hint="eastAsia"/>
          <w:highlight w:val="none"/>
        </w:rPr>
      </w:pPr>
      <w:r>
        <w:rPr>
          <w:rFonts w:hint="eastAsia"/>
          <w:highlight w:val="none"/>
        </w:rPr>
        <w:t>7.支持模拟鼠标，可以使用笔进行操作扩展屏界面，同时可设置启动和禁用。</w:t>
      </w:r>
    </w:p>
    <w:p w14:paraId="127E30E8">
      <w:pPr>
        <w:pStyle w:val="12"/>
        <w:shd w:val="clear" w:color="auto" w:fill="auto"/>
        <w:ind w:firstLine="480"/>
        <w:rPr>
          <w:rFonts w:hint="eastAsia"/>
          <w:highlight w:val="none"/>
        </w:rPr>
      </w:pPr>
      <w:r>
        <w:rPr>
          <w:rFonts w:hint="eastAsia"/>
          <w:highlight w:val="none"/>
        </w:rPr>
        <w:t>8.支持通过坐标和宽高值，预设需要签名人签名、捺印的签名框位置和大小。</w:t>
      </w:r>
    </w:p>
    <w:p w14:paraId="55BE269D">
      <w:pPr>
        <w:pStyle w:val="12"/>
        <w:shd w:val="clear" w:color="auto" w:fill="auto"/>
        <w:ind w:firstLine="480"/>
        <w:rPr>
          <w:rFonts w:hint="eastAsia"/>
          <w:highlight w:val="none"/>
        </w:rPr>
      </w:pPr>
      <w:r>
        <w:rPr>
          <w:rFonts w:hint="eastAsia"/>
          <w:highlight w:val="none"/>
        </w:rPr>
        <w:t>9.支持设置签名算法，RSA或SM2。</w:t>
      </w:r>
    </w:p>
    <w:p w14:paraId="2CD10C29">
      <w:pPr>
        <w:pStyle w:val="12"/>
        <w:shd w:val="clear" w:color="auto" w:fill="auto"/>
        <w:ind w:firstLine="480"/>
        <w:rPr>
          <w:rFonts w:hint="eastAsia"/>
          <w:highlight w:val="none"/>
        </w:rPr>
      </w:pPr>
      <w:r>
        <w:rPr>
          <w:rFonts w:hint="eastAsia"/>
          <w:highlight w:val="none"/>
        </w:rPr>
        <w:t>10.支持设置是否强制输入签名人姓名、证件信息。</w:t>
      </w:r>
    </w:p>
    <w:p w14:paraId="568308C2">
      <w:pPr>
        <w:pStyle w:val="12"/>
        <w:shd w:val="clear" w:color="auto" w:fill="auto"/>
        <w:ind w:firstLine="480"/>
        <w:rPr>
          <w:rFonts w:hint="eastAsia"/>
          <w:highlight w:val="none"/>
        </w:rPr>
      </w:pPr>
      <w:r>
        <w:rPr>
          <w:rFonts w:hint="eastAsia"/>
          <w:highlight w:val="none"/>
        </w:rPr>
        <w:t>11.支持配置采集的指纹、人像图片的质量，数值越大质量越高，图片越大。</w:t>
      </w:r>
    </w:p>
    <w:p w14:paraId="54C924FF">
      <w:pPr>
        <w:pStyle w:val="12"/>
        <w:shd w:val="clear" w:color="auto" w:fill="auto"/>
        <w:ind w:firstLine="480"/>
        <w:rPr>
          <w:rFonts w:hint="eastAsia"/>
          <w:highlight w:val="none"/>
        </w:rPr>
      </w:pPr>
      <w:r>
        <w:rPr>
          <w:rFonts w:hint="eastAsia"/>
          <w:highlight w:val="none"/>
        </w:rPr>
        <w:t>12.支持配置笔书写模式，分为等宽模式、笔锋模式。</w:t>
      </w:r>
    </w:p>
    <w:p w14:paraId="11658320">
      <w:pPr>
        <w:pStyle w:val="12"/>
        <w:shd w:val="clear" w:color="auto" w:fill="auto"/>
        <w:ind w:firstLine="480"/>
        <w:rPr>
          <w:rFonts w:hint="eastAsia"/>
          <w:highlight w:val="none"/>
        </w:rPr>
      </w:pPr>
      <w:r>
        <w:rPr>
          <w:rFonts w:hint="eastAsia"/>
          <w:highlight w:val="none"/>
        </w:rPr>
        <w:t>13.支持配置指纹采集模式，包括不采集、是否检测到指纹设备进行自动采集、必须采集、采集失败后自动跳过。</w:t>
      </w:r>
    </w:p>
    <w:p w14:paraId="112FEEF1">
      <w:pPr>
        <w:pStyle w:val="12"/>
        <w:shd w:val="clear" w:color="auto" w:fill="auto"/>
        <w:ind w:firstLine="480"/>
        <w:rPr>
          <w:rFonts w:hint="eastAsia"/>
          <w:highlight w:val="none"/>
        </w:rPr>
      </w:pPr>
      <w:r>
        <w:rPr>
          <w:rFonts w:hint="eastAsia"/>
          <w:highlight w:val="none"/>
        </w:rPr>
        <w:t>14.支持设置指纹图片颜色，并且可设置图片是否透明处理；可设置输出指纹图片格式包括jpg、gif、png。</w:t>
      </w:r>
    </w:p>
    <w:p w14:paraId="3905B98F">
      <w:pPr>
        <w:pStyle w:val="7"/>
        <w:rPr>
          <w:rFonts w:hint="eastAsia"/>
          <w:highlight w:val="none"/>
        </w:rPr>
      </w:pPr>
      <w:r>
        <w:rPr>
          <w:rFonts w:hint="eastAsia"/>
          <w:highlight w:val="none"/>
          <w:lang w:val="en-US" w:eastAsia="zh-CN"/>
        </w:rPr>
        <w:t xml:space="preserve"> </w:t>
      </w:r>
      <w:r>
        <w:rPr>
          <w:rFonts w:hint="eastAsia"/>
          <w:highlight w:val="none"/>
        </w:rPr>
        <w:t>手写信息数字签名板维护服务</w:t>
      </w:r>
    </w:p>
    <w:p w14:paraId="675D3221">
      <w:pPr>
        <w:pStyle w:val="12"/>
        <w:shd w:val="clear" w:color="auto" w:fill="auto"/>
        <w:ind w:firstLine="480"/>
        <w:rPr>
          <w:rFonts w:hint="eastAsia"/>
          <w:highlight w:val="none"/>
        </w:rPr>
      </w:pPr>
      <w:r>
        <w:rPr>
          <w:rFonts w:hint="eastAsia"/>
          <w:highlight w:val="none"/>
        </w:rPr>
        <w:t>为手写信息数字签名板签名人员提供第三方电子认证服务机构合法电子签名的保障，提供签名板</w:t>
      </w:r>
      <w:r>
        <w:rPr>
          <w:rFonts w:hint="eastAsia"/>
          <w:highlight w:val="none"/>
        </w:rPr>
        <w:t>与软件同等服务期</w:t>
      </w:r>
      <w:r>
        <w:rPr>
          <w:rFonts w:hint="eastAsia"/>
          <w:highlight w:val="none"/>
        </w:rPr>
        <w:t>电子签名服务使用期限，以及人工维护处理，技术维护处理。</w:t>
      </w:r>
    </w:p>
    <w:p w14:paraId="7E2A7282">
      <w:pPr>
        <w:pStyle w:val="7"/>
        <w:rPr>
          <w:rFonts w:hint="eastAsia"/>
          <w:highlight w:val="none"/>
        </w:rPr>
      </w:pPr>
      <w:r>
        <w:rPr>
          <w:rFonts w:hint="eastAsia"/>
          <w:highlight w:val="none"/>
          <w:lang w:val="en-US" w:eastAsia="zh-CN"/>
        </w:rPr>
        <w:t xml:space="preserve"> </w:t>
      </w:r>
      <w:r>
        <w:rPr>
          <w:rFonts w:hint="eastAsia"/>
          <w:highlight w:val="none"/>
        </w:rPr>
        <w:t>电子病历移动签署系统</w:t>
      </w:r>
    </w:p>
    <w:p w14:paraId="5D52D94B">
      <w:pPr>
        <w:pStyle w:val="12"/>
        <w:shd w:val="clear" w:color="auto" w:fill="auto"/>
        <w:ind w:firstLine="480"/>
        <w:rPr>
          <w:rFonts w:hint="eastAsia"/>
          <w:highlight w:val="none"/>
        </w:rPr>
      </w:pPr>
      <w:r>
        <w:rPr>
          <w:rFonts w:hint="eastAsia"/>
          <w:highlight w:val="none"/>
        </w:rPr>
        <w:t>1.支持对签署文件进行电子签名，采用第三方CA中心颁发的事件型证书，对签名人签署文件进行电子签名，确保签名的合法性、完整性。</w:t>
      </w:r>
    </w:p>
    <w:p w14:paraId="31BF1738">
      <w:pPr>
        <w:pStyle w:val="12"/>
        <w:shd w:val="clear" w:color="auto" w:fill="auto"/>
        <w:ind w:firstLine="480"/>
        <w:rPr>
          <w:rFonts w:hint="eastAsia"/>
          <w:highlight w:val="none"/>
        </w:rPr>
      </w:pPr>
      <w:r>
        <w:rPr>
          <w:rFonts w:hint="eastAsia"/>
          <w:highlight w:val="none"/>
        </w:rPr>
        <w:t>2.支持展示待签人员列表和待签份数，支持动态配置待签卡片信息如住院号、性别、年龄等内容。</w:t>
      </w:r>
    </w:p>
    <w:p w14:paraId="1E503A29">
      <w:pPr>
        <w:pStyle w:val="12"/>
        <w:shd w:val="clear" w:color="auto" w:fill="auto"/>
        <w:ind w:firstLine="480"/>
        <w:rPr>
          <w:rFonts w:hint="eastAsia"/>
          <w:highlight w:val="none"/>
        </w:rPr>
      </w:pPr>
      <w:r>
        <w:rPr>
          <w:rFonts w:hint="eastAsia"/>
          <w:highlight w:val="none"/>
        </w:rPr>
        <w:t>3.支持展示待签文书列表及其状态信息，文书信息包括文档名称、编号和推送日期，状态信息包括是否含有批注、是否缓存、是否更新等内容</w:t>
      </w:r>
    </w:p>
    <w:p w14:paraId="31B8C2A1">
      <w:pPr>
        <w:pStyle w:val="12"/>
        <w:shd w:val="clear" w:color="auto" w:fill="auto"/>
        <w:ind w:firstLine="480"/>
        <w:rPr>
          <w:rFonts w:hint="eastAsia"/>
          <w:highlight w:val="none"/>
        </w:rPr>
      </w:pPr>
      <w:r>
        <w:rPr>
          <w:rFonts w:hint="eastAsia"/>
          <w:highlight w:val="none"/>
        </w:rPr>
        <w:t>4.支持对已签人员和已签文书进行管理，可查看已签人员的文书及其详细签署内容。</w:t>
      </w:r>
    </w:p>
    <w:p w14:paraId="0476DE08">
      <w:pPr>
        <w:pStyle w:val="12"/>
        <w:shd w:val="clear" w:color="auto" w:fill="auto"/>
        <w:ind w:firstLine="480"/>
        <w:rPr>
          <w:rFonts w:hint="eastAsia"/>
          <w:highlight w:val="none"/>
        </w:rPr>
      </w:pPr>
      <w:r>
        <w:rPr>
          <w:rFonts w:hint="eastAsia"/>
          <w:highlight w:val="none"/>
        </w:rPr>
        <w:t>5.支持对本地缓存和签署失败文书左右分布方式可视化展示；支持删除本地缓存文书；支持一键恢复签署失败文书。</w:t>
      </w:r>
    </w:p>
    <w:p w14:paraId="429FE2C5">
      <w:pPr>
        <w:pStyle w:val="12"/>
        <w:shd w:val="clear" w:color="auto" w:fill="auto"/>
        <w:ind w:firstLine="480"/>
        <w:rPr>
          <w:rFonts w:hint="eastAsia"/>
          <w:highlight w:val="none"/>
        </w:rPr>
      </w:pPr>
      <w:r>
        <w:rPr>
          <w:rFonts w:hint="eastAsia"/>
          <w:highlight w:val="none"/>
        </w:rPr>
        <w:t>6.支持采集手写签名笔迹，通过显示屏采集签名人签名笔迹并实现电子签名功能,支持签名时加盖时间戳。</w:t>
      </w:r>
    </w:p>
    <w:p w14:paraId="4BDB2948">
      <w:pPr>
        <w:pStyle w:val="12"/>
        <w:shd w:val="clear" w:color="auto" w:fill="auto"/>
        <w:ind w:firstLine="480"/>
        <w:rPr>
          <w:rFonts w:hint="eastAsia"/>
          <w:highlight w:val="none"/>
        </w:rPr>
      </w:pPr>
      <w:r>
        <w:rPr>
          <w:rFonts w:hint="eastAsia"/>
          <w:highlight w:val="none"/>
        </w:rPr>
        <w:t>7.支持采集签名人生物信息，包括指纹信息和人像信息，形成签名行为证据链。采集人像时运用人像检测能力，要求采集到有效人像才可视为采集成功。</w:t>
      </w:r>
    </w:p>
    <w:p w14:paraId="4E4DAA0A">
      <w:pPr>
        <w:pStyle w:val="12"/>
        <w:shd w:val="clear" w:color="auto" w:fill="auto"/>
        <w:ind w:firstLine="480"/>
        <w:rPr>
          <w:rFonts w:hint="eastAsia"/>
          <w:highlight w:val="none"/>
        </w:rPr>
      </w:pPr>
      <w:r>
        <w:rPr>
          <w:rFonts w:hint="eastAsia"/>
          <w:highlight w:val="none"/>
        </w:rPr>
        <w:t>8.支持批注功能，具有一键抄录和手写抄录两种模式，一键抄录模式支持一键录入批注内容，抄写模式支持单字手写批注内容。</w:t>
      </w:r>
    </w:p>
    <w:p w14:paraId="2AA11793">
      <w:pPr>
        <w:pStyle w:val="12"/>
        <w:shd w:val="clear" w:color="auto" w:fill="auto"/>
        <w:ind w:firstLine="480"/>
        <w:rPr>
          <w:rFonts w:hint="eastAsia"/>
          <w:highlight w:val="none"/>
        </w:rPr>
      </w:pPr>
      <w:r>
        <w:rPr>
          <w:rFonts w:hint="eastAsia"/>
          <w:highlight w:val="none"/>
        </w:rPr>
        <w:t>9.支持签名人信息管理功能，包括历史签名人信息，签名时可选择历史签名人，修改和新增签名人。</w:t>
      </w:r>
    </w:p>
    <w:p w14:paraId="7D994B7C">
      <w:pPr>
        <w:pStyle w:val="12"/>
        <w:shd w:val="clear" w:color="auto" w:fill="auto"/>
        <w:ind w:firstLine="480"/>
        <w:rPr>
          <w:rFonts w:hint="eastAsia"/>
          <w:highlight w:val="none"/>
        </w:rPr>
      </w:pPr>
      <w:r>
        <w:rPr>
          <w:rFonts w:hint="eastAsia"/>
          <w:highlight w:val="none"/>
        </w:rPr>
        <w:t>10.支持通过手机号三要素、扫描二维码实名刷脸、身份证读卡器三种方式进行身份核验，身份核验方式可通过可视化管理界面进行配置。</w:t>
      </w:r>
    </w:p>
    <w:p w14:paraId="37A7C2FE">
      <w:pPr>
        <w:pStyle w:val="12"/>
        <w:shd w:val="clear" w:color="auto" w:fill="auto"/>
        <w:ind w:firstLine="480"/>
        <w:rPr>
          <w:rFonts w:hint="eastAsia"/>
          <w:highlight w:val="none"/>
        </w:rPr>
      </w:pPr>
      <w:r>
        <w:rPr>
          <w:rFonts w:hint="eastAsia"/>
          <w:highlight w:val="none"/>
        </w:rPr>
        <w:t>11.支持文书勾选功能，打开勾选模式可在文书任意模式下进行勾选。</w:t>
      </w:r>
    </w:p>
    <w:p w14:paraId="04F1CE53">
      <w:pPr>
        <w:pStyle w:val="12"/>
        <w:shd w:val="clear" w:color="auto" w:fill="auto"/>
        <w:ind w:firstLine="480"/>
        <w:rPr>
          <w:rFonts w:hint="eastAsia"/>
          <w:highlight w:val="none"/>
        </w:rPr>
      </w:pPr>
      <w:r>
        <w:rPr>
          <w:rFonts w:hint="eastAsia"/>
          <w:highlight w:val="none"/>
        </w:rPr>
        <w:t>12.支持画板功能，可对文书任意位置进行标注、画、写，支持撤销和清空。</w:t>
      </w:r>
    </w:p>
    <w:p w14:paraId="2AA767AA">
      <w:pPr>
        <w:pStyle w:val="12"/>
        <w:shd w:val="clear" w:color="auto" w:fill="auto"/>
        <w:ind w:firstLine="480"/>
        <w:rPr>
          <w:rFonts w:hint="eastAsia"/>
          <w:highlight w:val="none"/>
        </w:rPr>
      </w:pPr>
      <w:r>
        <w:rPr>
          <w:rFonts w:hint="eastAsia"/>
          <w:highlight w:val="none"/>
        </w:rPr>
        <w:t>13.支持搜索功能，在输入框中输入名字拼音英文字母或床位号进行搜索。</w:t>
      </w:r>
    </w:p>
    <w:p w14:paraId="29FFE1C2">
      <w:pPr>
        <w:pStyle w:val="5"/>
        <w:rPr>
          <w:rFonts w:hint="eastAsia"/>
          <w:highlight w:val="none"/>
        </w:rPr>
      </w:pPr>
      <w:r>
        <w:rPr>
          <w:rFonts w:hint="eastAsia"/>
          <w:highlight w:val="none"/>
          <w:lang w:val="en-US" w:eastAsia="zh-CN"/>
        </w:rPr>
        <w:t xml:space="preserve"> </w:t>
      </w:r>
      <w:r>
        <w:rPr>
          <w:rFonts w:hint="eastAsia"/>
          <w:highlight w:val="none"/>
        </w:rPr>
        <w:t>门诊应急系统</w:t>
      </w:r>
    </w:p>
    <w:p w14:paraId="1E120621">
      <w:pPr>
        <w:pStyle w:val="12"/>
        <w:shd w:val="clear" w:color="auto" w:fill="auto"/>
        <w:ind w:firstLine="480"/>
        <w:rPr>
          <w:rFonts w:hint="eastAsia"/>
          <w:highlight w:val="none"/>
        </w:rPr>
      </w:pPr>
      <w:r>
        <w:rPr>
          <w:rFonts w:hint="eastAsia"/>
          <w:highlight w:val="none"/>
        </w:rPr>
        <w:t>门诊应急系统的主要目的是确保医院门诊部门在应急事件发生时能够高效、稳定地提供医疗服务。确保患者的门诊就诊流程可以得到必要的保障，能够应对紧急情况，确保医院门诊部门能够在应急情况下继续运营，提供紧急医疗服务。</w:t>
      </w:r>
    </w:p>
    <w:p w14:paraId="3DBFCDA3">
      <w:pPr>
        <w:pStyle w:val="6"/>
        <w:rPr>
          <w:rFonts w:hint="eastAsia"/>
          <w:highlight w:val="none"/>
        </w:rPr>
      </w:pPr>
      <w:r>
        <w:rPr>
          <w:rFonts w:hint="eastAsia"/>
          <w:highlight w:val="none"/>
          <w:lang w:val="en-US" w:eastAsia="zh-CN"/>
        </w:rPr>
        <w:t xml:space="preserve"> </w:t>
      </w:r>
      <w:r>
        <w:rPr>
          <w:rFonts w:hint="eastAsia"/>
          <w:highlight w:val="none"/>
        </w:rPr>
        <w:t>应急与数据管理</w:t>
      </w:r>
    </w:p>
    <w:p w14:paraId="4B35A1A2">
      <w:pPr>
        <w:pStyle w:val="12"/>
        <w:shd w:val="clear" w:color="auto" w:fill="auto"/>
        <w:ind w:firstLine="480"/>
        <w:rPr>
          <w:rFonts w:hint="eastAsia"/>
          <w:highlight w:val="none"/>
        </w:rPr>
      </w:pPr>
      <w:bookmarkStart w:id="214" w:name="_Hlk200223741"/>
      <w:r>
        <w:rPr>
          <w:highlight w:val="none"/>
        </w:rPr>
        <w:t>支</w:t>
      </w:r>
      <w:r>
        <w:rPr>
          <w:rFonts w:hint="eastAsia"/>
          <w:highlight w:val="none"/>
        </w:rPr>
        <w:t>持挂号收费所需的主数据、字典、权限、配置参数等基础数据同步到门诊应急服务器；</w:t>
      </w:r>
    </w:p>
    <w:p w14:paraId="2756E862">
      <w:pPr>
        <w:pStyle w:val="12"/>
        <w:shd w:val="clear" w:color="auto" w:fill="auto"/>
        <w:ind w:firstLine="480"/>
        <w:rPr>
          <w:rFonts w:hint="eastAsia"/>
          <w:highlight w:val="none"/>
        </w:rPr>
      </w:pPr>
      <w:r>
        <w:rPr>
          <w:rFonts w:hint="eastAsia"/>
          <w:highlight w:val="none"/>
        </w:rPr>
        <w:t>支持应急期间产生的费用等业务数据回传至生产库，系统可实现便捷的上传控制，系统自动确保转换过程中生产库的数据一致性；</w:t>
      </w:r>
    </w:p>
    <w:p w14:paraId="354246D6">
      <w:pPr>
        <w:pStyle w:val="12"/>
        <w:shd w:val="clear" w:color="auto" w:fill="auto"/>
        <w:ind w:firstLine="480"/>
        <w:rPr>
          <w:rFonts w:hint="eastAsia"/>
          <w:highlight w:val="none"/>
        </w:rPr>
      </w:pPr>
      <w:r>
        <w:rPr>
          <w:rFonts w:hint="eastAsia"/>
          <w:highlight w:val="none"/>
        </w:rPr>
        <w:t>支持应急启停控制，设置应急库为开启状态后，应急系统才可以连接应急库并正常运行，关闭应急后，系统自动断开应急服务连接。</w:t>
      </w:r>
    </w:p>
    <w:bookmarkEnd w:id="214"/>
    <w:p w14:paraId="771BCEDC">
      <w:pPr>
        <w:pStyle w:val="6"/>
        <w:rPr>
          <w:rFonts w:hint="eastAsia"/>
          <w:highlight w:val="none"/>
        </w:rPr>
      </w:pPr>
      <w:r>
        <w:rPr>
          <w:rFonts w:hint="eastAsia"/>
          <w:highlight w:val="none"/>
          <w:lang w:val="en-US" w:eastAsia="zh-CN"/>
        </w:rPr>
        <w:t xml:space="preserve"> </w:t>
      </w:r>
      <w:r>
        <w:rPr>
          <w:rFonts w:hint="eastAsia"/>
          <w:highlight w:val="none"/>
        </w:rPr>
        <w:t>门急诊应急挂号</w:t>
      </w:r>
    </w:p>
    <w:p w14:paraId="09393F71">
      <w:pPr>
        <w:pStyle w:val="12"/>
        <w:shd w:val="clear" w:color="auto" w:fill="auto"/>
        <w:ind w:firstLine="480"/>
        <w:rPr>
          <w:rFonts w:hint="eastAsia"/>
          <w:highlight w:val="none"/>
        </w:rPr>
      </w:pPr>
      <w:bookmarkStart w:id="215" w:name="_Hlk200223901"/>
      <w:r>
        <w:rPr>
          <w:rFonts w:hint="eastAsia"/>
          <w:highlight w:val="none"/>
        </w:rPr>
        <w:t>支持自费患者挂号，可选择挂号科室、挂号类别、挂号医生、午别等信息进行挂号，同时打印挂号凭条。</w:t>
      </w:r>
    </w:p>
    <w:p w14:paraId="385CC6B4">
      <w:pPr>
        <w:pStyle w:val="12"/>
        <w:shd w:val="clear" w:color="auto" w:fill="auto"/>
        <w:ind w:firstLine="480"/>
        <w:rPr>
          <w:rFonts w:hint="eastAsia"/>
          <w:highlight w:val="none"/>
        </w:rPr>
      </w:pPr>
      <w:r>
        <w:rPr>
          <w:rFonts w:hint="eastAsia"/>
          <w:highlight w:val="none"/>
        </w:rPr>
        <w:t>可通过输入就诊卡号进行退号操作。</w:t>
      </w:r>
    </w:p>
    <w:p w14:paraId="5ECC8473">
      <w:pPr>
        <w:pStyle w:val="12"/>
        <w:shd w:val="clear" w:color="auto" w:fill="auto"/>
        <w:ind w:firstLine="480"/>
        <w:rPr>
          <w:rFonts w:hint="eastAsia"/>
          <w:highlight w:val="none"/>
        </w:rPr>
      </w:pPr>
      <w:r>
        <w:rPr>
          <w:rFonts w:hint="eastAsia"/>
          <w:highlight w:val="none"/>
        </w:rPr>
        <w:t>支持挂号信息的查询统计功能，可通过时间段、科室等信息查询挂号明细以及汇总信息。</w:t>
      </w:r>
    </w:p>
    <w:p w14:paraId="2F1A7012">
      <w:pPr>
        <w:pStyle w:val="12"/>
        <w:shd w:val="clear" w:color="auto" w:fill="auto"/>
        <w:ind w:firstLine="480"/>
        <w:rPr>
          <w:rFonts w:hint="eastAsia"/>
          <w:highlight w:val="none"/>
        </w:rPr>
      </w:pPr>
      <w:r>
        <w:rPr>
          <w:rFonts w:hint="eastAsia"/>
          <w:highlight w:val="none"/>
        </w:rPr>
        <w:t>支持专科与专家的门诊排班维护。</w:t>
      </w:r>
    </w:p>
    <w:p w14:paraId="5B7D89B6">
      <w:pPr>
        <w:pStyle w:val="12"/>
        <w:shd w:val="clear" w:color="auto" w:fill="auto"/>
        <w:ind w:firstLine="480"/>
        <w:rPr>
          <w:rFonts w:hint="eastAsia"/>
          <w:highlight w:val="none"/>
        </w:rPr>
      </w:pPr>
      <w:r>
        <w:rPr>
          <w:rFonts w:hint="eastAsia"/>
          <w:highlight w:val="none"/>
        </w:rPr>
        <w:t>支持挂号发票打印与重打功能。</w:t>
      </w:r>
    </w:p>
    <w:bookmarkEnd w:id="215"/>
    <w:p w14:paraId="3F1B01C8">
      <w:pPr>
        <w:pStyle w:val="6"/>
        <w:rPr>
          <w:rFonts w:hint="eastAsia"/>
          <w:highlight w:val="none"/>
        </w:rPr>
      </w:pPr>
      <w:r>
        <w:rPr>
          <w:rFonts w:hint="eastAsia"/>
          <w:highlight w:val="none"/>
          <w:lang w:val="en-US" w:eastAsia="zh-CN"/>
        </w:rPr>
        <w:t xml:space="preserve"> </w:t>
      </w:r>
      <w:r>
        <w:rPr>
          <w:rFonts w:hint="eastAsia"/>
          <w:highlight w:val="none"/>
        </w:rPr>
        <w:t>门急诊应急收费</w:t>
      </w:r>
    </w:p>
    <w:p w14:paraId="4B76DB95">
      <w:pPr>
        <w:pStyle w:val="12"/>
        <w:shd w:val="clear" w:color="auto" w:fill="auto"/>
        <w:ind w:firstLine="480"/>
        <w:rPr>
          <w:rFonts w:hint="eastAsia"/>
          <w:highlight w:val="none"/>
        </w:rPr>
      </w:pPr>
      <w:bookmarkStart w:id="216" w:name="_Hlk200223970"/>
      <w:r>
        <w:rPr>
          <w:highlight w:val="none"/>
        </w:rPr>
        <w:t>支</w:t>
      </w:r>
      <w:r>
        <w:rPr>
          <w:rFonts w:hint="eastAsia"/>
          <w:highlight w:val="none"/>
        </w:rPr>
        <w:t>持手工划价收费功能，输入门诊号，可自动检索患者挂号信息，通过名称或检索码等进行药品与非药品项目检索开立，可录入开方科室、开方医生、药品</w:t>
      </w:r>
      <w:r>
        <w:rPr>
          <w:highlight w:val="none"/>
        </w:rPr>
        <w:t>/非药品、开立数量、用法、频次等关键处方信息；</w:t>
      </w:r>
    </w:p>
    <w:p w14:paraId="0D4B10C5">
      <w:pPr>
        <w:pStyle w:val="12"/>
        <w:shd w:val="clear" w:color="auto" w:fill="auto"/>
        <w:ind w:firstLine="480"/>
        <w:rPr>
          <w:rFonts w:hint="eastAsia"/>
          <w:highlight w:val="none"/>
        </w:rPr>
      </w:pPr>
      <w:r>
        <w:rPr>
          <w:rFonts w:hint="eastAsia"/>
          <w:highlight w:val="none"/>
        </w:rPr>
        <w:t>支持门诊退费功能，可选择应急收费期间已收费的药品</w:t>
      </w:r>
      <w:r>
        <w:rPr>
          <w:highlight w:val="none"/>
        </w:rPr>
        <w:t>/非药品项目进行退费处理；</w:t>
      </w:r>
    </w:p>
    <w:p w14:paraId="0A1056C7">
      <w:pPr>
        <w:pStyle w:val="12"/>
        <w:shd w:val="clear" w:color="auto" w:fill="auto"/>
        <w:ind w:firstLine="480"/>
        <w:rPr>
          <w:rFonts w:hint="eastAsia"/>
          <w:highlight w:val="none"/>
        </w:rPr>
      </w:pPr>
      <w:r>
        <w:rPr>
          <w:rFonts w:hint="eastAsia"/>
          <w:highlight w:val="none"/>
        </w:rPr>
        <w:t>支持收费查询功能，可对应急收费期间的门诊收费数据进行汇总、明细查询，可按患者、时间段等信息进行查询；</w:t>
      </w:r>
    </w:p>
    <w:p w14:paraId="6A62113B">
      <w:pPr>
        <w:pStyle w:val="12"/>
        <w:shd w:val="clear" w:color="auto" w:fill="auto"/>
        <w:ind w:firstLine="480"/>
        <w:rPr>
          <w:rFonts w:hint="eastAsia"/>
          <w:highlight w:val="none"/>
        </w:rPr>
      </w:pPr>
      <w:r>
        <w:rPr>
          <w:rFonts w:hint="eastAsia"/>
          <w:highlight w:val="none"/>
        </w:rPr>
        <w:t>支持门诊收费发票打印与重打功能</w:t>
      </w:r>
      <w:bookmarkEnd w:id="216"/>
      <w:r>
        <w:rPr>
          <w:rFonts w:hint="eastAsia"/>
          <w:highlight w:val="none"/>
        </w:rPr>
        <w:t>。</w:t>
      </w:r>
    </w:p>
    <w:p w14:paraId="7EE1364E">
      <w:pPr>
        <w:pStyle w:val="5"/>
        <w:rPr>
          <w:rFonts w:hint="eastAsia"/>
          <w:highlight w:val="none"/>
        </w:rPr>
      </w:pPr>
      <w:r>
        <w:rPr>
          <w:rFonts w:hint="eastAsia"/>
          <w:highlight w:val="none"/>
          <w:lang w:val="en-US" w:eastAsia="zh-CN"/>
        </w:rPr>
        <w:t xml:space="preserve"> </w:t>
      </w:r>
      <w:r>
        <w:rPr>
          <w:rFonts w:hint="eastAsia"/>
          <w:highlight w:val="none"/>
        </w:rPr>
        <w:t>科研管理系统</w:t>
      </w:r>
    </w:p>
    <w:p w14:paraId="3602F382">
      <w:pPr>
        <w:pStyle w:val="6"/>
        <w:rPr>
          <w:rFonts w:hint="eastAsia"/>
          <w:highlight w:val="none"/>
        </w:rPr>
      </w:pPr>
      <w:r>
        <w:rPr>
          <w:rFonts w:hint="eastAsia"/>
          <w:highlight w:val="none"/>
          <w:lang w:val="en-US" w:eastAsia="zh-CN"/>
        </w:rPr>
        <w:t xml:space="preserve"> </w:t>
      </w:r>
      <w:r>
        <w:rPr>
          <w:rFonts w:hint="eastAsia"/>
          <w:highlight w:val="none"/>
        </w:rPr>
        <w:t>技术要求</w:t>
      </w:r>
    </w:p>
    <w:p w14:paraId="1E6790F8">
      <w:pPr>
        <w:pStyle w:val="12"/>
        <w:shd w:val="clear" w:color="auto" w:fill="auto"/>
        <w:ind w:firstLine="480"/>
        <w:rPr>
          <w:rFonts w:hint="eastAsia"/>
          <w:highlight w:val="none"/>
        </w:rPr>
      </w:pPr>
      <w:r>
        <w:rPr>
          <w:rFonts w:hint="eastAsia"/>
          <w:highlight w:val="none"/>
        </w:rPr>
        <w:t>系统记录行为与数据日志，采用B/S架构，兼容Chrome等主流浏览器；编程语言跨平台，接口支持Web API、XML、WebService。数据库支持SQL Server 2019及以上，并可连接MySQL、Oracle、Db2等第三方系统视图；同时兼容国产麒麟操作系统与达梦数据库。</w:t>
      </w:r>
    </w:p>
    <w:p w14:paraId="37004069">
      <w:pPr>
        <w:pStyle w:val="6"/>
        <w:rPr>
          <w:rFonts w:hint="eastAsia"/>
          <w:highlight w:val="none"/>
        </w:rPr>
      </w:pPr>
      <w:r>
        <w:rPr>
          <w:rFonts w:hint="eastAsia"/>
          <w:highlight w:val="none"/>
          <w:lang w:val="en-US" w:eastAsia="zh-CN"/>
        </w:rPr>
        <w:t xml:space="preserve"> </w:t>
      </w:r>
      <w:r>
        <w:rPr>
          <w:rFonts w:hint="eastAsia"/>
          <w:highlight w:val="none"/>
        </w:rPr>
        <w:t>科研管理部分</w:t>
      </w:r>
    </w:p>
    <w:p w14:paraId="1635E36B">
      <w:pPr>
        <w:pStyle w:val="7"/>
        <w:rPr>
          <w:rFonts w:hint="eastAsia"/>
          <w:highlight w:val="none"/>
        </w:rPr>
      </w:pPr>
      <w:r>
        <w:rPr>
          <w:rFonts w:hint="eastAsia"/>
          <w:highlight w:val="none"/>
          <w:lang w:val="en-US" w:eastAsia="zh-CN"/>
        </w:rPr>
        <w:t xml:space="preserve"> </w:t>
      </w:r>
      <w:r>
        <w:rPr>
          <w:rFonts w:hint="eastAsia"/>
          <w:highlight w:val="none"/>
        </w:rPr>
        <w:t>系统权限</w:t>
      </w:r>
    </w:p>
    <w:p w14:paraId="029C10DE">
      <w:pPr>
        <w:pStyle w:val="12"/>
        <w:shd w:val="clear" w:color="auto" w:fill="auto"/>
        <w:ind w:firstLine="480"/>
        <w:rPr>
          <w:rFonts w:hint="eastAsia"/>
          <w:highlight w:val="none"/>
        </w:rPr>
      </w:pPr>
      <w:r>
        <w:rPr>
          <w:rFonts w:hint="eastAsia"/>
          <w:highlight w:val="none"/>
        </w:rPr>
        <w:t>使用系统的基本角色包括系统管理员、医院管理员、评审专家、项目负责人、财务、分管领导。不同的角色具有不同的权限，系统能够根据角色权限显示该角色对应的功能以及权限范围内的数据，同时管理员能够对角色的功能进行动态调整。</w:t>
      </w:r>
    </w:p>
    <w:p w14:paraId="01E6ABEA">
      <w:pPr>
        <w:pStyle w:val="7"/>
        <w:rPr>
          <w:rFonts w:hint="eastAsia"/>
          <w:highlight w:val="none"/>
        </w:rPr>
      </w:pPr>
      <w:r>
        <w:rPr>
          <w:rFonts w:hint="eastAsia"/>
          <w:highlight w:val="none"/>
          <w:lang w:val="en-US" w:eastAsia="zh-CN"/>
        </w:rPr>
        <w:t xml:space="preserve"> </w:t>
      </w:r>
      <w:r>
        <w:rPr>
          <w:rFonts w:hint="eastAsia"/>
          <w:highlight w:val="none"/>
        </w:rPr>
        <w:t>系统管理</w:t>
      </w:r>
    </w:p>
    <w:p w14:paraId="6C5605C1">
      <w:pPr>
        <w:pStyle w:val="12"/>
        <w:shd w:val="clear" w:color="auto" w:fill="auto"/>
        <w:ind w:firstLine="480"/>
        <w:rPr>
          <w:rFonts w:hint="eastAsia"/>
          <w:highlight w:val="none"/>
        </w:rPr>
      </w:pPr>
      <w:r>
        <w:rPr>
          <w:rFonts w:hint="eastAsia"/>
          <w:highlight w:val="none"/>
        </w:rPr>
        <w:t>人员管理：管理用户账号、基本信息及权限，支持批量导入和密码初始化。</w:t>
      </w:r>
    </w:p>
    <w:p w14:paraId="0AC184F2">
      <w:pPr>
        <w:pStyle w:val="12"/>
        <w:shd w:val="clear" w:color="auto" w:fill="auto"/>
        <w:ind w:firstLine="480"/>
        <w:rPr>
          <w:rFonts w:hint="eastAsia"/>
          <w:highlight w:val="none"/>
        </w:rPr>
      </w:pPr>
      <w:r>
        <w:rPr>
          <w:rFonts w:hint="eastAsia"/>
          <w:highlight w:val="none"/>
        </w:rPr>
        <w:t>角色管理：动态分配系统角色权限，包括管理员、专家、负责人等。</w:t>
      </w:r>
    </w:p>
    <w:p w14:paraId="6AC3DAE2">
      <w:pPr>
        <w:pStyle w:val="12"/>
        <w:shd w:val="clear" w:color="auto" w:fill="auto"/>
        <w:ind w:firstLine="480"/>
        <w:rPr>
          <w:rFonts w:hint="eastAsia"/>
          <w:highlight w:val="none"/>
        </w:rPr>
      </w:pPr>
      <w:r>
        <w:rPr>
          <w:rFonts w:hint="eastAsia"/>
          <w:highlight w:val="none"/>
        </w:rPr>
        <w:t>科室管理：维护科室信息。</w:t>
      </w:r>
    </w:p>
    <w:p w14:paraId="49FB08AA">
      <w:pPr>
        <w:pStyle w:val="12"/>
        <w:shd w:val="clear" w:color="auto" w:fill="auto"/>
        <w:ind w:firstLine="480"/>
        <w:rPr>
          <w:rFonts w:hint="eastAsia"/>
          <w:highlight w:val="none"/>
        </w:rPr>
      </w:pPr>
      <w:r>
        <w:rPr>
          <w:rFonts w:hint="eastAsia"/>
          <w:highlight w:val="none"/>
        </w:rPr>
        <w:t>菜单字典管理：维护系统菜单与字典，支持业务参数动态调整。</w:t>
      </w:r>
    </w:p>
    <w:p w14:paraId="43467CAC">
      <w:pPr>
        <w:pStyle w:val="12"/>
        <w:shd w:val="clear" w:color="auto" w:fill="auto"/>
        <w:ind w:firstLine="480"/>
        <w:rPr>
          <w:rFonts w:hint="eastAsia"/>
          <w:highlight w:val="none"/>
        </w:rPr>
      </w:pPr>
      <w:r>
        <w:rPr>
          <w:rFonts w:hint="eastAsia"/>
          <w:highlight w:val="none"/>
        </w:rPr>
        <w:t>系统日志：记录关键操作，可查操作人、时间及内容。</w:t>
      </w:r>
    </w:p>
    <w:p w14:paraId="4B299C33">
      <w:pPr>
        <w:pStyle w:val="7"/>
        <w:rPr>
          <w:rFonts w:hint="eastAsia"/>
          <w:highlight w:val="none"/>
        </w:rPr>
      </w:pPr>
      <w:r>
        <w:rPr>
          <w:rFonts w:hint="eastAsia"/>
          <w:highlight w:val="none"/>
          <w:lang w:val="en-US" w:eastAsia="zh-CN"/>
        </w:rPr>
        <w:t xml:space="preserve"> </w:t>
      </w:r>
      <w:r>
        <w:rPr>
          <w:rFonts w:hint="eastAsia"/>
          <w:highlight w:val="none"/>
        </w:rPr>
        <w:t>个人工作台</w:t>
      </w:r>
    </w:p>
    <w:p w14:paraId="030513C7">
      <w:pPr>
        <w:pStyle w:val="12"/>
        <w:shd w:val="clear" w:color="auto" w:fill="auto"/>
        <w:ind w:firstLine="480"/>
        <w:rPr>
          <w:rFonts w:hint="eastAsia"/>
          <w:highlight w:val="none"/>
        </w:rPr>
      </w:pPr>
      <w:r>
        <w:rPr>
          <w:rFonts w:hint="eastAsia"/>
          <w:highlight w:val="none"/>
        </w:rPr>
        <w:t>包括我的待办工作，通知公告，工作提醒、个人信息，我的项目等。能够通过工作台分类显示在研项目基本信息，能够点击项目名称进入项目详细描述页面。项目描述能够通过目录、导航、进度条、文字描述等多种方式展现项目内容</w:t>
      </w:r>
      <w:r>
        <w:rPr>
          <w:rFonts w:hint="eastAsia"/>
          <w:highlight w:val="none"/>
        </w:rPr>
        <w:t>。</w:t>
      </w:r>
    </w:p>
    <w:p w14:paraId="19E730CB">
      <w:pPr>
        <w:pStyle w:val="7"/>
        <w:rPr>
          <w:rFonts w:hint="eastAsia"/>
          <w:highlight w:val="none"/>
        </w:rPr>
      </w:pPr>
      <w:r>
        <w:rPr>
          <w:rFonts w:hint="eastAsia"/>
          <w:highlight w:val="none"/>
          <w:lang w:val="en-US" w:eastAsia="zh-CN"/>
        </w:rPr>
        <w:t xml:space="preserve"> </w:t>
      </w:r>
      <w:r>
        <w:rPr>
          <w:rFonts w:hint="eastAsia"/>
          <w:highlight w:val="none"/>
        </w:rPr>
        <w:t>科研管理</w:t>
      </w:r>
    </w:p>
    <w:p w14:paraId="5B941B0A">
      <w:pPr>
        <w:pStyle w:val="8"/>
        <w:rPr>
          <w:rFonts w:hint="eastAsia"/>
          <w:highlight w:val="none"/>
        </w:rPr>
      </w:pPr>
      <w:r>
        <w:rPr>
          <w:rFonts w:hint="eastAsia"/>
          <w:highlight w:val="none"/>
          <w:lang w:val="en-US" w:eastAsia="zh-CN"/>
        </w:rPr>
        <w:t xml:space="preserve"> </w:t>
      </w:r>
      <w:r>
        <w:rPr>
          <w:rFonts w:hint="eastAsia"/>
          <w:highlight w:val="none"/>
        </w:rPr>
        <w:t>项目类型</w:t>
      </w:r>
    </w:p>
    <w:p w14:paraId="140DCDD1">
      <w:pPr>
        <w:pStyle w:val="12"/>
        <w:shd w:val="clear" w:color="auto" w:fill="auto"/>
        <w:ind w:firstLine="480"/>
        <w:rPr>
          <w:rFonts w:hint="eastAsia"/>
          <w:highlight w:val="none"/>
        </w:rPr>
      </w:pPr>
      <w:r>
        <w:rPr>
          <w:rFonts w:hint="eastAsia"/>
          <w:highlight w:val="none"/>
        </w:rPr>
        <w:t>项目分为科研项目、重点人才项目、重点专科项目三类，系统能够对三种项目进行分类管理，独立菜单模块，根据类型提供不同的项目信息表单。</w:t>
      </w:r>
    </w:p>
    <w:p w14:paraId="3E8AC7F1">
      <w:pPr>
        <w:pStyle w:val="8"/>
        <w:rPr>
          <w:rFonts w:hint="eastAsia"/>
          <w:highlight w:val="none"/>
        </w:rPr>
      </w:pPr>
      <w:r>
        <w:rPr>
          <w:rFonts w:hint="eastAsia"/>
          <w:highlight w:val="none"/>
          <w:lang w:val="en-US" w:eastAsia="zh-CN"/>
        </w:rPr>
        <w:t xml:space="preserve"> </w:t>
      </w:r>
      <w:r>
        <w:rPr>
          <w:rFonts w:hint="eastAsia"/>
          <w:highlight w:val="none"/>
        </w:rPr>
        <w:t>项目过程</w:t>
      </w:r>
    </w:p>
    <w:p w14:paraId="7E76DFA0">
      <w:pPr>
        <w:pStyle w:val="12"/>
        <w:shd w:val="clear" w:color="auto" w:fill="auto"/>
        <w:ind w:firstLine="480"/>
        <w:rPr>
          <w:rFonts w:hint="eastAsia"/>
          <w:highlight w:val="none"/>
        </w:rPr>
      </w:pPr>
      <w:r>
        <w:rPr>
          <w:rFonts w:hint="eastAsia"/>
          <w:highlight w:val="none"/>
        </w:rPr>
        <w:t>对科研项目实行全过程管理，涵盖申报、评审、立项、执行和结题五个阶段。项目负责人和管理人员通过系统按权限开展工作。</w:t>
      </w:r>
    </w:p>
    <w:p w14:paraId="213C01BA">
      <w:pPr>
        <w:pStyle w:val="12"/>
        <w:shd w:val="clear" w:color="auto" w:fill="auto"/>
        <w:ind w:firstLine="480"/>
        <w:rPr>
          <w:rFonts w:hint="eastAsia"/>
          <w:highlight w:val="none"/>
        </w:rPr>
      </w:pPr>
      <w:r>
        <w:rPr>
          <w:rFonts w:hint="eastAsia"/>
          <w:highlight w:val="none"/>
        </w:rPr>
        <w:t>立项申报：项目负责人在线填写项目基本信息、申请表及预算方案，管理人员进行审核并填写意见。</w:t>
      </w:r>
    </w:p>
    <w:p w14:paraId="3E6FAE5E">
      <w:pPr>
        <w:pStyle w:val="12"/>
        <w:shd w:val="clear" w:color="auto" w:fill="auto"/>
        <w:ind w:firstLine="480"/>
        <w:rPr>
          <w:rFonts w:hint="eastAsia"/>
          <w:highlight w:val="none"/>
        </w:rPr>
      </w:pPr>
      <w:r>
        <w:rPr>
          <w:rFonts w:hint="eastAsia"/>
          <w:highlight w:val="none"/>
        </w:rPr>
        <w:t>项目评审：初审通过后，系统从专家库随机抽取专家进行在线评分，成绩自动统计并按规则计算，作为是否立项的依据。</w:t>
      </w:r>
    </w:p>
    <w:p w14:paraId="32A51303">
      <w:pPr>
        <w:pStyle w:val="12"/>
        <w:shd w:val="clear" w:color="auto" w:fill="auto"/>
        <w:ind w:firstLine="480"/>
        <w:rPr>
          <w:rFonts w:hint="eastAsia"/>
          <w:highlight w:val="none"/>
        </w:rPr>
      </w:pPr>
      <w:r>
        <w:rPr>
          <w:rFonts w:hint="eastAsia"/>
          <w:highlight w:val="none"/>
        </w:rPr>
        <w:t>项目立项：评审通过后，负责人确认立项信息，经管理员审核后完成立项。</w:t>
      </w:r>
    </w:p>
    <w:p w14:paraId="33DDE51A">
      <w:pPr>
        <w:pStyle w:val="12"/>
        <w:shd w:val="clear" w:color="auto" w:fill="auto"/>
        <w:ind w:firstLine="480"/>
        <w:rPr>
          <w:rFonts w:hint="eastAsia"/>
          <w:highlight w:val="none"/>
        </w:rPr>
      </w:pPr>
      <w:r>
        <w:rPr>
          <w:rFonts w:hint="eastAsia"/>
          <w:highlight w:val="none"/>
        </w:rPr>
        <w:t>项目执行：包括进度反馈、中期检查和项目变更。负责人定期提交研究进展和经费使用情况，与原计划对比展示；中期检查按要求填报材料；如需延期或终止，须提交申请及相关附件。所有内容以表单和附件形式提交，支持word、excel、ppt、txt等格式在线查看，且附件有大小限制。执行过程可设置多级审批流程。</w:t>
      </w:r>
    </w:p>
    <w:p w14:paraId="639D38CE">
      <w:pPr>
        <w:pStyle w:val="12"/>
        <w:shd w:val="clear" w:color="auto" w:fill="auto"/>
        <w:ind w:firstLine="480"/>
        <w:rPr>
          <w:rFonts w:hint="eastAsia"/>
          <w:highlight w:val="none"/>
        </w:rPr>
      </w:pPr>
      <w:r>
        <w:rPr>
          <w:rFonts w:hint="eastAsia"/>
          <w:highlight w:val="none"/>
        </w:rPr>
        <w:t>项目结题：项目完成后，负责人提交结题申请和材料，管理人员在线审核，支持常见文件格式查看，并受附件大小限制。</w:t>
      </w:r>
    </w:p>
    <w:p w14:paraId="6942DA50">
      <w:pPr>
        <w:pStyle w:val="8"/>
        <w:rPr>
          <w:rFonts w:hint="eastAsia"/>
          <w:highlight w:val="none"/>
        </w:rPr>
      </w:pPr>
      <w:r>
        <w:rPr>
          <w:rFonts w:hint="eastAsia"/>
          <w:highlight w:val="none"/>
          <w:lang w:val="en-US" w:eastAsia="zh-CN"/>
        </w:rPr>
        <w:t xml:space="preserve"> </w:t>
      </w:r>
      <w:r>
        <w:rPr>
          <w:rFonts w:hint="eastAsia"/>
          <w:highlight w:val="none"/>
        </w:rPr>
        <w:t>经费管理</w:t>
      </w:r>
    </w:p>
    <w:p w14:paraId="07B31018">
      <w:pPr>
        <w:pStyle w:val="12"/>
        <w:shd w:val="clear" w:color="auto" w:fill="auto"/>
        <w:ind w:firstLine="480"/>
        <w:rPr>
          <w:rFonts w:hint="eastAsia"/>
          <w:highlight w:val="none"/>
        </w:rPr>
      </w:pPr>
      <w:r>
        <w:rPr>
          <w:rFonts w:hint="eastAsia"/>
          <w:highlight w:val="none"/>
        </w:rPr>
        <w:t>预算与经费管理功能简述：</w:t>
      </w:r>
    </w:p>
    <w:p w14:paraId="5955DA01">
      <w:pPr>
        <w:pStyle w:val="12"/>
        <w:shd w:val="clear" w:color="auto" w:fill="auto"/>
        <w:ind w:firstLine="480"/>
        <w:rPr>
          <w:rFonts w:hint="eastAsia"/>
          <w:highlight w:val="none"/>
        </w:rPr>
      </w:pPr>
      <w:r>
        <w:rPr>
          <w:rFonts w:hint="eastAsia"/>
          <w:highlight w:val="none"/>
        </w:rPr>
        <w:t>1.预算管理：为项目设置总预算及年度预算，经费使用受年度预算控制，超支不可使用；项目负责人每年可调整次年预算，经管理员审核后生效。</w:t>
      </w:r>
    </w:p>
    <w:p w14:paraId="1B6E374C">
      <w:pPr>
        <w:pStyle w:val="12"/>
        <w:shd w:val="clear" w:color="auto" w:fill="auto"/>
        <w:ind w:firstLine="480"/>
        <w:rPr>
          <w:rFonts w:hint="eastAsia"/>
          <w:highlight w:val="none"/>
        </w:rPr>
      </w:pPr>
      <w:r>
        <w:rPr>
          <w:rFonts w:hint="eastAsia"/>
          <w:highlight w:val="none"/>
        </w:rPr>
        <w:t>2.经费项管理：统一维护经费项目，支持按项目来源创建预算模板，模板中设定各项经费的上限比例，填报时不得超过比例限制。</w:t>
      </w:r>
    </w:p>
    <w:p w14:paraId="2A303E48">
      <w:pPr>
        <w:pStyle w:val="12"/>
        <w:shd w:val="clear" w:color="auto" w:fill="auto"/>
        <w:ind w:firstLine="480"/>
        <w:rPr>
          <w:rFonts w:hint="eastAsia"/>
          <w:highlight w:val="none"/>
        </w:rPr>
      </w:pPr>
      <w:r>
        <w:rPr>
          <w:rFonts w:hint="eastAsia"/>
          <w:highlight w:val="none"/>
        </w:rPr>
        <w:t>3.到账管理：记录到账金额、方式等信息，仅到账经费可用于报销。</w:t>
      </w:r>
    </w:p>
    <w:p w14:paraId="186C16C2">
      <w:pPr>
        <w:pStyle w:val="12"/>
        <w:shd w:val="clear" w:color="auto" w:fill="auto"/>
        <w:ind w:firstLine="480"/>
        <w:rPr>
          <w:rFonts w:hint="eastAsia"/>
          <w:highlight w:val="none"/>
        </w:rPr>
      </w:pPr>
      <w:r>
        <w:rPr>
          <w:rFonts w:hint="eastAsia"/>
          <w:highlight w:val="none"/>
        </w:rPr>
        <w:t>4.管理费管理：系统按比例自动扣除项目管理费，到账金额自动扣减。</w:t>
      </w:r>
    </w:p>
    <w:p w14:paraId="6F3B52D8">
      <w:pPr>
        <w:pStyle w:val="12"/>
        <w:shd w:val="clear" w:color="auto" w:fill="auto"/>
        <w:ind w:firstLine="480"/>
        <w:rPr>
          <w:rFonts w:hint="eastAsia"/>
          <w:highlight w:val="none"/>
        </w:rPr>
      </w:pPr>
      <w:r>
        <w:rPr>
          <w:rFonts w:hint="eastAsia"/>
          <w:highlight w:val="none"/>
        </w:rPr>
        <w:t>5.报销管理：项目负责人提交报销申请，注明经费类型、金额、用途等，按预设流程逐级审批。</w:t>
      </w:r>
    </w:p>
    <w:p w14:paraId="567CCF7E">
      <w:pPr>
        <w:pStyle w:val="12"/>
        <w:shd w:val="clear" w:color="auto" w:fill="auto"/>
        <w:ind w:firstLine="480"/>
        <w:rPr>
          <w:rFonts w:hint="eastAsia"/>
          <w:highlight w:val="none"/>
        </w:rPr>
      </w:pPr>
      <w:r>
        <w:rPr>
          <w:rFonts w:hint="eastAsia"/>
          <w:highlight w:val="none"/>
        </w:rPr>
        <w:t>6.经费查询：支持按项目名称、编号、负责人等条件查询，显示预算、已用、剩余金额及经费使用流水。</w:t>
      </w:r>
    </w:p>
    <w:p w14:paraId="3D1516D1">
      <w:pPr>
        <w:pStyle w:val="8"/>
        <w:rPr>
          <w:rFonts w:hint="eastAsia"/>
          <w:highlight w:val="none"/>
        </w:rPr>
      </w:pPr>
      <w:r>
        <w:rPr>
          <w:rFonts w:hint="eastAsia"/>
          <w:highlight w:val="none"/>
          <w:lang w:val="en-US" w:eastAsia="zh-CN"/>
        </w:rPr>
        <w:t xml:space="preserve"> </w:t>
      </w:r>
      <w:r>
        <w:rPr>
          <w:rFonts w:hint="eastAsia"/>
          <w:highlight w:val="none"/>
        </w:rPr>
        <w:t>成果管理</w:t>
      </w:r>
    </w:p>
    <w:p w14:paraId="77A2E1B8">
      <w:pPr>
        <w:pStyle w:val="12"/>
        <w:shd w:val="clear" w:color="auto" w:fill="auto"/>
        <w:ind w:firstLine="480"/>
        <w:rPr>
          <w:rFonts w:hint="eastAsia"/>
          <w:highlight w:val="none"/>
        </w:rPr>
      </w:pPr>
      <w:r>
        <w:rPr>
          <w:rFonts w:hint="eastAsia"/>
          <w:highlight w:val="none"/>
        </w:rPr>
        <w:t>科研成果涵盖论文、著作、专利、奖项、标准、学术会议及成果转化等，项目负责人可在系统中登记成果信息，并以文字和附件形式上传证明材料（如证书扫描件），附件大小受限。管理人员负责审核成果真实性及材料完整性。</w:t>
      </w:r>
    </w:p>
    <w:p w14:paraId="33BE8DA3">
      <w:pPr>
        <w:pStyle w:val="12"/>
        <w:shd w:val="clear" w:color="auto" w:fill="auto"/>
        <w:ind w:firstLine="480"/>
        <w:rPr>
          <w:rFonts w:hint="eastAsia"/>
          <w:highlight w:val="none"/>
        </w:rPr>
      </w:pPr>
      <w:r>
        <w:rPr>
          <w:rFonts w:hint="eastAsia"/>
          <w:highlight w:val="none"/>
        </w:rPr>
        <w:t>论文类成果（期刊、会议、专著）由负责人登记并上传关键页附件，支持预审机制：医务人员填报后由管理员审核，发表后补充信息并入库。专利与软著需提交授权证书等附件，经管理员审核后登记。科研奖项须附获奖证书或发文，经审核后归档。</w:t>
      </w:r>
    </w:p>
    <w:p w14:paraId="0007BC0D">
      <w:pPr>
        <w:pStyle w:val="12"/>
        <w:shd w:val="clear" w:color="auto" w:fill="auto"/>
        <w:ind w:firstLine="480"/>
        <w:rPr>
          <w:rFonts w:hint="eastAsia"/>
          <w:highlight w:val="none"/>
        </w:rPr>
      </w:pPr>
      <w:r>
        <w:rPr>
          <w:rFonts w:hint="eastAsia"/>
          <w:highlight w:val="none"/>
        </w:rPr>
        <w:t>学术会议包括主办或参会国内外会议，需提交证明材料，经审核完成登记。参与制定标准或完成科技成果转化的，也需登记并上传依据文件，经审核后确认。其他相关成果亦按相同流程管理。</w:t>
      </w:r>
    </w:p>
    <w:p w14:paraId="3570FA60">
      <w:pPr>
        <w:pStyle w:val="7"/>
        <w:rPr>
          <w:rFonts w:hint="eastAsia"/>
          <w:highlight w:val="none"/>
        </w:rPr>
      </w:pPr>
      <w:r>
        <w:rPr>
          <w:rFonts w:hint="eastAsia"/>
          <w:highlight w:val="none"/>
          <w:lang w:val="en-US" w:eastAsia="zh-CN"/>
        </w:rPr>
        <w:t xml:space="preserve"> </w:t>
      </w:r>
      <w:r>
        <w:rPr>
          <w:rFonts w:hint="eastAsia"/>
          <w:highlight w:val="none"/>
        </w:rPr>
        <w:t>合同管理</w:t>
      </w:r>
    </w:p>
    <w:p w14:paraId="54039D87">
      <w:pPr>
        <w:pStyle w:val="12"/>
        <w:shd w:val="clear" w:color="auto" w:fill="auto"/>
        <w:ind w:firstLine="480"/>
        <w:rPr>
          <w:rFonts w:hint="eastAsia"/>
          <w:highlight w:val="none"/>
        </w:rPr>
      </w:pPr>
      <w:r>
        <w:rPr>
          <w:rFonts w:hint="eastAsia"/>
          <w:highlight w:val="none"/>
        </w:rPr>
        <w:t>支持项目合同及非项目关联合同的登记、审核管理。支持合同类型选择，支持相关附件上传及管理。</w:t>
      </w:r>
    </w:p>
    <w:p w14:paraId="17505D88">
      <w:pPr>
        <w:pStyle w:val="7"/>
        <w:rPr>
          <w:rFonts w:hint="eastAsia"/>
          <w:highlight w:val="none"/>
        </w:rPr>
      </w:pPr>
      <w:r>
        <w:rPr>
          <w:rFonts w:hint="eastAsia"/>
          <w:highlight w:val="none"/>
          <w:lang w:val="en-US" w:eastAsia="zh-CN"/>
        </w:rPr>
        <w:t xml:space="preserve"> </w:t>
      </w:r>
      <w:r>
        <w:rPr>
          <w:rFonts w:hint="eastAsia"/>
          <w:highlight w:val="none"/>
        </w:rPr>
        <w:t>伦理批件管理</w:t>
      </w:r>
    </w:p>
    <w:p w14:paraId="737ED826">
      <w:pPr>
        <w:pStyle w:val="12"/>
        <w:shd w:val="clear" w:color="auto" w:fill="auto"/>
        <w:ind w:firstLine="480"/>
        <w:rPr>
          <w:rFonts w:hint="eastAsia"/>
          <w:highlight w:val="none"/>
        </w:rPr>
      </w:pPr>
      <w:r>
        <w:rPr>
          <w:rFonts w:hint="eastAsia"/>
          <w:highlight w:val="none"/>
        </w:rPr>
        <w:t>项目负责人在系统内进行登记并上传附件证明材料，由管理员进行审核登记。</w:t>
      </w:r>
    </w:p>
    <w:p w14:paraId="601892BC">
      <w:pPr>
        <w:pStyle w:val="7"/>
        <w:rPr>
          <w:rFonts w:hint="eastAsia"/>
          <w:highlight w:val="none"/>
        </w:rPr>
      </w:pPr>
      <w:r>
        <w:rPr>
          <w:rFonts w:hint="eastAsia"/>
          <w:highlight w:val="none"/>
          <w:lang w:val="en-US" w:eastAsia="zh-CN"/>
        </w:rPr>
        <w:t xml:space="preserve"> </w:t>
      </w:r>
      <w:r>
        <w:rPr>
          <w:rFonts w:hint="eastAsia"/>
          <w:highlight w:val="none"/>
        </w:rPr>
        <w:t>科研诚信管理</w:t>
      </w:r>
    </w:p>
    <w:p w14:paraId="3E9F916D">
      <w:pPr>
        <w:pStyle w:val="12"/>
        <w:shd w:val="clear" w:color="auto" w:fill="auto"/>
        <w:ind w:firstLine="480"/>
        <w:rPr>
          <w:rFonts w:hint="eastAsia"/>
          <w:highlight w:val="none"/>
        </w:rPr>
      </w:pPr>
      <w:r>
        <w:rPr>
          <w:rFonts w:hint="eastAsia"/>
          <w:highlight w:val="none"/>
        </w:rPr>
        <w:t>科研管理过程中能够对发生的诚信行为进行登记、审核等管理。诚信行为需要进行行为界定，包括一般失信行为和严重失信行为。一般失信行为是指违反相关科研诚信管理规定并造成一定不良影响的行为，严重失信行为是指科研不端、违规、违纪或违法且造成严重后果和恶劣影响的行为。失信行为记录将作为科研积分评价体系中的一项重要数据来源。支持指标定制。</w:t>
      </w:r>
    </w:p>
    <w:p w14:paraId="3B3858A1">
      <w:pPr>
        <w:pStyle w:val="7"/>
        <w:rPr>
          <w:rFonts w:hint="eastAsia"/>
          <w:highlight w:val="none"/>
        </w:rPr>
      </w:pPr>
      <w:r>
        <w:rPr>
          <w:rFonts w:hint="eastAsia"/>
          <w:highlight w:val="none"/>
          <w:lang w:val="en-US" w:eastAsia="zh-CN"/>
        </w:rPr>
        <w:t xml:space="preserve"> </w:t>
      </w:r>
      <w:r>
        <w:rPr>
          <w:rFonts w:hint="eastAsia"/>
          <w:highlight w:val="none"/>
        </w:rPr>
        <w:t>科研积分管理</w:t>
      </w:r>
    </w:p>
    <w:p w14:paraId="2FE23B29">
      <w:pPr>
        <w:pStyle w:val="12"/>
        <w:shd w:val="clear" w:color="auto" w:fill="auto"/>
        <w:ind w:firstLine="480"/>
        <w:rPr>
          <w:rFonts w:hint="eastAsia"/>
          <w:highlight w:val="none"/>
        </w:rPr>
      </w:pPr>
      <w:r>
        <w:rPr>
          <w:rFonts w:hint="eastAsia"/>
          <w:highlight w:val="none"/>
        </w:rPr>
        <w:t>积分管理包括了积分体系量表建立，积分参数设置即积分计算规则。根据科研项目的过程数据、经费数据、成果数据、失信行为数据、个人相关科研档案等多个方面进行自动计算积分。能够对个人、科室积分进行多维度的数据分析并生成绩效考评结果。支持指标定制。</w:t>
      </w:r>
    </w:p>
    <w:p w14:paraId="5872D0F8">
      <w:pPr>
        <w:pStyle w:val="7"/>
        <w:rPr>
          <w:rFonts w:hint="eastAsia"/>
          <w:highlight w:val="none"/>
        </w:rPr>
      </w:pPr>
      <w:r>
        <w:rPr>
          <w:rFonts w:hint="eastAsia"/>
          <w:highlight w:val="none"/>
          <w:lang w:val="en-US" w:eastAsia="zh-CN"/>
        </w:rPr>
        <w:t xml:space="preserve"> </w:t>
      </w:r>
      <w:r>
        <w:rPr>
          <w:rFonts w:hint="eastAsia"/>
          <w:highlight w:val="none"/>
        </w:rPr>
        <w:t>审核流程</w:t>
      </w:r>
    </w:p>
    <w:p w14:paraId="24144596">
      <w:pPr>
        <w:pStyle w:val="12"/>
        <w:shd w:val="clear" w:color="auto" w:fill="auto"/>
        <w:ind w:firstLine="480"/>
        <w:rPr>
          <w:rFonts w:hint="eastAsia"/>
          <w:highlight w:val="none"/>
        </w:rPr>
      </w:pPr>
      <w:r>
        <w:rPr>
          <w:rFonts w:hint="eastAsia"/>
          <w:highlight w:val="none"/>
        </w:rPr>
        <w:t>项目过程、经费、成果支持自定义审核流程，能够根据实际情况对审核流程进行动态调整，系统提供审核流程设置功能。</w:t>
      </w:r>
    </w:p>
    <w:p w14:paraId="12B32693">
      <w:pPr>
        <w:pStyle w:val="7"/>
        <w:rPr>
          <w:rFonts w:hint="eastAsia"/>
          <w:highlight w:val="none"/>
        </w:rPr>
      </w:pPr>
      <w:r>
        <w:rPr>
          <w:rFonts w:hint="eastAsia"/>
          <w:highlight w:val="none"/>
          <w:lang w:val="en-US" w:eastAsia="zh-CN"/>
        </w:rPr>
        <w:t xml:space="preserve"> </w:t>
      </w:r>
      <w:r>
        <w:rPr>
          <w:rFonts w:hint="eastAsia"/>
          <w:highlight w:val="none"/>
        </w:rPr>
        <w:t>统计分析</w:t>
      </w:r>
    </w:p>
    <w:p w14:paraId="379A4E55">
      <w:pPr>
        <w:pStyle w:val="12"/>
        <w:shd w:val="clear" w:color="auto" w:fill="auto"/>
        <w:ind w:firstLine="480"/>
        <w:rPr>
          <w:rFonts w:hint="eastAsia"/>
          <w:highlight w:val="none"/>
        </w:rPr>
      </w:pPr>
      <w:r>
        <w:rPr>
          <w:rFonts w:hint="eastAsia"/>
          <w:highlight w:val="none"/>
        </w:rPr>
        <w:t>通过时间、项目类型等多维度对项目数量、成果、经费进行汇总统计，以图表方式展示统计结果。</w:t>
      </w:r>
    </w:p>
    <w:p w14:paraId="0042FC2C">
      <w:pPr>
        <w:pStyle w:val="6"/>
        <w:rPr>
          <w:rFonts w:hint="eastAsia"/>
          <w:highlight w:val="none"/>
        </w:rPr>
      </w:pPr>
      <w:r>
        <w:rPr>
          <w:rFonts w:hint="eastAsia"/>
          <w:highlight w:val="none"/>
          <w:lang w:val="en-US" w:eastAsia="zh-CN"/>
        </w:rPr>
        <w:t xml:space="preserve"> </w:t>
      </w:r>
      <w:r>
        <w:rPr>
          <w:rFonts w:hint="eastAsia"/>
          <w:highlight w:val="none"/>
        </w:rPr>
        <w:t>教学管理模块</w:t>
      </w:r>
    </w:p>
    <w:p w14:paraId="2E47A411">
      <w:pPr>
        <w:pStyle w:val="7"/>
        <w:rPr>
          <w:rFonts w:hint="eastAsia"/>
          <w:highlight w:val="none"/>
        </w:rPr>
      </w:pPr>
      <w:r>
        <w:rPr>
          <w:rFonts w:hint="eastAsia"/>
          <w:highlight w:val="none"/>
          <w:lang w:val="en-US" w:eastAsia="zh-CN"/>
        </w:rPr>
        <w:t xml:space="preserve"> </w:t>
      </w:r>
      <w:r>
        <w:rPr>
          <w:rFonts w:hint="eastAsia"/>
          <w:highlight w:val="none"/>
        </w:rPr>
        <w:t>考勤管理</w:t>
      </w:r>
    </w:p>
    <w:p w14:paraId="2BCB498D">
      <w:pPr>
        <w:pStyle w:val="12"/>
        <w:shd w:val="clear" w:color="auto" w:fill="auto"/>
        <w:ind w:firstLine="480"/>
        <w:rPr>
          <w:rFonts w:hint="eastAsia"/>
          <w:highlight w:val="none"/>
        </w:rPr>
      </w:pPr>
      <w:r>
        <w:rPr>
          <w:rFonts w:hint="eastAsia"/>
          <w:highlight w:val="none"/>
        </w:rPr>
        <w:t>1）支持扫码和定位打卡，可自定义多个电子围栏及打卡地点。</w:t>
      </w:r>
    </w:p>
    <w:p w14:paraId="67CBF1BD">
      <w:pPr>
        <w:pStyle w:val="12"/>
        <w:shd w:val="clear" w:color="auto" w:fill="auto"/>
        <w:ind w:firstLine="480"/>
        <w:rPr>
          <w:rFonts w:hint="eastAsia"/>
          <w:highlight w:val="none"/>
        </w:rPr>
      </w:pPr>
      <w:r>
        <w:rPr>
          <w:rFonts w:hint="eastAsia"/>
          <w:highlight w:val="none"/>
        </w:rPr>
        <w:t>2）学员可提交请假申请，类型可自定义，按天数自动匹配审批流，通过后计入考勤。</w:t>
      </w:r>
    </w:p>
    <w:p w14:paraId="090D346A">
      <w:pPr>
        <w:pStyle w:val="12"/>
        <w:shd w:val="clear" w:color="auto" w:fill="auto"/>
        <w:ind w:firstLine="480"/>
        <w:rPr>
          <w:rFonts w:hint="eastAsia"/>
          <w:highlight w:val="none"/>
        </w:rPr>
      </w:pPr>
      <w:r>
        <w:rPr>
          <w:rFonts w:hint="eastAsia"/>
          <w:highlight w:val="none"/>
        </w:rPr>
        <w:t>3）支持休息申请，审核通过后自动记入考勤。</w:t>
      </w:r>
    </w:p>
    <w:p w14:paraId="161EDD2F">
      <w:pPr>
        <w:pStyle w:val="12"/>
        <w:shd w:val="clear" w:color="auto" w:fill="auto"/>
        <w:ind w:firstLine="480"/>
        <w:rPr>
          <w:rFonts w:hint="eastAsia"/>
          <w:highlight w:val="none"/>
        </w:rPr>
      </w:pPr>
      <w:r>
        <w:rPr>
          <w:rFonts w:hint="eastAsia"/>
          <w:highlight w:val="none"/>
        </w:rPr>
        <w:t>4）可查看当日考勤，快速识别缺勤人员，统计指定时段内的出勤、缺勤、请假、休息情况并查看详情。</w:t>
      </w:r>
    </w:p>
    <w:p w14:paraId="3EC82807">
      <w:pPr>
        <w:pStyle w:val="12"/>
        <w:shd w:val="clear" w:color="auto" w:fill="auto"/>
        <w:ind w:firstLine="480"/>
        <w:rPr>
          <w:rFonts w:hint="eastAsia"/>
          <w:highlight w:val="none"/>
        </w:rPr>
      </w:pPr>
      <w:r>
        <w:rPr>
          <w:rFonts w:hint="eastAsia"/>
          <w:highlight w:val="none"/>
        </w:rPr>
        <w:t>5）可查看上下班时间，支持考勤记录导出至Excel。</w:t>
      </w:r>
    </w:p>
    <w:p w14:paraId="1EB054D1">
      <w:pPr>
        <w:pStyle w:val="7"/>
        <w:rPr>
          <w:rFonts w:hint="eastAsia"/>
          <w:highlight w:val="none"/>
        </w:rPr>
      </w:pPr>
      <w:r>
        <w:rPr>
          <w:rFonts w:hint="eastAsia"/>
          <w:highlight w:val="none"/>
          <w:lang w:val="en-US" w:eastAsia="zh-CN"/>
        </w:rPr>
        <w:t xml:space="preserve"> </w:t>
      </w:r>
      <w:r>
        <w:rPr>
          <w:rFonts w:hint="eastAsia"/>
          <w:highlight w:val="none"/>
        </w:rPr>
        <w:t>轮转计划</w:t>
      </w:r>
    </w:p>
    <w:p w14:paraId="5C4C04B9">
      <w:pPr>
        <w:pStyle w:val="12"/>
        <w:shd w:val="clear" w:color="auto" w:fill="auto"/>
        <w:ind w:firstLine="480"/>
        <w:rPr>
          <w:rFonts w:hint="eastAsia"/>
          <w:highlight w:val="none"/>
        </w:rPr>
      </w:pPr>
      <w:r>
        <w:rPr>
          <w:rFonts w:hint="eastAsia"/>
          <w:highlight w:val="none"/>
        </w:rPr>
        <w:t>1）支持按轮转大纲设置标准科室，统一命名并关联大科、教研室、基地，可对接医院科室，实现一科对多科。</w:t>
      </w:r>
    </w:p>
    <w:p w14:paraId="441E94CB">
      <w:pPr>
        <w:pStyle w:val="12"/>
        <w:shd w:val="clear" w:color="auto" w:fill="auto"/>
        <w:ind w:firstLine="480"/>
        <w:rPr>
          <w:rFonts w:hint="eastAsia"/>
          <w:highlight w:val="none"/>
        </w:rPr>
      </w:pPr>
      <w:r>
        <w:rPr>
          <w:rFonts w:hint="eastAsia"/>
          <w:highlight w:val="none"/>
        </w:rPr>
        <w:t>2）可按届别、专业为规培生、实习生、进修生等制定分类轮转规范。</w:t>
      </w:r>
    </w:p>
    <w:p w14:paraId="2BC58C57">
      <w:pPr>
        <w:pStyle w:val="12"/>
        <w:shd w:val="clear" w:color="auto" w:fill="auto"/>
        <w:ind w:firstLine="480"/>
        <w:rPr>
          <w:rFonts w:hint="eastAsia"/>
          <w:highlight w:val="none"/>
        </w:rPr>
      </w:pPr>
      <w:r>
        <w:rPr>
          <w:rFonts w:hint="eastAsia"/>
          <w:highlight w:val="none"/>
        </w:rPr>
        <w:t>3）轮转规范支持动态配置科室信息，设置各类评价表及考核要求，支持数据填写验证与批量导入导出。</w:t>
      </w:r>
    </w:p>
    <w:p w14:paraId="073E5AD5">
      <w:pPr>
        <w:pStyle w:val="12"/>
        <w:shd w:val="clear" w:color="auto" w:fill="auto"/>
        <w:ind w:firstLine="480"/>
        <w:rPr>
          <w:rFonts w:hint="eastAsia"/>
          <w:highlight w:val="none"/>
        </w:rPr>
      </w:pPr>
      <w:r>
        <w:rPr>
          <w:rFonts w:hint="eastAsia"/>
          <w:highlight w:val="none"/>
        </w:rPr>
        <w:t>4）设置各科室量化学习指标，实时显示学员学习进度。</w:t>
      </w:r>
    </w:p>
    <w:p w14:paraId="3826720F">
      <w:pPr>
        <w:pStyle w:val="12"/>
        <w:shd w:val="clear" w:color="auto" w:fill="auto"/>
        <w:ind w:firstLine="480"/>
        <w:rPr>
          <w:rFonts w:hint="eastAsia"/>
          <w:highlight w:val="none"/>
        </w:rPr>
      </w:pPr>
      <w:r>
        <w:rPr>
          <w:rFonts w:hint="eastAsia"/>
          <w:highlight w:val="none"/>
        </w:rPr>
        <w:t>5）支持住培、实习、进修等轮转计划管理，提供自动排班、手动调整及可视化操作，支持计划导入导出。</w:t>
      </w:r>
    </w:p>
    <w:p w14:paraId="65C6D55A">
      <w:pPr>
        <w:pStyle w:val="12"/>
        <w:shd w:val="clear" w:color="auto" w:fill="auto"/>
        <w:ind w:firstLine="480"/>
        <w:rPr>
          <w:rFonts w:hint="eastAsia"/>
          <w:highlight w:val="none"/>
        </w:rPr>
      </w:pPr>
      <w:r>
        <w:rPr>
          <w:rFonts w:hint="eastAsia"/>
          <w:highlight w:val="none"/>
        </w:rPr>
        <w:t>6）可查看未排班学员名单，并支持单人单独排班。</w:t>
      </w:r>
    </w:p>
    <w:p w14:paraId="0B0413BA">
      <w:pPr>
        <w:pStyle w:val="12"/>
        <w:shd w:val="clear" w:color="auto" w:fill="auto"/>
        <w:ind w:firstLine="480"/>
        <w:rPr>
          <w:rFonts w:hint="eastAsia"/>
          <w:highlight w:val="none"/>
        </w:rPr>
      </w:pPr>
      <w:r>
        <w:rPr>
          <w:rFonts w:hint="eastAsia"/>
          <w:highlight w:val="none"/>
        </w:rPr>
        <w:t>7）支持课表录入与导入，包含班级、时间、课程、教师等信息，支持日历视图查看。</w:t>
      </w:r>
    </w:p>
    <w:p w14:paraId="7BD61852">
      <w:pPr>
        <w:pStyle w:val="12"/>
        <w:shd w:val="clear" w:color="auto" w:fill="auto"/>
        <w:ind w:firstLine="480"/>
        <w:rPr>
          <w:rFonts w:hint="eastAsia"/>
          <w:highlight w:val="none"/>
        </w:rPr>
      </w:pPr>
      <w:r>
        <w:rPr>
          <w:rFonts w:hint="eastAsia"/>
          <w:highlight w:val="none"/>
        </w:rPr>
        <w:t>8）支持实习生大科轮转成绩管理，自动获取考试系统成绩并计算均分。</w:t>
      </w:r>
    </w:p>
    <w:p w14:paraId="50B2D4D1">
      <w:pPr>
        <w:pStyle w:val="7"/>
        <w:rPr>
          <w:rFonts w:hint="eastAsia"/>
          <w:highlight w:val="none"/>
        </w:rPr>
      </w:pPr>
      <w:r>
        <w:rPr>
          <w:rFonts w:hint="eastAsia"/>
          <w:highlight w:val="none"/>
          <w:lang w:val="en-US" w:eastAsia="zh-CN"/>
        </w:rPr>
        <w:t xml:space="preserve"> </w:t>
      </w:r>
      <w:r>
        <w:rPr>
          <w:rFonts w:hint="eastAsia"/>
          <w:highlight w:val="none"/>
        </w:rPr>
        <w:t>轮转数据</w:t>
      </w:r>
    </w:p>
    <w:p w14:paraId="458B3670">
      <w:pPr>
        <w:pStyle w:val="12"/>
        <w:shd w:val="clear" w:color="auto" w:fill="auto"/>
        <w:ind w:firstLine="480"/>
        <w:rPr>
          <w:rFonts w:hint="eastAsia"/>
          <w:highlight w:val="none"/>
        </w:rPr>
      </w:pPr>
      <w:r>
        <w:rPr>
          <w:rFonts w:hint="eastAsia"/>
          <w:highlight w:val="none"/>
        </w:rPr>
        <w:t>1）支持医院管理员查看规培生、实习生、进修生记录在科室轮转学习期间的学习内容，包括大病历、病种、手术、操作技能、心得体会等内容。学习内容能够与科室学习规范的具体要求实现匹配，能够显示学习进度。通过配置实现出科限制，可以设置满足学习要求后才能够申请出科并参加出科考核。</w:t>
      </w:r>
    </w:p>
    <w:p w14:paraId="1BD475A7">
      <w:pPr>
        <w:pStyle w:val="12"/>
        <w:shd w:val="clear" w:color="auto" w:fill="auto"/>
        <w:ind w:firstLine="480"/>
        <w:rPr>
          <w:rFonts w:hint="eastAsia"/>
          <w:highlight w:val="none"/>
        </w:rPr>
      </w:pPr>
      <w:r>
        <w:rPr>
          <w:rFonts w:hint="eastAsia"/>
          <w:highlight w:val="none"/>
        </w:rPr>
        <w:t>2）技能成绩管理，支持记录规培生、实习生、进修生在科室轮转期间出科的技能考试成绩，并支持成绩的导入、导出。支持通过技能中心快速评分模块自动读取出科技能考试成绩。</w:t>
      </w:r>
    </w:p>
    <w:p w14:paraId="498737AC">
      <w:pPr>
        <w:pStyle w:val="7"/>
        <w:rPr>
          <w:rFonts w:hint="eastAsia"/>
          <w:highlight w:val="none"/>
        </w:rPr>
      </w:pPr>
      <w:r>
        <w:rPr>
          <w:rFonts w:hint="eastAsia"/>
          <w:highlight w:val="none"/>
          <w:lang w:val="en-US" w:eastAsia="zh-CN"/>
        </w:rPr>
        <w:t xml:space="preserve"> </w:t>
      </w:r>
      <w:r>
        <w:rPr>
          <w:rFonts w:hint="eastAsia"/>
          <w:highlight w:val="none"/>
        </w:rPr>
        <w:t>轮转管理</w:t>
      </w:r>
    </w:p>
    <w:p w14:paraId="78B03932">
      <w:pPr>
        <w:pStyle w:val="12"/>
        <w:shd w:val="clear" w:color="auto" w:fill="auto"/>
        <w:ind w:firstLine="480"/>
        <w:rPr>
          <w:rFonts w:hint="eastAsia"/>
          <w:highlight w:val="none"/>
        </w:rPr>
      </w:pPr>
      <w:r>
        <w:rPr>
          <w:rFonts w:hint="eastAsia"/>
          <w:highlight w:val="none"/>
        </w:rPr>
        <w:t>1）住宿管理：维护宿舍信息，包括房间号、容纳人数和类型。</w:t>
      </w:r>
    </w:p>
    <w:p w14:paraId="5035DE8B">
      <w:pPr>
        <w:pStyle w:val="12"/>
        <w:shd w:val="clear" w:color="auto" w:fill="auto"/>
        <w:ind w:firstLine="480"/>
        <w:rPr>
          <w:rFonts w:hint="eastAsia"/>
          <w:highlight w:val="none"/>
        </w:rPr>
      </w:pPr>
      <w:r>
        <w:rPr>
          <w:rFonts w:hint="eastAsia"/>
          <w:highlight w:val="none"/>
        </w:rPr>
        <w:t>2）住宿登记：记录住宿人员及月份，自动计算费用并生成介绍信，实时显示可住人数。</w:t>
      </w:r>
    </w:p>
    <w:p w14:paraId="6CECD387">
      <w:pPr>
        <w:pStyle w:val="12"/>
        <w:shd w:val="clear" w:color="auto" w:fill="auto"/>
        <w:ind w:firstLine="480"/>
        <w:rPr>
          <w:rFonts w:hint="eastAsia"/>
          <w:highlight w:val="none"/>
        </w:rPr>
      </w:pPr>
      <w:r>
        <w:rPr>
          <w:rFonts w:hint="eastAsia"/>
          <w:highlight w:val="none"/>
        </w:rPr>
        <w:t>3）出入科管理：入科时分配带教老师、科秘书并设轮转时间；出科时登记成绩，支持从其他模块获取数据。</w:t>
      </w:r>
    </w:p>
    <w:p w14:paraId="235EF2A0">
      <w:pPr>
        <w:pStyle w:val="12"/>
        <w:shd w:val="clear" w:color="auto" w:fill="auto"/>
        <w:ind w:firstLine="480"/>
        <w:rPr>
          <w:rFonts w:hint="eastAsia"/>
          <w:highlight w:val="none"/>
        </w:rPr>
      </w:pPr>
      <w:r>
        <w:rPr>
          <w:rFonts w:hint="eastAsia"/>
          <w:highlight w:val="none"/>
        </w:rPr>
        <w:t>4）变更带教：允许管理员调整学员的带教老师。</w:t>
      </w:r>
    </w:p>
    <w:p w14:paraId="25CA18E6">
      <w:pPr>
        <w:pStyle w:val="12"/>
        <w:shd w:val="clear" w:color="auto" w:fill="auto"/>
        <w:ind w:firstLine="480"/>
        <w:rPr>
          <w:rFonts w:hint="eastAsia"/>
          <w:highlight w:val="none"/>
        </w:rPr>
      </w:pPr>
      <w:r>
        <w:rPr>
          <w:rFonts w:hint="eastAsia"/>
          <w:highlight w:val="none"/>
        </w:rPr>
        <w:t>5）结业管理：列出待结业学员，查看学习记录，判断是否达标并标记结业状态。</w:t>
      </w:r>
    </w:p>
    <w:p w14:paraId="62EDDFAA">
      <w:pPr>
        <w:pStyle w:val="12"/>
        <w:shd w:val="clear" w:color="auto" w:fill="auto"/>
        <w:ind w:firstLine="480"/>
        <w:rPr>
          <w:rFonts w:hint="eastAsia"/>
          <w:highlight w:val="none"/>
        </w:rPr>
      </w:pPr>
      <w:r>
        <w:rPr>
          <w:rFonts w:hint="eastAsia"/>
          <w:highlight w:val="none"/>
        </w:rPr>
        <w:t>6）支持设置强制出科及查看出科考核表。</w:t>
      </w:r>
    </w:p>
    <w:p w14:paraId="5AEAECD5">
      <w:pPr>
        <w:pStyle w:val="7"/>
        <w:rPr>
          <w:rFonts w:hint="eastAsia"/>
          <w:highlight w:val="none"/>
        </w:rPr>
      </w:pPr>
      <w:r>
        <w:rPr>
          <w:rFonts w:hint="eastAsia"/>
          <w:highlight w:val="none"/>
          <w:lang w:val="en-US" w:eastAsia="zh-CN"/>
        </w:rPr>
        <w:t xml:space="preserve"> </w:t>
      </w:r>
      <w:r>
        <w:rPr>
          <w:rFonts w:hint="eastAsia"/>
          <w:highlight w:val="none"/>
        </w:rPr>
        <w:t>教学活动</w:t>
      </w:r>
    </w:p>
    <w:p w14:paraId="3C486FCE">
      <w:pPr>
        <w:pStyle w:val="12"/>
        <w:shd w:val="clear" w:color="auto" w:fill="auto"/>
        <w:ind w:firstLine="480"/>
        <w:rPr>
          <w:rFonts w:hint="eastAsia"/>
          <w:highlight w:val="none"/>
        </w:rPr>
      </w:pPr>
      <w:r>
        <w:rPr>
          <w:rFonts w:hint="eastAsia"/>
          <w:highlight w:val="none"/>
        </w:rPr>
        <w:t>1）教学计划管理：支持科秘书或科教人员制定维护科室教学活动计划，涵盖时间、类型、主题、地点、内容、科室、教师及附件等信息。</w:t>
      </w:r>
    </w:p>
    <w:p w14:paraId="1193A6CF">
      <w:pPr>
        <w:pStyle w:val="12"/>
        <w:shd w:val="clear" w:color="auto" w:fill="auto"/>
        <w:ind w:firstLine="480"/>
        <w:rPr>
          <w:rFonts w:hint="eastAsia"/>
          <w:highlight w:val="none"/>
        </w:rPr>
      </w:pPr>
      <w:r>
        <w:rPr>
          <w:rFonts w:hint="eastAsia"/>
          <w:highlight w:val="none"/>
        </w:rPr>
        <w:t>2）教学活动管理：可发布活动，依计划生成具体信息，包括签到设置、学时、评分等，并支持查看签到与评价记录及数据导出。</w:t>
      </w:r>
    </w:p>
    <w:p w14:paraId="107CA421">
      <w:pPr>
        <w:pStyle w:val="12"/>
        <w:shd w:val="clear" w:color="auto" w:fill="auto"/>
        <w:ind w:firstLine="480"/>
        <w:rPr>
          <w:rFonts w:hint="eastAsia"/>
          <w:highlight w:val="none"/>
        </w:rPr>
      </w:pPr>
      <w:r>
        <w:rPr>
          <w:rFonts w:hint="eastAsia"/>
          <w:highlight w:val="none"/>
        </w:rPr>
        <w:t>3）活动执行：通过电脑或移动端展示签到/签退二维码，推送通知，上传活动凭证并提交审核归档。</w:t>
      </w:r>
    </w:p>
    <w:p w14:paraId="40D0DFD8">
      <w:pPr>
        <w:pStyle w:val="12"/>
        <w:shd w:val="clear" w:color="auto" w:fill="auto"/>
        <w:ind w:firstLine="480"/>
        <w:rPr>
          <w:rFonts w:hint="eastAsia"/>
          <w:highlight w:val="none"/>
        </w:rPr>
      </w:pPr>
      <w:r>
        <w:rPr>
          <w:rFonts w:hint="eastAsia"/>
          <w:highlight w:val="none"/>
        </w:rPr>
        <w:t>4）数据统计：支持按月、年统计学员、教师、科室的教学数据。</w:t>
      </w:r>
    </w:p>
    <w:p w14:paraId="26982FC7">
      <w:pPr>
        <w:pStyle w:val="12"/>
        <w:shd w:val="clear" w:color="auto" w:fill="auto"/>
        <w:ind w:firstLine="480"/>
        <w:rPr>
          <w:rFonts w:hint="eastAsia"/>
          <w:highlight w:val="none"/>
        </w:rPr>
      </w:pPr>
      <w:r>
        <w:rPr>
          <w:rFonts w:hint="eastAsia"/>
          <w:highlight w:val="none"/>
        </w:rPr>
        <w:t>5）AI教案生成：输入主题、对象、内容、重点、时长等参数，选择模板后，系统调用AI智能生成结构完整、重点突出、符合规范的教案草稿，涵盖目标、时间分配、讲解要点、实操步骤、难点解析、互动建议等。</w:t>
      </w:r>
    </w:p>
    <w:p w14:paraId="33A772FE">
      <w:pPr>
        <w:pStyle w:val="7"/>
        <w:rPr>
          <w:rFonts w:hint="eastAsia"/>
          <w:highlight w:val="none"/>
        </w:rPr>
      </w:pPr>
      <w:r>
        <w:rPr>
          <w:rFonts w:hint="eastAsia"/>
          <w:highlight w:val="none"/>
          <w:lang w:val="en-US" w:eastAsia="zh-CN"/>
        </w:rPr>
        <w:t xml:space="preserve"> </w:t>
      </w:r>
      <w:r>
        <w:rPr>
          <w:rFonts w:hint="eastAsia"/>
          <w:highlight w:val="none"/>
        </w:rPr>
        <w:t>教学事务</w:t>
      </w:r>
    </w:p>
    <w:p w14:paraId="2F095BD7">
      <w:pPr>
        <w:pStyle w:val="12"/>
        <w:shd w:val="clear" w:color="auto" w:fill="auto"/>
        <w:ind w:firstLine="480"/>
        <w:rPr>
          <w:rFonts w:hint="eastAsia"/>
          <w:highlight w:val="none"/>
        </w:rPr>
      </w:pPr>
      <w:r>
        <w:rPr>
          <w:rFonts w:hint="eastAsia"/>
          <w:highlight w:val="none"/>
        </w:rPr>
        <w:t>1）日常事务：管理人员可设置事务时间、类型、主题、地点、发起人、评分模式及参与人员等。</w:t>
      </w:r>
    </w:p>
    <w:p w14:paraId="267A0D91">
      <w:pPr>
        <w:pStyle w:val="12"/>
        <w:shd w:val="clear" w:color="auto" w:fill="auto"/>
        <w:ind w:firstLine="480"/>
        <w:rPr>
          <w:rFonts w:hint="eastAsia"/>
          <w:highlight w:val="none"/>
        </w:rPr>
      </w:pPr>
      <w:r>
        <w:rPr>
          <w:rFonts w:hint="eastAsia"/>
          <w:highlight w:val="none"/>
        </w:rPr>
        <w:t>2）工作排班：支持科秘书及科教管理人员为实习生、进修生安排排班，自定义班次类型（如白班、夜班等），配置打卡时间，提交月度计划并由管理人员审核存档，支持数据导出。</w:t>
      </w:r>
    </w:p>
    <w:p w14:paraId="0A160D7B">
      <w:pPr>
        <w:pStyle w:val="12"/>
        <w:shd w:val="clear" w:color="auto" w:fill="auto"/>
        <w:ind w:firstLine="480"/>
        <w:rPr>
          <w:rFonts w:hint="eastAsia"/>
          <w:highlight w:val="none"/>
        </w:rPr>
      </w:pPr>
      <w:r>
        <w:rPr>
          <w:rFonts w:hint="eastAsia"/>
          <w:highlight w:val="none"/>
        </w:rPr>
        <w:t>3）加班管理：支持登记学员加班情况，记录加班类型、天数等信息，上传附件，提交后由管理人员审核留档，并支持导出。</w:t>
      </w:r>
    </w:p>
    <w:p w14:paraId="12AE67D3">
      <w:pPr>
        <w:pStyle w:val="12"/>
        <w:shd w:val="clear" w:color="auto" w:fill="auto"/>
        <w:ind w:firstLine="480"/>
        <w:rPr>
          <w:rFonts w:hint="eastAsia"/>
          <w:highlight w:val="none"/>
        </w:rPr>
      </w:pPr>
      <w:r>
        <w:rPr>
          <w:rFonts w:hint="eastAsia"/>
          <w:highlight w:val="none"/>
        </w:rPr>
        <w:t>4）值班管理：支持登记学员跟班、值班情况，按月记录天数，上传附件，提交后经审核存档，支持数据导出。</w:t>
      </w:r>
    </w:p>
    <w:p w14:paraId="641AFA83">
      <w:pPr>
        <w:pStyle w:val="12"/>
        <w:shd w:val="clear" w:color="auto" w:fill="auto"/>
        <w:ind w:firstLine="480"/>
        <w:rPr>
          <w:rFonts w:hint="eastAsia"/>
          <w:highlight w:val="none"/>
        </w:rPr>
      </w:pPr>
      <w:r>
        <w:rPr>
          <w:rFonts w:hint="eastAsia"/>
          <w:highlight w:val="none"/>
        </w:rPr>
        <w:t>5）获奖登记：学员可登记培训期间所获奖励，包括等级、类型、时间等，上传证明材料，经审核后存档并可导出。</w:t>
      </w:r>
    </w:p>
    <w:p w14:paraId="2EDE5EDF">
      <w:pPr>
        <w:pStyle w:val="12"/>
        <w:shd w:val="clear" w:color="auto" w:fill="auto"/>
        <w:ind w:firstLine="480"/>
        <w:rPr>
          <w:rFonts w:hint="eastAsia"/>
          <w:highlight w:val="none"/>
        </w:rPr>
      </w:pPr>
      <w:r>
        <w:rPr>
          <w:rFonts w:hint="eastAsia"/>
          <w:highlight w:val="none"/>
        </w:rPr>
        <w:t>6）教学课题：教师可登记带教过程中的教学课题信息，包括类型、时间等，支持附件上传，经审核后存档并可导出。</w:t>
      </w:r>
    </w:p>
    <w:p w14:paraId="76624E35">
      <w:pPr>
        <w:pStyle w:val="12"/>
        <w:shd w:val="clear" w:color="auto" w:fill="auto"/>
        <w:ind w:firstLine="480"/>
        <w:rPr>
          <w:rFonts w:hint="eastAsia"/>
          <w:highlight w:val="none"/>
        </w:rPr>
      </w:pPr>
      <w:r>
        <w:rPr>
          <w:rFonts w:hint="eastAsia"/>
          <w:highlight w:val="none"/>
        </w:rPr>
        <w:t>7）劳动得分：科教管理员可维护事务性考核成绩，包含姓名、考核名称、成绩、时间等，支持数据导入导出。</w:t>
      </w:r>
    </w:p>
    <w:p w14:paraId="2722D05D">
      <w:pPr>
        <w:pStyle w:val="12"/>
        <w:shd w:val="clear" w:color="auto" w:fill="auto"/>
        <w:ind w:firstLine="480"/>
        <w:rPr>
          <w:rFonts w:hint="eastAsia"/>
          <w:highlight w:val="none"/>
        </w:rPr>
      </w:pPr>
      <w:r>
        <w:rPr>
          <w:rFonts w:hint="eastAsia"/>
          <w:highlight w:val="none"/>
        </w:rPr>
        <w:t>8）考核成绩：学员可登记轮转期间的劳动得分，填写姓名、成绩、时间等信息，经审核后存档，支持导出。</w:t>
      </w:r>
    </w:p>
    <w:p w14:paraId="7D1D7D25">
      <w:pPr>
        <w:pStyle w:val="12"/>
        <w:shd w:val="clear" w:color="auto" w:fill="auto"/>
        <w:ind w:firstLine="480"/>
        <w:rPr>
          <w:rFonts w:hint="eastAsia"/>
          <w:highlight w:val="none"/>
        </w:rPr>
      </w:pPr>
      <w:r>
        <w:rPr>
          <w:rFonts w:hint="eastAsia"/>
          <w:highlight w:val="none"/>
        </w:rPr>
        <w:t>9）教学评价：管理人员可查看学员对老师、学员对带教、带教对学员三类评价结果，支持一键导出详细数据。</w:t>
      </w:r>
    </w:p>
    <w:p w14:paraId="2B8C8720">
      <w:pPr>
        <w:pStyle w:val="12"/>
        <w:shd w:val="clear" w:color="auto" w:fill="auto"/>
        <w:ind w:firstLine="480"/>
        <w:rPr>
          <w:rFonts w:hint="eastAsia"/>
          <w:highlight w:val="none"/>
        </w:rPr>
      </w:pPr>
      <w:r>
        <w:rPr>
          <w:rFonts w:hint="eastAsia"/>
          <w:highlight w:val="none"/>
        </w:rPr>
        <w:t>10）等级评估：支持管理人员根据督导要求维护评估指标，包括类型、内容、标准、方式等，支持附件上传。</w:t>
      </w:r>
    </w:p>
    <w:p w14:paraId="1B513A09">
      <w:pPr>
        <w:pStyle w:val="7"/>
        <w:rPr>
          <w:rFonts w:hint="eastAsia"/>
          <w:highlight w:val="none"/>
        </w:rPr>
      </w:pPr>
      <w:r>
        <w:rPr>
          <w:rFonts w:hint="eastAsia"/>
          <w:highlight w:val="none"/>
          <w:lang w:val="en-US" w:eastAsia="zh-CN"/>
        </w:rPr>
        <w:t xml:space="preserve"> </w:t>
      </w:r>
      <w:r>
        <w:rPr>
          <w:rFonts w:hint="eastAsia"/>
          <w:highlight w:val="none"/>
        </w:rPr>
        <w:t>教学档案</w:t>
      </w:r>
    </w:p>
    <w:p w14:paraId="3D7BECD6">
      <w:pPr>
        <w:pStyle w:val="12"/>
        <w:shd w:val="clear" w:color="auto" w:fill="auto"/>
        <w:ind w:firstLine="480"/>
        <w:rPr>
          <w:rFonts w:hint="eastAsia"/>
          <w:highlight w:val="none"/>
        </w:rPr>
      </w:pPr>
      <w:r>
        <w:rPr>
          <w:rFonts w:hint="eastAsia"/>
          <w:highlight w:val="none"/>
        </w:rPr>
        <w:t>1）师资档案：支持汇总教学数据（教学活动、评价、带教人次等），教师可维护个人信息（学历、职称、资质等），审核后用于统计，支持数据导入导出。</w:t>
      </w:r>
    </w:p>
    <w:p w14:paraId="351AA557">
      <w:pPr>
        <w:pStyle w:val="12"/>
        <w:shd w:val="clear" w:color="auto" w:fill="auto"/>
        <w:ind w:firstLine="480"/>
        <w:rPr>
          <w:rFonts w:hint="eastAsia"/>
          <w:highlight w:val="none"/>
        </w:rPr>
      </w:pPr>
      <w:r>
        <w:rPr>
          <w:rFonts w:hint="eastAsia"/>
          <w:highlight w:val="none"/>
        </w:rPr>
        <w:t>2）学员档案：支持汇总学习数据（轮转完成、签到、评价等），学员可完善基本信息与执医信息，提供结业操作并综合评估是否达标。</w:t>
      </w:r>
    </w:p>
    <w:p w14:paraId="6B4ED3B8">
      <w:pPr>
        <w:pStyle w:val="12"/>
        <w:shd w:val="clear" w:color="auto" w:fill="auto"/>
        <w:ind w:firstLine="480"/>
        <w:rPr>
          <w:rFonts w:hint="eastAsia"/>
          <w:highlight w:val="none"/>
        </w:rPr>
      </w:pPr>
      <w:r>
        <w:rPr>
          <w:rFonts w:hint="eastAsia"/>
          <w:highlight w:val="none"/>
        </w:rPr>
        <w:t>3）科室档案：汇总教学数据（人员、轮转、考勤、教学计划、带教记录等），支持明细查看与数据导出。</w:t>
      </w:r>
    </w:p>
    <w:p w14:paraId="31F76B32">
      <w:pPr>
        <w:pStyle w:val="12"/>
        <w:shd w:val="clear" w:color="auto" w:fill="auto"/>
        <w:ind w:firstLine="480"/>
        <w:rPr>
          <w:rFonts w:hint="eastAsia"/>
          <w:highlight w:val="none"/>
        </w:rPr>
      </w:pPr>
      <w:r>
        <w:rPr>
          <w:rFonts w:hint="eastAsia"/>
          <w:highlight w:val="none"/>
        </w:rPr>
        <w:t>4）基地档案：汇总教育数据（管理人员、考核、科室、备课、试讲等），支持明细查看、导出及年度考核评分。</w:t>
      </w:r>
    </w:p>
    <w:p w14:paraId="38B4FF6F">
      <w:pPr>
        <w:pStyle w:val="12"/>
        <w:shd w:val="clear" w:color="auto" w:fill="auto"/>
        <w:ind w:firstLine="480"/>
        <w:rPr>
          <w:rFonts w:hint="eastAsia"/>
          <w:highlight w:val="none"/>
        </w:rPr>
      </w:pPr>
      <w:r>
        <w:rPr>
          <w:rFonts w:hint="eastAsia"/>
          <w:highlight w:val="none"/>
        </w:rPr>
        <w:t>5）教研室档案：支持管理数据汇总、导出及年度考核评分。</w:t>
      </w:r>
    </w:p>
    <w:p w14:paraId="5796DC7E">
      <w:pPr>
        <w:pStyle w:val="7"/>
        <w:rPr>
          <w:rFonts w:hint="eastAsia"/>
          <w:highlight w:val="none"/>
        </w:rPr>
      </w:pPr>
      <w:r>
        <w:rPr>
          <w:rFonts w:hint="eastAsia"/>
          <w:highlight w:val="none"/>
          <w:lang w:val="en-US" w:eastAsia="zh-CN"/>
        </w:rPr>
        <w:t xml:space="preserve"> </w:t>
      </w:r>
      <w:r>
        <w:rPr>
          <w:rFonts w:hint="eastAsia"/>
          <w:highlight w:val="none"/>
        </w:rPr>
        <w:t>督导管理</w:t>
      </w:r>
    </w:p>
    <w:p w14:paraId="782AFC46">
      <w:pPr>
        <w:pStyle w:val="12"/>
        <w:shd w:val="clear" w:color="auto" w:fill="auto"/>
        <w:ind w:firstLine="480"/>
        <w:rPr>
          <w:rFonts w:hint="eastAsia"/>
          <w:highlight w:val="none"/>
        </w:rPr>
      </w:pPr>
      <w:r>
        <w:rPr>
          <w:rFonts w:hint="eastAsia"/>
          <w:highlight w:val="none"/>
        </w:rPr>
        <w:t>支持管理员发起教学督导任务，设置时间、内容、类型、教师及评分表等，并发送通知；教师可在线评分并上传凭证。支持扣分说明填写与汇总，以及数据导出。督导结果可反馈至科室，提出整改意见，科室完成整改后上传凭证，由负责人审核，实现督导、整改、确认闭环管理。</w:t>
      </w:r>
    </w:p>
    <w:p w14:paraId="13B44949">
      <w:pPr>
        <w:pStyle w:val="7"/>
        <w:rPr>
          <w:rFonts w:hint="eastAsia"/>
          <w:highlight w:val="none"/>
        </w:rPr>
      </w:pPr>
      <w:r>
        <w:rPr>
          <w:rFonts w:hint="eastAsia"/>
          <w:highlight w:val="none"/>
          <w:lang w:val="en-US" w:eastAsia="zh-CN"/>
        </w:rPr>
        <w:t xml:space="preserve"> </w:t>
      </w:r>
      <w:r>
        <w:rPr>
          <w:rFonts w:hint="eastAsia"/>
          <w:highlight w:val="none"/>
        </w:rPr>
        <w:t>轮转考核管理</w:t>
      </w:r>
    </w:p>
    <w:p w14:paraId="369B3E61">
      <w:pPr>
        <w:pStyle w:val="12"/>
        <w:shd w:val="clear" w:color="auto" w:fill="auto"/>
        <w:ind w:firstLine="480"/>
        <w:rPr>
          <w:rFonts w:hint="eastAsia"/>
          <w:highlight w:val="none"/>
        </w:rPr>
      </w:pPr>
      <w:r>
        <w:rPr>
          <w:rFonts w:hint="eastAsia"/>
          <w:highlight w:val="none"/>
        </w:rPr>
        <w:t>1）出科理论考核管理</w:t>
      </w:r>
    </w:p>
    <w:p w14:paraId="124F7557">
      <w:pPr>
        <w:pStyle w:val="12"/>
        <w:shd w:val="clear" w:color="auto" w:fill="auto"/>
        <w:ind w:firstLine="480"/>
        <w:rPr>
          <w:rFonts w:hint="eastAsia"/>
          <w:highlight w:val="none"/>
        </w:rPr>
      </w:pPr>
      <w:r>
        <w:rPr>
          <w:rFonts w:hint="eastAsia"/>
          <w:highlight w:val="none"/>
        </w:rPr>
        <w:t>支持医院管理员按学员类型、轮转科室在后台自主组卷并设置考试次数，实现差异化考核。题库支持图文、音视频等多媒体试题，并可通过DeepSeek获取含题目解析、解题思路、常见错误分析的详细解析。学员可通过Web或微信公众号在线考试，科室教学秘书可设置8-9位随机验证码，确保考试规范性。考试最高分自动同步至出科考核表，理论成绩一经录入不可修改。</w:t>
      </w:r>
    </w:p>
    <w:p w14:paraId="0E203682">
      <w:pPr>
        <w:pStyle w:val="12"/>
        <w:shd w:val="clear" w:color="auto" w:fill="auto"/>
        <w:ind w:firstLine="480"/>
        <w:rPr>
          <w:rFonts w:hint="eastAsia"/>
          <w:highlight w:val="none"/>
        </w:rPr>
      </w:pPr>
      <w:r>
        <w:rPr>
          <w:rFonts w:hint="eastAsia"/>
          <w:highlight w:val="none"/>
        </w:rPr>
        <w:t>2）考试系统防作弊</w:t>
      </w:r>
    </w:p>
    <w:p w14:paraId="3BE5F643">
      <w:pPr>
        <w:pStyle w:val="12"/>
        <w:shd w:val="clear" w:color="auto" w:fill="auto"/>
        <w:ind w:firstLine="480"/>
        <w:rPr>
          <w:rFonts w:hint="eastAsia"/>
          <w:highlight w:val="none"/>
        </w:rPr>
      </w:pPr>
      <w:r>
        <w:rPr>
          <w:rFonts w:hint="eastAsia"/>
          <w:highlight w:val="none"/>
        </w:rPr>
        <w:t>每场考试可生成动态或静态签到码，学员通过绑定微信扫码签到，动态码每人唯一且限时更新，签到后方可考试，后台可统计导出签到数据。系统限制切屏次数，超限后需密码或扫码解锁，或强制交卷；同时禁止复制粘贴、悬浮窗搜索等操作，防止作弊。</w:t>
      </w:r>
    </w:p>
    <w:p w14:paraId="0EA38208">
      <w:pPr>
        <w:pStyle w:val="12"/>
        <w:shd w:val="clear" w:color="auto" w:fill="auto"/>
        <w:ind w:firstLine="480"/>
        <w:rPr>
          <w:rFonts w:hint="eastAsia"/>
          <w:highlight w:val="none"/>
        </w:rPr>
      </w:pPr>
      <w:r>
        <w:rPr>
          <w:rFonts w:hint="eastAsia"/>
          <w:highlight w:val="none"/>
        </w:rPr>
        <w:t>3）考试任务管理</w:t>
      </w:r>
    </w:p>
    <w:p w14:paraId="2D294E92">
      <w:pPr>
        <w:pStyle w:val="12"/>
        <w:shd w:val="clear" w:color="auto" w:fill="auto"/>
        <w:ind w:firstLine="480"/>
        <w:rPr>
          <w:rFonts w:hint="eastAsia"/>
          <w:highlight w:val="none"/>
        </w:rPr>
      </w:pPr>
      <w:r>
        <w:rPr>
          <w:rFonts w:hint="eastAsia"/>
          <w:highlight w:val="none"/>
        </w:rPr>
        <w:t>支持按专业定制轮转期间的理论与实践考试计划，设置理论考试方案并记录各模块成绩，按预设比例生成综合成绩。实习科室可任务化管理理论考试，实践考试支持录入或导入技能分数及权重，计入综合成绩汇总。</w:t>
      </w:r>
    </w:p>
    <w:p w14:paraId="7BA91E9D">
      <w:pPr>
        <w:pStyle w:val="12"/>
        <w:shd w:val="clear" w:color="auto" w:fill="auto"/>
        <w:ind w:firstLine="480"/>
        <w:rPr>
          <w:rFonts w:hint="eastAsia"/>
          <w:highlight w:val="none"/>
        </w:rPr>
      </w:pPr>
      <w:r>
        <w:rPr>
          <w:rFonts w:hint="eastAsia"/>
          <w:highlight w:val="none"/>
        </w:rPr>
        <w:t>4）出科技能考核管理</w:t>
      </w:r>
    </w:p>
    <w:p w14:paraId="4F28A4DF">
      <w:pPr>
        <w:pStyle w:val="12"/>
        <w:shd w:val="clear" w:color="auto" w:fill="auto"/>
        <w:ind w:firstLine="480"/>
        <w:rPr>
          <w:rFonts w:hint="eastAsia"/>
          <w:highlight w:val="none"/>
        </w:rPr>
      </w:pPr>
      <w:r>
        <w:rPr>
          <w:rFonts w:hint="eastAsia"/>
          <w:highlight w:val="none"/>
        </w:rPr>
        <w:t>带教老师可从评分表单库中选择表单对学员进行技能考核，系统自动汇总得分至出科考核表。</w:t>
      </w:r>
    </w:p>
    <w:p w14:paraId="69A9E8EB">
      <w:pPr>
        <w:pStyle w:val="12"/>
        <w:shd w:val="clear" w:color="auto" w:fill="auto"/>
        <w:ind w:firstLine="480"/>
        <w:rPr>
          <w:rFonts w:hint="eastAsia"/>
          <w:highlight w:val="none"/>
        </w:rPr>
      </w:pPr>
      <w:r>
        <w:rPr>
          <w:rFonts w:hint="eastAsia"/>
          <w:highlight w:val="none"/>
        </w:rPr>
        <w:t>5）出科日常及综合考核（形成性评价）</w:t>
      </w:r>
    </w:p>
    <w:p w14:paraId="023E68D4">
      <w:pPr>
        <w:pStyle w:val="12"/>
        <w:shd w:val="clear" w:color="auto" w:fill="auto"/>
        <w:ind w:firstLine="480"/>
        <w:rPr>
          <w:rFonts w:hint="eastAsia"/>
          <w:highlight w:val="none"/>
        </w:rPr>
      </w:pPr>
      <w:r>
        <w:rPr>
          <w:rFonts w:hint="eastAsia"/>
          <w:highlight w:val="none"/>
        </w:rPr>
        <w:t>支持带教老师开展DOPS、mini-CEX等日常形成性评价，学员可反馈评估结果，各级管理员可查询。系统支持按科室配置出科考核表单，自动整合理论、技能成绩及教学活动参与情况，结合主观评价，生成完整出科考核结果。</w:t>
      </w:r>
    </w:p>
    <w:p w14:paraId="2F7FE005">
      <w:pPr>
        <w:pStyle w:val="7"/>
        <w:rPr>
          <w:rFonts w:hint="eastAsia"/>
          <w:highlight w:val="none"/>
        </w:rPr>
      </w:pPr>
      <w:r>
        <w:rPr>
          <w:rFonts w:hint="eastAsia"/>
          <w:highlight w:val="none"/>
          <w:lang w:val="en-US" w:eastAsia="zh-CN"/>
        </w:rPr>
        <w:t xml:space="preserve"> </w:t>
      </w:r>
      <w:r>
        <w:rPr>
          <w:rFonts w:hint="eastAsia"/>
          <w:highlight w:val="none"/>
        </w:rPr>
        <w:t>账户管理</w:t>
      </w:r>
    </w:p>
    <w:p w14:paraId="52418E41">
      <w:pPr>
        <w:pStyle w:val="12"/>
        <w:shd w:val="clear" w:color="auto" w:fill="auto"/>
        <w:ind w:firstLine="480"/>
        <w:rPr>
          <w:rFonts w:hint="eastAsia"/>
          <w:highlight w:val="none"/>
        </w:rPr>
      </w:pPr>
      <w:r>
        <w:rPr>
          <w:rFonts w:hint="eastAsia"/>
          <w:highlight w:val="none"/>
        </w:rPr>
        <w:t>1）维护账号基本信息，包括人员、单位及科室信息，支持多层级单位与科室架构。</w:t>
      </w:r>
    </w:p>
    <w:p w14:paraId="1558818C">
      <w:pPr>
        <w:pStyle w:val="12"/>
        <w:shd w:val="clear" w:color="auto" w:fill="auto"/>
        <w:ind w:firstLine="480"/>
        <w:rPr>
          <w:rFonts w:hint="eastAsia"/>
          <w:highlight w:val="none"/>
        </w:rPr>
      </w:pPr>
      <w:r>
        <w:rPr>
          <w:rFonts w:hint="eastAsia"/>
          <w:highlight w:val="none"/>
        </w:rPr>
        <w:t>2）支持自定义角色权限，可灵活配置人员的多角色及操作范围，设定角色的数据可视范围。</w:t>
      </w:r>
    </w:p>
    <w:p w14:paraId="76A4D1BC">
      <w:pPr>
        <w:pStyle w:val="7"/>
        <w:rPr>
          <w:rFonts w:hint="eastAsia"/>
          <w:highlight w:val="none"/>
        </w:rPr>
      </w:pPr>
      <w:r>
        <w:rPr>
          <w:rFonts w:hint="eastAsia"/>
          <w:highlight w:val="none"/>
          <w:lang w:val="en-US" w:eastAsia="zh-CN"/>
        </w:rPr>
        <w:t xml:space="preserve"> </w:t>
      </w:r>
      <w:r>
        <w:rPr>
          <w:rFonts w:hint="eastAsia"/>
          <w:highlight w:val="none"/>
        </w:rPr>
        <w:t>系统管理</w:t>
      </w:r>
    </w:p>
    <w:p w14:paraId="02EF2A19">
      <w:pPr>
        <w:pStyle w:val="12"/>
        <w:shd w:val="clear" w:color="auto" w:fill="auto"/>
        <w:ind w:firstLine="480"/>
        <w:rPr>
          <w:rFonts w:hint="eastAsia"/>
          <w:highlight w:val="none"/>
        </w:rPr>
      </w:pPr>
      <w:r>
        <w:rPr>
          <w:rFonts w:hint="eastAsia"/>
          <w:highlight w:val="none"/>
        </w:rPr>
        <w:t>1）字典管理：支持自定义调整系统下拉选项内容。</w:t>
      </w:r>
    </w:p>
    <w:p w14:paraId="0E5F1A9A">
      <w:pPr>
        <w:pStyle w:val="12"/>
        <w:shd w:val="clear" w:color="auto" w:fill="auto"/>
        <w:ind w:firstLine="480"/>
        <w:rPr>
          <w:rFonts w:hint="eastAsia"/>
          <w:highlight w:val="none"/>
        </w:rPr>
      </w:pPr>
      <w:r>
        <w:rPr>
          <w:rFonts w:hint="eastAsia"/>
          <w:highlight w:val="none"/>
        </w:rPr>
        <w:t>2）数据库日志：记录数据变动，便于问题追溯。</w:t>
      </w:r>
    </w:p>
    <w:p w14:paraId="1E892CDF">
      <w:pPr>
        <w:pStyle w:val="12"/>
        <w:shd w:val="clear" w:color="auto" w:fill="auto"/>
        <w:ind w:firstLine="480"/>
        <w:rPr>
          <w:rFonts w:hint="eastAsia"/>
          <w:highlight w:val="none"/>
        </w:rPr>
      </w:pPr>
      <w:r>
        <w:rPr>
          <w:rFonts w:hint="eastAsia"/>
          <w:highlight w:val="none"/>
        </w:rPr>
        <w:t>3）下载中心：提供带权限控制的文件共享功能。</w:t>
      </w:r>
    </w:p>
    <w:p w14:paraId="35C63835">
      <w:pPr>
        <w:pStyle w:val="12"/>
        <w:shd w:val="clear" w:color="auto" w:fill="auto"/>
        <w:ind w:firstLine="480"/>
        <w:rPr>
          <w:rFonts w:hint="eastAsia"/>
          <w:highlight w:val="none"/>
        </w:rPr>
      </w:pPr>
      <w:r>
        <w:rPr>
          <w:rFonts w:hint="eastAsia"/>
          <w:highlight w:val="none"/>
        </w:rPr>
        <w:t>4）升级日志：记录系统版本及更新内容。</w:t>
      </w:r>
    </w:p>
    <w:p w14:paraId="77C6D5A4">
      <w:pPr>
        <w:pStyle w:val="12"/>
        <w:shd w:val="clear" w:color="auto" w:fill="auto"/>
        <w:ind w:firstLine="480"/>
        <w:rPr>
          <w:rFonts w:hint="eastAsia"/>
          <w:highlight w:val="none"/>
        </w:rPr>
      </w:pPr>
      <w:r>
        <w:rPr>
          <w:rFonts w:hint="eastAsia"/>
          <w:highlight w:val="none"/>
        </w:rPr>
        <w:t>5）帐号安全：管理弱密码及存在风险的账号。</w:t>
      </w:r>
    </w:p>
    <w:p w14:paraId="5A08A4CC">
      <w:pPr>
        <w:pStyle w:val="12"/>
        <w:shd w:val="clear" w:color="auto" w:fill="auto"/>
        <w:ind w:firstLine="480"/>
        <w:rPr>
          <w:rFonts w:hint="eastAsia"/>
          <w:highlight w:val="none"/>
        </w:rPr>
      </w:pPr>
      <w:r>
        <w:rPr>
          <w:rFonts w:hint="eastAsia"/>
          <w:highlight w:val="none"/>
        </w:rPr>
        <w:t>6）审批流设计器：支持可视化配置自定义审核流程和审核人规则。</w:t>
      </w:r>
    </w:p>
    <w:p w14:paraId="54FA0D94">
      <w:pPr>
        <w:pStyle w:val="4"/>
        <w:rPr>
          <w:rFonts w:hint="eastAsia"/>
          <w:highlight w:val="none"/>
        </w:rPr>
      </w:pPr>
      <w:r>
        <w:rPr>
          <w:rFonts w:hint="eastAsia"/>
          <w:highlight w:val="none"/>
          <w:lang w:val="en-US" w:eastAsia="zh-CN"/>
        </w:rPr>
        <w:t xml:space="preserve"> </w:t>
      </w:r>
      <w:r>
        <w:rPr>
          <w:rFonts w:hint="eastAsia"/>
          <w:highlight w:val="none"/>
        </w:rPr>
        <w:t>智慧互联</w:t>
      </w:r>
    </w:p>
    <w:p w14:paraId="7520B7F4">
      <w:pPr>
        <w:pStyle w:val="5"/>
        <w:rPr>
          <w:rFonts w:hint="eastAsia"/>
          <w:highlight w:val="none"/>
        </w:rPr>
      </w:pPr>
      <w:r>
        <w:rPr>
          <w:rFonts w:hint="eastAsia"/>
          <w:highlight w:val="none"/>
          <w:lang w:val="en-US" w:eastAsia="zh-CN"/>
        </w:rPr>
        <w:t xml:space="preserve"> </w:t>
      </w:r>
      <w:r>
        <w:rPr>
          <w:rFonts w:hint="eastAsia"/>
          <w:highlight w:val="none"/>
        </w:rPr>
        <w:t>数据治理</w:t>
      </w:r>
    </w:p>
    <w:p w14:paraId="0EADE70C">
      <w:pPr>
        <w:pStyle w:val="6"/>
        <w:rPr>
          <w:rFonts w:hint="eastAsia"/>
          <w:highlight w:val="none"/>
        </w:rPr>
      </w:pPr>
      <w:bookmarkStart w:id="217" w:name="_Toc197780305"/>
      <w:bookmarkStart w:id="218" w:name="_Toc197780265"/>
      <w:r>
        <w:rPr>
          <w:rFonts w:hint="eastAsia"/>
          <w:highlight w:val="none"/>
          <w:lang w:val="en-US" w:eastAsia="zh-CN"/>
        </w:rPr>
        <w:t xml:space="preserve"> </w:t>
      </w:r>
      <w:r>
        <w:rPr>
          <w:rFonts w:hint="eastAsia"/>
          <w:highlight w:val="none"/>
        </w:rPr>
        <w:t>统一门户</w:t>
      </w:r>
      <w:bookmarkEnd w:id="217"/>
    </w:p>
    <w:p w14:paraId="57DEA311">
      <w:pPr>
        <w:pStyle w:val="12"/>
        <w:shd w:val="clear" w:color="auto" w:fill="auto"/>
        <w:ind w:firstLine="480"/>
        <w:rPr>
          <w:rFonts w:hint="eastAsia"/>
          <w:highlight w:val="none"/>
        </w:rPr>
      </w:pPr>
      <w:r>
        <w:rPr>
          <w:rFonts w:hint="eastAsia"/>
          <w:highlight w:val="none"/>
        </w:rPr>
        <w:t>统一身份认证管理支持按业务角色分类展示功能菜单，并提供图标库，将功能平铺于门户首页。支持多种CA数字签名、UKey、云签扫码等认证登录方式，保障关键系统登录与数据传输的安全性；同时支持扫码注册，绑定手机CA证书并实现扫码登录。系统需具备密码错误超限自动锁定及手动解锁功能。</w:t>
      </w:r>
    </w:p>
    <w:p w14:paraId="617599F8">
      <w:pPr>
        <w:pStyle w:val="7"/>
        <w:rPr>
          <w:rFonts w:hint="eastAsia"/>
          <w:highlight w:val="none"/>
        </w:rPr>
      </w:pPr>
      <w:bookmarkStart w:id="219" w:name="_Toc197780307"/>
      <w:r>
        <w:rPr>
          <w:rFonts w:hint="eastAsia"/>
          <w:highlight w:val="none"/>
          <w:lang w:val="en-US" w:eastAsia="zh-CN"/>
        </w:rPr>
        <w:t xml:space="preserve"> </w:t>
      </w:r>
      <w:r>
        <w:rPr>
          <w:rFonts w:hint="eastAsia"/>
          <w:highlight w:val="none"/>
        </w:rPr>
        <w:t>Portal首页</w:t>
      </w:r>
      <w:bookmarkEnd w:id="219"/>
    </w:p>
    <w:p w14:paraId="1E01125C">
      <w:pPr>
        <w:pStyle w:val="12"/>
        <w:shd w:val="clear" w:color="auto" w:fill="auto"/>
        <w:ind w:firstLine="480"/>
        <w:rPr>
          <w:rFonts w:hint="eastAsia"/>
          <w:highlight w:val="none"/>
        </w:rPr>
      </w:pPr>
      <w:r>
        <w:rPr>
          <w:rFonts w:hint="eastAsia"/>
          <w:highlight w:val="none"/>
        </w:rPr>
        <w:t>支持按预设应用展示类别。支持根据使用应用的频次自动生成常用应用类别并置顶展示。支持自定义首页展示应用。支持提供统一的图标素材库。</w:t>
      </w:r>
    </w:p>
    <w:p w14:paraId="4DEA22C1">
      <w:pPr>
        <w:pStyle w:val="7"/>
        <w:rPr>
          <w:rFonts w:hint="eastAsia"/>
          <w:highlight w:val="none"/>
        </w:rPr>
      </w:pPr>
      <w:bookmarkStart w:id="220" w:name="_Toc197780308"/>
      <w:r>
        <w:rPr>
          <w:rFonts w:hint="eastAsia"/>
          <w:highlight w:val="none"/>
          <w:lang w:val="en-US" w:eastAsia="zh-CN"/>
        </w:rPr>
        <w:t xml:space="preserve"> </w:t>
      </w:r>
      <w:r>
        <w:rPr>
          <w:rFonts w:hint="eastAsia"/>
          <w:highlight w:val="none"/>
        </w:rPr>
        <w:t>应用中心</w:t>
      </w:r>
      <w:bookmarkEnd w:id="220"/>
    </w:p>
    <w:p w14:paraId="4EFEE8AE">
      <w:pPr>
        <w:pStyle w:val="12"/>
        <w:shd w:val="clear" w:color="auto" w:fill="auto"/>
        <w:ind w:firstLine="480"/>
        <w:rPr>
          <w:rFonts w:hint="eastAsia"/>
          <w:highlight w:val="none"/>
        </w:rPr>
      </w:pPr>
      <w:r>
        <w:rPr>
          <w:rFonts w:hint="eastAsia"/>
          <w:highlight w:val="none"/>
        </w:rPr>
        <w:t>支持常用应用分类，系统根据用户使用习惯自动分析使用频率前五的应用，生成“常用应用”并置顶展示，提升访问效率。</w:t>
      </w:r>
    </w:p>
    <w:p w14:paraId="155F3171">
      <w:pPr>
        <w:pStyle w:val="12"/>
        <w:shd w:val="clear" w:color="auto" w:fill="auto"/>
        <w:ind w:firstLine="480"/>
        <w:rPr>
          <w:rFonts w:hint="eastAsia"/>
          <w:highlight w:val="none"/>
        </w:rPr>
      </w:pPr>
      <w:r>
        <w:rPr>
          <w:rFonts w:hint="eastAsia"/>
          <w:highlight w:val="none"/>
        </w:rPr>
        <w:t>提供全部应用列表，可开关显示系统所有应用。</w:t>
      </w:r>
    </w:p>
    <w:p w14:paraId="1F62C49C">
      <w:pPr>
        <w:pStyle w:val="12"/>
        <w:shd w:val="clear" w:color="auto" w:fill="auto"/>
        <w:ind w:firstLine="480"/>
        <w:rPr>
          <w:rFonts w:hint="eastAsia"/>
          <w:highlight w:val="none"/>
        </w:rPr>
      </w:pPr>
      <w:r>
        <w:rPr>
          <w:rFonts w:hint="eastAsia"/>
          <w:highlight w:val="none"/>
        </w:rPr>
        <w:t>展示当前账号角色可访问的“我的首页应用”。</w:t>
      </w:r>
    </w:p>
    <w:p w14:paraId="2C5F8389">
      <w:pPr>
        <w:pStyle w:val="12"/>
        <w:shd w:val="clear" w:color="auto" w:fill="auto"/>
        <w:ind w:firstLine="480"/>
        <w:rPr>
          <w:rFonts w:hint="eastAsia"/>
          <w:highlight w:val="none"/>
        </w:rPr>
      </w:pPr>
      <w:r>
        <w:rPr>
          <w:rFonts w:hint="eastAsia"/>
          <w:highlight w:val="none"/>
        </w:rPr>
        <w:t>针对CS架构应用，支持设置和修改客户端本地路径；本地路径缺失时，系统自动全盘检索并提供应用路径供选择。</w:t>
      </w:r>
    </w:p>
    <w:p w14:paraId="79CEED10">
      <w:pPr>
        <w:pStyle w:val="7"/>
        <w:rPr>
          <w:rFonts w:hint="eastAsia"/>
          <w:highlight w:val="none"/>
        </w:rPr>
      </w:pPr>
      <w:bookmarkStart w:id="221" w:name="_Toc197780309"/>
      <w:r>
        <w:rPr>
          <w:rFonts w:hint="eastAsia"/>
          <w:highlight w:val="none"/>
          <w:lang w:val="en-US" w:eastAsia="zh-CN"/>
        </w:rPr>
        <w:t xml:space="preserve"> </w:t>
      </w:r>
      <w:r>
        <w:rPr>
          <w:rFonts w:hint="eastAsia"/>
          <w:highlight w:val="none"/>
        </w:rPr>
        <w:t>消息中心</w:t>
      </w:r>
      <w:bookmarkEnd w:id="221"/>
    </w:p>
    <w:p w14:paraId="1F256F28">
      <w:pPr>
        <w:pStyle w:val="12"/>
        <w:shd w:val="clear" w:color="auto" w:fill="auto"/>
        <w:ind w:firstLine="480"/>
        <w:rPr>
          <w:rFonts w:hint="eastAsia"/>
          <w:highlight w:val="none"/>
        </w:rPr>
      </w:pPr>
      <w:r>
        <w:rPr>
          <w:rFonts w:hint="eastAsia"/>
          <w:highlight w:val="none"/>
        </w:rPr>
        <w:t>消息中心支持列表和卡片两种展示形式，可显示各类消息的新增数量，并按角色接收不同消息。支持批量设置已读、未读及收藏，支持消息概要检索和历史消息查询。系统应通过多种方式自动抓取已对接的消息数据。</w:t>
      </w:r>
    </w:p>
    <w:p w14:paraId="00039DCD">
      <w:pPr>
        <w:pStyle w:val="7"/>
        <w:rPr>
          <w:rFonts w:hint="eastAsia"/>
          <w:highlight w:val="none"/>
        </w:rPr>
      </w:pPr>
      <w:bookmarkStart w:id="222" w:name="_Toc197780310"/>
      <w:r>
        <w:rPr>
          <w:rFonts w:hint="eastAsia"/>
          <w:highlight w:val="none"/>
          <w:lang w:val="en-US" w:eastAsia="zh-CN"/>
        </w:rPr>
        <w:t xml:space="preserve"> </w:t>
      </w:r>
      <w:r>
        <w:rPr>
          <w:rFonts w:hint="eastAsia"/>
          <w:highlight w:val="none"/>
        </w:rPr>
        <w:t>我的日程</w:t>
      </w:r>
      <w:bookmarkEnd w:id="222"/>
    </w:p>
    <w:p w14:paraId="2BAAA61F">
      <w:pPr>
        <w:pStyle w:val="12"/>
        <w:shd w:val="clear" w:color="auto" w:fill="auto"/>
        <w:ind w:firstLine="480"/>
        <w:rPr>
          <w:rFonts w:hint="eastAsia"/>
          <w:highlight w:val="none"/>
        </w:rPr>
      </w:pPr>
      <w:r>
        <w:rPr>
          <w:rFonts w:hint="eastAsia"/>
          <w:highlight w:val="none"/>
        </w:rPr>
        <w:t>支持统一管理接口，提供日程创建、展示及明细查看功能，支持门诊排班展示和用户自建日程，辅助业务流程，并面向其他系统提供标准接入文档。</w:t>
      </w:r>
    </w:p>
    <w:p w14:paraId="22738EEF">
      <w:pPr>
        <w:pStyle w:val="7"/>
        <w:rPr>
          <w:rFonts w:hint="eastAsia"/>
          <w:highlight w:val="none"/>
        </w:rPr>
      </w:pPr>
      <w:bookmarkStart w:id="223" w:name="_Toc197780311"/>
      <w:r>
        <w:rPr>
          <w:rFonts w:hint="eastAsia"/>
          <w:highlight w:val="none"/>
          <w:lang w:val="en-US" w:eastAsia="zh-CN"/>
        </w:rPr>
        <w:t xml:space="preserve"> </w:t>
      </w:r>
      <w:r>
        <w:rPr>
          <w:rFonts w:hint="eastAsia"/>
          <w:highlight w:val="none"/>
        </w:rPr>
        <w:t>院内通知</w:t>
      </w:r>
      <w:bookmarkEnd w:id="223"/>
    </w:p>
    <w:p w14:paraId="777F0F26">
      <w:pPr>
        <w:pStyle w:val="12"/>
        <w:shd w:val="clear" w:color="auto" w:fill="auto"/>
        <w:ind w:firstLine="480"/>
        <w:rPr>
          <w:rFonts w:hint="eastAsia"/>
          <w:highlight w:val="none"/>
        </w:rPr>
      </w:pPr>
      <w:r>
        <w:rPr>
          <w:rFonts w:hint="eastAsia"/>
          <w:highlight w:val="none"/>
        </w:rPr>
        <w:t>支持用户登录门户后获取最新院内重要新闻，并与OA系统无缝对接，前置展示OA通知公告。支持通过门户通知概要直接跳转至OA详情页查看具体内容，兼容多种OA系统接入方式。首页需提供院内通知概览及详情查看功能。</w:t>
      </w:r>
    </w:p>
    <w:p w14:paraId="111730C9">
      <w:pPr>
        <w:pStyle w:val="7"/>
        <w:rPr>
          <w:rFonts w:hint="eastAsia"/>
          <w:highlight w:val="none"/>
        </w:rPr>
      </w:pPr>
      <w:bookmarkStart w:id="224" w:name="_Toc197780312"/>
      <w:r>
        <w:rPr>
          <w:rFonts w:hint="eastAsia"/>
          <w:highlight w:val="none"/>
          <w:lang w:val="en-US" w:eastAsia="zh-CN"/>
        </w:rPr>
        <w:t xml:space="preserve"> </w:t>
      </w:r>
      <w:r>
        <w:rPr>
          <w:rFonts w:hint="eastAsia"/>
          <w:highlight w:val="none"/>
        </w:rPr>
        <w:t>系统管理</w:t>
      </w:r>
      <w:bookmarkEnd w:id="224"/>
    </w:p>
    <w:p w14:paraId="18B494D7">
      <w:pPr>
        <w:pStyle w:val="12"/>
        <w:shd w:val="clear" w:color="auto" w:fill="auto"/>
        <w:ind w:firstLine="480"/>
        <w:rPr>
          <w:rFonts w:hint="eastAsia"/>
          <w:highlight w:val="none"/>
        </w:rPr>
      </w:pPr>
      <w:r>
        <w:rPr>
          <w:rFonts w:hint="eastAsia"/>
          <w:highlight w:val="none"/>
        </w:rPr>
        <w:t>支持统一的用户、角色、应用和配置管理。</w:t>
      </w:r>
    </w:p>
    <w:p w14:paraId="0386D9DA">
      <w:pPr>
        <w:pStyle w:val="12"/>
        <w:shd w:val="clear" w:color="auto" w:fill="auto"/>
        <w:ind w:firstLine="480"/>
        <w:rPr>
          <w:rFonts w:hint="eastAsia"/>
          <w:highlight w:val="none"/>
        </w:rPr>
      </w:pPr>
      <w:r>
        <w:rPr>
          <w:rFonts w:hint="eastAsia"/>
          <w:highlight w:val="none"/>
        </w:rPr>
        <w:t>支持用户增删改查，设置使用期限及管理员权限；支持多应用系统间用户名映射，解决用户名不一致问题。</w:t>
      </w:r>
    </w:p>
    <w:p w14:paraId="1A8438BE">
      <w:pPr>
        <w:pStyle w:val="12"/>
        <w:shd w:val="clear" w:color="auto" w:fill="auto"/>
        <w:ind w:firstLine="480"/>
        <w:rPr>
          <w:rFonts w:hint="eastAsia"/>
          <w:highlight w:val="none"/>
        </w:rPr>
      </w:pPr>
      <w:r>
        <w:rPr>
          <w:rFonts w:hint="eastAsia"/>
          <w:highlight w:val="none"/>
        </w:rPr>
        <w:t>支持角色管理，实现用户与角色、应用与角色的关联。</w:t>
      </w:r>
    </w:p>
    <w:p w14:paraId="4BA3AE9C">
      <w:pPr>
        <w:pStyle w:val="12"/>
        <w:shd w:val="clear" w:color="auto" w:fill="auto"/>
        <w:ind w:firstLine="480"/>
        <w:rPr>
          <w:rFonts w:hint="eastAsia"/>
          <w:highlight w:val="none"/>
        </w:rPr>
      </w:pPr>
      <w:r>
        <w:rPr>
          <w:rFonts w:hint="eastAsia"/>
          <w:highlight w:val="none"/>
        </w:rPr>
        <w:t>应用管理支持设置应用编号、图标、架构配置，以及B/S应用默认浏览器选择。</w:t>
      </w:r>
    </w:p>
    <w:p w14:paraId="770EB41F">
      <w:pPr>
        <w:pStyle w:val="12"/>
        <w:shd w:val="clear" w:color="auto" w:fill="auto"/>
        <w:ind w:firstLine="480"/>
        <w:rPr>
          <w:rFonts w:hint="eastAsia"/>
          <w:highlight w:val="none"/>
        </w:rPr>
      </w:pPr>
      <w:r>
        <w:rPr>
          <w:rFonts w:hint="eastAsia"/>
          <w:highlight w:val="none"/>
        </w:rPr>
        <w:t>提供统一数据库配置可视化平台，支持后台参数管理。</w:t>
      </w:r>
    </w:p>
    <w:p w14:paraId="7A35F24C">
      <w:pPr>
        <w:pStyle w:val="12"/>
        <w:shd w:val="clear" w:color="auto" w:fill="auto"/>
        <w:ind w:firstLine="480"/>
        <w:rPr>
          <w:rFonts w:hint="eastAsia"/>
          <w:highlight w:val="none"/>
        </w:rPr>
      </w:pPr>
      <w:r>
        <w:rPr>
          <w:rFonts w:hint="eastAsia"/>
          <w:highlight w:val="none"/>
        </w:rPr>
        <w:t>用户管理支持维护人员类别、职级、科室信息，支持用户导入与增量同步，配置统一门户与第三方系统用户映射。</w:t>
      </w:r>
    </w:p>
    <w:p w14:paraId="008F0672">
      <w:pPr>
        <w:pStyle w:val="12"/>
        <w:shd w:val="clear" w:color="auto" w:fill="auto"/>
        <w:ind w:firstLine="480"/>
        <w:rPr>
          <w:rFonts w:hint="eastAsia"/>
          <w:highlight w:val="none"/>
        </w:rPr>
      </w:pPr>
      <w:r>
        <w:rPr>
          <w:rFonts w:hint="eastAsia"/>
          <w:highlight w:val="none"/>
        </w:rPr>
        <w:t>角色管理支持内部角色维护及角色与应用关联。</w:t>
      </w:r>
    </w:p>
    <w:p w14:paraId="2C82CB4E">
      <w:pPr>
        <w:pStyle w:val="12"/>
        <w:shd w:val="clear" w:color="auto" w:fill="auto"/>
        <w:ind w:firstLine="480"/>
        <w:rPr>
          <w:rFonts w:hint="eastAsia"/>
          <w:highlight w:val="none"/>
        </w:rPr>
      </w:pPr>
      <w:r>
        <w:rPr>
          <w:rFonts w:hint="eastAsia"/>
          <w:highlight w:val="none"/>
        </w:rPr>
        <w:t>应用管理涵盖应用类型、启动方式、验证方式、路径、厂商等信息维护。</w:t>
      </w:r>
    </w:p>
    <w:p w14:paraId="223F67F5">
      <w:pPr>
        <w:pStyle w:val="12"/>
        <w:shd w:val="clear" w:color="auto" w:fill="auto"/>
        <w:ind w:firstLine="480"/>
        <w:rPr>
          <w:rFonts w:hint="eastAsia"/>
          <w:highlight w:val="none"/>
        </w:rPr>
      </w:pPr>
      <w:r>
        <w:rPr>
          <w:rFonts w:hint="eastAsia"/>
          <w:highlight w:val="none"/>
        </w:rPr>
        <w:t>配置管理支持门户密码策略、有效期、名称、界面主题等基本参数设置。</w:t>
      </w:r>
    </w:p>
    <w:p w14:paraId="00B5AB97">
      <w:pPr>
        <w:pStyle w:val="7"/>
        <w:rPr>
          <w:rFonts w:hint="eastAsia"/>
          <w:highlight w:val="none"/>
        </w:rPr>
      </w:pPr>
      <w:bookmarkStart w:id="225" w:name="_Toc197780313"/>
      <w:r>
        <w:rPr>
          <w:rFonts w:hint="eastAsia"/>
          <w:highlight w:val="none"/>
          <w:lang w:val="en-US" w:eastAsia="zh-CN"/>
        </w:rPr>
        <w:t xml:space="preserve"> </w:t>
      </w:r>
      <w:r>
        <w:rPr>
          <w:rFonts w:hint="eastAsia"/>
          <w:highlight w:val="none"/>
        </w:rPr>
        <w:t>日志管理</w:t>
      </w:r>
      <w:bookmarkEnd w:id="225"/>
    </w:p>
    <w:p w14:paraId="791DB17E">
      <w:pPr>
        <w:pStyle w:val="12"/>
        <w:shd w:val="clear" w:color="auto" w:fill="auto"/>
        <w:ind w:firstLine="480"/>
        <w:rPr>
          <w:rFonts w:hint="eastAsia"/>
          <w:highlight w:val="none"/>
        </w:rPr>
      </w:pPr>
      <w:r>
        <w:rPr>
          <w:rFonts w:hint="eastAsia"/>
          <w:highlight w:val="none"/>
        </w:rPr>
        <w:t>支持登录、登出、应用启动的日志记录与查询，通过统一接口规范日志格式；支持明细查询及分析功能，以折线图和柱状图展示每日访问情况及科室使用情况；支持日志信息的图表和列表展示。</w:t>
      </w:r>
    </w:p>
    <w:p w14:paraId="72449926">
      <w:pPr>
        <w:pStyle w:val="7"/>
        <w:rPr>
          <w:rFonts w:hint="eastAsia"/>
          <w:highlight w:val="none"/>
        </w:rPr>
      </w:pPr>
      <w:bookmarkStart w:id="226" w:name="_Toc197780314"/>
      <w:r>
        <w:rPr>
          <w:rFonts w:hint="eastAsia"/>
          <w:highlight w:val="none"/>
          <w:lang w:val="en-US" w:eastAsia="zh-CN"/>
        </w:rPr>
        <w:t xml:space="preserve"> </w:t>
      </w:r>
      <w:r>
        <w:rPr>
          <w:rFonts w:hint="eastAsia"/>
          <w:highlight w:val="none"/>
        </w:rPr>
        <w:t>应用集成</w:t>
      </w:r>
      <w:bookmarkEnd w:id="226"/>
    </w:p>
    <w:p w14:paraId="3F75B8E3">
      <w:pPr>
        <w:pStyle w:val="12"/>
        <w:shd w:val="clear" w:color="auto" w:fill="auto"/>
        <w:ind w:firstLine="480"/>
        <w:rPr>
          <w:rFonts w:hint="eastAsia"/>
          <w:highlight w:val="none"/>
        </w:rPr>
      </w:pPr>
      <w:r>
        <w:rPr>
          <w:rFonts w:hint="eastAsia"/>
          <w:highlight w:val="none"/>
        </w:rPr>
        <w:t>支持检查检验结果、会诊消息以及排班日程展示。</w:t>
      </w:r>
    </w:p>
    <w:p w14:paraId="3D1AA6A5">
      <w:pPr>
        <w:pStyle w:val="7"/>
        <w:rPr>
          <w:rFonts w:hint="eastAsia"/>
          <w:highlight w:val="none"/>
        </w:rPr>
      </w:pPr>
      <w:bookmarkStart w:id="227" w:name="_Toc197780315"/>
      <w:r>
        <w:rPr>
          <w:rFonts w:hint="eastAsia"/>
          <w:highlight w:val="none"/>
          <w:lang w:val="en-US" w:eastAsia="zh-CN"/>
        </w:rPr>
        <w:t xml:space="preserve"> </w:t>
      </w:r>
      <w:r>
        <w:rPr>
          <w:rFonts w:hint="eastAsia"/>
          <w:highlight w:val="none"/>
        </w:rPr>
        <w:t>离线模式</w:t>
      </w:r>
      <w:bookmarkEnd w:id="227"/>
    </w:p>
    <w:p w14:paraId="6DA16DC9">
      <w:pPr>
        <w:pStyle w:val="12"/>
        <w:shd w:val="clear" w:color="auto" w:fill="auto"/>
        <w:ind w:firstLine="480"/>
        <w:rPr>
          <w:rFonts w:hint="eastAsia"/>
          <w:highlight w:val="none"/>
        </w:rPr>
      </w:pPr>
      <w:r>
        <w:rPr>
          <w:rFonts w:hint="eastAsia"/>
          <w:highlight w:val="none"/>
        </w:rPr>
        <w:t>支持在服务器出现极端情况下导致门户后台服务崩溃时，门户将进入到客户端离线模式。</w:t>
      </w:r>
    </w:p>
    <w:p w14:paraId="74116DE2">
      <w:pPr>
        <w:pStyle w:val="12"/>
        <w:shd w:val="clear" w:color="auto" w:fill="auto"/>
        <w:ind w:firstLine="480"/>
        <w:rPr>
          <w:rFonts w:hint="eastAsia"/>
          <w:highlight w:val="none"/>
        </w:rPr>
      </w:pPr>
      <w:r>
        <w:rPr>
          <w:rFonts w:hint="eastAsia"/>
          <w:highlight w:val="none"/>
        </w:rPr>
        <w:t>支持通过离线模式的应用图标使用账号密码进行登录，从而保障业务的连贯性。</w:t>
      </w:r>
    </w:p>
    <w:bookmarkEnd w:id="218"/>
    <w:p w14:paraId="26A6455A">
      <w:pPr>
        <w:pStyle w:val="6"/>
        <w:rPr>
          <w:rFonts w:hint="eastAsia"/>
          <w:highlight w:val="none"/>
        </w:rPr>
      </w:pPr>
      <w:r>
        <w:rPr>
          <w:rFonts w:hint="eastAsia"/>
          <w:highlight w:val="none"/>
          <w:lang w:val="en-US" w:eastAsia="zh-CN"/>
        </w:rPr>
        <w:t xml:space="preserve"> </w:t>
      </w:r>
      <w:r>
        <w:rPr>
          <w:rFonts w:hint="eastAsia"/>
          <w:highlight w:val="none"/>
        </w:rPr>
        <w:t>数据集成治理</w:t>
      </w:r>
    </w:p>
    <w:p w14:paraId="193FEA9A">
      <w:pPr>
        <w:pStyle w:val="12"/>
        <w:shd w:val="clear" w:color="auto" w:fill="auto"/>
        <w:ind w:firstLine="480"/>
        <w:rPr>
          <w:rFonts w:hint="eastAsia"/>
          <w:highlight w:val="none"/>
        </w:rPr>
      </w:pPr>
      <w:r>
        <w:rPr>
          <w:rFonts w:hint="eastAsia"/>
          <w:highlight w:val="none"/>
        </w:rPr>
        <w:t>支持以指标数值形式直观展示平台建设现状和运行情况。展示范围涵盖：数据中心运行情况、数据中心持有数据量、监控中心监视的服务量、数据中心服务量、业务集成、应用建设情况。</w:t>
      </w:r>
    </w:p>
    <w:p w14:paraId="26BDDAEE">
      <w:pPr>
        <w:pStyle w:val="7"/>
        <w:rPr>
          <w:rFonts w:hint="eastAsia"/>
          <w:highlight w:val="none"/>
        </w:rPr>
      </w:pPr>
      <w:bookmarkStart w:id="228" w:name="_Toc197780266"/>
      <w:r>
        <w:rPr>
          <w:rFonts w:hint="eastAsia"/>
          <w:highlight w:val="none"/>
          <w:lang w:val="en-US" w:eastAsia="zh-CN"/>
        </w:rPr>
        <w:t xml:space="preserve"> </w:t>
      </w:r>
      <w:r>
        <w:rPr>
          <w:rFonts w:hint="eastAsia"/>
          <w:highlight w:val="none"/>
        </w:rPr>
        <w:t>医院服务总线</w:t>
      </w:r>
      <w:bookmarkEnd w:id="228"/>
    </w:p>
    <w:p w14:paraId="10B7EBA3">
      <w:pPr>
        <w:pStyle w:val="12"/>
        <w:shd w:val="clear" w:color="auto" w:fill="auto"/>
        <w:ind w:firstLine="480"/>
        <w:rPr>
          <w:rFonts w:hint="eastAsia"/>
          <w:highlight w:val="none"/>
        </w:rPr>
      </w:pPr>
      <w:r>
        <w:rPr>
          <w:rFonts w:hint="eastAsia"/>
          <w:highlight w:val="none"/>
        </w:rPr>
        <w:t>需支持每个服务都有对应的提供者和消费者。需支持根据集成平台的要求提供或者消费相应的服务，屏蔽被集成系统所采用的具体技术及其实现方式，实现与集成平台的衔接。</w:t>
      </w:r>
    </w:p>
    <w:p w14:paraId="5782897F">
      <w:pPr>
        <w:pStyle w:val="7"/>
        <w:rPr>
          <w:rFonts w:hint="eastAsia"/>
          <w:highlight w:val="none"/>
        </w:rPr>
      </w:pPr>
      <w:bookmarkStart w:id="229" w:name="_Toc197780267"/>
      <w:r>
        <w:rPr>
          <w:rFonts w:hint="eastAsia"/>
          <w:highlight w:val="none"/>
          <w:lang w:val="en-US" w:eastAsia="zh-CN"/>
        </w:rPr>
        <w:t xml:space="preserve"> </w:t>
      </w:r>
      <w:r>
        <w:rPr>
          <w:rFonts w:hint="eastAsia"/>
          <w:highlight w:val="none"/>
        </w:rPr>
        <w:t>集成资源管理</w:t>
      </w:r>
      <w:bookmarkEnd w:id="229"/>
    </w:p>
    <w:p w14:paraId="6F303306">
      <w:pPr>
        <w:pStyle w:val="12"/>
        <w:shd w:val="clear" w:color="auto" w:fill="auto"/>
        <w:ind w:firstLine="480"/>
        <w:rPr>
          <w:rFonts w:hint="eastAsia"/>
          <w:highlight w:val="none"/>
        </w:rPr>
      </w:pPr>
      <w:r>
        <w:rPr>
          <w:rFonts w:hint="eastAsia"/>
          <w:highlight w:val="none"/>
        </w:rPr>
        <w:t>支持资源按业务分类管理及标签化，实现可视化管理，并包含互联互通标准服务。服务交互分为消息通信服务和远程访问服务两类。</w:t>
      </w:r>
    </w:p>
    <w:p w14:paraId="4840430C">
      <w:pPr>
        <w:pStyle w:val="12"/>
        <w:shd w:val="clear" w:color="auto" w:fill="auto"/>
        <w:ind w:firstLine="480"/>
        <w:rPr>
          <w:rFonts w:hint="eastAsia"/>
          <w:highlight w:val="none"/>
        </w:rPr>
      </w:pPr>
      <w:r>
        <w:rPr>
          <w:rFonts w:hint="eastAsia"/>
          <w:highlight w:val="none"/>
        </w:rPr>
        <w:t>接口服务管理支持接口的增、改、删操作，按接口类型、标准服务、提供方、业务分类进行查询，支持文档上传下载、授权情况查看，以及使用情况查询，展示系统与接口的注册、调用、订阅关系，并呈现提供方、注册方、订阅方及服务链路信息。</w:t>
      </w:r>
    </w:p>
    <w:p w14:paraId="74F2222B">
      <w:pPr>
        <w:pStyle w:val="12"/>
        <w:shd w:val="clear" w:color="auto" w:fill="auto"/>
        <w:ind w:firstLine="480"/>
        <w:rPr>
          <w:rFonts w:hint="eastAsia"/>
          <w:highlight w:val="none"/>
        </w:rPr>
      </w:pPr>
      <w:r>
        <w:rPr>
          <w:rFonts w:hint="eastAsia"/>
          <w:highlight w:val="none"/>
        </w:rPr>
        <w:t>业务分类管理支持资源按业务分类划分，批量设置分类，提升资源利用与集成效率，支持分类的新增、修改及资源统计展示，可从统计数据跳转至资源管理界面。</w:t>
      </w:r>
    </w:p>
    <w:p w14:paraId="6EF158F1">
      <w:pPr>
        <w:pStyle w:val="12"/>
        <w:shd w:val="clear" w:color="auto" w:fill="auto"/>
        <w:ind w:firstLine="480"/>
        <w:rPr>
          <w:rFonts w:hint="eastAsia"/>
          <w:highlight w:val="none"/>
        </w:rPr>
      </w:pPr>
      <w:r>
        <w:rPr>
          <w:rFonts w:hint="eastAsia"/>
          <w:highlight w:val="none"/>
        </w:rPr>
        <w:t>标准方案列表基于平台接口与系统需求形成标准化集成方案，支持按业务系统维度编排资源，按系统一、二级分类快速查询方案，查看关联接口、接入方式、集成分类及优先级，支持方案导出。</w:t>
      </w:r>
    </w:p>
    <w:p w14:paraId="2267AE1A">
      <w:pPr>
        <w:pStyle w:val="7"/>
        <w:rPr>
          <w:rFonts w:hint="eastAsia"/>
          <w:highlight w:val="none"/>
        </w:rPr>
      </w:pPr>
      <w:bookmarkStart w:id="230" w:name="_Toc197780268"/>
      <w:r>
        <w:rPr>
          <w:rFonts w:hint="eastAsia"/>
          <w:highlight w:val="none"/>
          <w:lang w:val="en-US" w:eastAsia="zh-CN"/>
        </w:rPr>
        <w:t xml:space="preserve"> </w:t>
      </w:r>
      <w:r>
        <w:rPr>
          <w:rFonts w:hint="eastAsia"/>
          <w:highlight w:val="none"/>
        </w:rPr>
        <w:t>集成配置管理</w:t>
      </w:r>
      <w:bookmarkEnd w:id="230"/>
    </w:p>
    <w:p w14:paraId="5E2B219F">
      <w:pPr>
        <w:pStyle w:val="12"/>
        <w:shd w:val="clear" w:color="auto" w:fill="auto"/>
        <w:ind w:firstLine="480"/>
        <w:rPr>
          <w:rFonts w:hint="eastAsia"/>
          <w:highlight w:val="none"/>
        </w:rPr>
      </w:pPr>
      <w:r>
        <w:rPr>
          <w:rFonts w:hint="eastAsia"/>
          <w:highlight w:val="none"/>
        </w:rPr>
        <w:t>支持一站式系统集成配置中心，涵盖厂商接入、系统接入及系统集成三大步骤。</w:t>
      </w:r>
    </w:p>
    <w:p w14:paraId="2D349F44">
      <w:pPr>
        <w:pStyle w:val="12"/>
        <w:shd w:val="clear" w:color="auto" w:fill="auto"/>
        <w:ind w:firstLine="480"/>
        <w:rPr>
          <w:rFonts w:hint="eastAsia"/>
          <w:highlight w:val="none"/>
        </w:rPr>
      </w:pPr>
      <w:r>
        <w:rPr>
          <w:rFonts w:hint="eastAsia"/>
          <w:highlight w:val="none"/>
        </w:rPr>
        <w:t>支持快速配置医院业务系统与平台的集成方案，分钟级完成队列与通道配置。</w:t>
      </w:r>
    </w:p>
    <w:p w14:paraId="61B24F07">
      <w:pPr>
        <w:pStyle w:val="12"/>
        <w:shd w:val="clear" w:color="auto" w:fill="auto"/>
        <w:ind w:firstLine="480"/>
        <w:rPr>
          <w:rFonts w:hint="eastAsia"/>
          <w:highlight w:val="none"/>
        </w:rPr>
      </w:pPr>
      <w:r>
        <w:rPr>
          <w:rFonts w:hint="eastAsia"/>
          <w:highlight w:val="none"/>
        </w:rPr>
        <w:t>集成概览：</w:t>
      </w:r>
    </w:p>
    <w:p w14:paraId="4468DF11">
      <w:pPr>
        <w:pStyle w:val="12"/>
        <w:shd w:val="clear" w:color="auto" w:fill="auto"/>
        <w:ind w:firstLine="480"/>
        <w:rPr>
          <w:rFonts w:hint="eastAsia"/>
          <w:highlight w:val="none"/>
        </w:rPr>
      </w:pPr>
      <w:r>
        <w:rPr>
          <w:rFonts w:hint="eastAsia"/>
          <w:highlight w:val="none"/>
        </w:rPr>
        <w:t>集成系统分为五类：临床服务、医疗管理、运营管理、外部机构、医院信息平台系统；展示平台测评达标率及系统接入比例；支持按厂商分类统计与排序；可查看已集成系统及整体集成状态；支持直接配置系统/厂商信息；未集成系统可直接添加配置。</w:t>
      </w:r>
    </w:p>
    <w:p w14:paraId="4E258B79">
      <w:pPr>
        <w:pStyle w:val="12"/>
        <w:shd w:val="clear" w:color="auto" w:fill="auto"/>
        <w:ind w:firstLine="480"/>
        <w:rPr>
          <w:rFonts w:hint="eastAsia"/>
          <w:highlight w:val="none"/>
        </w:rPr>
      </w:pPr>
      <w:r>
        <w:rPr>
          <w:rFonts w:hint="eastAsia"/>
          <w:highlight w:val="none"/>
        </w:rPr>
        <w:t>厂商管理：</w:t>
      </w:r>
    </w:p>
    <w:p w14:paraId="2464039E">
      <w:pPr>
        <w:pStyle w:val="12"/>
        <w:shd w:val="clear" w:color="auto" w:fill="auto"/>
        <w:ind w:firstLine="480"/>
        <w:rPr>
          <w:rFonts w:hint="eastAsia"/>
          <w:highlight w:val="none"/>
        </w:rPr>
      </w:pPr>
      <w:r>
        <w:rPr>
          <w:rFonts w:hint="eastAsia"/>
          <w:highlight w:val="none"/>
        </w:rPr>
        <w:t>支持厂商的增删改查及有效性设置。</w:t>
      </w:r>
    </w:p>
    <w:p w14:paraId="3C633BFC">
      <w:pPr>
        <w:pStyle w:val="12"/>
        <w:shd w:val="clear" w:color="auto" w:fill="auto"/>
        <w:ind w:firstLine="480"/>
        <w:rPr>
          <w:rFonts w:hint="eastAsia"/>
          <w:highlight w:val="none"/>
        </w:rPr>
      </w:pPr>
      <w:r>
        <w:rPr>
          <w:rFonts w:hint="eastAsia"/>
          <w:highlight w:val="none"/>
        </w:rPr>
        <w:t>系统管理：</w:t>
      </w:r>
    </w:p>
    <w:p w14:paraId="7D947C2A">
      <w:pPr>
        <w:pStyle w:val="12"/>
        <w:shd w:val="clear" w:color="auto" w:fill="auto"/>
        <w:ind w:firstLine="480"/>
        <w:rPr>
          <w:rFonts w:hint="eastAsia"/>
          <w:highlight w:val="none"/>
        </w:rPr>
      </w:pPr>
      <w:r>
        <w:rPr>
          <w:rFonts w:hint="eastAsia"/>
          <w:highlight w:val="none"/>
        </w:rPr>
        <w:t>支持系统的增删改查，符合互联互通标准的系统接入，有效性配置，并可跳转至集成配置界面。</w:t>
      </w:r>
    </w:p>
    <w:p w14:paraId="5A20FFF4">
      <w:pPr>
        <w:pStyle w:val="12"/>
        <w:shd w:val="clear" w:color="auto" w:fill="auto"/>
        <w:ind w:firstLine="480"/>
        <w:rPr>
          <w:rFonts w:hint="eastAsia"/>
          <w:highlight w:val="none"/>
        </w:rPr>
      </w:pPr>
      <w:r>
        <w:rPr>
          <w:rFonts w:hint="eastAsia"/>
          <w:highlight w:val="none"/>
        </w:rPr>
        <w:t>系统集成管理：</w:t>
      </w:r>
    </w:p>
    <w:p w14:paraId="3DC35CD6">
      <w:pPr>
        <w:pStyle w:val="12"/>
        <w:shd w:val="clear" w:color="auto" w:fill="auto"/>
        <w:ind w:firstLine="480"/>
        <w:rPr>
          <w:rFonts w:hint="eastAsia"/>
          <w:highlight w:val="none"/>
        </w:rPr>
      </w:pPr>
      <w:r>
        <w:rPr>
          <w:rFonts w:hint="eastAsia"/>
          <w:highlight w:val="none"/>
        </w:rPr>
        <w:t>展示全院系统集成概况，包括系统信息、负责人、集成状态（注册、订阅、调用、接口数）及队列使用情况。</w:t>
      </w:r>
    </w:p>
    <w:p w14:paraId="15C4483A">
      <w:pPr>
        <w:pStyle w:val="12"/>
        <w:shd w:val="clear" w:color="auto" w:fill="auto"/>
        <w:ind w:firstLine="480"/>
        <w:rPr>
          <w:rFonts w:hint="eastAsia"/>
          <w:highlight w:val="none"/>
        </w:rPr>
      </w:pPr>
      <w:r>
        <w:rPr>
          <w:rFonts w:hint="eastAsia"/>
          <w:highlight w:val="none"/>
        </w:rPr>
        <w:t>权限控制：</w:t>
      </w:r>
    </w:p>
    <w:p w14:paraId="3D455C76">
      <w:pPr>
        <w:pStyle w:val="12"/>
        <w:shd w:val="clear" w:color="auto" w:fill="auto"/>
        <w:ind w:firstLine="480"/>
        <w:rPr>
          <w:rFonts w:hint="eastAsia"/>
          <w:highlight w:val="none"/>
        </w:rPr>
      </w:pPr>
      <w:r>
        <w:rPr>
          <w:rFonts w:hint="eastAsia"/>
          <w:highlight w:val="none"/>
        </w:rPr>
        <w:t>前台启用接入权限验证，基于Domain和Ukey实现报文级权限管控。</w:t>
      </w:r>
    </w:p>
    <w:p w14:paraId="0344ACC9">
      <w:pPr>
        <w:pStyle w:val="12"/>
        <w:shd w:val="clear" w:color="auto" w:fill="auto"/>
        <w:ind w:firstLine="480"/>
        <w:rPr>
          <w:rFonts w:hint="eastAsia"/>
          <w:highlight w:val="none"/>
        </w:rPr>
      </w:pPr>
      <w:r>
        <w:rPr>
          <w:rFonts w:hint="eastAsia"/>
          <w:highlight w:val="none"/>
        </w:rPr>
        <w:t>队列初始化管理：</w:t>
      </w:r>
    </w:p>
    <w:p w14:paraId="52610D55">
      <w:pPr>
        <w:pStyle w:val="12"/>
        <w:shd w:val="clear" w:color="auto" w:fill="auto"/>
        <w:ind w:firstLine="480"/>
        <w:rPr>
          <w:rFonts w:hint="eastAsia"/>
          <w:highlight w:val="none"/>
        </w:rPr>
      </w:pPr>
      <w:r>
        <w:rPr>
          <w:rFonts w:hint="eastAsia"/>
          <w:highlight w:val="none"/>
        </w:rPr>
        <w:t>支持按系统、业务、队列名查询初始化状态，提供批量初始化功能。</w:t>
      </w:r>
    </w:p>
    <w:p w14:paraId="228DF6D7">
      <w:pPr>
        <w:pStyle w:val="12"/>
        <w:shd w:val="clear" w:color="auto" w:fill="auto"/>
        <w:ind w:firstLine="480"/>
        <w:rPr>
          <w:rFonts w:hint="eastAsia"/>
          <w:highlight w:val="none"/>
        </w:rPr>
      </w:pPr>
      <w:r>
        <w:rPr>
          <w:rFonts w:hint="eastAsia"/>
          <w:highlight w:val="none"/>
        </w:rPr>
        <w:t>系统集成配置：</w:t>
      </w:r>
    </w:p>
    <w:p w14:paraId="021AB750">
      <w:pPr>
        <w:pStyle w:val="12"/>
        <w:shd w:val="clear" w:color="auto" w:fill="auto"/>
        <w:ind w:firstLine="480"/>
        <w:rPr>
          <w:rFonts w:hint="eastAsia"/>
          <w:highlight w:val="none"/>
        </w:rPr>
      </w:pPr>
      <w:r>
        <w:rPr>
          <w:rFonts w:hint="eastAsia"/>
          <w:highlight w:val="none"/>
        </w:rPr>
        <w:t>可查看集成详情（资源、方式、关键信息、授权与队列时间），全景统计接口使用情况；按集成方式授权注册、订阅、远程访问；支持方案复用、批量创建系统接口关系；创建集成通道；授权后自动初始化订阅队列；一键复制配置、导出集成方案，提升效率。</w:t>
      </w:r>
    </w:p>
    <w:p w14:paraId="698A9377">
      <w:pPr>
        <w:pStyle w:val="7"/>
        <w:rPr>
          <w:rFonts w:hint="eastAsia"/>
          <w:highlight w:val="none"/>
        </w:rPr>
      </w:pPr>
      <w:bookmarkStart w:id="231" w:name="_Toc197780269"/>
      <w:r>
        <w:rPr>
          <w:rFonts w:hint="eastAsia"/>
          <w:highlight w:val="none"/>
          <w:lang w:val="en-US" w:eastAsia="zh-CN"/>
        </w:rPr>
        <w:t xml:space="preserve"> </w:t>
      </w:r>
      <w:r>
        <w:rPr>
          <w:rFonts w:hint="eastAsia"/>
          <w:highlight w:val="none"/>
        </w:rPr>
        <w:t>集成运维管理</w:t>
      </w:r>
      <w:bookmarkEnd w:id="231"/>
    </w:p>
    <w:p w14:paraId="64B96455">
      <w:pPr>
        <w:pStyle w:val="12"/>
        <w:shd w:val="clear" w:color="auto" w:fill="auto"/>
        <w:ind w:firstLine="480"/>
        <w:rPr>
          <w:rFonts w:hint="eastAsia"/>
          <w:highlight w:val="none"/>
        </w:rPr>
      </w:pPr>
      <w:r>
        <w:rPr>
          <w:rFonts w:hint="eastAsia"/>
          <w:highlight w:val="none"/>
        </w:rPr>
        <w:t>日志查阅需支持按时间段、状态、接口类型、收发者、业务分类等条件查询，支持关键字模糊搜索报文、唯一ID检索及单条注册日志订阅查询，界面可切换菜单模式以按系统类型直观展示日志，并支持多类别日志显示。队列信息推送需支持按时间、消费者、队列查询消费日志，支持消息ID精确查询及订阅记录导出。消息补发需具备多种数据补偿机制，适应不同异常场景。支持消息重发至平台通信服务，使下游重新消费；支持定向补发至特定业务系统队列，避免影响其他系统；平台异常时可通过注册异常日志实现异常补发，确保数据一致性和业务连续性。</w:t>
      </w:r>
    </w:p>
    <w:p w14:paraId="043F648B">
      <w:pPr>
        <w:pStyle w:val="7"/>
        <w:rPr>
          <w:rFonts w:hint="eastAsia"/>
          <w:highlight w:val="none"/>
        </w:rPr>
      </w:pPr>
      <w:bookmarkStart w:id="232" w:name="_Toc197780270"/>
      <w:r>
        <w:rPr>
          <w:rFonts w:hint="eastAsia"/>
          <w:highlight w:val="none"/>
          <w:lang w:val="en-US" w:eastAsia="zh-CN"/>
        </w:rPr>
        <w:t xml:space="preserve"> </w:t>
      </w:r>
      <w:r>
        <w:rPr>
          <w:rFonts w:hint="eastAsia"/>
          <w:highlight w:val="none"/>
        </w:rPr>
        <w:t>集成数据分析</w:t>
      </w:r>
      <w:bookmarkEnd w:id="232"/>
    </w:p>
    <w:p w14:paraId="76D80EEF">
      <w:pPr>
        <w:pStyle w:val="12"/>
        <w:shd w:val="clear" w:color="auto" w:fill="auto"/>
        <w:ind w:firstLine="480"/>
        <w:rPr>
          <w:rFonts w:hint="eastAsia"/>
          <w:highlight w:val="none"/>
        </w:rPr>
      </w:pPr>
      <w:r>
        <w:rPr>
          <w:rFonts w:hint="eastAsia"/>
          <w:highlight w:val="none"/>
        </w:rPr>
        <w:t>支持精准日志分析，直观展示系统集成与接口使用情况，定位接口性能。</w:t>
      </w:r>
    </w:p>
    <w:p w14:paraId="681EE95D">
      <w:pPr>
        <w:pStyle w:val="12"/>
        <w:shd w:val="clear" w:color="auto" w:fill="auto"/>
        <w:ind w:firstLine="480"/>
        <w:rPr>
          <w:rFonts w:hint="eastAsia"/>
          <w:highlight w:val="none"/>
        </w:rPr>
      </w:pPr>
      <w:r>
        <w:rPr>
          <w:rFonts w:hint="eastAsia"/>
          <w:highlight w:val="none"/>
        </w:rPr>
        <w:t>支持按时间段查询平台整体运行状态，包括接口调用频次、系统间业务交互、数据交互总量及异常信息量；提供集成节点与接口服务调用趋势图。</w:t>
      </w:r>
    </w:p>
    <w:p w14:paraId="2800ADD7">
      <w:pPr>
        <w:pStyle w:val="12"/>
        <w:shd w:val="clear" w:color="auto" w:fill="auto"/>
        <w:ind w:firstLine="480"/>
        <w:rPr>
          <w:rFonts w:hint="eastAsia"/>
          <w:highlight w:val="none"/>
        </w:rPr>
      </w:pPr>
      <w:r>
        <w:rPr>
          <w:rFonts w:hint="eastAsia"/>
          <w:highlight w:val="none"/>
        </w:rPr>
        <w:t>支持按日查询系统集成情况，分类显示注册、订阅、调用及对外服务消息量，精确展示各接口的消息总量、成功、失败、超时数，并支持数据下钻与性能统计（最长、最短、平均响应时间）。</w:t>
      </w:r>
    </w:p>
    <w:p w14:paraId="7A2C5631">
      <w:pPr>
        <w:pStyle w:val="12"/>
        <w:shd w:val="clear" w:color="auto" w:fill="auto"/>
        <w:ind w:firstLine="480"/>
        <w:rPr>
          <w:rFonts w:hint="eastAsia"/>
          <w:highlight w:val="none"/>
        </w:rPr>
      </w:pPr>
      <w:r>
        <w:rPr>
          <w:rFonts w:hint="eastAsia"/>
          <w:highlight w:val="none"/>
        </w:rPr>
        <w:t>支持管理接口调用分析，按时间查询使用情况，实现接口精准检索，展示调用总数、平均响应时长、失败率TOP10，以及详细调用统计数据，图形化呈现系统间调用关系与性能曲线。</w:t>
      </w:r>
    </w:p>
    <w:p w14:paraId="57802D6A">
      <w:pPr>
        <w:pStyle w:val="12"/>
        <w:shd w:val="clear" w:color="auto" w:fill="auto"/>
        <w:ind w:firstLine="480"/>
        <w:rPr>
          <w:rFonts w:hint="eastAsia"/>
          <w:highlight w:val="none"/>
        </w:rPr>
      </w:pPr>
      <w:r>
        <w:rPr>
          <w:rFonts w:hint="eastAsia"/>
          <w:highlight w:val="none"/>
        </w:rPr>
        <w:t>支持按医院业务设置关键医疗指标，涵盖患者自助终端、线上服务、线上支付、居民健康卡、电子病历浏览器、BI系统等调用情况。</w:t>
      </w:r>
    </w:p>
    <w:p w14:paraId="72B4586A">
      <w:pPr>
        <w:pStyle w:val="7"/>
        <w:rPr>
          <w:rFonts w:hint="eastAsia"/>
          <w:highlight w:val="none"/>
        </w:rPr>
      </w:pPr>
      <w:bookmarkStart w:id="233" w:name="_Toc197780271"/>
      <w:r>
        <w:rPr>
          <w:rFonts w:hint="eastAsia"/>
          <w:highlight w:val="none"/>
          <w:lang w:val="en-US" w:eastAsia="zh-CN"/>
        </w:rPr>
        <w:t xml:space="preserve"> </w:t>
      </w:r>
      <w:r>
        <w:rPr>
          <w:rFonts w:hint="eastAsia"/>
          <w:highlight w:val="none"/>
        </w:rPr>
        <w:t>总线及MQ运维管理</w:t>
      </w:r>
      <w:bookmarkEnd w:id="233"/>
    </w:p>
    <w:p w14:paraId="6994CCFB">
      <w:pPr>
        <w:pStyle w:val="12"/>
        <w:shd w:val="clear" w:color="auto" w:fill="auto"/>
        <w:ind w:firstLine="480"/>
        <w:rPr>
          <w:rFonts w:hint="eastAsia"/>
          <w:highlight w:val="none"/>
        </w:rPr>
      </w:pPr>
      <w:r>
        <w:rPr>
          <w:rFonts w:hint="eastAsia"/>
          <w:highlight w:val="none"/>
        </w:rPr>
        <w:t>队列管理器管理：支持展示、增删改查所有创建的队列管理器信息，确保与配置文件一致；可绑定集成节点，验证运行状态及连接可用性。</w:t>
      </w:r>
    </w:p>
    <w:p w14:paraId="6F19B5E5">
      <w:pPr>
        <w:pStyle w:val="12"/>
        <w:shd w:val="clear" w:color="auto" w:fill="auto"/>
        <w:ind w:firstLine="480"/>
        <w:rPr>
          <w:rFonts w:hint="eastAsia"/>
          <w:highlight w:val="none"/>
        </w:rPr>
      </w:pPr>
      <w:r>
        <w:rPr>
          <w:rFonts w:hint="eastAsia"/>
          <w:highlight w:val="none"/>
        </w:rPr>
        <w:t>队列管理：支持按队列管理器、订阅系统等多条件查询本地队列；提供删除、批量修改队列深度与持久化状态功能，并支持批量导出队列信息。</w:t>
      </w:r>
    </w:p>
    <w:p w14:paraId="2DF47007">
      <w:pPr>
        <w:pStyle w:val="12"/>
        <w:shd w:val="clear" w:color="auto" w:fill="auto"/>
        <w:ind w:firstLine="480"/>
        <w:rPr>
          <w:rFonts w:hint="eastAsia"/>
          <w:highlight w:val="none"/>
        </w:rPr>
      </w:pPr>
      <w:r>
        <w:rPr>
          <w:rFonts w:hint="eastAsia"/>
          <w:highlight w:val="none"/>
        </w:rPr>
        <w:t>MQ通道管理：支持按类型、地址、状态等条件查询通道；可创建、删除、启用或停用通道，控制数据订阅。</w:t>
      </w:r>
    </w:p>
    <w:p w14:paraId="1E569ECA">
      <w:pPr>
        <w:pStyle w:val="12"/>
        <w:shd w:val="clear" w:color="auto" w:fill="auto"/>
        <w:ind w:firstLine="480"/>
        <w:rPr>
          <w:rFonts w:hint="eastAsia"/>
          <w:highlight w:val="none"/>
        </w:rPr>
      </w:pPr>
      <w:r>
        <w:rPr>
          <w:rFonts w:hint="eastAsia"/>
          <w:highlight w:val="none"/>
        </w:rPr>
        <w:t>MQ远程策略：支持查看远程队列管理器信息，生成policy文件，删除相关记录（数据层面）。</w:t>
      </w:r>
    </w:p>
    <w:p w14:paraId="0A45D1F7">
      <w:pPr>
        <w:pStyle w:val="12"/>
        <w:shd w:val="clear" w:color="auto" w:fill="auto"/>
        <w:ind w:firstLine="480"/>
        <w:rPr>
          <w:rFonts w:hint="eastAsia"/>
          <w:highlight w:val="none"/>
        </w:rPr>
      </w:pPr>
      <w:r>
        <w:rPr>
          <w:rFonts w:hint="eastAsia"/>
          <w:highlight w:val="none"/>
        </w:rPr>
        <w:t>消息流监听管理：展示IIB上所有消息流，支持按主题、执行组等检索，可启停消息流并控制日志输出。</w:t>
      </w:r>
    </w:p>
    <w:p w14:paraId="178852DF">
      <w:pPr>
        <w:pStyle w:val="12"/>
        <w:shd w:val="clear" w:color="auto" w:fill="auto"/>
        <w:ind w:firstLine="480"/>
        <w:rPr>
          <w:rFonts w:hint="eastAsia"/>
          <w:highlight w:val="none"/>
        </w:rPr>
      </w:pPr>
      <w:r>
        <w:rPr>
          <w:rFonts w:hint="eastAsia"/>
          <w:highlight w:val="none"/>
        </w:rPr>
        <w:t>MQ导出导入：显示从目标队列管理器导出的本地队列、主题、预订、通道、别名队列总数，支持其信息的展示、导出与导入。</w:t>
      </w:r>
    </w:p>
    <w:p w14:paraId="29650386">
      <w:pPr>
        <w:pStyle w:val="12"/>
        <w:shd w:val="clear" w:color="auto" w:fill="auto"/>
        <w:ind w:firstLine="480"/>
        <w:rPr>
          <w:rFonts w:hint="eastAsia"/>
          <w:highlight w:val="none"/>
        </w:rPr>
      </w:pPr>
      <w:r>
        <w:rPr>
          <w:rFonts w:hint="eastAsia"/>
          <w:highlight w:val="none"/>
        </w:rPr>
        <w:t>MQ预订恢复：自动清理无监听且积压严重的队列；删除信息存入数据库，支持查看和批量恢复已删预订及队列。</w:t>
      </w:r>
    </w:p>
    <w:p w14:paraId="0F67F3CA">
      <w:pPr>
        <w:pStyle w:val="7"/>
        <w:rPr>
          <w:rFonts w:hint="eastAsia"/>
          <w:highlight w:val="none"/>
        </w:rPr>
      </w:pPr>
      <w:bookmarkStart w:id="234" w:name="_Toc197780272"/>
      <w:r>
        <w:rPr>
          <w:rFonts w:hint="eastAsia"/>
          <w:highlight w:val="none"/>
          <w:lang w:val="en-US" w:eastAsia="zh-CN"/>
        </w:rPr>
        <w:t xml:space="preserve"> </w:t>
      </w:r>
      <w:r>
        <w:rPr>
          <w:rFonts w:hint="eastAsia"/>
          <w:highlight w:val="none"/>
        </w:rPr>
        <w:t>集成平台运行环境巡检</w:t>
      </w:r>
      <w:bookmarkEnd w:id="234"/>
    </w:p>
    <w:p w14:paraId="1426A68C">
      <w:pPr>
        <w:pStyle w:val="12"/>
        <w:shd w:val="clear" w:color="auto" w:fill="auto"/>
        <w:ind w:firstLine="480"/>
        <w:rPr>
          <w:rFonts w:hint="eastAsia"/>
          <w:highlight w:val="none"/>
        </w:rPr>
      </w:pPr>
      <w:r>
        <w:rPr>
          <w:rFonts w:hint="eastAsia"/>
          <w:highlight w:val="none"/>
        </w:rPr>
        <w:t>支持通过标准参数自动巡检平台环境，减少运维人员重复登录和命令执行，优化维护流程，确保服务运行稳定。</w:t>
      </w:r>
    </w:p>
    <w:p w14:paraId="6BB6D33A">
      <w:pPr>
        <w:pStyle w:val="12"/>
        <w:shd w:val="clear" w:color="auto" w:fill="auto"/>
        <w:ind w:firstLine="480"/>
        <w:rPr>
          <w:rFonts w:hint="eastAsia"/>
          <w:highlight w:val="none"/>
        </w:rPr>
      </w:pPr>
      <w:r>
        <w:rPr>
          <w:rFonts w:hint="eastAsia"/>
          <w:highlight w:val="none"/>
        </w:rPr>
        <w:t>支持配置待巡检的服务器（总线、ES日志、中间件）及对应巡检项，可增删改服务器。</w:t>
      </w:r>
    </w:p>
    <w:p w14:paraId="4DD7FA79">
      <w:pPr>
        <w:pStyle w:val="12"/>
        <w:shd w:val="clear" w:color="auto" w:fill="auto"/>
        <w:ind w:firstLine="480"/>
        <w:rPr>
          <w:rFonts w:hint="eastAsia"/>
          <w:highlight w:val="none"/>
        </w:rPr>
      </w:pPr>
      <w:r>
        <w:rPr>
          <w:rFonts w:hint="eastAsia"/>
          <w:highlight w:val="none"/>
        </w:rPr>
        <w:t>支持部署检查，重点检查服务器设置与总线优化参数；支持日常检查，重点监控中间件及总线等程序运行状态。</w:t>
      </w:r>
    </w:p>
    <w:p w14:paraId="400D3A77">
      <w:pPr>
        <w:pStyle w:val="7"/>
        <w:rPr>
          <w:rFonts w:hint="eastAsia"/>
          <w:highlight w:val="none"/>
        </w:rPr>
      </w:pPr>
      <w:bookmarkStart w:id="235" w:name="_Toc197780273"/>
      <w:r>
        <w:rPr>
          <w:rFonts w:hint="eastAsia"/>
          <w:highlight w:val="none"/>
          <w:lang w:val="en-US" w:eastAsia="zh-CN"/>
        </w:rPr>
        <w:t xml:space="preserve"> </w:t>
      </w:r>
      <w:r>
        <w:rPr>
          <w:rFonts w:hint="eastAsia"/>
          <w:highlight w:val="none"/>
        </w:rPr>
        <w:t>集成平台环境监控</w:t>
      </w:r>
      <w:bookmarkEnd w:id="235"/>
    </w:p>
    <w:p w14:paraId="4C3FF885">
      <w:pPr>
        <w:pStyle w:val="12"/>
        <w:shd w:val="clear" w:color="auto" w:fill="auto"/>
        <w:ind w:firstLine="480"/>
        <w:rPr>
          <w:rFonts w:hint="eastAsia"/>
          <w:highlight w:val="none"/>
        </w:rPr>
      </w:pPr>
      <w:r>
        <w:rPr>
          <w:rFonts w:hint="eastAsia"/>
          <w:highlight w:val="none"/>
        </w:rPr>
        <w:t>支持后台运行的监控系统，涵盖服务器及组件、服务与指标监控。</w:t>
      </w:r>
    </w:p>
    <w:p w14:paraId="1C694C9F">
      <w:pPr>
        <w:pStyle w:val="12"/>
        <w:shd w:val="clear" w:color="auto" w:fill="auto"/>
        <w:ind w:firstLine="480"/>
        <w:rPr>
          <w:rFonts w:hint="eastAsia"/>
          <w:highlight w:val="none"/>
        </w:rPr>
      </w:pPr>
      <w:r>
        <w:rPr>
          <w:rFonts w:hint="eastAsia"/>
          <w:highlight w:val="none"/>
        </w:rPr>
        <w:t>支持服务器监控，包括IP、主机名、运行时间、内存、CPU核、负载等信息，以及实时资源使用情况（CPU、内存、磁盘分区、读写速率、连接数、TCP_tw、上下行带宽）。支持按时间段查询，展示整体负载、CPU、内存、磁盘的总量与平均使用率，并提供资源明细。</w:t>
      </w:r>
    </w:p>
    <w:p w14:paraId="79BD5BCC">
      <w:pPr>
        <w:pStyle w:val="12"/>
        <w:shd w:val="clear" w:color="auto" w:fill="auto"/>
        <w:ind w:firstLine="480"/>
        <w:rPr>
          <w:rFonts w:hint="eastAsia"/>
          <w:highlight w:val="none"/>
        </w:rPr>
      </w:pPr>
      <w:r>
        <w:rPr>
          <w:rFonts w:hint="eastAsia"/>
          <w:highlight w:val="none"/>
        </w:rPr>
        <w:t>支持IIB、服务、MQ（队列、管理器、通道）监控。</w:t>
      </w:r>
    </w:p>
    <w:p w14:paraId="6BD04E62">
      <w:pPr>
        <w:pStyle w:val="12"/>
        <w:shd w:val="clear" w:color="auto" w:fill="auto"/>
        <w:ind w:firstLine="480"/>
        <w:rPr>
          <w:rFonts w:hint="eastAsia"/>
          <w:highlight w:val="none"/>
        </w:rPr>
      </w:pPr>
      <w:r>
        <w:rPr>
          <w:rFonts w:hint="eastAsia"/>
          <w:highlight w:val="none"/>
        </w:rPr>
        <w:t>服务监控展示集成平台服务运行状态，支持按时间段查询：列表状态、各阶段统计、全状态时间线及明细。</w:t>
      </w:r>
    </w:p>
    <w:p w14:paraId="159D5239">
      <w:pPr>
        <w:pStyle w:val="12"/>
        <w:shd w:val="clear" w:color="auto" w:fill="auto"/>
        <w:ind w:firstLine="480"/>
        <w:rPr>
          <w:rFonts w:hint="eastAsia"/>
          <w:highlight w:val="none"/>
        </w:rPr>
      </w:pPr>
      <w:r>
        <w:rPr>
          <w:rFonts w:hint="eastAsia"/>
          <w:highlight w:val="none"/>
        </w:rPr>
        <w:t>MQ监控支持整体运行状况、通道及队列管理器监控。</w:t>
      </w:r>
    </w:p>
    <w:p w14:paraId="212012F3">
      <w:pPr>
        <w:pStyle w:val="6"/>
        <w:rPr>
          <w:rFonts w:hint="eastAsia"/>
          <w:highlight w:val="none"/>
        </w:rPr>
      </w:pPr>
      <w:bookmarkStart w:id="236" w:name="_Toc197780274"/>
      <w:r>
        <w:rPr>
          <w:rFonts w:hint="eastAsia"/>
          <w:highlight w:val="none"/>
          <w:lang w:val="en-US" w:eastAsia="zh-CN"/>
        </w:rPr>
        <w:t xml:space="preserve"> </w:t>
      </w:r>
      <w:r>
        <w:rPr>
          <w:rFonts w:hint="eastAsia"/>
          <w:highlight w:val="none"/>
        </w:rPr>
        <w:t>临床数据中心</w:t>
      </w:r>
      <w:bookmarkEnd w:id="236"/>
    </w:p>
    <w:p w14:paraId="15FC94C8">
      <w:pPr>
        <w:pStyle w:val="12"/>
        <w:shd w:val="clear" w:color="auto" w:fill="auto"/>
        <w:ind w:firstLine="480"/>
        <w:rPr>
          <w:rFonts w:hint="eastAsia"/>
          <w:highlight w:val="none"/>
        </w:rPr>
      </w:pPr>
      <w:r>
        <w:rPr>
          <w:rFonts w:hint="eastAsia"/>
          <w:highlight w:val="none"/>
        </w:rPr>
        <w:t>支持基于浏览器的图形化任务配置与监控，提供数十种通用数据转换规则（如类型转换、字段拆分合并、字符串与日期处理、算术运算、码表转换），并支持自定义接口实现特殊转换。</w:t>
      </w:r>
    </w:p>
    <w:p w14:paraId="26215D08">
      <w:pPr>
        <w:pStyle w:val="12"/>
        <w:shd w:val="clear" w:color="auto" w:fill="auto"/>
        <w:ind w:firstLine="480"/>
        <w:rPr>
          <w:rFonts w:hint="eastAsia"/>
          <w:highlight w:val="none"/>
        </w:rPr>
      </w:pPr>
      <w:r>
        <w:rPr>
          <w:rFonts w:hint="eastAsia"/>
          <w:highlight w:val="none"/>
        </w:rPr>
        <w:t>临床数据中心（CDR）需以患者为中心，整合HIS、EMR、LIS、PACS、手麻等系统，集中存储门诊、住院、体检等跨院区临床数据，支持标准化格式与历史就诊关联。需支持住院、门诊、LIS检验、诊断、过敏、用药等结构化数据存储，以及电子病历文档的存储与注册。</w:t>
      </w:r>
    </w:p>
    <w:p w14:paraId="09940231">
      <w:pPr>
        <w:pStyle w:val="12"/>
        <w:shd w:val="clear" w:color="auto" w:fill="auto"/>
        <w:ind w:firstLine="480"/>
        <w:rPr>
          <w:rFonts w:hint="eastAsia"/>
          <w:highlight w:val="none"/>
        </w:rPr>
      </w:pPr>
      <w:r>
        <w:rPr>
          <w:rFonts w:hint="eastAsia"/>
          <w:highlight w:val="none"/>
        </w:rPr>
        <w:t>CDR服务组件包括：</w:t>
      </w:r>
    </w:p>
    <w:p w14:paraId="42039B87">
      <w:pPr>
        <w:pStyle w:val="12"/>
        <w:shd w:val="clear" w:color="auto" w:fill="auto"/>
        <w:ind w:firstLine="480"/>
        <w:rPr>
          <w:rFonts w:hint="eastAsia"/>
          <w:highlight w:val="none"/>
        </w:rPr>
      </w:pPr>
      <w:r>
        <w:rPr>
          <w:rFonts w:hint="eastAsia"/>
          <w:highlight w:val="none"/>
        </w:rPr>
        <w:t>1)临床信息注册服务：支持各系统将检查、检验、诊断、药品、诊疗等信息注册至CDR；</w:t>
      </w:r>
    </w:p>
    <w:p w14:paraId="714A1786">
      <w:pPr>
        <w:pStyle w:val="12"/>
        <w:shd w:val="clear" w:color="auto" w:fill="auto"/>
        <w:ind w:firstLine="480"/>
        <w:rPr>
          <w:rFonts w:hint="eastAsia"/>
          <w:highlight w:val="none"/>
        </w:rPr>
      </w:pPr>
      <w:r>
        <w:rPr>
          <w:rFonts w:hint="eastAsia"/>
          <w:highlight w:val="none"/>
        </w:rPr>
        <w:t>2)标准化服务：满足外部标准化需求；</w:t>
      </w:r>
    </w:p>
    <w:p w14:paraId="147B7257">
      <w:pPr>
        <w:pStyle w:val="12"/>
        <w:shd w:val="clear" w:color="auto" w:fill="auto"/>
        <w:ind w:firstLine="480"/>
        <w:rPr>
          <w:rFonts w:hint="eastAsia"/>
          <w:highlight w:val="none"/>
        </w:rPr>
      </w:pPr>
      <w:r>
        <w:rPr>
          <w:rFonts w:hint="eastAsia"/>
          <w:highlight w:val="none"/>
        </w:rPr>
        <w:t>3)接口标准化：支持HL7与FHIR标准接口。</w:t>
      </w:r>
    </w:p>
    <w:p w14:paraId="27D01893">
      <w:pPr>
        <w:pStyle w:val="12"/>
        <w:shd w:val="clear" w:color="auto" w:fill="auto"/>
        <w:ind w:firstLine="480"/>
        <w:rPr>
          <w:rFonts w:hint="eastAsia"/>
          <w:highlight w:val="none"/>
        </w:rPr>
      </w:pPr>
      <w:r>
        <w:rPr>
          <w:rFonts w:hint="eastAsia"/>
          <w:highlight w:val="none"/>
        </w:rPr>
        <w:t>临床数据中心管理功能涵盖数据总览、患者、就诊、体检、诊断、医嘱/处方、申请单、报告、过敏、手术、用血、病历文档等信息的列表展示与多维筛选，并支持详情下钻与图表分析（如折线图、柱状图）。支持集成视图嵌入说明、源端数据源管理（增删改查）、审计规则库（完整性、一致性、重复性、及时性规则管理及权重设置）和质量审计结果展示。</w:t>
      </w:r>
    </w:p>
    <w:p w14:paraId="75B40232">
      <w:pPr>
        <w:pStyle w:val="12"/>
        <w:shd w:val="clear" w:color="auto" w:fill="auto"/>
        <w:ind w:firstLine="480"/>
        <w:rPr>
          <w:rFonts w:hint="eastAsia"/>
          <w:highlight w:val="none"/>
        </w:rPr>
      </w:pPr>
      <w:r>
        <w:rPr>
          <w:rFonts w:hint="eastAsia"/>
          <w:highlight w:val="none"/>
        </w:rPr>
        <w:t>支持数据集/项管理（含数据项、索引、外键操作）、视图管理、元数据操作日志查询、数据问题处理（错误日志追踪与异常详情查看），并实现全链路使用行为追踪。</w:t>
      </w:r>
    </w:p>
    <w:p w14:paraId="56E8EA30">
      <w:pPr>
        <w:pStyle w:val="12"/>
        <w:shd w:val="clear" w:color="auto" w:fill="auto"/>
        <w:ind w:firstLine="480"/>
        <w:rPr>
          <w:rFonts w:hint="eastAsia"/>
          <w:highlight w:val="none"/>
        </w:rPr>
      </w:pPr>
      <w:r>
        <w:rPr>
          <w:rFonts w:hint="eastAsia"/>
          <w:highlight w:val="none"/>
        </w:rPr>
        <w:t>数据脱敏方面，需支持统一配置，涵盖查询接口与共享文档的多种脱敏方式：按位脱敏、敏感词识别、正则逻辑、洗牌、哈希、加密、变换及自定义匿名符号。支持创建脱敏规则并复用于不同场景与角色，提供场景与角色维护功能，实现灵活的脱敏策略管理。</w:t>
      </w:r>
    </w:p>
    <w:p w14:paraId="6671466F">
      <w:pPr>
        <w:pStyle w:val="6"/>
        <w:rPr>
          <w:rFonts w:hint="eastAsia"/>
          <w:highlight w:val="none"/>
        </w:rPr>
      </w:pPr>
      <w:bookmarkStart w:id="237" w:name="_Toc197780279"/>
      <w:r>
        <w:rPr>
          <w:rFonts w:hint="eastAsia"/>
          <w:highlight w:val="none"/>
          <w:lang w:val="en-US" w:eastAsia="zh-CN"/>
        </w:rPr>
        <w:t xml:space="preserve"> </w:t>
      </w:r>
      <w:r>
        <w:rPr>
          <w:rFonts w:hint="eastAsia"/>
          <w:highlight w:val="none"/>
        </w:rPr>
        <w:t>集成视图</w:t>
      </w:r>
      <w:bookmarkEnd w:id="237"/>
    </w:p>
    <w:p w14:paraId="3C6A98E1">
      <w:pPr>
        <w:pStyle w:val="12"/>
        <w:shd w:val="clear" w:color="auto" w:fill="auto"/>
        <w:ind w:firstLine="480"/>
        <w:rPr>
          <w:rFonts w:hint="eastAsia"/>
          <w:highlight w:val="none"/>
        </w:rPr>
      </w:pPr>
      <w:r>
        <w:rPr>
          <w:rFonts w:hint="eastAsia"/>
          <w:highlight w:val="none"/>
        </w:rPr>
        <w:t>支持集成患者就诊过程中各类医护文书、就诊、诊断、过敏史、主诉、现病史、输血记录、手术记录、门诊处方、住院医嘱、检查报告、病理报告、检验报告以及患者基本信息等信息。</w:t>
      </w:r>
    </w:p>
    <w:p w14:paraId="7B33DEEF">
      <w:pPr>
        <w:pStyle w:val="12"/>
        <w:shd w:val="clear" w:color="auto" w:fill="auto"/>
        <w:ind w:firstLine="480"/>
        <w:rPr>
          <w:rFonts w:hint="eastAsia"/>
          <w:highlight w:val="none"/>
        </w:rPr>
      </w:pPr>
      <w:r>
        <w:rPr>
          <w:rFonts w:hint="eastAsia"/>
          <w:highlight w:val="none"/>
        </w:rPr>
        <w:t>支持以时间、种类、用药方式、名称等进行数据的筛选。</w:t>
      </w:r>
    </w:p>
    <w:p w14:paraId="683422B6">
      <w:pPr>
        <w:pStyle w:val="12"/>
        <w:shd w:val="clear" w:color="auto" w:fill="auto"/>
        <w:ind w:firstLine="480"/>
        <w:rPr>
          <w:rFonts w:hint="eastAsia"/>
          <w:highlight w:val="none"/>
        </w:rPr>
      </w:pPr>
      <w:r>
        <w:rPr>
          <w:rFonts w:hint="eastAsia"/>
          <w:highlight w:val="none"/>
        </w:rPr>
        <w:t>支持检验报告的历次指标分析。</w:t>
      </w:r>
    </w:p>
    <w:p w14:paraId="65877E84">
      <w:pPr>
        <w:pStyle w:val="12"/>
        <w:shd w:val="clear" w:color="auto" w:fill="auto"/>
        <w:ind w:firstLine="480"/>
        <w:rPr>
          <w:rFonts w:hint="eastAsia"/>
          <w:highlight w:val="none"/>
        </w:rPr>
      </w:pPr>
      <w:r>
        <w:rPr>
          <w:rFonts w:hint="eastAsia"/>
          <w:highlight w:val="none"/>
        </w:rPr>
        <w:t>支持全景视图功能，对患者的历次就诊信息包括就诊的时间、医生信息、科室信息、主诉、现病史等摘要信息进行展示。</w:t>
      </w:r>
    </w:p>
    <w:p w14:paraId="03EA98E5">
      <w:pPr>
        <w:pStyle w:val="12"/>
        <w:shd w:val="clear" w:color="auto" w:fill="auto"/>
        <w:ind w:firstLine="480"/>
        <w:rPr>
          <w:rFonts w:hint="eastAsia"/>
          <w:highlight w:val="none"/>
        </w:rPr>
      </w:pPr>
      <w:r>
        <w:rPr>
          <w:rFonts w:hint="eastAsia"/>
          <w:highlight w:val="none"/>
        </w:rPr>
        <w:t>支持展示相应就诊时所出的诊断信息、病历信息、检查报告、检验报告、药品医嘱、非药品医嘱、治疗医嘱和手术信息。</w:t>
      </w:r>
    </w:p>
    <w:p w14:paraId="775D2F48">
      <w:pPr>
        <w:pStyle w:val="7"/>
        <w:rPr>
          <w:rFonts w:hint="eastAsia"/>
          <w:highlight w:val="none"/>
        </w:rPr>
      </w:pPr>
      <w:bookmarkStart w:id="238" w:name="_Toc197780280"/>
      <w:r>
        <w:rPr>
          <w:rFonts w:hint="eastAsia"/>
          <w:highlight w:val="none"/>
          <w:lang w:val="en-US" w:eastAsia="zh-CN"/>
        </w:rPr>
        <w:t xml:space="preserve"> </w:t>
      </w:r>
      <w:r>
        <w:rPr>
          <w:rFonts w:hint="eastAsia"/>
          <w:highlight w:val="none"/>
        </w:rPr>
        <w:t>患者基本信息展示</w:t>
      </w:r>
      <w:bookmarkEnd w:id="238"/>
    </w:p>
    <w:p w14:paraId="01A04DA9">
      <w:pPr>
        <w:pStyle w:val="12"/>
        <w:shd w:val="clear" w:color="auto" w:fill="auto"/>
        <w:ind w:firstLine="480"/>
        <w:rPr>
          <w:rFonts w:hint="eastAsia"/>
          <w:highlight w:val="none"/>
        </w:rPr>
      </w:pPr>
      <w:r>
        <w:rPr>
          <w:rFonts w:hint="eastAsia"/>
          <w:highlight w:val="none"/>
        </w:rPr>
        <w:t>支持展示患者的姓名、性别、年龄、出生日期、身份证号码、EMPI号、电话、地址信息。</w:t>
      </w:r>
    </w:p>
    <w:p w14:paraId="287FC29B">
      <w:pPr>
        <w:pStyle w:val="12"/>
        <w:shd w:val="clear" w:color="auto" w:fill="auto"/>
        <w:ind w:firstLine="480"/>
        <w:rPr>
          <w:rFonts w:hint="eastAsia"/>
          <w:highlight w:val="none"/>
        </w:rPr>
      </w:pPr>
      <w:r>
        <w:rPr>
          <w:rFonts w:hint="eastAsia"/>
          <w:highlight w:val="none"/>
        </w:rPr>
        <w:t>支持展示患者过敏史并能够提醒患者是否对其他物质过敏，对医生进行提醒，并开具患者不过敏的药物进行治疗。</w:t>
      </w:r>
    </w:p>
    <w:p w14:paraId="736F9C10">
      <w:pPr>
        <w:pStyle w:val="12"/>
        <w:shd w:val="clear" w:color="auto" w:fill="auto"/>
        <w:ind w:firstLine="480"/>
        <w:rPr>
          <w:rFonts w:hint="eastAsia"/>
          <w:highlight w:val="none"/>
        </w:rPr>
      </w:pPr>
      <w:r>
        <w:rPr>
          <w:rFonts w:hint="eastAsia"/>
          <w:highlight w:val="none"/>
        </w:rPr>
        <w:t>支持展示患者基本信息，包括姓名、性别、年龄、出生年月日、身份证号、是否有过敏史信息。</w:t>
      </w:r>
    </w:p>
    <w:p w14:paraId="41B14FF1">
      <w:pPr>
        <w:pStyle w:val="12"/>
        <w:shd w:val="clear" w:color="auto" w:fill="auto"/>
        <w:ind w:firstLine="480"/>
        <w:rPr>
          <w:rFonts w:hint="eastAsia"/>
          <w:highlight w:val="none"/>
        </w:rPr>
      </w:pPr>
      <w:r>
        <w:rPr>
          <w:rFonts w:hint="eastAsia"/>
          <w:highlight w:val="none"/>
        </w:rPr>
        <w:t>支持展示患者基本信息和过敏史信息，详细记录患者的姓名、性别、年龄、出生日期、身份证号码、EMPI号、电话、地址信息，过敏信息包含过敏类型、过敏原、过敏原成分、录入的医生以及录入时间。</w:t>
      </w:r>
    </w:p>
    <w:p w14:paraId="54640FB6">
      <w:pPr>
        <w:pStyle w:val="7"/>
        <w:rPr>
          <w:rFonts w:hint="eastAsia"/>
          <w:highlight w:val="none"/>
        </w:rPr>
      </w:pPr>
      <w:bookmarkStart w:id="239" w:name="_Toc197780281"/>
      <w:r>
        <w:rPr>
          <w:rFonts w:hint="eastAsia"/>
          <w:highlight w:val="none"/>
          <w:lang w:val="en-US" w:eastAsia="zh-CN"/>
        </w:rPr>
        <w:t xml:space="preserve"> </w:t>
      </w:r>
      <w:r>
        <w:rPr>
          <w:rFonts w:hint="eastAsia"/>
          <w:highlight w:val="none"/>
        </w:rPr>
        <w:t>全景视图</w:t>
      </w:r>
      <w:bookmarkEnd w:id="239"/>
    </w:p>
    <w:p w14:paraId="5105C6BF">
      <w:pPr>
        <w:pStyle w:val="12"/>
        <w:shd w:val="clear" w:color="auto" w:fill="auto"/>
        <w:ind w:firstLine="480"/>
        <w:rPr>
          <w:rFonts w:hint="eastAsia"/>
          <w:highlight w:val="none"/>
        </w:rPr>
      </w:pPr>
      <w:r>
        <w:rPr>
          <w:rFonts w:hint="eastAsia"/>
          <w:highlight w:val="none"/>
        </w:rPr>
        <w:t>全景视图支持按时间轴展示患者历次就诊信息，可筛选就诊类型（如门诊、住院、急诊、体检），并快速跳转查看。支持显示诊疗号、流水号、科室、医生、诊断、住院天数、护理级别等基本信息，以及病历、检查、检验、医嘱（药品/非药品/治疗）、手术等详情。病历与报告均支持查看，检查报告含所见、诊断、医生信息；检验报告包含完整项目数据及指标结果。可按天或周分类展示住院时间轴，图标化关键活动，支持当日详情跳转。支持编辑就诊信息、按时间定位及分类筛选，实现全流程可视化管理。</w:t>
      </w:r>
    </w:p>
    <w:p w14:paraId="76D72B2D">
      <w:pPr>
        <w:pStyle w:val="7"/>
        <w:rPr>
          <w:rFonts w:hint="eastAsia"/>
          <w:highlight w:val="none"/>
        </w:rPr>
      </w:pPr>
      <w:bookmarkStart w:id="240" w:name="_Toc197780282"/>
      <w:r>
        <w:rPr>
          <w:rFonts w:hint="eastAsia"/>
          <w:highlight w:val="none"/>
          <w:lang w:val="en-US" w:eastAsia="zh-CN"/>
        </w:rPr>
        <w:t xml:space="preserve"> </w:t>
      </w:r>
      <w:r>
        <w:rPr>
          <w:rFonts w:hint="eastAsia"/>
          <w:highlight w:val="none"/>
        </w:rPr>
        <w:t>就诊视图</w:t>
      </w:r>
      <w:bookmarkEnd w:id="240"/>
    </w:p>
    <w:p w14:paraId="49D38F85">
      <w:pPr>
        <w:pStyle w:val="12"/>
        <w:shd w:val="clear" w:color="auto" w:fill="auto"/>
        <w:ind w:firstLine="480"/>
        <w:rPr>
          <w:rFonts w:hint="eastAsia"/>
          <w:highlight w:val="none"/>
        </w:rPr>
      </w:pPr>
      <w:r>
        <w:rPr>
          <w:rFonts w:hint="eastAsia"/>
          <w:highlight w:val="none"/>
        </w:rPr>
        <w:t>支持按患者单次就诊维度展示信息，并兼容集成其他系统页面，便于在统一视图中快速查看就诊详情。支持通过院区、科室、诊断、就诊类型（住院/门诊/急诊/体检）筛选就诊记录。</w:t>
      </w:r>
    </w:p>
    <w:p w14:paraId="49EDC4B5">
      <w:pPr>
        <w:pStyle w:val="12"/>
        <w:shd w:val="clear" w:color="auto" w:fill="auto"/>
        <w:ind w:firstLine="480"/>
        <w:rPr>
          <w:rFonts w:hint="eastAsia"/>
          <w:highlight w:val="none"/>
        </w:rPr>
      </w:pPr>
      <w:r>
        <w:rPr>
          <w:rFonts w:hint="eastAsia"/>
          <w:highlight w:val="none"/>
        </w:rPr>
        <w:t>概览视图展示患者历次诊疗数据，包括诊断、现病史、检查检验、病理、血糖、血透、过敏、手术史等信息。时间轴展示单次就诊的科室、日期及类型。</w:t>
      </w:r>
    </w:p>
    <w:p w14:paraId="64E37F80">
      <w:pPr>
        <w:pStyle w:val="12"/>
        <w:shd w:val="clear" w:color="auto" w:fill="auto"/>
        <w:ind w:firstLine="480"/>
        <w:rPr>
          <w:rFonts w:hint="eastAsia"/>
          <w:highlight w:val="none"/>
        </w:rPr>
      </w:pPr>
      <w:r>
        <w:rPr>
          <w:rFonts w:hint="eastAsia"/>
          <w:highlight w:val="none"/>
        </w:rPr>
        <w:t>详情页展示本次就诊基本信息：诊疗号、流水号、就诊类型、入出院/挂号时间、就诊原因、病区床号、医生护士信息、主诉等。诊断信息按主诊断排序，显示名称、类型、医生、时间及主诊标识。主诉与现病史分别展示对应内容。</w:t>
      </w:r>
    </w:p>
    <w:p w14:paraId="354B4647">
      <w:pPr>
        <w:pStyle w:val="12"/>
        <w:shd w:val="clear" w:color="auto" w:fill="auto"/>
        <w:ind w:firstLine="480"/>
        <w:rPr>
          <w:rFonts w:hint="eastAsia"/>
          <w:highlight w:val="none"/>
        </w:rPr>
      </w:pPr>
      <w:r>
        <w:rPr>
          <w:rFonts w:hint="eastAsia"/>
          <w:highlight w:val="none"/>
        </w:rPr>
        <w:t>输血记录包含血型、血量、执行人及起止时间；手术记录包括名称、等级、医师、科室、诊断及手术时间。医嘱支持长期与临时分类，可按关键字、类别、用法、时间段搜索，展示类型、名称、剂量、开立/审核/停止信息，并支持闭环查看。</w:t>
      </w:r>
    </w:p>
    <w:p w14:paraId="02293196">
      <w:pPr>
        <w:pStyle w:val="12"/>
        <w:shd w:val="clear" w:color="auto" w:fill="auto"/>
        <w:ind w:firstLine="480"/>
        <w:rPr>
          <w:rFonts w:hint="eastAsia"/>
          <w:highlight w:val="none"/>
        </w:rPr>
      </w:pPr>
      <w:r>
        <w:rPr>
          <w:rFonts w:hint="eastAsia"/>
          <w:highlight w:val="none"/>
        </w:rPr>
        <w:t>检验报告分常规与微生物类，支持PDF、图片或第三方页面展示，可查历次报告及趋势分析。检查报告分心电图、CT等，支持相同格式展示，并集成第三方影像。体检、血糖报告分别展示指标详情与检测数据。</w:t>
      </w:r>
    </w:p>
    <w:p w14:paraId="47488E18">
      <w:pPr>
        <w:pStyle w:val="12"/>
        <w:shd w:val="clear" w:color="auto" w:fill="auto"/>
        <w:ind w:firstLine="480"/>
        <w:rPr>
          <w:rFonts w:hint="eastAsia"/>
          <w:highlight w:val="none"/>
        </w:rPr>
      </w:pPr>
      <w:r>
        <w:rPr>
          <w:rFonts w:hint="eastAsia"/>
          <w:highlight w:val="none"/>
        </w:rPr>
        <w:t>过敏信息含类型、原、成分及录入信息。病历文书以患者为中心整合数据，支持结构化模板及PDF/图片/第三方页面展示，涵盖入院、护理、手术、麻醉、知情同意等多种文书，可配置单项显示。</w:t>
      </w:r>
    </w:p>
    <w:p w14:paraId="4A843041">
      <w:pPr>
        <w:pStyle w:val="12"/>
        <w:shd w:val="clear" w:color="auto" w:fill="auto"/>
        <w:ind w:firstLine="480"/>
        <w:rPr>
          <w:rFonts w:hint="eastAsia"/>
          <w:highlight w:val="none"/>
        </w:rPr>
      </w:pPr>
      <w:r>
        <w:rPr>
          <w:rFonts w:hint="eastAsia"/>
          <w:highlight w:val="none"/>
        </w:rPr>
        <w:t>发药记录包括药品信息、数量、用法、审方配发人及时间。血透记录展示治疗科室、结论、方式、病情及日期。医嘱执行单展示药品与非药品执行情况。共享文档涵盖门急诊、处方、报告、护理、手术、知情同意等各类文书。支持嵌套第三方页面展示就诊数据。</w:t>
      </w:r>
    </w:p>
    <w:p w14:paraId="38923A14">
      <w:pPr>
        <w:pStyle w:val="7"/>
        <w:rPr>
          <w:rFonts w:hint="eastAsia"/>
          <w:highlight w:val="none"/>
        </w:rPr>
      </w:pPr>
      <w:bookmarkStart w:id="241" w:name="_Toc197780283"/>
      <w:r>
        <w:rPr>
          <w:rFonts w:hint="eastAsia"/>
          <w:highlight w:val="none"/>
          <w:lang w:val="en-US" w:eastAsia="zh-CN"/>
        </w:rPr>
        <w:t xml:space="preserve"> </w:t>
      </w:r>
      <w:r>
        <w:rPr>
          <w:rFonts w:hint="eastAsia"/>
          <w:highlight w:val="none"/>
        </w:rPr>
        <w:t>集成配置</w:t>
      </w:r>
      <w:bookmarkEnd w:id="241"/>
    </w:p>
    <w:p w14:paraId="000E2618">
      <w:pPr>
        <w:pStyle w:val="12"/>
        <w:shd w:val="clear" w:color="auto" w:fill="auto"/>
        <w:ind w:firstLine="480"/>
        <w:rPr>
          <w:rFonts w:hint="eastAsia"/>
          <w:highlight w:val="none"/>
        </w:rPr>
      </w:pPr>
      <w:r>
        <w:rPr>
          <w:rFonts w:hint="eastAsia"/>
          <w:highlight w:val="none"/>
        </w:rPr>
        <w:t>水印配置支持添加水印，防止信息被嵌入其他网站盗用。</w:t>
      </w:r>
    </w:p>
    <w:p w14:paraId="5F7355D4">
      <w:pPr>
        <w:pStyle w:val="12"/>
        <w:shd w:val="clear" w:color="auto" w:fill="auto"/>
        <w:ind w:firstLine="480"/>
        <w:rPr>
          <w:rFonts w:hint="eastAsia"/>
          <w:highlight w:val="none"/>
        </w:rPr>
      </w:pPr>
      <w:r>
        <w:rPr>
          <w:rFonts w:hint="eastAsia"/>
          <w:highlight w:val="none"/>
        </w:rPr>
        <w:t>闭环展示配置支持监控医嘱、执行单及执行节点等闭环信息展示。</w:t>
      </w:r>
    </w:p>
    <w:p w14:paraId="57CE8291">
      <w:pPr>
        <w:pStyle w:val="12"/>
        <w:shd w:val="clear" w:color="auto" w:fill="auto"/>
        <w:ind w:firstLine="480"/>
        <w:rPr>
          <w:rFonts w:hint="eastAsia"/>
          <w:highlight w:val="none"/>
        </w:rPr>
      </w:pPr>
      <w:r>
        <w:rPr>
          <w:rFonts w:hint="eastAsia"/>
          <w:highlight w:val="none"/>
        </w:rPr>
        <w:t>健康档案访问配置支持授权访问及短信验证设置。</w:t>
      </w:r>
    </w:p>
    <w:p w14:paraId="0716760C">
      <w:pPr>
        <w:pStyle w:val="12"/>
        <w:shd w:val="clear" w:color="auto" w:fill="auto"/>
        <w:ind w:firstLine="480"/>
        <w:rPr>
          <w:rFonts w:hint="eastAsia"/>
          <w:highlight w:val="none"/>
        </w:rPr>
      </w:pPr>
      <w:r>
        <w:rPr>
          <w:rFonts w:hint="eastAsia"/>
          <w:highlight w:val="none"/>
        </w:rPr>
        <w:t>多院区配置支持多院区设置与条件查询。</w:t>
      </w:r>
    </w:p>
    <w:p w14:paraId="7914EAD4">
      <w:pPr>
        <w:pStyle w:val="12"/>
        <w:shd w:val="clear" w:color="auto" w:fill="auto"/>
        <w:ind w:firstLine="480"/>
        <w:rPr>
          <w:rFonts w:hint="eastAsia"/>
          <w:highlight w:val="none"/>
        </w:rPr>
      </w:pPr>
      <w:r>
        <w:rPr>
          <w:rFonts w:hint="eastAsia"/>
          <w:highlight w:val="none"/>
        </w:rPr>
        <w:t>URL配置支持URL的管理。</w:t>
      </w:r>
    </w:p>
    <w:p w14:paraId="231319AC">
      <w:pPr>
        <w:pStyle w:val="6"/>
        <w:rPr>
          <w:rFonts w:hint="eastAsia"/>
          <w:highlight w:val="none"/>
        </w:rPr>
      </w:pPr>
      <w:bookmarkStart w:id="242" w:name="_Toc197780284"/>
      <w:r>
        <w:rPr>
          <w:rFonts w:hint="eastAsia"/>
          <w:highlight w:val="none"/>
          <w:lang w:val="en-US" w:eastAsia="zh-CN"/>
        </w:rPr>
        <w:t xml:space="preserve"> </w:t>
      </w:r>
      <w:r>
        <w:rPr>
          <w:rFonts w:hint="eastAsia"/>
          <w:highlight w:val="none"/>
        </w:rPr>
        <w:t>主数据治理</w:t>
      </w:r>
      <w:bookmarkEnd w:id="242"/>
    </w:p>
    <w:p w14:paraId="6EFA1C6F">
      <w:pPr>
        <w:pStyle w:val="12"/>
        <w:shd w:val="clear" w:color="auto" w:fill="auto"/>
        <w:ind w:firstLine="480"/>
        <w:rPr>
          <w:rFonts w:hint="eastAsia"/>
          <w:highlight w:val="none"/>
        </w:rPr>
      </w:pPr>
      <w:r>
        <w:rPr>
          <w:rFonts w:hint="eastAsia"/>
          <w:highlight w:val="none"/>
        </w:rPr>
        <w:t>主数据服务模型支持共享文档建模及服务生成，提供HL7消息服务，基于HL7模型构建并发布服务。</w:t>
      </w:r>
    </w:p>
    <w:p w14:paraId="21DB8079">
      <w:pPr>
        <w:pStyle w:val="12"/>
        <w:shd w:val="clear" w:color="auto" w:fill="auto"/>
        <w:ind w:firstLine="480"/>
        <w:rPr>
          <w:rFonts w:hint="eastAsia"/>
          <w:highlight w:val="none"/>
        </w:rPr>
      </w:pPr>
      <w:r>
        <w:rPr>
          <w:rFonts w:hint="eastAsia"/>
          <w:highlight w:val="none"/>
        </w:rPr>
        <w:t>主数据功能包括：</w:t>
      </w:r>
    </w:p>
    <w:p w14:paraId="3835F2F8">
      <w:pPr>
        <w:pStyle w:val="12"/>
        <w:shd w:val="clear" w:color="auto" w:fill="auto"/>
        <w:ind w:firstLine="480"/>
        <w:rPr>
          <w:rFonts w:hint="eastAsia"/>
          <w:highlight w:val="none"/>
        </w:rPr>
      </w:pPr>
      <w:r>
        <w:rPr>
          <w:rFonts w:hint="eastAsia"/>
          <w:highlight w:val="none"/>
        </w:rPr>
        <w:t>人员、科室、药品、耗材、收费项目管理：支持信息注册与更新，自动保留历史数据，通过版本管理实现留痕。</w:t>
      </w:r>
    </w:p>
    <w:p w14:paraId="08FED035">
      <w:pPr>
        <w:pStyle w:val="12"/>
        <w:shd w:val="clear" w:color="auto" w:fill="auto"/>
        <w:ind w:firstLine="480"/>
        <w:rPr>
          <w:rFonts w:hint="eastAsia"/>
          <w:highlight w:val="none"/>
        </w:rPr>
      </w:pPr>
      <w:r>
        <w:rPr>
          <w:rFonts w:hint="eastAsia"/>
          <w:highlight w:val="none"/>
        </w:rPr>
        <w:t>药品主数据：整合全院药品信息，统一编码、厂家、价格、用法等基础数据。</w:t>
      </w:r>
    </w:p>
    <w:p w14:paraId="040F8D1B">
      <w:pPr>
        <w:pStyle w:val="12"/>
        <w:shd w:val="clear" w:color="auto" w:fill="auto"/>
        <w:ind w:firstLine="480"/>
        <w:rPr>
          <w:rFonts w:hint="eastAsia"/>
          <w:highlight w:val="none"/>
        </w:rPr>
      </w:pPr>
      <w:r>
        <w:rPr>
          <w:rFonts w:hint="eastAsia"/>
          <w:highlight w:val="none"/>
        </w:rPr>
        <w:t>耗材与收费项目：统一管理编码、名称、规格、物价、国家标准代码等属性。</w:t>
      </w:r>
    </w:p>
    <w:p w14:paraId="1BBA1E6A">
      <w:pPr>
        <w:pStyle w:val="12"/>
        <w:shd w:val="clear" w:color="auto" w:fill="auto"/>
        <w:ind w:firstLine="480"/>
        <w:rPr>
          <w:rFonts w:hint="eastAsia"/>
          <w:highlight w:val="none"/>
        </w:rPr>
      </w:pPr>
      <w:r>
        <w:rPr>
          <w:rFonts w:hint="eastAsia"/>
          <w:highlight w:val="none"/>
        </w:rPr>
        <w:t>ICD-9手术与ICD-10诊断管理：支持新数据注册及信息更新，自动保留变更前数据，实现全程留痕。</w:t>
      </w:r>
    </w:p>
    <w:p w14:paraId="297002F9">
      <w:pPr>
        <w:pStyle w:val="12"/>
        <w:shd w:val="clear" w:color="auto" w:fill="auto"/>
        <w:ind w:firstLine="480"/>
        <w:rPr>
          <w:rFonts w:hint="eastAsia"/>
          <w:highlight w:val="none"/>
        </w:rPr>
      </w:pPr>
      <w:r>
        <w:rPr>
          <w:rFonts w:hint="eastAsia"/>
          <w:highlight w:val="none"/>
        </w:rPr>
        <w:t>自定义主数据模型：支持自定义模型发布服务，生成持久化模型至数据源，并通过WebService对接医院服务总线，实现注册、更新与查询。</w:t>
      </w:r>
    </w:p>
    <w:p w14:paraId="645ED50D">
      <w:pPr>
        <w:pStyle w:val="12"/>
        <w:shd w:val="clear" w:color="auto" w:fill="auto"/>
        <w:ind w:firstLine="480"/>
        <w:rPr>
          <w:rFonts w:hint="eastAsia"/>
          <w:highlight w:val="none"/>
        </w:rPr>
      </w:pPr>
      <w:r>
        <w:rPr>
          <w:rFonts w:hint="eastAsia"/>
          <w:highlight w:val="none"/>
        </w:rPr>
        <w:t>HL7引擎组件：</w:t>
      </w:r>
    </w:p>
    <w:p w14:paraId="766B0B97">
      <w:pPr>
        <w:pStyle w:val="12"/>
        <w:shd w:val="clear" w:color="auto" w:fill="auto"/>
        <w:ind w:firstLine="480"/>
        <w:rPr>
          <w:rFonts w:hint="eastAsia"/>
          <w:highlight w:val="none"/>
        </w:rPr>
      </w:pPr>
      <w:r>
        <w:rPr>
          <w:rFonts w:hint="eastAsia"/>
          <w:highlight w:val="none"/>
        </w:rPr>
        <w:t>数据元管理：可视化维护标准数据元，管理数据集、子集、值域及OID。</w:t>
      </w:r>
    </w:p>
    <w:p w14:paraId="0FF25367">
      <w:pPr>
        <w:pStyle w:val="12"/>
        <w:shd w:val="clear" w:color="auto" w:fill="auto"/>
        <w:ind w:firstLine="480"/>
        <w:rPr>
          <w:rFonts w:hint="eastAsia"/>
          <w:highlight w:val="none"/>
        </w:rPr>
      </w:pPr>
      <w:r>
        <w:rPr>
          <w:rFonts w:hint="eastAsia"/>
          <w:highlight w:val="none"/>
        </w:rPr>
        <w:t>共享文档生成器：支持模板管理、数据录入与服务发布，可通过接口生成文档。</w:t>
      </w:r>
    </w:p>
    <w:p w14:paraId="6126243A">
      <w:pPr>
        <w:pStyle w:val="12"/>
        <w:shd w:val="clear" w:color="auto" w:fill="auto"/>
        <w:ind w:firstLine="480"/>
        <w:rPr>
          <w:rFonts w:hint="eastAsia"/>
          <w:highlight w:val="none"/>
        </w:rPr>
      </w:pPr>
      <w:r>
        <w:rPr>
          <w:rFonts w:hint="eastAsia"/>
          <w:highlight w:val="none"/>
        </w:rPr>
        <w:t>标准管理工具：可视化管理基础字典，支持标准字典的导入与导出。</w:t>
      </w:r>
    </w:p>
    <w:p w14:paraId="51129606">
      <w:pPr>
        <w:pStyle w:val="6"/>
        <w:rPr>
          <w:rFonts w:hint="eastAsia"/>
          <w:highlight w:val="none"/>
        </w:rPr>
      </w:pPr>
      <w:bookmarkStart w:id="243" w:name="_Toc197780288"/>
      <w:r>
        <w:rPr>
          <w:rFonts w:hint="eastAsia"/>
          <w:highlight w:val="none"/>
          <w:lang w:val="en-US" w:eastAsia="zh-CN"/>
        </w:rPr>
        <w:t xml:space="preserve"> </w:t>
      </w:r>
      <w:r>
        <w:rPr>
          <w:rFonts w:hint="eastAsia"/>
          <w:highlight w:val="none"/>
        </w:rPr>
        <w:t>患者主索引</w:t>
      </w:r>
      <w:bookmarkEnd w:id="243"/>
    </w:p>
    <w:p w14:paraId="33840410">
      <w:pPr>
        <w:pStyle w:val="12"/>
        <w:shd w:val="clear" w:color="auto" w:fill="auto"/>
        <w:ind w:firstLine="480"/>
        <w:rPr>
          <w:rFonts w:hint="eastAsia"/>
          <w:highlight w:val="none"/>
        </w:rPr>
      </w:pPr>
      <w:r>
        <w:rPr>
          <w:rFonts w:hint="eastAsia"/>
          <w:highlight w:val="none"/>
        </w:rPr>
        <w:t>支持通过规则判断患者重复建档，实现主索引的生成、同步、查询、合并、拆分及历史数据管理。</w:t>
      </w:r>
    </w:p>
    <w:p w14:paraId="240A7EC5">
      <w:pPr>
        <w:pStyle w:val="12"/>
        <w:shd w:val="clear" w:color="auto" w:fill="auto"/>
        <w:ind w:firstLine="480"/>
        <w:rPr>
          <w:rFonts w:hint="eastAsia"/>
          <w:highlight w:val="none"/>
        </w:rPr>
      </w:pPr>
      <w:r>
        <w:rPr>
          <w:rFonts w:hint="eastAsia"/>
          <w:highlight w:val="none"/>
        </w:rPr>
        <w:t>1.支持XML自定义和国家标准v3格式注册患者；</w:t>
      </w:r>
    </w:p>
    <w:p w14:paraId="1918CBE4">
      <w:pPr>
        <w:pStyle w:val="12"/>
        <w:shd w:val="clear" w:color="auto" w:fill="auto"/>
        <w:ind w:firstLine="480"/>
        <w:rPr>
          <w:rFonts w:hint="eastAsia"/>
          <w:highlight w:val="none"/>
        </w:rPr>
      </w:pPr>
      <w:r>
        <w:rPr>
          <w:rFonts w:hint="eastAsia"/>
          <w:highlight w:val="none"/>
        </w:rPr>
        <w:t>2.合并患者时预计算相似信息，支持分组、整组或单个合并，并提供合并接口同步至第三方系统；</w:t>
      </w:r>
    </w:p>
    <w:p w14:paraId="11197C06">
      <w:pPr>
        <w:pStyle w:val="12"/>
        <w:shd w:val="clear" w:color="auto" w:fill="auto"/>
        <w:ind w:firstLine="480"/>
        <w:rPr>
          <w:rFonts w:hint="eastAsia"/>
          <w:highlight w:val="none"/>
        </w:rPr>
      </w:pPr>
      <w:r>
        <w:rPr>
          <w:rFonts w:hint="eastAsia"/>
          <w:highlight w:val="none"/>
        </w:rPr>
        <w:t>3.拆分患者时可查询已合并记录，支持手工拆分整组或单个患者；</w:t>
      </w:r>
    </w:p>
    <w:p w14:paraId="05E4D803">
      <w:pPr>
        <w:pStyle w:val="12"/>
        <w:shd w:val="clear" w:color="auto" w:fill="auto"/>
        <w:ind w:firstLine="480"/>
        <w:rPr>
          <w:rFonts w:hint="eastAsia"/>
          <w:highlight w:val="none"/>
        </w:rPr>
      </w:pPr>
      <w:r>
        <w:rPr>
          <w:rFonts w:hint="eastAsia"/>
          <w:highlight w:val="none"/>
        </w:rPr>
        <w:t>4.支持灵活配置自动合并规则条目及手工合并的阈值权重；</w:t>
      </w:r>
    </w:p>
    <w:p w14:paraId="57DB3F98">
      <w:pPr>
        <w:pStyle w:val="12"/>
        <w:shd w:val="clear" w:color="auto" w:fill="auto"/>
        <w:ind w:firstLine="480"/>
        <w:rPr>
          <w:rFonts w:hint="eastAsia"/>
          <w:highlight w:val="none"/>
        </w:rPr>
      </w:pPr>
      <w:r>
        <w:rPr>
          <w:rFonts w:hint="eastAsia"/>
          <w:highlight w:val="none"/>
        </w:rPr>
        <w:t>5.支持快速查询相似患者，并返回基于权重的相似度；</w:t>
      </w:r>
    </w:p>
    <w:p w14:paraId="43D7009B">
      <w:pPr>
        <w:pStyle w:val="12"/>
        <w:shd w:val="clear" w:color="auto" w:fill="auto"/>
        <w:ind w:firstLine="480"/>
        <w:rPr>
          <w:rFonts w:hint="eastAsia"/>
          <w:highlight w:val="none"/>
        </w:rPr>
      </w:pPr>
      <w:r>
        <w:rPr>
          <w:rFonts w:hint="eastAsia"/>
          <w:highlight w:val="none"/>
        </w:rPr>
        <w:t>6.支持定时补传历史建档数据，生成主索引并更新至临床数据中心，支持单条补录；</w:t>
      </w:r>
    </w:p>
    <w:p w14:paraId="03F8CB6B">
      <w:pPr>
        <w:pStyle w:val="12"/>
        <w:shd w:val="clear" w:color="auto" w:fill="auto"/>
        <w:ind w:firstLine="480"/>
        <w:rPr>
          <w:rFonts w:hint="eastAsia"/>
          <w:highlight w:val="none"/>
        </w:rPr>
      </w:pPr>
      <w:r>
        <w:rPr>
          <w:rFonts w:hint="eastAsia"/>
          <w:highlight w:val="none"/>
        </w:rPr>
        <w:t>7.提供按姓名、性别、出生日期、身份证等多条件查询主索引功能，支持查看合并记录与索引对照信息；</w:t>
      </w:r>
    </w:p>
    <w:p w14:paraId="625DBAC4">
      <w:pPr>
        <w:pStyle w:val="12"/>
        <w:shd w:val="clear" w:color="auto" w:fill="auto"/>
        <w:ind w:firstLine="480"/>
        <w:rPr>
          <w:rFonts w:hint="eastAsia"/>
          <w:highlight w:val="none"/>
        </w:rPr>
      </w:pPr>
      <w:r>
        <w:rPr>
          <w:rFonts w:hint="eastAsia"/>
          <w:highlight w:val="none"/>
        </w:rPr>
        <w:t>8.自动化生成主索引，对外提供接口，并在新增或修改后同步至订阅系统；</w:t>
      </w:r>
    </w:p>
    <w:p w14:paraId="49DC8992">
      <w:pPr>
        <w:pStyle w:val="12"/>
        <w:shd w:val="clear" w:color="auto" w:fill="auto"/>
        <w:ind w:firstLine="480"/>
        <w:rPr>
          <w:rFonts w:hint="eastAsia"/>
          <w:highlight w:val="none"/>
        </w:rPr>
      </w:pPr>
      <w:r>
        <w:rPr>
          <w:rFonts w:hint="eastAsia"/>
          <w:highlight w:val="none"/>
        </w:rPr>
        <w:t>9.支持EMPI相似度预计算，模拟合并判断；</w:t>
      </w:r>
    </w:p>
    <w:p w14:paraId="202F6A8E">
      <w:pPr>
        <w:pStyle w:val="12"/>
        <w:shd w:val="clear" w:color="auto" w:fill="auto"/>
        <w:ind w:firstLine="480"/>
        <w:rPr>
          <w:rFonts w:hint="eastAsia"/>
          <w:highlight w:val="none"/>
        </w:rPr>
      </w:pPr>
      <w:r>
        <w:rPr>
          <w:rFonts w:hint="eastAsia"/>
          <w:highlight w:val="none"/>
        </w:rPr>
        <w:t>10.支持索引信息的导入导出及统计分析建档量与合并量。</w:t>
      </w:r>
    </w:p>
    <w:p w14:paraId="5C311B51">
      <w:pPr>
        <w:pStyle w:val="6"/>
        <w:rPr>
          <w:rFonts w:hint="eastAsia"/>
          <w:highlight w:val="none"/>
        </w:rPr>
      </w:pPr>
      <w:bookmarkStart w:id="244" w:name="_Toc197780297"/>
      <w:r>
        <w:rPr>
          <w:rFonts w:hint="eastAsia"/>
          <w:highlight w:val="none"/>
          <w:lang w:val="en-US" w:eastAsia="zh-CN"/>
        </w:rPr>
        <w:t xml:space="preserve"> </w:t>
      </w:r>
      <w:r>
        <w:rPr>
          <w:rFonts w:hint="eastAsia"/>
          <w:highlight w:val="none"/>
        </w:rPr>
        <w:t>平台监控告警管理</w:t>
      </w:r>
      <w:bookmarkEnd w:id="244"/>
    </w:p>
    <w:p w14:paraId="2918A2B2">
      <w:pPr>
        <w:pStyle w:val="12"/>
        <w:shd w:val="clear" w:color="auto" w:fill="auto"/>
        <w:ind w:firstLine="480"/>
        <w:rPr>
          <w:rFonts w:hint="eastAsia"/>
          <w:highlight w:val="none"/>
        </w:rPr>
      </w:pPr>
      <w:r>
        <w:rPr>
          <w:rFonts w:hint="eastAsia"/>
          <w:highlight w:val="none"/>
        </w:rPr>
        <w:t>需支持平台运行的全方位监测与管理，保障稳定、高效、安全，提供图形化界面，通过颜色区分状态，直观展示数据。具备运维监控告警功能，可设置指标阈值和告警接收人，支持邮件、短信等通知方式。</w:t>
      </w:r>
    </w:p>
    <w:p w14:paraId="6945C2A5">
      <w:pPr>
        <w:pStyle w:val="12"/>
        <w:shd w:val="clear" w:color="auto" w:fill="auto"/>
        <w:ind w:firstLine="480"/>
        <w:rPr>
          <w:rFonts w:hint="eastAsia"/>
          <w:highlight w:val="none"/>
        </w:rPr>
      </w:pPr>
      <w:r>
        <w:rPr>
          <w:rFonts w:hint="eastAsia"/>
          <w:highlight w:val="none"/>
        </w:rPr>
        <w:t>支持监控概览，实时展示服务器基础信息及平台服务运行状态，包括MQ服务监控。首页展示风险总览。服务器监控涵盖CPU、内存、磁盘、TCP_TW、进程数、网络带宽等资源使用情况。服务监控实现平台内服务状态全面呈现。MQ监控实现对MQ服务的实时跟踪。风险查询支持快速获取历史风险信息。</w:t>
      </w:r>
    </w:p>
    <w:p w14:paraId="639194A8">
      <w:pPr>
        <w:pStyle w:val="12"/>
        <w:shd w:val="clear" w:color="auto" w:fill="auto"/>
        <w:ind w:firstLine="480"/>
        <w:rPr>
          <w:rFonts w:hint="eastAsia"/>
          <w:highlight w:val="none"/>
        </w:rPr>
      </w:pPr>
      <w:r>
        <w:rPr>
          <w:rFonts w:hint="eastAsia"/>
          <w:highlight w:val="none"/>
        </w:rPr>
        <w:t>支持服务器、服务、MQ的信息增删改查；MQ管理支持配置监听状态及探针验证。风险配置支持针对服务器、服务、MQ等对象设置告警规则，并关联监控项、规则与告警人。风险规则可自定义增删改查。联系人管理确保告警精准送达。</w:t>
      </w:r>
    </w:p>
    <w:p w14:paraId="294A475E">
      <w:pPr>
        <w:pStyle w:val="12"/>
        <w:shd w:val="clear" w:color="auto" w:fill="auto"/>
        <w:ind w:firstLine="480"/>
        <w:rPr>
          <w:rFonts w:hint="eastAsia"/>
          <w:highlight w:val="none"/>
        </w:rPr>
      </w:pPr>
      <w:r>
        <w:rPr>
          <w:rFonts w:hint="eastAsia"/>
          <w:highlight w:val="none"/>
        </w:rPr>
        <w:t>监控大屏集成展示服务器状态（CPU、内存、硬盘使用率）、未处理告警（按类型和系统域分类），滚动显示待处理风险，统计各系统域调用订阅日志及服务日志量，实现监控信息一屏汇聚。</w:t>
      </w:r>
    </w:p>
    <w:p w14:paraId="6F94F199">
      <w:pPr>
        <w:pStyle w:val="6"/>
        <w:rPr>
          <w:rFonts w:hint="eastAsia"/>
          <w:highlight w:val="none"/>
        </w:rPr>
      </w:pPr>
      <w:bookmarkStart w:id="245" w:name="_Toc197780302"/>
      <w:r>
        <w:rPr>
          <w:rFonts w:hint="eastAsia"/>
          <w:highlight w:val="none"/>
          <w:lang w:val="en-US" w:eastAsia="zh-CN"/>
        </w:rPr>
        <w:t xml:space="preserve"> </w:t>
      </w:r>
      <w:r>
        <w:rPr>
          <w:rFonts w:hint="eastAsia"/>
          <w:highlight w:val="none"/>
        </w:rPr>
        <w:t>医院核心业务外联平台</w:t>
      </w:r>
      <w:bookmarkEnd w:id="245"/>
    </w:p>
    <w:p w14:paraId="13408C58">
      <w:pPr>
        <w:pStyle w:val="7"/>
        <w:rPr>
          <w:rFonts w:hint="eastAsia"/>
          <w:highlight w:val="none"/>
        </w:rPr>
      </w:pPr>
      <w:bookmarkStart w:id="246" w:name="_Toc197780303"/>
      <w:r>
        <w:rPr>
          <w:rFonts w:hint="eastAsia"/>
          <w:highlight w:val="none"/>
          <w:lang w:val="en-US" w:eastAsia="zh-CN"/>
        </w:rPr>
        <w:t xml:space="preserve"> </w:t>
      </w:r>
      <w:r>
        <w:rPr>
          <w:rFonts w:hint="eastAsia"/>
          <w:highlight w:val="none"/>
        </w:rPr>
        <w:t>标准服务集</w:t>
      </w:r>
      <w:bookmarkEnd w:id="246"/>
    </w:p>
    <w:p w14:paraId="27BE6D23">
      <w:pPr>
        <w:pStyle w:val="12"/>
        <w:shd w:val="clear" w:color="auto" w:fill="auto"/>
        <w:ind w:firstLine="480"/>
        <w:rPr>
          <w:rFonts w:hint="eastAsia"/>
          <w:highlight w:val="none"/>
        </w:rPr>
      </w:pPr>
      <w:r>
        <w:rPr>
          <w:rFonts w:hint="eastAsia"/>
          <w:highlight w:val="none"/>
        </w:rPr>
        <w:t>支持符合互联互通评级要求的HL7-V3标准服务。</w:t>
      </w:r>
    </w:p>
    <w:p w14:paraId="0652FF33">
      <w:pPr>
        <w:pStyle w:val="12"/>
        <w:shd w:val="clear" w:color="auto" w:fill="auto"/>
        <w:ind w:firstLine="480"/>
        <w:rPr>
          <w:rFonts w:hint="eastAsia"/>
          <w:highlight w:val="none"/>
        </w:rPr>
      </w:pPr>
      <w:r>
        <w:rPr>
          <w:rFonts w:hint="eastAsia"/>
          <w:highlight w:val="none"/>
        </w:rPr>
        <w:t>支持基于HL7-V3和院内核心业务扩充。</w:t>
      </w:r>
    </w:p>
    <w:p w14:paraId="00167268">
      <w:pPr>
        <w:pStyle w:val="12"/>
        <w:shd w:val="clear" w:color="auto" w:fill="auto"/>
        <w:ind w:firstLine="480"/>
        <w:rPr>
          <w:rFonts w:hint="eastAsia"/>
          <w:highlight w:val="none"/>
        </w:rPr>
      </w:pPr>
      <w:r>
        <w:rPr>
          <w:rFonts w:hint="eastAsia"/>
          <w:highlight w:val="none"/>
        </w:rPr>
        <w:t>V3标准交互服务列表：</w:t>
      </w:r>
    </w:p>
    <w:tbl>
      <w:tblPr>
        <w:tblStyle w:val="31"/>
        <w:tblW w:w="8296" w:type="dxa"/>
        <w:tblInd w:w="0" w:type="dxa"/>
        <w:tblLayout w:type="fixed"/>
        <w:tblCellMar>
          <w:top w:w="0" w:type="dxa"/>
          <w:left w:w="108" w:type="dxa"/>
          <w:bottom w:w="0" w:type="dxa"/>
          <w:right w:w="108" w:type="dxa"/>
        </w:tblCellMar>
      </w:tblPr>
      <w:tblGrid>
        <w:gridCol w:w="1446"/>
        <w:gridCol w:w="1998"/>
        <w:gridCol w:w="2221"/>
        <w:gridCol w:w="1442"/>
        <w:gridCol w:w="1189"/>
      </w:tblGrid>
      <w:tr w14:paraId="13F276D1">
        <w:tblPrEx>
          <w:tblCellMar>
            <w:top w:w="0" w:type="dxa"/>
            <w:left w:w="108" w:type="dxa"/>
            <w:bottom w:w="0" w:type="dxa"/>
            <w:right w:w="108" w:type="dxa"/>
          </w:tblCellMar>
        </w:tblPrEx>
        <w:trPr>
          <w:trHeight w:val="480" w:hRule="atLeast"/>
          <w:tblHeader/>
        </w:trPr>
        <w:tc>
          <w:tcPr>
            <w:tcW w:w="1446" w:type="dxa"/>
            <w:tcBorders>
              <w:top w:val="single" w:color="auto" w:sz="4" w:space="0"/>
              <w:left w:val="single" w:color="auto" w:sz="4" w:space="0"/>
              <w:bottom w:val="single" w:color="auto" w:sz="4" w:space="0"/>
              <w:right w:val="single" w:color="auto" w:sz="4" w:space="0"/>
            </w:tcBorders>
            <w:shd w:val="clear" w:color="000000" w:fill="D9D9D9"/>
            <w:vAlign w:val="center"/>
          </w:tcPr>
          <w:p w14:paraId="272E353B">
            <w:pPr>
              <w:pStyle w:val="38"/>
              <w:jc w:val="center"/>
              <w:rPr>
                <w:rFonts w:hint="eastAsia"/>
                <w:highlight w:val="none"/>
              </w:rPr>
            </w:pPr>
            <w:r>
              <w:rPr>
                <w:rFonts w:hint="eastAsia"/>
                <w:highlight w:val="none"/>
              </w:rPr>
              <w:t>业务分类</w:t>
            </w:r>
          </w:p>
        </w:tc>
        <w:tc>
          <w:tcPr>
            <w:tcW w:w="1998" w:type="dxa"/>
            <w:tcBorders>
              <w:top w:val="single" w:color="auto" w:sz="4" w:space="0"/>
              <w:left w:val="nil"/>
              <w:bottom w:val="single" w:color="auto" w:sz="4" w:space="0"/>
              <w:right w:val="single" w:color="auto" w:sz="4" w:space="0"/>
            </w:tcBorders>
            <w:shd w:val="clear" w:color="000000" w:fill="D9D9D9"/>
            <w:vAlign w:val="center"/>
          </w:tcPr>
          <w:p w14:paraId="14CB38FC">
            <w:pPr>
              <w:pStyle w:val="38"/>
              <w:jc w:val="center"/>
              <w:rPr>
                <w:rFonts w:hint="eastAsia"/>
                <w:highlight w:val="none"/>
              </w:rPr>
            </w:pPr>
            <w:r>
              <w:rPr>
                <w:rFonts w:hint="eastAsia"/>
                <w:highlight w:val="none"/>
              </w:rPr>
              <w:t>服务编号</w:t>
            </w:r>
          </w:p>
        </w:tc>
        <w:tc>
          <w:tcPr>
            <w:tcW w:w="2221" w:type="dxa"/>
            <w:tcBorders>
              <w:top w:val="single" w:color="auto" w:sz="4" w:space="0"/>
              <w:left w:val="nil"/>
              <w:bottom w:val="single" w:color="auto" w:sz="4" w:space="0"/>
              <w:right w:val="single" w:color="auto" w:sz="4" w:space="0"/>
            </w:tcBorders>
            <w:shd w:val="clear" w:color="000000" w:fill="D9D9D9"/>
            <w:vAlign w:val="center"/>
          </w:tcPr>
          <w:p w14:paraId="2595BF8C">
            <w:pPr>
              <w:pStyle w:val="38"/>
              <w:jc w:val="center"/>
              <w:rPr>
                <w:rFonts w:hint="eastAsia"/>
                <w:highlight w:val="none"/>
              </w:rPr>
            </w:pPr>
            <w:r>
              <w:rPr>
                <w:rFonts w:hint="eastAsia"/>
                <w:highlight w:val="none"/>
              </w:rPr>
              <w:t>服务名称</w:t>
            </w:r>
          </w:p>
        </w:tc>
        <w:tc>
          <w:tcPr>
            <w:tcW w:w="1442" w:type="dxa"/>
            <w:tcBorders>
              <w:top w:val="single" w:color="auto" w:sz="4" w:space="0"/>
              <w:left w:val="nil"/>
              <w:bottom w:val="single" w:color="auto" w:sz="4" w:space="0"/>
              <w:right w:val="single" w:color="auto" w:sz="4" w:space="0"/>
            </w:tcBorders>
            <w:shd w:val="clear" w:color="000000" w:fill="D9D9D9"/>
            <w:vAlign w:val="center"/>
          </w:tcPr>
          <w:p w14:paraId="784066ED">
            <w:pPr>
              <w:pStyle w:val="38"/>
              <w:jc w:val="center"/>
              <w:rPr>
                <w:rFonts w:hint="eastAsia"/>
                <w:highlight w:val="none"/>
              </w:rPr>
            </w:pPr>
            <w:r>
              <w:rPr>
                <w:rFonts w:hint="eastAsia"/>
                <w:highlight w:val="none"/>
              </w:rPr>
              <w:t>互联互通标准对应等级</w:t>
            </w:r>
          </w:p>
        </w:tc>
        <w:tc>
          <w:tcPr>
            <w:tcW w:w="1189" w:type="dxa"/>
            <w:tcBorders>
              <w:top w:val="single" w:color="auto" w:sz="4" w:space="0"/>
              <w:left w:val="nil"/>
              <w:bottom w:val="single" w:color="auto" w:sz="4" w:space="0"/>
              <w:right w:val="single" w:color="auto" w:sz="4" w:space="0"/>
            </w:tcBorders>
            <w:shd w:val="clear" w:color="000000" w:fill="D9D9D9"/>
            <w:vAlign w:val="center"/>
          </w:tcPr>
          <w:p w14:paraId="73D7E48D">
            <w:pPr>
              <w:pStyle w:val="38"/>
              <w:jc w:val="center"/>
              <w:rPr>
                <w:rFonts w:hint="eastAsia"/>
                <w:highlight w:val="none"/>
              </w:rPr>
            </w:pPr>
            <w:r>
              <w:rPr>
                <w:rFonts w:hint="eastAsia"/>
                <w:highlight w:val="none"/>
              </w:rPr>
              <w:t>对应互联互通服务</w:t>
            </w:r>
          </w:p>
        </w:tc>
      </w:tr>
      <w:tr w14:paraId="2E1807AC">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noWrap/>
            <w:vAlign w:val="center"/>
          </w:tcPr>
          <w:p w14:paraId="305B26C1">
            <w:pPr>
              <w:pStyle w:val="38"/>
              <w:jc w:val="center"/>
              <w:rPr>
                <w:rFonts w:hint="eastAsia"/>
                <w:highlight w:val="none"/>
              </w:rPr>
            </w:pPr>
            <w:r>
              <w:rPr>
                <w:rFonts w:hint="eastAsia"/>
                <w:highlight w:val="none"/>
              </w:rPr>
              <w:t>患者管理</w:t>
            </w:r>
          </w:p>
        </w:tc>
        <w:tc>
          <w:tcPr>
            <w:tcW w:w="1998" w:type="dxa"/>
            <w:tcBorders>
              <w:top w:val="nil"/>
              <w:left w:val="nil"/>
              <w:bottom w:val="single" w:color="auto" w:sz="4" w:space="0"/>
              <w:right w:val="single" w:color="auto" w:sz="4" w:space="0"/>
            </w:tcBorders>
            <w:shd w:val="clear" w:color="000000" w:fill="FFFFFF"/>
            <w:vAlign w:val="center"/>
          </w:tcPr>
          <w:p w14:paraId="40A3315E">
            <w:pPr>
              <w:pStyle w:val="38"/>
              <w:jc w:val="center"/>
              <w:rPr>
                <w:rFonts w:hint="eastAsia"/>
                <w:highlight w:val="none"/>
              </w:rPr>
            </w:pPr>
            <w:r>
              <w:rPr>
                <w:rFonts w:hint="eastAsia"/>
                <w:highlight w:val="none"/>
              </w:rPr>
              <w:t>PI0001</w:t>
            </w:r>
          </w:p>
        </w:tc>
        <w:tc>
          <w:tcPr>
            <w:tcW w:w="2221" w:type="dxa"/>
            <w:tcBorders>
              <w:top w:val="nil"/>
              <w:left w:val="nil"/>
              <w:bottom w:val="single" w:color="auto" w:sz="4" w:space="0"/>
              <w:right w:val="single" w:color="auto" w:sz="4" w:space="0"/>
            </w:tcBorders>
            <w:noWrap/>
            <w:vAlign w:val="center"/>
          </w:tcPr>
          <w:p w14:paraId="087F0895">
            <w:pPr>
              <w:pStyle w:val="38"/>
              <w:rPr>
                <w:rFonts w:hint="eastAsia"/>
                <w:highlight w:val="none"/>
              </w:rPr>
            </w:pPr>
            <w:r>
              <w:rPr>
                <w:rFonts w:hint="eastAsia"/>
                <w:highlight w:val="none"/>
              </w:rPr>
              <w:t>注册患者建档信息</w:t>
            </w:r>
          </w:p>
        </w:tc>
        <w:tc>
          <w:tcPr>
            <w:tcW w:w="1442" w:type="dxa"/>
            <w:tcBorders>
              <w:top w:val="nil"/>
              <w:left w:val="nil"/>
              <w:bottom w:val="single" w:color="auto" w:sz="4" w:space="0"/>
              <w:right w:val="single" w:color="auto" w:sz="4" w:space="0"/>
            </w:tcBorders>
            <w:shd w:val="clear" w:color="000000" w:fill="FFFFFF"/>
            <w:vAlign w:val="center"/>
          </w:tcPr>
          <w:p w14:paraId="717E5520">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6FED7534">
            <w:pPr>
              <w:pStyle w:val="38"/>
              <w:rPr>
                <w:rFonts w:hint="eastAsia"/>
                <w:highlight w:val="none"/>
              </w:rPr>
            </w:pPr>
            <w:r>
              <w:rPr>
                <w:rFonts w:hint="eastAsia"/>
                <w:highlight w:val="none"/>
              </w:rPr>
              <w:t>个人信息注册服务</w:t>
            </w:r>
          </w:p>
        </w:tc>
      </w:tr>
      <w:tr w14:paraId="45B2AA3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1427E7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AD96EA2">
            <w:pPr>
              <w:pStyle w:val="38"/>
              <w:jc w:val="center"/>
              <w:rPr>
                <w:rFonts w:hint="eastAsia"/>
                <w:highlight w:val="none"/>
              </w:rPr>
            </w:pPr>
            <w:r>
              <w:rPr>
                <w:rFonts w:hint="eastAsia"/>
                <w:highlight w:val="none"/>
              </w:rPr>
              <w:t>PU0002</w:t>
            </w:r>
          </w:p>
        </w:tc>
        <w:tc>
          <w:tcPr>
            <w:tcW w:w="2221" w:type="dxa"/>
            <w:tcBorders>
              <w:top w:val="nil"/>
              <w:left w:val="nil"/>
              <w:bottom w:val="single" w:color="auto" w:sz="4" w:space="0"/>
              <w:right w:val="single" w:color="auto" w:sz="4" w:space="0"/>
            </w:tcBorders>
            <w:noWrap/>
            <w:vAlign w:val="center"/>
          </w:tcPr>
          <w:p w14:paraId="16E94B05">
            <w:pPr>
              <w:pStyle w:val="38"/>
              <w:rPr>
                <w:rFonts w:hint="eastAsia"/>
                <w:highlight w:val="none"/>
              </w:rPr>
            </w:pPr>
            <w:r>
              <w:rPr>
                <w:rFonts w:hint="eastAsia"/>
                <w:highlight w:val="none"/>
              </w:rPr>
              <w:t>变更患者建档信息</w:t>
            </w:r>
          </w:p>
        </w:tc>
        <w:tc>
          <w:tcPr>
            <w:tcW w:w="1442" w:type="dxa"/>
            <w:tcBorders>
              <w:top w:val="nil"/>
              <w:left w:val="nil"/>
              <w:bottom w:val="single" w:color="auto" w:sz="4" w:space="0"/>
              <w:right w:val="single" w:color="auto" w:sz="4" w:space="0"/>
            </w:tcBorders>
            <w:shd w:val="clear" w:color="000000" w:fill="FFFFFF"/>
            <w:vAlign w:val="center"/>
          </w:tcPr>
          <w:p w14:paraId="6F0CD6CA">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5D80CA18">
            <w:pPr>
              <w:pStyle w:val="38"/>
              <w:rPr>
                <w:rFonts w:hint="eastAsia"/>
                <w:highlight w:val="none"/>
              </w:rPr>
            </w:pPr>
            <w:r>
              <w:rPr>
                <w:rFonts w:hint="eastAsia"/>
                <w:highlight w:val="none"/>
              </w:rPr>
              <w:t>个人信息更新服务</w:t>
            </w:r>
          </w:p>
        </w:tc>
      </w:tr>
      <w:tr w14:paraId="6E4146F6">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0555A3D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0E0C504">
            <w:pPr>
              <w:pStyle w:val="38"/>
              <w:jc w:val="center"/>
              <w:rPr>
                <w:rFonts w:hint="eastAsia"/>
                <w:highlight w:val="none"/>
              </w:rPr>
            </w:pPr>
            <w:r>
              <w:rPr>
                <w:rFonts w:hint="eastAsia"/>
                <w:highlight w:val="none"/>
              </w:rPr>
              <w:t>PI0004</w:t>
            </w:r>
          </w:p>
        </w:tc>
        <w:tc>
          <w:tcPr>
            <w:tcW w:w="2221" w:type="dxa"/>
            <w:tcBorders>
              <w:top w:val="nil"/>
              <w:left w:val="nil"/>
              <w:bottom w:val="single" w:color="auto" w:sz="4" w:space="0"/>
              <w:right w:val="single" w:color="auto" w:sz="4" w:space="0"/>
            </w:tcBorders>
            <w:noWrap/>
            <w:vAlign w:val="center"/>
          </w:tcPr>
          <w:p w14:paraId="7FFCF0F9">
            <w:pPr>
              <w:pStyle w:val="38"/>
              <w:rPr>
                <w:rFonts w:hint="eastAsia"/>
                <w:highlight w:val="none"/>
              </w:rPr>
            </w:pPr>
            <w:r>
              <w:rPr>
                <w:rFonts w:hint="eastAsia"/>
                <w:highlight w:val="none"/>
              </w:rPr>
              <w:t>注册患者就诊卡信息</w:t>
            </w:r>
          </w:p>
        </w:tc>
        <w:tc>
          <w:tcPr>
            <w:tcW w:w="1442" w:type="dxa"/>
            <w:tcBorders>
              <w:top w:val="nil"/>
              <w:left w:val="nil"/>
              <w:bottom w:val="single" w:color="auto" w:sz="4" w:space="0"/>
              <w:right w:val="single" w:color="auto" w:sz="4" w:space="0"/>
            </w:tcBorders>
            <w:shd w:val="clear" w:color="000000" w:fill="FFFFFF"/>
            <w:vAlign w:val="center"/>
          </w:tcPr>
          <w:p w14:paraId="6A72F714">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5C53CAA2">
            <w:pPr>
              <w:pStyle w:val="38"/>
              <w:rPr>
                <w:rFonts w:hint="eastAsia"/>
                <w:highlight w:val="none"/>
              </w:rPr>
            </w:pPr>
            <w:r>
              <w:rPr>
                <w:rFonts w:hint="eastAsia"/>
                <w:highlight w:val="none"/>
              </w:rPr>
              <w:t>就诊卡信息新增服务</w:t>
            </w:r>
          </w:p>
        </w:tc>
      </w:tr>
      <w:tr w14:paraId="7B8A8BF7">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9B5227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353686C">
            <w:pPr>
              <w:pStyle w:val="38"/>
              <w:jc w:val="center"/>
              <w:rPr>
                <w:rFonts w:hint="eastAsia"/>
                <w:highlight w:val="none"/>
              </w:rPr>
            </w:pPr>
            <w:r>
              <w:rPr>
                <w:rFonts w:hint="eastAsia"/>
                <w:highlight w:val="none"/>
              </w:rPr>
              <w:t>PU0005</w:t>
            </w:r>
          </w:p>
        </w:tc>
        <w:tc>
          <w:tcPr>
            <w:tcW w:w="2221" w:type="dxa"/>
            <w:tcBorders>
              <w:top w:val="nil"/>
              <w:left w:val="nil"/>
              <w:bottom w:val="single" w:color="auto" w:sz="4" w:space="0"/>
              <w:right w:val="single" w:color="auto" w:sz="4" w:space="0"/>
            </w:tcBorders>
            <w:noWrap/>
            <w:vAlign w:val="center"/>
          </w:tcPr>
          <w:p w14:paraId="11C28084">
            <w:pPr>
              <w:pStyle w:val="38"/>
              <w:rPr>
                <w:rFonts w:hint="eastAsia"/>
                <w:highlight w:val="none"/>
              </w:rPr>
            </w:pPr>
            <w:r>
              <w:rPr>
                <w:rFonts w:hint="eastAsia"/>
                <w:highlight w:val="none"/>
              </w:rPr>
              <w:t>更新患者就诊卡信息</w:t>
            </w:r>
          </w:p>
        </w:tc>
        <w:tc>
          <w:tcPr>
            <w:tcW w:w="1442" w:type="dxa"/>
            <w:tcBorders>
              <w:top w:val="nil"/>
              <w:left w:val="nil"/>
              <w:bottom w:val="single" w:color="auto" w:sz="4" w:space="0"/>
              <w:right w:val="single" w:color="auto" w:sz="4" w:space="0"/>
            </w:tcBorders>
            <w:shd w:val="clear" w:color="000000" w:fill="FFFFFF"/>
            <w:vAlign w:val="center"/>
          </w:tcPr>
          <w:p w14:paraId="33CD2E22">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4434F96E">
            <w:pPr>
              <w:pStyle w:val="38"/>
              <w:rPr>
                <w:rFonts w:hint="eastAsia"/>
                <w:highlight w:val="none"/>
              </w:rPr>
            </w:pPr>
            <w:r>
              <w:rPr>
                <w:rFonts w:hint="eastAsia"/>
                <w:highlight w:val="none"/>
              </w:rPr>
              <w:t>就诊卡信息更新服务</w:t>
            </w:r>
          </w:p>
        </w:tc>
      </w:tr>
      <w:tr w14:paraId="38422E87">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5C42B4B4">
            <w:pPr>
              <w:pStyle w:val="38"/>
              <w:jc w:val="center"/>
              <w:rPr>
                <w:rFonts w:hint="eastAsia"/>
                <w:highlight w:val="none"/>
              </w:rPr>
            </w:pPr>
            <w:r>
              <w:rPr>
                <w:rFonts w:hint="eastAsia"/>
                <w:highlight w:val="none"/>
              </w:rPr>
              <w:t>门诊入出转</w:t>
            </w:r>
          </w:p>
        </w:tc>
        <w:tc>
          <w:tcPr>
            <w:tcW w:w="1998" w:type="dxa"/>
            <w:tcBorders>
              <w:top w:val="nil"/>
              <w:left w:val="nil"/>
              <w:bottom w:val="single" w:color="auto" w:sz="4" w:space="0"/>
              <w:right w:val="single" w:color="auto" w:sz="4" w:space="0"/>
            </w:tcBorders>
            <w:shd w:val="clear" w:color="000000" w:fill="FFFFFF"/>
            <w:vAlign w:val="center"/>
          </w:tcPr>
          <w:p w14:paraId="2AA2C223">
            <w:pPr>
              <w:pStyle w:val="38"/>
              <w:jc w:val="center"/>
              <w:rPr>
                <w:rFonts w:hint="eastAsia"/>
                <w:highlight w:val="none"/>
              </w:rPr>
            </w:pPr>
            <w:r>
              <w:rPr>
                <w:rFonts w:hint="eastAsia"/>
                <w:highlight w:val="none"/>
              </w:rPr>
              <w:t>RI0007</w:t>
            </w:r>
          </w:p>
        </w:tc>
        <w:tc>
          <w:tcPr>
            <w:tcW w:w="2221" w:type="dxa"/>
            <w:tcBorders>
              <w:top w:val="nil"/>
              <w:left w:val="nil"/>
              <w:bottom w:val="single" w:color="auto" w:sz="4" w:space="0"/>
              <w:right w:val="single" w:color="auto" w:sz="4" w:space="0"/>
            </w:tcBorders>
            <w:noWrap/>
            <w:vAlign w:val="center"/>
          </w:tcPr>
          <w:p w14:paraId="11328AF9">
            <w:pPr>
              <w:pStyle w:val="38"/>
              <w:rPr>
                <w:rFonts w:hint="eastAsia"/>
                <w:highlight w:val="none"/>
              </w:rPr>
            </w:pPr>
            <w:r>
              <w:rPr>
                <w:rFonts w:hint="eastAsia"/>
                <w:highlight w:val="none"/>
              </w:rPr>
              <w:t>注册患者挂号信息</w:t>
            </w:r>
          </w:p>
        </w:tc>
        <w:tc>
          <w:tcPr>
            <w:tcW w:w="1442" w:type="dxa"/>
            <w:tcBorders>
              <w:top w:val="nil"/>
              <w:left w:val="nil"/>
              <w:bottom w:val="single" w:color="auto" w:sz="4" w:space="0"/>
              <w:right w:val="single" w:color="auto" w:sz="4" w:space="0"/>
            </w:tcBorders>
            <w:shd w:val="clear" w:color="000000" w:fill="FFFFFF"/>
            <w:vAlign w:val="center"/>
          </w:tcPr>
          <w:p w14:paraId="226CF852">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511447BC">
            <w:pPr>
              <w:pStyle w:val="38"/>
              <w:rPr>
                <w:rFonts w:hint="eastAsia"/>
                <w:highlight w:val="none"/>
              </w:rPr>
            </w:pPr>
            <w:r>
              <w:rPr>
                <w:rFonts w:hint="eastAsia"/>
                <w:highlight w:val="none"/>
              </w:rPr>
              <w:t>门诊挂号信息新增服务</w:t>
            </w:r>
          </w:p>
        </w:tc>
      </w:tr>
      <w:tr w14:paraId="173B9435">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703D15C8">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E3FA51A">
            <w:pPr>
              <w:pStyle w:val="38"/>
              <w:jc w:val="center"/>
              <w:rPr>
                <w:rFonts w:hint="eastAsia"/>
                <w:highlight w:val="none"/>
              </w:rPr>
            </w:pPr>
            <w:r>
              <w:rPr>
                <w:rFonts w:hint="eastAsia"/>
                <w:highlight w:val="none"/>
              </w:rPr>
              <w:t>RU0008</w:t>
            </w:r>
          </w:p>
        </w:tc>
        <w:tc>
          <w:tcPr>
            <w:tcW w:w="2221" w:type="dxa"/>
            <w:tcBorders>
              <w:top w:val="nil"/>
              <w:left w:val="nil"/>
              <w:bottom w:val="single" w:color="auto" w:sz="4" w:space="0"/>
              <w:right w:val="single" w:color="auto" w:sz="4" w:space="0"/>
            </w:tcBorders>
            <w:noWrap/>
            <w:vAlign w:val="center"/>
          </w:tcPr>
          <w:p w14:paraId="7C6CCF2A">
            <w:pPr>
              <w:pStyle w:val="38"/>
              <w:rPr>
                <w:rFonts w:hint="eastAsia"/>
                <w:highlight w:val="none"/>
              </w:rPr>
            </w:pPr>
            <w:r>
              <w:rPr>
                <w:rFonts w:hint="eastAsia"/>
                <w:highlight w:val="none"/>
              </w:rPr>
              <w:t>变更患者挂号信息</w:t>
            </w:r>
          </w:p>
        </w:tc>
        <w:tc>
          <w:tcPr>
            <w:tcW w:w="1442" w:type="dxa"/>
            <w:tcBorders>
              <w:top w:val="nil"/>
              <w:left w:val="nil"/>
              <w:bottom w:val="single" w:color="auto" w:sz="4" w:space="0"/>
              <w:right w:val="single" w:color="auto" w:sz="4" w:space="0"/>
            </w:tcBorders>
            <w:shd w:val="clear" w:color="000000" w:fill="FFFFFF"/>
            <w:vAlign w:val="center"/>
          </w:tcPr>
          <w:p w14:paraId="62E381FA">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30E746CE">
            <w:pPr>
              <w:pStyle w:val="38"/>
              <w:rPr>
                <w:rFonts w:hint="eastAsia"/>
                <w:highlight w:val="none"/>
              </w:rPr>
            </w:pPr>
            <w:r>
              <w:rPr>
                <w:rFonts w:hint="eastAsia"/>
                <w:highlight w:val="none"/>
              </w:rPr>
              <w:t>门诊挂号信息更新服务</w:t>
            </w:r>
          </w:p>
        </w:tc>
      </w:tr>
      <w:tr w14:paraId="15E8242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BA9E32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6C57EC5">
            <w:pPr>
              <w:pStyle w:val="38"/>
              <w:jc w:val="center"/>
              <w:rPr>
                <w:rFonts w:hint="eastAsia"/>
                <w:highlight w:val="none"/>
              </w:rPr>
            </w:pPr>
            <w:r>
              <w:rPr>
                <w:rFonts w:hint="eastAsia"/>
                <w:highlight w:val="none"/>
              </w:rPr>
              <w:t>RI0010</w:t>
            </w:r>
          </w:p>
        </w:tc>
        <w:tc>
          <w:tcPr>
            <w:tcW w:w="2221" w:type="dxa"/>
            <w:tcBorders>
              <w:top w:val="nil"/>
              <w:left w:val="nil"/>
              <w:bottom w:val="single" w:color="auto" w:sz="4" w:space="0"/>
              <w:right w:val="single" w:color="auto" w:sz="4" w:space="0"/>
            </w:tcBorders>
            <w:noWrap/>
            <w:vAlign w:val="center"/>
          </w:tcPr>
          <w:p w14:paraId="3BA1A231">
            <w:pPr>
              <w:pStyle w:val="38"/>
              <w:rPr>
                <w:rFonts w:hint="eastAsia"/>
                <w:highlight w:val="none"/>
              </w:rPr>
            </w:pPr>
            <w:r>
              <w:rPr>
                <w:rFonts w:hint="eastAsia"/>
                <w:highlight w:val="none"/>
              </w:rPr>
              <w:t>注册患者退号信息</w:t>
            </w:r>
          </w:p>
        </w:tc>
        <w:tc>
          <w:tcPr>
            <w:tcW w:w="1442" w:type="dxa"/>
            <w:tcBorders>
              <w:top w:val="nil"/>
              <w:left w:val="nil"/>
              <w:bottom w:val="single" w:color="auto" w:sz="4" w:space="0"/>
              <w:right w:val="single" w:color="auto" w:sz="4" w:space="0"/>
            </w:tcBorders>
            <w:shd w:val="clear" w:color="000000" w:fill="FFFFFF"/>
            <w:vAlign w:val="center"/>
          </w:tcPr>
          <w:p w14:paraId="5D68644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C589D71">
            <w:pPr>
              <w:pStyle w:val="38"/>
              <w:rPr>
                <w:rFonts w:hint="eastAsia"/>
                <w:highlight w:val="none"/>
              </w:rPr>
            </w:pPr>
          </w:p>
        </w:tc>
      </w:tr>
      <w:tr w14:paraId="534D221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3E666D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4DECC44">
            <w:pPr>
              <w:pStyle w:val="38"/>
              <w:jc w:val="center"/>
              <w:rPr>
                <w:rFonts w:hint="eastAsia"/>
                <w:highlight w:val="none"/>
              </w:rPr>
            </w:pPr>
            <w:r>
              <w:rPr>
                <w:rFonts w:hint="eastAsia"/>
                <w:highlight w:val="none"/>
              </w:rPr>
              <w:t>RI0011</w:t>
            </w:r>
          </w:p>
        </w:tc>
        <w:tc>
          <w:tcPr>
            <w:tcW w:w="2221" w:type="dxa"/>
            <w:tcBorders>
              <w:top w:val="nil"/>
              <w:left w:val="nil"/>
              <w:bottom w:val="single" w:color="auto" w:sz="4" w:space="0"/>
              <w:right w:val="single" w:color="auto" w:sz="4" w:space="0"/>
            </w:tcBorders>
            <w:noWrap/>
            <w:vAlign w:val="center"/>
          </w:tcPr>
          <w:p w14:paraId="183E89AA">
            <w:pPr>
              <w:pStyle w:val="38"/>
              <w:rPr>
                <w:rFonts w:hint="eastAsia"/>
                <w:highlight w:val="none"/>
              </w:rPr>
            </w:pPr>
            <w:r>
              <w:rPr>
                <w:rFonts w:hint="eastAsia"/>
                <w:highlight w:val="none"/>
              </w:rPr>
              <w:t>注册门诊患者接诊信息</w:t>
            </w:r>
          </w:p>
        </w:tc>
        <w:tc>
          <w:tcPr>
            <w:tcW w:w="1442" w:type="dxa"/>
            <w:tcBorders>
              <w:top w:val="nil"/>
              <w:left w:val="nil"/>
              <w:bottom w:val="single" w:color="auto" w:sz="4" w:space="0"/>
              <w:right w:val="single" w:color="auto" w:sz="4" w:space="0"/>
            </w:tcBorders>
            <w:shd w:val="clear" w:color="000000" w:fill="FFFFFF"/>
            <w:vAlign w:val="center"/>
          </w:tcPr>
          <w:p w14:paraId="27AF4A5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C046D45">
            <w:pPr>
              <w:pStyle w:val="38"/>
              <w:rPr>
                <w:rFonts w:hint="eastAsia"/>
                <w:highlight w:val="none"/>
              </w:rPr>
            </w:pPr>
          </w:p>
        </w:tc>
      </w:tr>
      <w:tr w14:paraId="2F6E9B5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F9CB9A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459F2F5">
            <w:pPr>
              <w:pStyle w:val="38"/>
              <w:jc w:val="center"/>
              <w:rPr>
                <w:rFonts w:hint="eastAsia"/>
                <w:highlight w:val="none"/>
              </w:rPr>
            </w:pPr>
            <w:r>
              <w:rPr>
                <w:rFonts w:hint="eastAsia"/>
                <w:highlight w:val="none"/>
              </w:rPr>
              <w:t>RI0207</w:t>
            </w:r>
          </w:p>
        </w:tc>
        <w:tc>
          <w:tcPr>
            <w:tcW w:w="2221" w:type="dxa"/>
            <w:tcBorders>
              <w:top w:val="nil"/>
              <w:left w:val="nil"/>
              <w:bottom w:val="single" w:color="auto" w:sz="4" w:space="0"/>
              <w:right w:val="single" w:color="auto" w:sz="4" w:space="0"/>
            </w:tcBorders>
            <w:noWrap/>
            <w:vAlign w:val="center"/>
          </w:tcPr>
          <w:p w14:paraId="249C35B4">
            <w:pPr>
              <w:pStyle w:val="38"/>
              <w:rPr>
                <w:rFonts w:hint="eastAsia"/>
                <w:highlight w:val="none"/>
              </w:rPr>
            </w:pPr>
            <w:r>
              <w:rPr>
                <w:rFonts w:hint="eastAsia"/>
                <w:highlight w:val="none"/>
              </w:rPr>
              <w:t>注册门诊患者就诊事件</w:t>
            </w:r>
          </w:p>
        </w:tc>
        <w:tc>
          <w:tcPr>
            <w:tcW w:w="1442" w:type="dxa"/>
            <w:tcBorders>
              <w:top w:val="nil"/>
              <w:left w:val="nil"/>
              <w:bottom w:val="single" w:color="auto" w:sz="4" w:space="0"/>
              <w:right w:val="single" w:color="auto" w:sz="4" w:space="0"/>
            </w:tcBorders>
            <w:shd w:val="clear" w:color="000000" w:fill="FFFFFF"/>
            <w:vAlign w:val="center"/>
          </w:tcPr>
          <w:p w14:paraId="7F3D812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9970B16">
            <w:pPr>
              <w:pStyle w:val="38"/>
              <w:rPr>
                <w:rFonts w:hint="eastAsia"/>
                <w:highlight w:val="none"/>
              </w:rPr>
            </w:pPr>
          </w:p>
        </w:tc>
      </w:tr>
      <w:tr w14:paraId="34B99B0A">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5B255534">
            <w:pPr>
              <w:pStyle w:val="38"/>
              <w:jc w:val="center"/>
              <w:rPr>
                <w:rFonts w:hint="eastAsia"/>
                <w:highlight w:val="none"/>
              </w:rPr>
            </w:pPr>
            <w:r>
              <w:rPr>
                <w:rFonts w:hint="eastAsia"/>
                <w:highlight w:val="none"/>
              </w:rPr>
              <w:t>住院患者入出转</w:t>
            </w:r>
          </w:p>
        </w:tc>
        <w:tc>
          <w:tcPr>
            <w:tcW w:w="1998" w:type="dxa"/>
            <w:tcBorders>
              <w:top w:val="nil"/>
              <w:left w:val="nil"/>
              <w:bottom w:val="single" w:color="auto" w:sz="4" w:space="0"/>
              <w:right w:val="single" w:color="auto" w:sz="4" w:space="0"/>
            </w:tcBorders>
            <w:shd w:val="clear" w:color="000000" w:fill="FFFFFF"/>
            <w:vAlign w:val="center"/>
          </w:tcPr>
          <w:p w14:paraId="1811C398">
            <w:pPr>
              <w:pStyle w:val="38"/>
              <w:jc w:val="center"/>
              <w:rPr>
                <w:rFonts w:hint="eastAsia"/>
                <w:highlight w:val="none"/>
              </w:rPr>
            </w:pPr>
            <w:r>
              <w:rPr>
                <w:rFonts w:hint="eastAsia"/>
                <w:highlight w:val="none"/>
              </w:rPr>
              <w:t>II0012</w:t>
            </w:r>
          </w:p>
        </w:tc>
        <w:tc>
          <w:tcPr>
            <w:tcW w:w="2221" w:type="dxa"/>
            <w:tcBorders>
              <w:top w:val="nil"/>
              <w:left w:val="nil"/>
              <w:bottom w:val="single" w:color="auto" w:sz="4" w:space="0"/>
              <w:right w:val="single" w:color="auto" w:sz="4" w:space="0"/>
            </w:tcBorders>
            <w:noWrap/>
            <w:vAlign w:val="center"/>
          </w:tcPr>
          <w:p w14:paraId="603A5192">
            <w:pPr>
              <w:pStyle w:val="38"/>
              <w:rPr>
                <w:rFonts w:hint="eastAsia"/>
                <w:highlight w:val="none"/>
              </w:rPr>
            </w:pPr>
            <w:r>
              <w:rPr>
                <w:rFonts w:hint="eastAsia"/>
                <w:highlight w:val="none"/>
              </w:rPr>
              <w:t>注册住院患者登记信息</w:t>
            </w:r>
          </w:p>
        </w:tc>
        <w:tc>
          <w:tcPr>
            <w:tcW w:w="1442" w:type="dxa"/>
            <w:tcBorders>
              <w:top w:val="nil"/>
              <w:left w:val="nil"/>
              <w:bottom w:val="single" w:color="auto" w:sz="4" w:space="0"/>
              <w:right w:val="single" w:color="auto" w:sz="4" w:space="0"/>
            </w:tcBorders>
            <w:shd w:val="clear" w:color="000000" w:fill="FFFFFF"/>
            <w:vAlign w:val="center"/>
          </w:tcPr>
          <w:p w14:paraId="41D9DFD4">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4D61286C">
            <w:pPr>
              <w:pStyle w:val="38"/>
              <w:rPr>
                <w:rFonts w:hint="eastAsia"/>
                <w:highlight w:val="none"/>
              </w:rPr>
            </w:pPr>
            <w:r>
              <w:rPr>
                <w:rFonts w:hint="eastAsia"/>
                <w:highlight w:val="none"/>
              </w:rPr>
              <w:t>住院就诊信息新增服务</w:t>
            </w:r>
          </w:p>
        </w:tc>
      </w:tr>
      <w:tr w14:paraId="50102A92">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CEBB36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697AE06">
            <w:pPr>
              <w:pStyle w:val="38"/>
              <w:jc w:val="center"/>
              <w:rPr>
                <w:rFonts w:hint="eastAsia"/>
                <w:highlight w:val="none"/>
              </w:rPr>
            </w:pPr>
            <w:r>
              <w:rPr>
                <w:rFonts w:hint="eastAsia"/>
                <w:highlight w:val="none"/>
              </w:rPr>
              <w:t>IU0013</w:t>
            </w:r>
          </w:p>
        </w:tc>
        <w:tc>
          <w:tcPr>
            <w:tcW w:w="2221" w:type="dxa"/>
            <w:tcBorders>
              <w:top w:val="nil"/>
              <w:left w:val="nil"/>
              <w:bottom w:val="single" w:color="auto" w:sz="4" w:space="0"/>
              <w:right w:val="single" w:color="auto" w:sz="4" w:space="0"/>
            </w:tcBorders>
            <w:noWrap/>
            <w:vAlign w:val="center"/>
          </w:tcPr>
          <w:p w14:paraId="03486C53">
            <w:pPr>
              <w:pStyle w:val="38"/>
              <w:rPr>
                <w:rFonts w:hint="eastAsia"/>
                <w:highlight w:val="none"/>
              </w:rPr>
            </w:pPr>
            <w:r>
              <w:rPr>
                <w:rFonts w:hint="eastAsia"/>
                <w:highlight w:val="none"/>
              </w:rPr>
              <w:t>变更住院患者登记信息</w:t>
            </w:r>
          </w:p>
        </w:tc>
        <w:tc>
          <w:tcPr>
            <w:tcW w:w="1442" w:type="dxa"/>
            <w:tcBorders>
              <w:top w:val="nil"/>
              <w:left w:val="nil"/>
              <w:bottom w:val="single" w:color="auto" w:sz="4" w:space="0"/>
              <w:right w:val="single" w:color="auto" w:sz="4" w:space="0"/>
            </w:tcBorders>
            <w:shd w:val="clear" w:color="000000" w:fill="FFFFFF"/>
            <w:vAlign w:val="center"/>
          </w:tcPr>
          <w:p w14:paraId="0A8AE030">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7B090866">
            <w:pPr>
              <w:pStyle w:val="38"/>
              <w:rPr>
                <w:rFonts w:hint="eastAsia"/>
                <w:highlight w:val="none"/>
              </w:rPr>
            </w:pPr>
            <w:r>
              <w:rPr>
                <w:rFonts w:hint="eastAsia"/>
                <w:highlight w:val="none"/>
              </w:rPr>
              <w:t>住院就诊信息更新服务</w:t>
            </w:r>
          </w:p>
        </w:tc>
      </w:tr>
      <w:tr w14:paraId="3422731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7D862A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E307CA">
            <w:pPr>
              <w:pStyle w:val="38"/>
              <w:jc w:val="center"/>
              <w:rPr>
                <w:rFonts w:hint="eastAsia"/>
                <w:highlight w:val="none"/>
              </w:rPr>
            </w:pPr>
            <w:r>
              <w:rPr>
                <w:rFonts w:hint="eastAsia"/>
                <w:highlight w:val="none"/>
              </w:rPr>
              <w:t>II0015</w:t>
            </w:r>
          </w:p>
        </w:tc>
        <w:tc>
          <w:tcPr>
            <w:tcW w:w="2221" w:type="dxa"/>
            <w:tcBorders>
              <w:top w:val="nil"/>
              <w:left w:val="nil"/>
              <w:bottom w:val="single" w:color="auto" w:sz="4" w:space="0"/>
              <w:right w:val="single" w:color="auto" w:sz="4" w:space="0"/>
            </w:tcBorders>
            <w:noWrap/>
            <w:vAlign w:val="center"/>
          </w:tcPr>
          <w:p w14:paraId="6682574C">
            <w:pPr>
              <w:pStyle w:val="38"/>
              <w:rPr>
                <w:rFonts w:hint="eastAsia"/>
                <w:highlight w:val="none"/>
              </w:rPr>
            </w:pPr>
            <w:r>
              <w:rPr>
                <w:rFonts w:hint="eastAsia"/>
                <w:highlight w:val="none"/>
              </w:rPr>
              <w:t>注册住院患者接诊信息</w:t>
            </w:r>
          </w:p>
        </w:tc>
        <w:tc>
          <w:tcPr>
            <w:tcW w:w="1442" w:type="dxa"/>
            <w:tcBorders>
              <w:top w:val="nil"/>
              <w:left w:val="nil"/>
              <w:bottom w:val="single" w:color="auto" w:sz="4" w:space="0"/>
              <w:right w:val="single" w:color="auto" w:sz="4" w:space="0"/>
            </w:tcBorders>
            <w:shd w:val="clear" w:color="000000" w:fill="FFFFFF"/>
            <w:vAlign w:val="center"/>
          </w:tcPr>
          <w:p w14:paraId="4243865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CF29DDC">
            <w:pPr>
              <w:pStyle w:val="38"/>
              <w:rPr>
                <w:rFonts w:hint="eastAsia"/>
                <w:highlight w:val="none"/>
              </w:rPr>
            </w:pPr>
          </w:p>
        </w:tc>
      </w:tr>
      <w:tr w14:paraId="57D50054">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2F34A56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C03D3D6">
            <w:pPr>
              <w:pStyle w:val="38"/>
              <w:jc w:val="center"/>
              <w:rPr>
                <w:rFonts w:hint="eastAsia"/>
                <w:highlight w:val="none"/>
              </w:rPr>
            </w:pPr>
            <w:r>
              <w:rPr>
                <w:rFonts w:hint="eastAsia"/>
                <w:highlight w:val="none"/>
              </w:rPr>
              <w:t>II0016</w:t>
            </w:r>
          </w:p>
        </w:tc>
        <w:tc>
          <w:tcPr>
            <w:tcW w:w="2221" w:type="dxa"/>
            <w:tcBorders>
              <w:top w:val="nil"/>
              <w:left w:val="nil"/>
              <w:bottom w:val="single" w:color="auto" w:sz="4" w:space="0"/>
              <w:right w:val="single" w:color="auto" w:sz="4" w:space="0"/>
            </w:tcBorders>
            <w:noWrap/>
            <w:vAlign w:val="center"/>
          </w:tcPr>
          <w:p w14:paraId="3F573D98">
            <w:pPr>
              <w:pStyle w:val="38"/>
              <w:rPr>
                <w:rFonts w:hint="eastAsia"/>
                <w:highlight w:val="none"/>
              </w:rPr>
            </w:pPr>
            <w:r>
              <w:rPr>
                <w:rFonts w:hint="eastAsia"/>
                <w:highlight w:val="none"/>
              </w:rPr>
              <w:t>注册患者转科转病区转出信息</w:t>
            </w:r>
          </w:p>
        </w:tc>
        <w:tc>
          <w:tcPr>
            <w:tcW w:w="1442" w:type="dxa"/>
            <w:tcBorders>
              <w:top w:val="nil"/>
              <w:left w:val="nil"/>
              <w:bottom w:val="single" w:color="auto" w:sz="4" w:space="0"/>
              <w:right w:val="single" w:color="auto" w:sz="4" w:space="0"/>
            </w:tcBorders>
            <w:shd w:val="clear" w:color="000000" w:fill="FFFFFF"/>
            <w:vAlign w:val="center"/>
          </w:tcPr>
          <w:p w14:paraId="70FEA7BE">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3FC5F28A">
            <w:pPr>
              <w:pStyle w:val="38"/>
              <w:rPr>
                <w:rFonts w:hint="eastAsia"/>
                <w:highlight w:val="none"/>
              </w:rPr>
            </w:pPr>
            <w:r>
              <w:rPr>
                <w:rFonts w:hint="eastAsia"/>
                <w:highlight w:val="none"/>
              </w:rPr>
              <w:t>住院转科信息新增服务</w:t>
            </w:r>
          </w:p>
        </w:tc>
      </w:tr>
      <w:tr w14:paraId="5E66692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FDB75B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305F0FB">
            <w:pPr>
              <w:pStyle w:val="38"/>
              <w:jc w:val="center"/>
              <w:rPr>
                <w:rFonts w:hint="eastAsia"/>
                <w:highlight w:val="none"/>
              </w:rPr>
            </w:pPr>
            <w:r>
              <w:rPr>
                <w:rFonts w:hint="eastAsia"/>
                <w:highlight w:val="none"/>
              </w:rPr>
              <w:t>ID0017</w:t>
            </w:r>
          </w:p>
        </w:tc>
        <w:tc>
          <w:tcPr>
            <w:tcW w:w="2221" w:type="dxa"/>
            <w:tcBorders>
              <w:top w:val="nil"/>
              <w:left w:val="nil"/>
              <w:bottom w:val="single" w:color="auto" w:sz="4" w:space="0"/>
              <w:right w:val="single" w:color="auto" w:sz="4" w:space="0"/>
            </w:tcBorders>
            <w:noWrap/>
            <w:vAlign w:val="center"/>
          </w:tcPr>
          <w:p w14:paraId="36842150">
            <w:pPr>
              <w:pStyle w:val="38"/>
              <w:rPr>
                <w:rFonts w:hint="eastAsia"/>
                <w:highlight w:val="none"/>
              </w:rPr>
            </w:pPr>
            <w:r>
              <w:rPr>
                <w:rFonts w:hint="eastAsia"/>
                <w:highlight w:val="none"/>
              </w:rPr>
              <w:t>取消患者转科信息</w:t>
            </w:r>
          </w:p>
        </w:tc>
        <w:tc>
          <w:tcPr>
            <w:tcW w:w="1442" w:type="dxa"/>
            <w:tcBorders>
              <w:top w:val="nil"/>
              <w:left w:val="nil"/>
              <w:bottom w:val="single" w:color="auto" w:sz="4" w:space="0"/>
              <w:right w:val="single" w:color="auto" w:sz="4" w:space="0"/>
            </w:tcBorders>
            <w:shd w:val="clear" w:color="000000" w:fill="FFFFFF"/>
            <w:vAlign w:val="center"/>
          </w:tcPr>
          <w:p w14:paraId="7D0B070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A87ECD3">
            <w:pPr>
              <w:pStyle w:val="38"/>
              <w:rPr>
                <w:rFonts w:hint="eastAsia"/>
                <w:highlight w:val="none"/>
              </w:rPr>
            </w:pPr>
          </w:p>
        </w:tc>
      </w:tr>
      <w:tr w14:paraId="5924E248">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7662BEF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230DB0B">
            <w:pPr>
              <w:pStyle w:val="38"/>
              <w:jc w:val="center"/>
              <w:rPr>
                <w:rFonts w:hint="eastAsia"/>
                <w:highlight w:val="none"/>
              </w:rPr>
            </w:pPr>
            <w:r>
              <w:rPr>
                <w:rFonts w:hint="eastAsia"/>
                <w:highlight w:val="none"/>
              </w:rPr>
              <w:t>II0018</w:t>
            </w:r>
          </w:p>
        </w:tc>
        <w:tc>
          <w:tcPr>
            <w:tcW w:w="2221" w:type="dxa"/>
            <w:tcBorders>
              <w:top w:val="nil"/>
              <w:left w:val="nil"/>
              <w:bottom w:val="single" w:color="auto" w:sz="4" w:space="0"/>
              <w:right w:val="single" w:color="auto" w:sz="4" w:space="0"/>
            </w:tcBorders>
            <w:noWrap/>
            <w:vAlign w:val="center"/>
          </w:tcPr>
          <w:p w14:paraId="635A147B">
            <w:pPr>
              <w:pStyle w:val="38"/>
              <w:rPr>
                <w:rFonts w:hint="eastAsia"/>
                <w:highlight w:val="none"/>
              </w:rPr>
            </w:pPr>
            <w:r>
              <w:rPr>
                <w:rFonts w:hint="eastAsia"/>
                <w:highlight w:val="none"/>
              </w:rPr>
              <w:t>注册患者转科转病区转入信息</w:t>
            </w:r>
          </w:p>
        </w:tc>
        <w:tc>
          <w:tcPr>
            <w:tcW w:w="1442" w:type="dxa"/>
            <w:tcBorders>
              <w:top w:val="nil"/>
              <w:left w:val="nil"/>
              <w:bottom w:val="single" w:color="auto" w:sz="4" w:space="0"/>
              <w:right w:val="single" w:color="auto" w:sz="4" w:space="0"/>
            </w:tcBorders>
            <w:shd w:val="clear" w:color="000000" w:fill="FFFFFF"/>
            <w:vAlign w:val="center"/>
          </w:tcPr>
          <w:p w14:paraId="26F18565">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387C074C">
            <w:pPr>
              <w:pStyle w:val="38"/>
              <w:rPr>
                <w:rFonts w:hint="eastAsia"/>
                <w:highlight w:val="none"/>
              </w:rPr>
            </w:pPr>
            <w:r>
              <w:rPr>
                <w:rFonts w:hint="eastAsia"/>
                <w:highlight w:val="none"/>
              </w:rPr>
              <w:t>住院转科信息更新服务</w:t>
            </w:r>
          </w:p>
        </w:tc>
      </w:tr>
      <w:tr w14:paraId="23403CB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BC7F8F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B086074">
            <w:pPr>
              <w:pStyle w:val="38"/>
              <w:jc w:val="center"/>
              <w:rPr>
                <w:rFonts w:hint="eastAsia"/>
                <w:highlight w:val="none"/>
              </w:rPr>
            </w:pPr>
            <w:r>
              <w:rPr>
                <w:rFonts w:hint="eastAsia"/>
                <w:highlight w:val="none"/>
              </w:rPr>
              <w:t>II0020</w:t>
            </w:r>
          </w:p>
        </w:tc>
        <w:tc>
          <w:tcPr>
            <w:tcW w:w="2221" w:type="dxa"/>
            <w:tcBorders>
              <w:top w:val="nil"/>
              <w:left w:val="nil"/>
              <w:bottom w:val="single" w:color="auto" w:sz="4" w:space="0"/>
              <w:right w:val="single" w:color="auto" w:sz="4" w:space="0"/>
            </w:tcBorders>
            <w:noWrap/>
            <w:vAlign w:val="center"/>
          </w:tcPr>
          <w:p w14:paraId="28295D62">
            <w:pPr>
              <w:pStyle w:val="38"/>
              <w:rPr>
                <w:rFonts w:hint="eastAsia"/>
                <w:highlight w:val="none"/>
              </w:rPr>
            </w:pPr>
            <w:r>
              <w:rPr>
                <w:rFonts w:hint="eastAsia"/>
                <w:highlight w:val="none"/>
              </w:rPr>
              <w:t>注册患者床位变更信息</w:t>
            </w:r>
          </w:p>
        </w:tc>
        <w:tc>
          <w:tcPr>
            <w:tcW w:w="1442" w:type="dxa"/>
            <w:tcBorders>
              <w:top w:val="nil"/>
              <w:left w:val="nil"/>
              <w:bottom w:val="single" w:color="auto" w:sz="4" w:space="0"/>
              <w:right w:val="single" w:color="auto" w:sz="4" w:space="0"/>
            </w:tcBorders>
            <w:shd w:val="clear" w:color="000000" w:fill="FFFFFF"/>
            <w:vAlign w:val="center"/>
          </w:tcPr>
          <w:p w14:paraId="32932A5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2CD0AD1">
            <w:pPr>
              <w:pStyle w:val="38"/>
              <w:rPr>
                <w:rFonts w:hint="eastAsia"/>
                <w:highlight w:val="none"/>
              </w:rPr>
            </w:pPr>
          </w:p>
        </w:tc>
      </w:tr>
      <w:tr w14:paraId="6918E2D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18154D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71ABCB1">
            <w:pPr>
              <w:pStyle w:val="38"/>
              <w:jc w:val="center"/>
              <w:rPr>
                <w:rFonts w:hint="eastAsia"/>
                <w:highlight w:val="none"/>
              </w:rPr>
            </w:pPr>
            <w:r>
              <w:rPr>
                <w:rFonts w:hint="eastAsia"/>
                <w:highlight w:val="none"/>
              </w:rPr>
              <w:t>II0021</w:t>
            </w:r>
          </w:p>
        </w:tc>
        <w:tc>
          <w:tcPr>
            <w:tcW w:w="2221" w:type="dxa"/>
            <w:tcBorders>
              <w:top w:val="nil"/>
              <w:left w:val="nil"/>
              <w:bottom w:val="single" w:color="auto" w:sz="4" w:space="0"/>
              <w:right w:val="single" w:color="auto" w:sz="4" w:space="0"/>
            </w:tcBorders>
            <w:noWrap/>
            <w:vAlign w:val="center"/>
          </w:tcPr>
          <w:p w14:paraId="43C1230E">
            <w:pPr>
              <w:pStyle w:val="38"/>
              <w:rPr>
                <w:rFonts w:hint="eastAsia"/>
                <w:highlight w:val="none"/>
              </w:rPr>
            </w:pPr>
            <w:r>
              <w:rPr>
                <w:rFonts w:hint="eastAsia"/>
                <w:highlight w:val="none"/>
              </w:rPr>
              <w:t>注册患者医护变更信息</w:t>
            </w:r>
          </w:p>
        </w:tc>
        <w:tc>
          <w:tcPr>
            <w:tcW w:w="1442" w:type="dxa"/>
            <w:tcBorders>
              <w:top w:val="nil"/>
              <w:left w:val="nil"/>
              <w:bottom w:val="single" w:color="auto" w:sz="4" w:space="0"/>
              <w:right w:val="single" w:color="auto" w:sz="4" w:space="0"/>
            </w:tcBorders>
            <w:shd w:val="clear" w:color="000000" w:fill="FFFFFF"/>
            <w:vAlign w:val="center"/>
          </w:tcPr>
          <w:p w14:paraId="286DAA4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C04B9F0">
            <w:pPr>
              <w:pStyle w:val="38"/>
              <w:rPr>
                <w:rFonts w:hint="eastAsia"/>
                <w:highlight w:val="none"/>
              </w:rPr>
            </w:pPr>
          </w:p>
        </w:tc>
      </w:tr>
      <w:tr w14:paraId="08442C45">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03D025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14AC4F9">
            <w:pPr>
              <w:pStyle w:val="38"/>
              <w:jc w:val="center"/>
              <w:rPr>
                <w:rFonts w:hint="eastAsia"/>
                <w:highlight w:val="none"/>
              </w:rPr>
            </w:pPr>
            <w:r>
              <w:rPr>
                <w:rFonts w:hint="eastAsia"/>
                <w:highlight w:val="none"/>
              </w:rPr>
              <w:t>II0022</w:t>
            </w:r>
          </w:p>
        </w:tc>
        <w:tc>
          <w:tcPr>
            <w:tcW w:w="2221" w:type="dxa"/>
            <w:tcBorders>
              <w:top w:val="nil"/>
              <w:left w:val="nil"/>
              <w:bottom w:val="single" w:color="auto" w:sz="4" w:space="0"/>
              <w:right w:val="single" w:color="auto" w:sz="4" w:space="0"/>
            </w:tcBorders>
            <w:noWrap/>
            <w:vAlign w:val="center"/>
          </w:tcPr>
          <w:p w14:paraId="780F5D8A">
            <w:pPr>
              <w:pStyle w:val="38"/>
              <w:rPr>
                <w:rFonts w:hint="eastAsia"/>
                <w:highlight w:val="none"/>
              </w:rPr>
            </w:pPr>
            <w:r>
              <w:rPr>
                <w:rFonts w:hint="eastAsia"/>
                <w:highlight w:val="none"/>
              </w:rPr>
              <w:t>注册患者出院登记信息</w:t>
            </w:r>
          </w:p>
        </w:tc>
        <w:tc>
          <w:tcPr>
            <w:tcW w:w="1442" w:type="dxa"/>
            <w:tcBorders>
              <w:top w:val="nil"/>
              <w:left w:val="nil"/>
              <w:bottom w:val="single" w:color="auto" w:sz="4" w:space="0"/>
              <w:right w:val="single" w:color="auto" w:sz="4" w:space="0"/>
            </w:tcBorders>
            <w:shd w:val="clear" w:color="000000" w:fill="FFFFFF"/>
            <w:vAlign w:val="center"/>
          </w:tcPr>
          <w:p w14:paraId="2B872284">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69EDCF8A">
            <w:pPr>
              <w:pStyle w:val="38"/>
              <w:rPr>
                <w:rFonts w:hint="eastAsia"/>
                <w:highlight w:val="none"/>
              </w:rPr>
            </w:pPr>
            <w:r>
              <w:rPr>
                <w:rFonts w:hint="eastAsia"/>
                <w:highlight w:val="none"/>
              </w:rPr>
              <w:t>出院登记信息新增服务</w:t>
            </w:r>
          </w:p>
        </w:tc>
      </w:tr>
      <w:tr w14:paraId="4C818A3C">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5BC9E18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9321AB5">
            <w:pPr>
              <w:pStyle w:val="38"/>
              <w:jc w:val="center"/>
              <w:rPr>
                <w:rFonts w:hint="eastAsia"/>
                <w:highlight w:val="none"/>
              </w:rPr>
            </w:pPr>
            <w:r>
              <w:rPr>
                <w:rFonts w:hint="eastAsia"/>
                <w:highlight w:val="none"/>
              </w:rPr>
              <w:t>ID0024</w:t>
            </w:r>
          </w:p>
        </w:tc>
        <w:tc>
          <w:tcPr>
            <w:tcW w:w="2221" w:type="dxa"/>
            <w:tcBorders>
              <w:top w:val="nil"/>
              <w:left w:val="nil"/>
              <w:bottom w:val="single" w:color="auto" w:sz="4" w:space="0"/>
              <w:right w:val="single" w:color="auto" w:sz="4" w:space="0"/>
            </w:tcBorders>
            <w:noWrap/>
            <w:vAlign w:val="center"/>
          </w:tcPr>
          <w:p w14:paraId="030890DA">
            <w:pPr>
              <w:pStyle w:val="38"/>
              <w:rPr>
                <w:rFonts w:hint="eastAsia"/>
                <w:highlight w:val="none"/>
              </w:rPr>
            </w:pPr>
            <w:r>
              <w:rPr>
                <w:rFonts w:hint="eastAsia"/>
                <w:highlight w:val="none"/>
              </w:rPr>
              <w:t>取消患者出院登记信息</w:t>
            </w:r>
          </w:p>
        </w:tc>
        <w:tc>
          <w:tcPr>
            <w:tcW w:w="1442" w:type="dxa"/>
            <w:tcBorders>
              <w:top w:val="nil"/>
              <w:left w:val="nil"/>
              <w:bottom w:val="single" w:color="auto" w:sz="4" w:space="0"/>
              <w:right w:val="single" w:color="auto" w:sz="4" w:space="0"/>
            </w:tcBorders>
            <w:shd w:val="clear" w:color="000000" w:fill="FFFFFF"/>
            <w:vAlign w:val="center"/>
          </w:tcPr>
          <w:p w14:paraId="12FD9F16">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30F75B75">
            <w:pPr>
              <w:pStyle w:val="38"/>
              <w:rPr>
                <w:rFonts w:hint="eastAsia"/>
                <w:highlight w:val="none"/>
              </w:rPr>
            </w:pPr>
            <w:r>
              <w:rPr>
                <w:rFonts w:hint="eastAsia"/>
                <w:highlight w:val="none"/>
              </w:rPr>
              <w:t>出院登记信息更新服务</w:t>
            </w:r>
          </w:p>
        </w:tc>
      </w:tr>
      <w:tr w14:paraId="208FEC3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A178C3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EA60FB4">
            <w:pPr>
              <w:pStyle w:val="38"/>
              <w:jc w:val="center"/>
              <w:rPr>
                <w:rFonts w:hint="eastAsia"/>
                <w:highlight w:val="none"/>
              </w:rPr>
            </w:pPr>
            <w:r>
              <w:rPr>
                <w:rFonts w:hint="eastAsia"/>
                <w:highlight w:val="none"/>
              </w:rPr>
              <w:t>II0025</w:t>
            </w:r>
          </w:p>
        </w:tc>
        <w:tc>
          <w:tcPr>
            <w:tcW w:w="2221" w:type="dxa"/>
            <w:tcBorders>
              <w:top w:val="nil"/>
              <w:left w:val="nil"/>
              <w:bottom w:val="single" w:color="auto" w:sz="4" w:space="0"/>
              <w:right w:val="single" w:color="auto" w:sz="4" w:space="0"/>
            </w:tcBorders>
            <w:noWrap/>
            <w:vAlign w:val="center"/>
          </w:tcPr>
          <w:p w14:paraId="0842AEAE">
            <w:pPr>
              <w:pStyle w:val="38"/>
              <w:rPr>
                <w:rFonts w:hint="eastAsia"/>
                <w:highlight w:val="none"/>
              </w:rPr>
            </w:pPr>
            <w:r>
              <w:rPr>
                <w:rFonts w:hint="eastAsia"/>
                <w:highlight w:val="none"/>
              </w:rPr>
              <w:t>注册患者无费退院信息</w:t>
            </w:r>
          </w:p>
        </w:tc>
        <w:tc>
          <w:tcPr>
            <w:tcW w:w="1442" w:type="dxa"/>
            <w:tcBorders>
              <w:top w:val="nil"/>
              <w:left w:val="nil"/>
              <w:bottom w:val="single" w:color="auto" w:sz="4" w:space="0"/>
              <w:right w:val="single" w:color="auto" w:sz="4" w:space="0"/>
            </w:tcBorders>
            <w:shd w:val="clear" w:color="000000" w:fill="FFFFFF"/>
            <w:vAlign w:val="center"/>
          </w:tcPr>
          <w:p w14:paraId="2E99954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686D012">
            <w:pPr>
              <w:pStyle w:val="38"/>
              <w:rPr>
                <w:rFonts w:hint="eastAsia"/>
                <w:highlight w:val="none"/>
              </w:rPr>
            </w:pPr>
          </w:p>
        </w:tc>
      </w:tr>
      <w:tr w14:paraId="15C11525">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1E9F9818">
            <w:pPr>
              <w:pStyle w:val="38"/>
              <w:jc w:val="center"/>
              <w:rPr>
                <w:rFonts w:hint="eastAsia"/>
                <w:highlight w:val="none"/>
              </w:rPr>
            </w:pPr>
            <w:r>
              <w:rPr>
                <w:rFonts w:hint="eastAsia"/>
                <w:highlight w:val="none"/>
              </w:rPr>
              <w:t>检验</w:t>
            </w:r>
          </w:p>
        </w:tc>
        <w:tc>
          <w:tcPr>
            <w:tcW w:w="1998" w:type="dxa"/>
            <w:tcBorders>
              <w:top w:val="nil"/>
              <w:left w:val="nil"/>
              <w:bottom w:val="single" w:color="auto" w:sz="4" w:space="0"/>
              <w:right w:val="single" w:color="auto" w:sz="4" w:space="0"/>
            </w:tcBorders>
            <w:shd w:val="clear" w:color="000000" w:fill="FFFFFF"/>
            <w:vAlign w:val="center"/>
          </w:tcPr>
          <w:p w14:paraId="535CC565">
            <w:pPr>
              <w:pStyle w:val="38"/>
              <w:jc w:val="center"/>
              <w:rPr>
                <w:rFonts w:hint="eastAsia"/>
                <w:highlight w:val="none"/>
              </w:rPr>
            </w:pPr>
            <w:r>
              <w:rPr>
                <w:rFonts w:hint="eastAsia"/>
                <w:highlight w:val="none"/>
              </w:rPr>
              <w:t>LI0026</w:t>
            </w:r>
          </w:p>
        </w:tc>
        <w:tc>
          <w:tcPr>
            <w:tcW w:w="2221" w:type="dxa"/>
            <w:tcBorders>
              <w:top w:val="nil"/>
              <w:left w:val="nil"/>
              <w:bottom w:val="single" w:color="auto" w:sz="4" w:space="0"/>
              <w:right w:val="single" w:color="auto" w:sz="4" w:space="0"/>
            </w:tcBorders>
            <w:noWrap/>
            <w:vAlign w:val="center"/>
          </w:tcPr>
          <w:p w14:paraId="7A7C2595">
            <w:pPr>
              <w:pStyle w:val="38"/>
              <w:rPr>
                <w:rFonts w:hint="eastAsia"/>
                <w:highlight w:val="none"/>
              </w:rPr>
            </w:pPr>
            <w:r>
              <w:rPr>
                <w:rFonts w:hint="eastAsia"/>
                <w:highlight w:val="none"/>
              </w:rPr>
              <w:t>注册检验申请单信息</w:t>
            </w:r>
          </w:p>
        </w:tc>
        <w:tc>
          <w:tcPr>
            <w:tcW w:w="1442" w:type="dxa"/>
            <w:tcBorders>
              <w:top w:val="nil"/>
              <w:left w:val="nil"/>
              <w:bottom w:val="single" w:color="auto" w:sz="4" w:space="0"/>
              <w:right w:val="single" w:color="auto" w:sz="4" w:space="0"/>
            </w:tcBorders>
            <w:shd w:val="clear" w:color="000000" w:fill="FFFFFF"/>
            <w:vAlign w:val="center"/>
          </w:tcPr>
          <w:p w14:paraId="319DED8A">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2E433638">
            <w:pPr>
              <w:pStyle w:val="38"/>
              <w:rPr>
                <w:rFonts w:hint="eastAsia"/>
                <w:highlight w:val="none"/>
              </w:rPr>
            </w:pPr>
            <w:r>
              <w:rPr>
                <w:rFonts w:hint="eastAsia"/>
                <w:highlight w:val="none"/>
              </w:rPr>
              <w:t>检验申请信息新增服务</w:t>
            </w:r>
          </w:p>
        </w:tc>
      </w:tr>
      <w:tr w14:paraId="03C4FCEA">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0B99806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CF8A72B">
            <w:pPr>
              <w:pStyle w:val="38"/>
              <w:jc w:val="center"/>
              <w:rPr>
                <w:rFonts w:hint="eastAsia"/>
                <w:highlight w:val="none"/>
              </w:rPr>
            </w:pPr>
            <w:r>
              <w:rPr>
                <w:rFonts w:hint="eastAsia"/>
                <w:highlight w:val="none"/>
              </w:rPr>
              <w:t>LU0027</w:t>
            </w:r>
          </w:p>
        </w:tc>
        <w:tc>
          <w:tcPr>
            <w:tcW w:w="2221" w:type="dxa"/>
            <w:tcBorders>
              <w:top w:val="nil"/>
              <w:left w:val="nil"/>
              <w:bottom w:val="single" w:color="auto" w:sz="4" w:space="0"/>
              <w:right w:val="single" w:color="auto" w:sz="4" w:space="0"/>
            </w:tcBorders>
            <w:noWrap/>
            <w:vAlign w:val="center"/>
          </w:tcPr>
          <w:p w14:paraId="0B216996">
            <w:pPr>
              <w:pStyle w:val="38"/>
              <w:rPr>
                <w:rFonts w:hint="eastAsia"/>
                <w:highlight w:val="none"/>
              </w:rPr>
            </w:pPr>
            <w:r>
              <w:rPr>
                <w:rFonts w:hint="eastAsia"/>
                <w:highlight w:val="none"/>
              </w:rPr>
              <w:t>变更检验申请单信息</w:t>
            </w:r>
          </w:p>
        </w:tc>
        <w:tc>
          <w:tcPr>
            <w:tcW w:w="1442" w:type="dxa"/>
            <w:tcBorders>
              <w:top w:val="nil"/>
              <w:left w:val="nil"/>
              <w:bottom w:val="single" w:color="auto" w:sz="4" w:space="0"/>
              <w:right w:val="single" w:color="auto" w:sz="4" w:space="0"/>
            </w:tcBorders>
            <w:shd w:val="clear" w:color="000000" w:fill="FFFFFF"/>
            <w:vAlign w:val="center"/>
          </w:tcPr>
          <w:p w14:paraId="69360B0B">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59E62847">
            <w:pPr>
              <w:pStyle w:val="38"/>
              <w:rPr>
                <w:rFonts w:hint="eastAsia"/>
                <w:highlight w:val="none"/>
              </w:rPr>
            </w:pPr>
            <w:r>
              <w:rPr>
                <w:rFonts w:hint="eastAsia"/>
                <w:highlight w:val="none"/>
              </w:rPr>
              <w:t>检验申请信息更新服务</w:t>
            </w:r>
          </w:p>
        </w:tc>
      </w:tr>
      <w:tr w14:paraId="5E2425F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486E02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92BC107">
            <w:pPr>
              <w:pStyle w:val="38"/>
              <w:jc w:val="center"/>
              <w:rPr>
                <w:rFonts w:hint="eastAsia"/>
                <w:highlight w:val="none"/>
              </w:rPr>
            </w:pPr>
            <w:r>
              <w:rPr>
                <w:rFonts w:hint="eastAsia"/>
                <w:highlight w:val="none"/>
              </w:rPr>
              <w:t>LD0028</w:t>
            </w:r>
          </w:p>
        </w:tc>
        <w:tc>
          <w:tcPr>
            <w:tcW w:w="2221" w:type="dxa"/>
            <w:tcBorders>
              <w:top w:val="nil"/>
              <w:left w:val="nil"/>
              <w:bottom w:val="single" w:color="auto" w:sz="4" w:space="0"/>
              <w:right w:val="single" w:color="auto" w:sz="4" w:space="0"/>
            </w:tcBorders>
            <w:noWrap/>
            <w:vAlign w:val="center"/>
          </w:tcPr>
          <w:p w14:paraId="2B4B7842">
            <w:pPr>
              <w:pStyle w:val="38"/>
              <w:rPr>
                <w:rFonts w:hint="eastAsia"/>
                <w:highlight w:val="none"/>
              </w:rPr>
            </w:pPr>
            <w:r>
              <w:rPr>
                <w:rFonts w:hint="eastAsia"/>
                <w:highlight w:val="none"/>
              </w:rPr>
              <w:t>作废检验医嘱信息</w:t>
            </w:r>
          </w:p>
        </w:tc>
        <w:tc>
          <w:tcPr>
            <w:tcW w:w="1442" w:type="dxa"/>
            <w:tcBorders>
              <w:top w:val="nil"/>
              <w:left w:val="nil"/>
              <w:bottom w:val="single" w:color="auto" w:sz="4" w:space="0"/>
              <w:right w:val="single" w:color="auto" w:sz="4" w:space="0"/>
            </w:tcBorders>
            <w:shd w:val="clear" w:color="000000" w:fill="FFFFFF"/>
            <w:vAlign w:val="center"/>
          </w:tcPr>
          <w:p w14:paraId="0AF5FE9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07CE800">
            <w:pPr>
              <w:pStyle w:val="38"/>
              <w:rPr>
                <w:rFonts w:hint="eastAsia"/>
                <w:highlight w:val="none"/>
              </w:rPr>
            </w:pPr>
          </w:p>
        </w:tc>
      </w:tr>
      <w:tr w14:paraId="0FEC5EE2">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34D60CC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50C74AB">
            <w:pPr>
              <w:pStyle w:val="38"/>
              <w:jc w:val="center"/>
              <w:rPr>
                <w:rFonts w:hint="eastAsia"/>
                <w:highlight w:val="none"/>
              </w:rPr>
            </w:pPr>
            <w:r>
              <w:rPr>
                <w:rFonts w:hint="eastAsia"/>
                <w:highlight w:val="none"/>
              </w:rPr>
              <w:t>LI0030</w:t>
            </w:r>
          </w:p>
        </w:tc>
        <w:tc>
          <w:tcPr>
            <w:tcW w:w="2221" w:type="dxa"/>
            <w:tcBorders>
              <w:top w:val="nil"/>
              <w:left w:val="nil"/>
              <w:bottom w:val="single" w:color="auto" w:sz="4" w:space="0"/>
              <w:right w:val="single" w:color="auto" w:sz="4" w:space="0"/>
            </w:tcBorders>
            <w:noWrap/>
            <w:vAlign w:val="center"/>
          </w:tcPr>
          <w:p w14:paraId="7E6A0905">
            <w:pPr>
              <w:pStyle w:val="38"/>
              <w:rPr>
                <w:rFonts w:hint="eastAsia"/>
                <w:highlight w:val="none"/>
              </w:rPr>
            </w:pPr>
            <w:r>
              <w:rPr>
                <w:rFonts w:hint="eastAsia"/>
                <w:highlight w:val="none"/>
              </w:rPr>
              <w:t>注册检验申请单缴费状态</w:t>
            </w:r>
          </w:p>
        </w:tc>
        <w:tc>
          <w:tcPr>
            <w:tcW w:w="1442" w:type="dxa"/>
            <w:tcBorders>
              <w:top w:val="nil"/>
              <w:left w:val="nil"/>
              <w:bottom w:val="single" w:color="auto" w:sz="4" w:space="0"/>
              <w:right w:val="single" w:color="auto" w:sz="4" w:space="0"/>
            </w:tcBorders>
            <w:shd w:val="clear" w:color="000000" w:fill="FFFFFF"/>
            <w:vAlign w:val="center"/>
          </w:tcPr>
          <w:p w14:paraId="2BDE371B">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21238C43">
            <w:pPr>
              <w:pStyle w:val="38"/>
              <w:rPr>
                <w:rFonts w:hint="eastAsia"/>
                <w:highlight w:val="none"/>
              </w:rPr>
            </w:pPr>
            <w:r>
              <w:rPr>
                <w:rFonts w:hint="eastAsia"/>
                <w:highlight w:val="none"/>
              </w:rPr>
              <w:t>检验状态信息更新服务</w:t>
            </w:r>
          </w:p>
        </w:tc>
      </w:tr>
      <w:tr w14:paraId="4666175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F597B3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AC08248">
            <w:pPr>
              <w:pStyle w:val="38"/>
              <w:jc w:val="center"/>
              <w:rPr>
                <w:rFonts w:hint="eastAsia"/>
                <w:highlight w:val="none"/>
              </w:rPr>
            </w:pPr>
            <w:r>
              <w:rPr>
                <w:rFonts w:hint="eastAsia"/>
                <w:highlight w:val="none"/>
              </w:rPr>
              <w:t>LI0032</w:t>
            </w:r>
          </w:p>
        </w:tc>
        <w:tc>
          <w:tcPr>
            <w:tcW w:w="2221" w:type="dxa"/>
            <w:tcBorders>
              <w:top w:val="nil"/>
              <w:left w:val="nil"/>
              <w:bottom w:val="single" w:color="auto" w:sz="4" w:space="0"/>
              <w:right w:val="single" w:color="auto" w:sz="4" w:space="0"/>
            </w:tcBorders>
            <w:noWrap/>
            <w:vAlign w:val="center"/>
          </w:tcPr>
          <w:p w14:paraId="3E2E6039">
            <w:pPr>
              <w:pStyle w:val="38"/>
              <w:rPr>
                <w:rFonts w:hint="eastAsia"/>
                <w:highlight w:val="none"/>
              </w:rPr>
            </w:pPr>
            <w:r>
              <w:rPr>
                <w:rFonts w:hint="eastAsia"/>
                <w:highlight w:val="none"/>
              </w:rPr>
              <w:t>注册检验申请单退费状态</w:t>
            </w:r>
          </w:p>
        </w:tc>
        <w:tc>
          <w:tcPr>
            <w:tcW w:w="1442" w:type="dxa"/>
            <w:tcBorders>
              <w:top w:val="nil"/>
              <w:left w:val="nil"/>
              <w:bottom w:val="single" w:color="auto" w:sz="4" w:space="0"/>
              <w:right w:val="single" w:color="auto" w:sz="4" w:space="0"/>
            </w:tcBorders>
            <w:shd w:val="clear" w:color="000000" w:fill="FFFFFF"/>
            <w:vAlign w:val="center"/>
          </w:tcPr>
          <w:p w14:paraId="35CB992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5F41FA4">
            <w:pPr>
              <w:pStyle w:val="38"/>
              <w:rPr>
                <w:rFonts w:hint="eastAsia"/>
                <w:highlight w:val="none"/>
              </w:rPr>
            </w:pPr>
          </w:p>
        </w:tc>
      </w:tr>
      <w:tr w14:paraId="53828CF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8C67E0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F00E11B">
            <w:pPr>
              <w:pStyle w:val="38"/>
              <w:jc w:val="center"/>
              <w:rPr>
                <w:rFonts w:hint="eastAsia"/>
                <w:highlight w:val="none"/>
              </w:rPr>
            </w:pPr>
            <w:r>
              <w:rPr>
                <w:rFonts w:hint="eastAsia"/>
                <w:highlight w:val="none"/>
              </w:rPr>
              <w:t>LI0037</w:t>
            </w:r>
          </w:p>
        </w:tc>
        <w:tc>
          <w:tcPr>
            <w:tcW w:w="2221" w:type="dxa"/>
            <w:tcBorders>
              <w:top w:val="nil"/>
              <w:left w:val="nil"/>
              <w:bottom w:val="single" w:color="auto" w:sz="4" w:space="0"/>
              <w:right w:val="single" w:color="auto" w:sz="4" w:space="0"/>
            </w:tcBorders>
            <w:noWrap/>
            <w:vAlign w:val="center"/>
          </w:tcPr>
          <w:p w14:paraId="5D8C5DB9">
            <w:pPr>
              <w:pStyle w:val="38"/>
              <w:rPr>
                <w:rFonts w:hint="eastAsia"/>
                <w:highlight w:val="none"/>
              </w:rPr>
            </w:pPr>
            <w:r>
              <w:rPr>
                <w:rFonts w:hint="eastAsia"/>
                <w:highlight w:val="none"/>
              </w:rPr>
              <w:t>注册标本信息</w:t>
            </w:r>
          </w:p>
        </w:tc>
        <w:tc>
          <w:tcPr>
            <w:tcW w:w="1442" w:type="dxa"/>
            <w:tcBorders>
              <w:top w:val="nil"/>
              <w:left w:val="nil"/>
              <w:bottom w:val="single" w:color="auto" w:sz="4" w:space="0"/>
              <w:right w:val="single" w:color="auto" w:sz="4" w:space="0"/>
            </w:tcBorders>
            <w:shd w:val="clear" w:color="000000" w:fill="FFFFFF"/>
            <w:vAlign w:val="center"/>
          </w:tcPr>
          <w:p w14:paraId="262072D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4480964">
            <w:pPr>
              <w:pStyle w:val="38"/>
              <w:rPr>
                <w:rFonts w:hint="eastAsia"/>
                <w:highlight w:val="none"/>
              </w:rPr>
            </w:pPr>
          </w:p>
        </w:tc>
      </w:tr>
      <w:tr w14:paraId="25F40A7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54A2F0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3032775">
            <w:pPr>
              <w:pStyle w:val="38"/>
              <w:jc w:val="center"/>
              <w:rPr>
                <w:rFonts w:hint="eastAsia"/>
                <w:highlight w:val="none"/>
              </w:rPr>
            </w:pPr>
            <w:r>
              <w:rPr>
                <w:rFonts w:hint="eastAsia"/>
                <w:highlight w:val="none"/>
              </w:rPr>
              <w:t>LI0038</w:t>
            </w:r>
          </w:p>
        </w:tc>
        <w:tc>
          <w:tcPr>
            <w:tcW w:w="2221" w:type="dxa"/>
            <w:tcBorders>
              <w:top w:val="nil"/>
              <w:left w:val="nil"/>
              <w:bottom w:val="single" w:color="auto" w:sz="4" w:space="0"/>
              <w:right w:val="single" w:color="auto" w:sz="4" w:space="0"/>
            </w:tcBorders>
            <w:noWrap/>
            <w:vAlign w:val="center"/>
          </w:tcPr>
          <w:p w14:paraId="17CC92BB">
            <w:pPr>
              <w:pStyle w:val="38"/>
              <w:rPr>
                <w:rFonts w:hint="eastAsia"/>
                <w:highlight w:val="none"/>
              </w:rPr>
            </w:pPr>
            <w:r>
              <w:rPr>
                <w:rFonts w:hint="eastAsia"/>
                <w:highlight w:val="none"/>
              </w:rPr>
              <w:t>注册标本事件</w:t>
            </w:r>
          </w:p>
        </w:tc>
        <w:tc>
          <w:tcPr>
            <w:tcW w:w="1442" w:type="dxa"/>
            <w:tcBorders>
              <w:top w:val="nil"/>
              <w:left w:val="nil"/>
              <w:bottom w:val="single" w:color="auto" w:sz="4" w:space="0"/>
              <w:right w:val="single" w:color="auto" w:sz="4" w:space="0"/>
            </w:tcBorders>
            <w:shd w:val="clear" w:color="000000" w:fill="FFFFFF"/>
            <w:vAlign w:val="center"/>
          </w:tcPr>
          <w:p w14:paraId="0E9B17F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047F407">
            <w:pPr>
              <w:pStyle w:val="38"/>
              <w:rPr>
                <w:rFonts w:hint="eastAsia"/>
                <w:highlight w:val="none"/>
              </w:rPr>
            </w:pPr>
          </w:p>
        </w:tc>
      </w:tr>
      <w:tr w14:paraId="3E28418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766D6A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EF50C9E">
            <w:pPr>
              <w:pStyle w:val="38"/>
              <w:jc w:val="center"/>
              <w:rPr>
                <w:rFonts w:hint="eastAsia"/>
                <w:highlight w:val="none"/>
              </w:rPr>
            </w:pPr>
            <w:r>
              <w:rPr>
                <w:rFonts w:hint="eastAsia"/>
                <w:highlight w:val="none"/>
              </w:rPr>
              <w:t>LD0039</w:t>
            </w:r>
          </w:p>
        </w:tc>
        <w:tc>
          <w:tcPr>
            <w:tcW w:w="2221" w:type="dxa"/>
            <w:tcBorders>
              <w:top w:val="nil"/>
              <w:left w:val="nil"/>
              <w:bottom w:val="single" w:color="auto" w:sz="4" w:space="0"/>
              <w:right w:val="single" w:color="auto" w:sz="4" w:space="0"/>
            </w:tcBorders>
            <w:noWrap/>
            <w:vAlign w:val="center"/>
          </w:tcPr>
          <w:p w14:paraId="02BE1CC0">
            <w:pPr>
              <w:pStyle w:val="38"/>
              <w:rPr>
                <w:rFonts w:hint="eastAsia"/>
                <w:highlight w:val="none"/>
              </w:rPr>
            </w:pPr>
            <w:r>
              <w:rPr>
                <w:rFonts w:hint="eastAsia"/>
                <w:highlight w:val="none"/>
              </w:rPr>
              <w:t>取消注册标本事件</w:t>
            </w:r>
          </w:p>
        </w:tc>
        <w:tc>
          <w:tcPr>
            <w:tcW w:w="1442" w:type="dxa"/>
            <w:tcBorders>
              <w:top w:val="nil"/>
              <w:left w:val="nil"/>
              <w:bottom w:val="single" w:color="auto" w:sz="4" w:space="0"/>
              <w:right w:val="single" w:color="auto" w:sz="4" w:space="0"/>
            </w:tcBorders>
            <w:shd w:val="clear" w:color="000000" w:fill="FFFFFF"/>
            <w:vAlign w:val="center"/>
          </w:tcPr>
          <w:p w14:paraId="15281C1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05550B9">
            <w:pPr>
              <w:pStyle w:val="38"/>
              <w:rPr>
                <w:rFonts w:hint="eastAsia"/>
                <w:highlight w:val="none"/>
              </w:rPr>
            </w:pPr>
          </w:p>
        </w:tc>
      </w:tr>
      <w:tr w14:paraId="3E96858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FCE745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CA1C13C">
            <w:pPr>
              <w:pStyle w:val="38"/>
              <w:jc w:val="center"/>
              <w:rPr>
                <w:rFonts w:hint="eastAsia"/>
                <w:highlight w:val="none"/>
              </w:rPr>
            </w:pPr>
            <w:r>
              <w:rPr>
                <w:rFonts w:hint="eastAsia"/>
                <w:highlight w:val="none"/>
              </w:rPr>
              <w:t>LI0040</w:t>
            </w:r>
          </w:p>
        </w:tc>
        <w:tc>
          <w:tcPr>
            <w:tcW w:w="2221" w:type="dxa"/>
            <w:tcBorders>
              <w:top w:val="nil"/>
              <w:left w:val="nil"/>
              <w:bottom w:val="single" w:color="auto" w:sz="4" w:space="0"/>
              <w:right w:val="single" w:color="auto" w:sz="4" w:space="0"/>
            </w:tcBorders>
            <w:noWrap/>
            <w:vAlign w:val="center"/>
          </w:tcPr>
          <w:p w14:paraId="3F3FA72D">
            <w:pPr>
              <w:pStyle w:val="38"/>
              <w:rPr>
                <w:rFonts w:hint="eastAsia"/>
                <w:highlight w:val="none"/>
              </w:rPr>
            </w:pPr>
            <w:r>
              <w:rPr>
                <w:rFonts w:hint="eastAsia"/>
                <w:highlight w:val="none"/>
              </w:rPr>
              <w:t>注册检验危急值信息</w:t>
            </w:r>
          </w:p>
        </w:tc>
        <w:tc>
          <w:tcPr>
            <w:tcW w:w="1442" w:type="dxa"/>
            <w:tcBorders>
              <w:top w:val="nil"/>
              <w:left w:val="nil"/>
              <w:bottom w:val="single" w:color="auto" w:sz="4" w:space="0"/>
              <w:right w:val="single" w:color="auto" w:sz="4" w:space="0"/>
            </w:tcBorders>
            <w:shd w:val="clear" w:color="000000" w:fill="FFFFFF"/>
            <w:vAlign w:val="center"/>
          </w:tcPr>
          <w:p w14:paraId="1C59C6E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B7C6DED">
            <w:pPr>
              <w:pStyle w:val="38"/>
              <w:rPr>
                <w:rFonts w:hint="eastAsia"/>
                <w:highlight w:val="none"/>
              </w:rPr>
            </w:pPr>
          </w:p>
        </w:tc>
      </w:tr>
      <w:tr w14:paraId="1E40881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AC5E9B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FB95408">
            <w:pPr>
              <w:pStyle w:val="38"/>
              <w:jc w:val="center"/>
              <w:rPr>
                <w:rFonts w:hint="eastAsia"/>
                <w:highlight w:val="none"/>
              </w:rPr>
            </w:pPr>
            <w:r>
              <w:rPr>
                <w:rFonts w:hint="eastAsia"/>
                <w:highlight w:val="none"/>
              </w:rPr>
              <w:t>LI0042</w:t>
            </w:r>
          </w:p>
        </w:tc>
        <w:tc>
          <w:tcPr>
            <w:tcW w:w="2221" w:type="dxa"/>
            <w:tcBorders>
              <w:top w:val="nil"/>
              <w:left w:val="nil"/>
              <w:bottom w:val="single" w:color="auto" w:sz="4" w:space="0"/>
              <w:right w:val="single" w:color="auto" w:sz="4" w:space="0"/>
            </w:tcBorders>
            <w:noWrap/>
            <w:vAlign w:val="center"/>
          </w:tcPr>
          <w:p w14:paraId="48FEFDCD">
            <w:pPr>
              <w:pStyle w:val="38"/>
              <w:rPr>
                <w:rFonts w:hint="eastAsia"/>
                <w:highlight w:val="none"/>
              </w:rPr>
            </w:pPr>
            <w:r>
              <w:rPr>
                <w:rFonts w:hint="eastAsia"/>
                <w:highlight w:val="none"/>
              </w:rPr>
              <w:t>注册检验危急值反馈结果信息</w:t>
            </w:r>
          </w:p>
        </w:tc>
        <w:tc>
          <w:tcPr>
            <w:tcW w:w="1442" w:type="dxa"/>
            <w:tcBorders>
              <w:top w:val="nil"/>
              <w:left w:val="nil"/>
              <w:bottom w:val="single" w:color="auto" w:sz="4" w:space="0"/>
              <w:right w:val="single" w:color="auto" w:sz="4" w:space="0"/>
            </w:tcBorders>
            <w:shd w:val="clear" w:color="000000" w:fill="FFFFFF"/>
            <w:vAlign w:val="center"/>
          </w:tcPr>
          <w:p w14:paraId="0E01B79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97F9655">
            <w:pPr>
              <w:pStyle w:val="38"/>
              <w:rPr>
                <w:rFonts w:hint="eastAsia"/>
                <w:highlight w:val="none"/>
              </w:rPr>
            </w:pPr>
          </w:p>
        </w:tc>
      </w:tr>
      <w:tr w14:paraId="0C7BE25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AD6D66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A16ADB4">
            <w:pPr>
              <w:pStyle w:val="38"/>
              <w:jc w:val="center"/>
              <w:rPr>
                <w:rFonts w:hint="eastAsia"/>
                <w:highlight w:val="none"/>
              </w:rPr>
            </w:pPr>
            <w:r>
              <w:rPr>
                <w:rFonts w:hint="eastAsia"/>
                <w:highlight w:val="none"/>
              </w:rPr>
              <w:t>LI0043</w:t>
            </w:r>
          </w:p>
        </w:tc>
        <w:tc>
          <w:tcPr>
            <w:tcW w:w="2221" w:type="dxa"/>
            <w:tcBorders>
              <w:top w:val="nil"/>
              <w:left w:val="nil"/>
              <w:bottom w:val="single" w:color="auto" w:sz="4" w:space="0"/>
              <w:right w:val="single" w:color="auto" w:sz="4" w:space="0"/>
            </w:tcBorders>
            <w:noWrap/>
            <w:vAlign w:val="center"/>
          </w:tcPr>
          <w:p w14:paraId="3DDE0EEC">
            <w:pPr>
              <w:pStyle w:val="38"/>
              <w:rPr>
                <w:rFonts w:hint="eastAsia"/>
                <w:highlight w:val="none"/>
              </w:rPr>
            </w:pPr>
            <w:r>
              <w:rPr>
                <w:rFonts w:hint="eastAsia"/>
                <w:highlight w:val="none"/>
              </w:rPr>
              <w:t>注册不合格样品信息</w:t>
            </w:r>
          </w:p>
        </w:tc>
        <w:tc>
          <w:tcPr>
            <w:tcW w:w="1442" w:type="dxa"/>
            <w:tcBorders>
              <w:top w:val="nil"/>
              <w:left w:val="nil"/>
              <w:bottom w:val="single" w:color="auto" w:sz="4" w:space="0"/>
              <w:right w:val="single" w:color="auto" w:sz="4" w:space="0"/>
            </w:tcBorders>
            <w:shd w:val="clear" w:color="000000" w:fill="FFFFFF"/>
            <w:vAlign w:val="center"/>
          </w:tcPr>
          <w:p w14:paraId="1584867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BD0DA42">
            <w:pPr>
              <w:pStyle w:val="38"/>
              <w:rPr>
                <w:rFonts w:hint="eastAsia"/>
                <w:highlight w:val="none"/>
              </w:rPr>
            </w:pPr>
          </w:p>
        </w:tc>
      </w:tr>
      <w:tr w14:paraId="1DEFA30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1BED55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CF78195">
            <w:pPr>
              <w:pStyle w:val="38"/>
              <w:jc w:val="center"/>
              <w:rPr>
                <w:rFonts w:hint="eastAsia"/>
                <w:highlight w:val="none"/>
              </w:rPr>
            </w:pPr>
            <w:r>
              <w:rPr>
                <w:rFonts w:hint="eastAsia"/>
                <w:highlight w:val="none"/>
              </w:rPr>
              <w:t>LI0044</w:t>
            </w:r>
          </w:p>
        </w:tc>
        <w:tc>
          <w:tcPr>
            <w:tcW w:w="2221" w:type="dxa"/>
            <w:tcBorders>
              <w:top w:val="nil"/>
              <w:left w:val="nil"/>
              <w:bottom w:val="single" w:color="auto" w:sz="4" w:space="0"/>
              <w:right w:val="single" w:color="auto" w:sz="4" w:space="0"/>
            </w:tcBorders>
            <w:noWrap/>
            <w:vAlign w:val="center"/>
          </w:tcPr>
          <w:p w14:paraId="7E542BD1">
            <w:pPr>
              <w:pStyle w:val="38"/>
              <w:rPr>
                <w:rFonts w:hint="eastAsia"/>
                <w:highlight w:val="none"/>
              </w:rPr>
            </w:pPr>
            <w:r>
              <w:rPr>
                <w:rFonts w:hint="eastAsia"/>
                <w:highlight w:val="none"/>
              </w:rPr>
              <w:t>注册常规检验报告信息</w:t>
            </w:r>
          </w:p>
        </w:tc>
        <w:tc>
          <w:tcPr>
            <w:tcW w:w="1442" w:type="dxa"/>
            <w:tcBorders>
              <w:top w:val="nil"/>
              <w:left w:val="nil"/>
              <w:bottom w:val="single" w:color="auto" w:sz="4" w:space="0"/>
              <w:right w:val="single" w:color="auto" w:sz="4" w:space="0"/>
            </w:tcBorders>
            <w:shd w:val="clear" w:color="000000" w:fill="FFFFFF"/>
            <w:vAlign w:val="center"/>
          </w:tcPr>
          <w:p w14:paraId="1E9AC1F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5D1ECB6">
            <w:pPr>
              <w:pStyle w:val="38"/>
              <w:rPr>
                <w:rFonts w:hint="eastAsia"/>
                <w:highlight w:val="none"/>
              </w:rPr>
            </w:pPr>
          </w:p>
        </w:tc>
      </w:tr>
      <w:tr w14:paraId="4687C9C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8DFAD1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B72E471">
            <w:pPr>
              <w:pStyle w:val="38"/>
              <w:jc w:val="center"/>
              <w:rPr>
                <w:rFonts w:hint="eastAsia"/>
                <w:highlight w:val="none"/>
              </w:rPr>
            </w:pPr>
            <w:r>
              <w:rPr>
                <w:rFonts w:hint="eastAsia"/>
                <w:highlight w:val="none"/>
              </w:rPr>
              <w:t>LI0045</w:t>
            </w:r>
          </w:p>
        </w:tc>
        <w:tc>
          <w:tcPr>
            <w:tcW w:w="2221" w:type="dxa"/>
            <w:tcBorders>
              <w:top w:val="nil"/>
              <w:left w:val="nil"/>
              <w:bottom w:val="single" w:color="auto" w:sz="4" w:space="0"/>
              <w:right w:val="single" w:color="auto" w:sz="4" w:space="0"/>
            </w:tcBorders>
            <w:noWrap/>
            <w:vAlign w:val="center"/>
          </w:tcPr>
          <w:p w14:paraId="183E9805">
            <w:pPr>
              <w:pStyle w:val="38"/>
              <w:rPr>
                <w:rFonts w:hint="eastAsia"/>
                <w:highlight w:val="none"/>
              </w:rPr>
            </w:pPr>
            <w:r>
              <w:rPr>
                <w:rFonts w:hint="eastAsia"/>
                <w:highlight w:val="none"/>
              </w:rPr>
              <w:t>注册微生物检验报告信息</w:t>
            </w:r>
          </w:p>
        </w:tc>
        <w:tc>
          <w:tcPr>
            <w:tcW w:w="1442" w:type="dxa"/>
            <w:tcBorders>
              <w:top w:val="nil"/>
              <w:left w:val="nil"/>
              <w:bottom w:val="single" w:color="auto" w:sz="4" w:space="0"/>
              <w:right w:val="single" w:color="auto" w:sz="4" w:space="0"/>
            </w:tcBorders>
            <w:shd w:val="clear" w:color="000000" w:fill="FFFFFF"/>
            <w:vAlign w:val="center"/>
          </w:tcPr>
          <w:p w14:paraId="0EDF205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BAD7293">
            <w:pPr>
              <w:pStyle w:val="38"/>
              <w:rPr>
                <w:rFonts w:hint="eastAsia"/>
                <w:highlight w:val="none"/>
              </w:rPr>
            </w:pPr>
          </w:p>
        </w:tc>
      </w:tr>
      <w:tr w14:paraId="39194B5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FD62A8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8C4D165">
            <w:pPr>
              <w:pStyle w:val="38"/>
              <w:jc w:val="center"/>
              <w:rPr>
                <w:rFonts w:hint="eastAsia"/>
                <w:highlight w:val="none"/>
              </w:rPr>
            </w:pPr>
            <w:r>
              <w:rPr>
                <w:rFonts w:hint="eastAsia"/>
                <w:highlight w:val="none"/>
              </w:rPr>
              <w:t>LI0046</w:t>
            </w:r>
          </w:p>
        </w:tc>
        <w:tc>
          <w:tcPr>
            <w:tcW w:w="2221" w:type="dxa"/>
            <w:tcBorders>
              <w:top w:val="nil"/>
              <w:left w:val="nil"/>
              <w:bottom w:val="single" w:color="auto" w:sz="4" w:space="0"/>
              <w:right w:val="single" w:color="auto" w:sz="4" w:space="0"/>
            </w:tcBorders>
            <w:noWrap/>
            <w:vAlign w:val="center"/>
          </w:tcPr>
          <w:p w14:paraId="7C33CE7A">
            <w:pPr>
              <w:pStyle w:val="38"/>
              <w:rPr>
                <w:rFonts w:hint="eastAsia"/>
                <w:highlight w:val="none"/>
              </w:rPr>
            </w:pPr>
            <w:r>
              <w:rPr>
                <w:rFonts w:hint="eastAsia"/>
                <w:highlight w:val="none"/>
              </w:rPr>
              <w:t>注册检验报告事件</w:t>
            </w:r>
          </w:p>
        </w:tc>
        <w:tc>
          <w:tcPr>
            <w:tcW w:w="1442" w:type="dxa"/>
            <w:tcBorders>
              <w:top w:val="nil"/>
              <w:left w:val="nil"/>
              <w:bottom w:val="single" w:color="auto" w:sz="4" w:space="0"/>
              <w:right w:val="single" w:color="auto" w:sz="4" w:space="0"/>
            </w:tcBorders>
            <w:shd w:val="clear" w:color="000000" w:fill="FFFFFF"/>
            <w:vAlign w:val="center"/>
          </w:tcPr>
          <w:p w14:paraId="44EDADC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4790DA3">
            <w:pPr>
              <w:pStyle w:val="38"/>
              <w:rPr>
                <w:rFonts w:hint="eastAsia"/>
                <w:highlight w:val="none"/>
              </w:rPr>
            </w:pPr>
          </w:p>
        </w:tc>
      </w:tr>
      <w:tr w14:paraId="2935F059">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2D6FFD12">
            <w:pPr>
              <w:pStyle w:val="38"/>
              <w:jc w:val="center"/>
              <w:rPr>
                <w:rFonts w:hint="eastAsia"/>
                <w:highlight w:val="none"/>
              </w:rPr>
            </w:pPr>
            <w:r>
              <w:rPr>
                <w:rFonts w:hint="eastAsia"/>
                <w:highlight w:val="none"/>
              </w:rPr>
              <w:t>检查</w:t>
            </w:r>
          </w:p>
        </w:tc>
        <w:tc>
          <w:tcPr>
            <w:tcW w:w="1998" w:type="dxa"/>
            <w:tcBorders>
              <w:top w:val="nil"/>
              <w:left w:val="nil"/>
              <w:bottom w:val="single" w:color="auto" w:sz="4" w:space="0"/>
              <w:right w:val="single" w:color="auto" w:sz="4" w:space="0"/>
            </w:tcBorders>
            <w:shd w:val="clear" w:color="000000" w:fill="FFFFFF"/>
            <w:vAlign w:val="center"/>
          </w:tcPr>
          <w:p w14:paraId="3A285814">
            <w:pPr>
              <w:pStyle w:val="38"/>
              <w:jc w:val="center"/>
              <w:rPr>
                <w:rFonts w:hint="eastAsia"/>
                <w:highlight w:val="none"/>
              </w:rPr>
            </w:pPr>
            <w:r>
              <w:rPr>
                <w:rFonts w:hint="eastAsia"/>
                <w:highlight w:val="none"/>
              </w:rPr>
              <w:t>CI0047</w:t>
            </w:r>
          </w:p>
        </w:tc>
        <w:tc>
          <w:tcPr>
            <w:tcW w:w="2221" w:type="dxa"/>
            <w:tcBorders>
              <w:top w:val="nil"/>
              <w:left w:val="nil"/>
              <w:bottom w:val="single" w:color="auto" w:sz="4" w:space="0"/>
              <w:right w:val="single" w:color="auto" w:sz="4" w:space="0"/>
            </w:tcBorders>
            <w:noWrap/>
            <w:vAlign w:val="center"/>
          </w:tcPr>
          <w:p w14:paraId="5E37883E">
            <w:pPr>
              <w:pStyle w:val="38"/>
              <w:rPr>
                <w:rFonts w:hint="eastAsia"/>
                <w:highlight w:val="none"/>
              </w:rPr>
            </w:pPr>
            <w:r>
              <w:rPr>
                <w:rFonts w:hint="eastAsia"/>
                <w:highlight w:val="none"/>
              </w:rPr>
              <w:t>注册检查申请单信息</w:t>
            </w:r>
          </w:p>
        </w:tc>
        <w:tc>
          <w:tcPr>
            <w:tcW w:w="1442" w:type="dxa"/>
            <w:tcBorders>
              <w:top w:val="nil"/>
              <w:left w:val="nil"/>
              <w:bottom w:val="single" w:color="auto" w:sz="4" w:space="0"/>
              <w:right w:val="single" w:color="auto" w:sz="4" w:space="0"/>
            </w:tcBorders>
            <w:shd w:val="clear" w:color="000000" w:fill="FFFFFF"/>
            <w:vAlign w:val="center"/>
          </w:tcPr>
          <w:p w14:paraId="5E3BB86C">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0EF3437B">
            <w:pPr>
              <w:pStyle w:val="38"/>
              <w:rPr>
                <w:rFonts w:hint="eastAsia"/>
                <w:highlight w:val="none"/>
              </w:rPr>
            </w:pPr>
            <w:r>
              <w:rPr>
                <w:rFonts w:hint="eastAsia"/>
                <w:highlight w:val="none"/>
              </w:rPr>
              <w:t>检查申请信息新增服务</w:t>
            </w:r>
          </w:p>
        </w:tc>
      </w:tr>
      <w:tr w14:paraId="515A1CA4">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41CB77E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FE67A48">
            <w:pPr>
              <w:pStyle w:val="38"/>
              <w:jc w:val="center"/>
              <w:rPr>
                <w:rFonts w:hint="eastAsia"/>
                <w:highlight w:val="none"/>
              </w:rPr>
            </w:pPr>
            <w:r>
              <w:rPr>
                <w:rFonts w:hint="eastAsia"/>
                <w:highlight w:val="none"/>
              </w:rPr>
              <w:t>CU0048</w:t>
            </w:r>
          </w:p>
        </w:tc>
        <w:tc>
          <w:tcPr>
            <w:tcW w:w="2221" w:type="dxa"/>
            <w:tcBorders>
              <w:top w:val="nil"/>
              <w:left w:val="nil"/>
              <w:bottom w:val="single" w:color="auto" w:sz="4" w:space="0"/>
              <w:right w:val="single" w:color="auto" w:sz="4" w:space="0"/>
            </w:tcBorders>
            <w:noWrap/>
            <w:vAlign w:val="center"/>
          </w:tcPr>
          <w:p w14:paraId="1BC85A72">
            <w:pPr>
              <w:pStyle w:val="38"/>
              <w:rPr>
                <w:rFonts w:hint="eastAsia"/>
                <w:highlight w:val="none"/>
              </w:rPr>
            </w:pPr>
            <w:r>
              <w:rPr>
                <w:rFonts w:hint="eastAsia"/>
                <w:highlight w:val="none"/>
              </w:rPr>
              <w:t>变更检查申请单信息</w:t>
            </w:r>
          </w:p>
        </w:tc>
        <w:tc>
          <w:tcPr>
            <w:tcW w:w="1442" w:type="dxa"/>
            <w:tcBorders>
              <w:top w:val="nil"/>
              <w:left w:val="nil"/>
              <w:bottom w:val="single" w:color="auto" w:sz="4" w:space="0"/>
              <w:right w:val="single" w:color="auto" w:sz="4" w:space="0"/>
            </w:tcBorders>
            <w:shd w:val="clear" w:color="000000" w:fill="FFFFFF"/>
            <w:vAlign w:val="center"/>
          </w:tcPr>
          <w:p w14:paraId="4B2FB277">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6C6D718B">
            <w:pPr>
              <w:pStyle w:val="38"/>
              <w:rPr>
                <w:rFonts w:hint="eastAsia"/>
                <w:highlight w:val="none"/>
              </w:rPr>
            </w:pPr>
            <w:r>
              <w:rPr>
                <w:rFonts w:hint="eastAsia"/>
                <w:highlight w:val="none"/>
              </w:rPr>
              <w:t>检查申请信息更新服务</w:t>
            </w:r>
          </w:p>
        </w:tc>
      </w:tr>
      <w:tr w14:paraId="45BB5B0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D139AE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402E153">
            <w:pPr>
              <w:pStyle w:val="38"/>
              <w:jc w:val="center"/>
              <w:rPr>
                <w:rFonts w:hint="eastAsia"/>
                <w:highlight w:val="none"/>
              </w:rPr>
            </w:pPr>
            <w:r>
              <w:rPr>
                <w:rFonts w:hint="eastAsia"/>
                <w:highlight w:val="none"/>
              </w:rPr>
              <w:t>CD0050</w:t>
            </w:r>
          </w:p>
        </w:tc>
        <w:tc>
          <w:tcPr>
            <w:tcW w:w="2221" w:type="dxa"/>
            <w:tcBorders>
              <w:top w:val="nil"/>
              <w:left w:val="nil"/>
              <w:bottom w:val="single" w:color="auto" w:sz="4" w:space="0"/>
              <w:right w:val="single" w:color="auto" w:sz="4" w:space="0"/>
            </w:tcBorders>
            <w:noWrap/>
            <w:vAlign w:val="center"/>
          </w:tcPr>
          <w:p w14:paraId="5809195E">
            <w:pPr>
              <w:pStyle w:val="38"/>
              <w:rPr>
                <w:rFonts w:hint="eastAsia"/>
                <w:highlight w:val="none"/>
              </w:rPr>
            </w:pPr>
            <w:r>
              <w:rPr>
                <w:rFonts w:hint="eastAsia"/>
                <w:highlight w:val="none"/>
              </w:rPr>
              <w:t>作废检查医嘱信息</w:t>
            </w:r>
          </w:p>
        </w:tc>
        <w:tc>
          <w:tcPr>
            <w:tcW w:w="1442" w:type="dxa"/>
            <w:tcBorders>
              <w:top w:val="nil"/>
              <w:left w:val="nil"/>
              <w:bottom w:val="single" w:color="auto" w:sz="4" w:space="0"/>
              <w:right w:val="single" w:color="auto" w:sz="4" w:space="0"/>
            </w:tcBorders>
            <w:shd w:val="clear" w:color="000000" w:fill="FFFFFF"/>
            <w:vAlign w:val="center"/>
          </w:tcPr>
          <w:p w14:paraId="6A00EDD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6A9BFF6">
            <w:pPr>
              <w:pStyle w:val="38"/>
              <w:rPr>
                <w:rFonts w:hint="eastAsia"/>
                <w:highlight w:val="none"/>
              </w:rPr>
            </w:pPr>
          </w:p>
        </w:tc>
      </w:tr>
      <w:tr w14:paraId="3724F0DF">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5A3B589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5F80EE9">
            <w:pPr>
              <w:pStyle w:val="38"/>
              <w:jc w:val="center"/>
              <w:rPr>
                <w:rFonts w:hint="eastAsia"/>
                <w:highlight w:val="none"/>
              </w:rPr>
            </w:pPr>
            <w:r>
              <w:rPr>
                <w:rFonts w:hint="eastAsia"/>
                <w:highlight w:val="none"/>
              </w:rPr>
              <w:t>CI0051</w:t>
            </w:r>
          </w:p>
        </w:tc>
        <w:tc>
          <w:tcPr>
            <w:tcW w:w="2221" w:type="dxa"/>
            <w:tcBorders>
              <w:top w:val="nil"/>
              <w:left w:val="nil"/>
              <w:bottom w:val="single" w:color="auto" w:sz="4" w:space="0"/>
              <w:right w:val="single" w:color="auto" w:sz="4" w:space="0"/>
            </w:tcBorders>
            <w:noWrap/>
            <w:vAlign w:val="center"/>
          </w:tcPr>
          <w:p w14:paraId="5AA2166F">
            <w:pPr>
              <w:pStyle w:val="38"/>
              <w:rPr>
                <w:rFonts w:hint="eastAsia"/>
                <w:highlight w:val="none"/>
              </w:rPr>
            </w:pPr>
            <w:r>
              <w:rPr>
                <w:rFonts w:hint="eastAsia"/>
                <w:highlight w:val="none"/>
              </w:rPr>
              <w:t>注册病理申请单信息</w:t>
            </w:r>
          </w:p>
        </w:tc>
        <w:tc>
          <w:tcPr>
            <w:tcW w:w="1442" w:type="dxa"/>
            <w:tcBorders>
              <w:top w:val="nil"/>
              <w:left w:val="nil"/>
              <w:bottom w:val="single" w:color="auto" w:sz="4" w:space="0"/>
              <w:right w:val="single" w:color="auto" w:sz="4" w:space="0"/>
            </w:tcBorders>
            <w:shd w:val="clear" w:color="000000" w:fill="FFFFFF"/>
            <w:vAlign w:val="center"/>
          </w:tcPr>
          <w:p w14:paraId="6DD82B48">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002BDB1C">
            <w:pPr>
              <w:pStyle w:val="38"/>
              <w:rPr>
                <w:rFonts w:hint="eastAsia"/>
                <w:highlight w:val="none"/>
              </w:rPr>
            </w:pPr>
            <w:r>
              <w:rPr>
                <w:rFonts w:hint="eastAsia"/>
                <w:highlight w:val="none"/>
              </w:rPr>
              <w:t>病理申请信息新增服务</w:t>
            </w:r>
          </w:p>
        </w:tc>
      </w:tr>
      <w:tr w14:paraId="31EE2307">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4098865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E6B31A6">
            <w:pPr>
              <w:pStyle w:val="38"/>
              <w:jc w:val="center"/>
              <w:rPr>
                <w:rFonts w:hint="eastAsia"/>
                <w:highlight w:val="none"/>
              </w:rPr>
            </w:pPr>
            <w:r>
              <w:rPr>
                <w:rFonts w:hint="eastAsia"/>
                <w:highlight w:val="none"/>
              </w:rPr>
              <w:t>CU0052</w:t>
            </w:r>
          </w:p>
        </w:tc>
        <w:tc>
          <w:tcPr>
            <w:tcW w:w="2221" w:type="dxa"/>
            <w:tcBorders>
              <w:top w:val="nil"/>
              <w:left w:val="nil"/>
              <w:bottom w:val="single" w:color="auto" w:sz="4" w:space="0"/>
              <w:right w:val="single" w:color="auto" w:sz="4" w:space="0"/>
            </w:tcBorders>
            <w:noWrap/>
            <w:vAlign w:val="center"/>
          </w:tcPr>
          <w:p w14:paraId="6A9D8EBE">
            <w:pPr>
              <w:pStyle w:val="38"/>
              <w:rPr>
                <w:rFonts w:hint="eastAsia"/>
                <w:highlight w:val="none"/>
              </w:rPr>
            </w:pPr>
            <w:r>
              <w:rPr>
                <w:rFonts w:hint="eastAsia"/>
                <w:highlight w:val="none"/>
              </w:rPr>
              <w:t>变更病理申请单信息</w:t>
            </w:r>
          </w:p>
        </w:tc>
        <w:tc>
          <w:tcPr>
            <w:tcW w:w="1442" w:type="dxa"/>
            <w:tcBorders>
              <w:top w:val="nil"/>
              <w:left w:val="nil"/>
              <w:bottom w:val="single" w:color="auto" w:sz="4" w:space="0"/>
              <w:right w:val="single" w:color="auto" w:sz="4" w:space="0"/>
            </w:tcBorders>
            <w:shd w:val="clear" w:color="000000" w:fill="FFFFFF"/>
            <w:vAlign w:val="center"/>
          </w:tcPr>
          <w:p w14:paraId="4AEF3070">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31A8A2F6">
            <w:pPr>
              <w:pStyle w:val="38"/>
              <w:rPr>
                <w:rFonts w:hint="eastAsia"/>
                <w:highlight w:val="none"/>
              </w:rPr>
            </w:pPr>
            <w:r>
              <w:rPr>
                <w:rFonts w:hint="eastAsia"/>
                <w:highlight w:val="none"/>
              </w:rPr>
              <w:t>病理申请信息更新服务</w:t>
            </w:r>
          </w:p>
        </w:tc>
      </w:tr>
      <w:tr w14:paraId="05399FA6">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4817233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AB9C4BA">
            <w:pPr>
              <w:pStyle w:val="38"/>
              <w:jc w:val="center"/>
              <w:rPr>
                <w:rFonts w:hint="eastAsia"/>
                <w:highlight w:val="none"/>
              </w:rPr>
            </w:pPr>
            <w:r>
              <w:rPr>
                <w:rFonts w:hint="eastAsia"/>
                <w:highlight w:val="none"/>
              </w:rPr>
              <w:t>CI0054</w:t>
            </w:r>
          </w:p>
        </w:tc>
        <w:tc>
          <w:tcPr>
            <w:tcW w:w="2221" w:type="dxa"/>
            <w:tcBorders>
              <w:top w:val="nil"/>
              <w:left w:val="nil"/>
              <w:bottom w:val="single" w:color="auto" w:sz="4" w:space="0"/>
              <w:right w:val="single" w:color="auto" w:sz="4" w:space="0"/>
            </w:tcBorders>
            <w:noWrap/>
            <w:vAlign w:val="center"/>
          </w:tcPr>
          <w:p w14:paraId="077DBB44">
            <w:pPr>
              <w:pStyle w:val="38"/>
              <w:rPr>
                <w:rFonts w:hint="eastAsia"/>
                <w:highlight w:val="none"/>
              </w:rPr>
            </w:pPr>
            <w:r>
              <w:rPr>
                <w:rFonts w:hint="eastAsia"/>
                <w:highlight w:val="none"/>
              </w:rPr>
              <w:t>注册检查申请单缴费状态</w:t>
            </w:r>
          </w:p>
        </w:tc>
        <w:tc>
          <w:tcPr>
            <w:tcW w:w="1442" w:type="dxa"/>
            <w:tcBorders>
              <w:top w:val="nil"/>
              <w:left w:val="nil"/>
              <w:bottom w:val="single" w:color="auto" w:sz="4" w:space="0"/>
              <w:right w:val="single" w:color="auto" w:sz="4" w:space="0"/>
            </w:tcBorders>
            <w:shd w:val="clear" w:color="000000" w:fill="FFFFFF"/>
            <w:vAlign w:val="center"/>
          </w:tcPr>
          <w:p w14:paraId="495EE352">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0C14BE35">
            <w:pPr>
              <w:pStyle w:val="38"/>
              <w:rPr>
                <w:rFonts w:hint="eastAsia"/>
                <w:highlight w:val="none"/>
              </w:rPr>
            </w:pPr>
            <w:r>
              <w:rPr>
                <w:rFonts w:hint="eastAsia"/>
                <w:highlight w:val="none"/>
              </w:rPr>
              <w:t>检查状态信息更新服务</w:t>
            </w:r>
          </w:p>
        </w:tc>
      </w:tr>
      <w:tr w14:paraId="350C2080">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3BEECC7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436DDA6">
            <w:pPr>
              <w:pStyle w:val="38"/>
              <w:jc w:val="center"/>
              <w:rPr>
                <w:rFonts w:hint="eastAsia"/>
                <w:highlight w:val="none"/>
              </w:rPr>
            </w:pPr>
            <w:r>
              <w:rPr>
                <w:rFonts w:hint="eastAsia"/>
                <w:highlight w:val="none"/>
              </w:rPr>
              <w:t>CI0055</w:t>
            </w:r>
          </w:p>
        </w:tc>
        <w:tc>
          <w:tcPr>
            <w:tcW w:w="2221" w:type="dxa"/>
            <w:tcBorders>
              <w:top w:val="nil"/>
              <w:left w:val="nil"/>
              <w:bottom w:val="single" w:color="auto" w:sz="4" w:space="0"/>
              <w:right w:val="single" w:color="auto" w:sz="4" w:space="0"/>
            </w:tcBorders>
            <w:noWrap/>
            <w:vAlign w:val="center"/>
          </w:tcPr>
          <w:p w14:paraId="6D7A1230">
            <w:pPr>
              <w:pStyle w:val="38"/>
              <w:rPr>
                <w:rFonts w:hint="eastAsia"/>
                <w:highlight w:val="none"/>
              </w:rPr>
            </w:pPr>
            <w:r>
              <w:rPr>
                <w:rFonts w:hint="eastAsia"/>
                <w:highlight w:val="none"/>
              </w:rPr>
              <w:t>注册检查申请单退费状态</w:t>
            </w:r>
          </w:p>
        </w:tc>
        <w:tc>
          <w:tcPr>
            <w:tcW w:w="1442" w:type="dxa"/>
            <w:tcBorders>
              <w:top w:val="nil"/>
              <w:left w:val="nil"/>
              <w:bottom w:val="single" w:color="auto" w:sz="4" w:space="0"/>
              <w:right w:val="single" w:color="auto" w:sz="4" w:space="0"/>
            </w:tcBorders>
            <w:shd w:val="clear" w:color="000000" w:fill="FFFFFF"/>
            <w:vAlign w:val="center"/>
          </w:tcPr>
          <w:p w14:paraId="127EA182">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5C01DB66">
            <w:pPr>
              <w:pStyle w:val="38"/>
              <w:rPr>
                <w:rFonts w:hint="eastAsia"/>
                <w:highlight w:val="none"/>
              </w:rPr>
            </w:pPr>
            <w:r>
              <w:rPr>
                <w:rFonts w:hint="eastAsia"/>
                <w:highlight w:val="none"/>
              </w:rPr>
              <w:t>检查状态信息更新服务</w:t>
            </w:r>
          </w:p>
        </w:tc>
      </w:tr>
      <w:tr w14:paraId="032A97D6">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06A30E1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66A7BFC">
            <w:pPr>
              <w:pStyle w:val="38"/>
              <w:jc w:val="center"/>
              <w:rPr>
                <w:rFonts w:hint="eastAsia"/>
                <w:highlight w:val="none"/>
              </w:rPr>
            </w:pPr>
            <w:r>
              <w:rPr>
                <w:rFonts w:hint="eastAsia"/>
                <w:highlight w:val="none"/>
              </w:rPr>
              <w:t>CU0056</w:t>
            </w:r>
          </w:p>
        </w:tc>
        <w:tc>
          <w:tcPr>
            <w:tcW w:w="2221" w:type="dxa"/>
            <w:tcBorders>
              <w:top w:val="nil"/>
              <w:left w:val="nil"/>
              <w:bottom w:val="single" w:color="auto" w:sz="4" w:space="0"/>
              <w:right w:val="single" w:color="auto" w:sz="4" w:space="0"/>
            </w:tcBorders>
            <w:noWrap/>
            <w:vAlign w:val="center"/>
          </w:tcPr>
          <w:p w14:paraId="5372EFB8">
            <w:pPr>
              <w:pStyle w:val="38"/>
              <w:rPr>
                <w:rFonts w:hint="eastAsia"/>
                <w:highlight w:val="none"/>
              </w:rPr>
            </w:pPr>
            <w:r>
              <w:rPr>
                <w:rFonts w:hint="eastAsia"/>
                <w:highlight w:val="none"/>
              </w:rPr>
              <w:t>注册检查申请单事件</w:t>
            </w:r>
          </w:p>
        </w:tc>
        <w:tc>
          <w:tcPr>
            <w:tcW w:w="1442" w:type="dxa"/>
            <w:tcBorders>
              <w:top w:val="nil"/>
              <w:left w:val="nil"/>
              <w:bottom w:val="single" w:color="auto" w:sz="4" w:space="0"/>
              <w:right w:val="single" w:color="auto" w:sz="4" w:space="0"/>
            </w:tcBorders>
            <w:shd w:val="clear" w:color="000000" w:fill="FFFFFF"/>
            <w:vAlign w:val="center"/>
          </w:tcPr>
          <w:p w14:paraId="17E8AB4D">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08DB6A2F">
            <w:pPr>
              <w:pStyle w:val="38"/>
              <w:rPr>
                <w:rFonts w:hint="eastAsia"/>
                <w:highlight w:val="none"/>
              </w:rPr>
            </w:pPr>
            <w:r>
              <w:rPr>
                <w:rFonts w:hint="eastAsia"/>
                <w:highlight w:val="none"/>
              </w:rPr>
              <w:t>检查状态信息更新服务</w:t>
            </w:r>
          </w:p>
        </w:tc>
      </w:tr>
      <w:tr w14:paraId="5B86E6F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83EDB2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5A65E6E">
            <w:pPr>
              <w:pStyle w:val="38"/>
              <w:jc w:val="center"/>
              <w:rPr>
                <w:rFonts w:hint="eastAsia"/>
                <w:highlight w:val="none"/>
              </w:rPr>
            </w:pPr>
            <w:r>
              <w:rPr>
                <w:rFonts w:hint="eastAsia"/>
                <w:highlight w:val="none"/>
              </w:rPr>
              <w:t>CI0062</w:t>
            </w:r>
          </w:p>
        </w:tc>
        <w:tc>
          <w:tcPr>
            <w:tcW w:w="2221" w:type="dxa"/>
            <w:tcBorders>
              <w:top w:val="nil"/>
              <w:left w:val="nil"/>
              <w:bottom w:val="single" w:color="auto" w:sz="4" w:space="0"/>
              <w:right w:val="single" w:color="auto" w:sz="4" w:space="0"/>
            </w:tcBorders>
            <w:noWrap/>
            <w:vAlign w:val="center"/>
          </w:tcPr>
          <w:p w14:paraId="7787BF56">
            <w:pPr>
              <w:pStyle w:val="38"/>
              <w:rPr>
                <w:rFonts w:hint="eastAsia"/>
                <w:highlight w:val="none"/>
              </w:rPr>
            </w:pPr>
            <w:r>
              <w:rPr>
                <w:rFonts w:hint="eastAsia"/>
                <w:highlight w:val="none"/>
              </w:rPr>
              <w:t>注册检查危急值信息</w:t>
            </w:r>
          </w:p>
        </w:tc>
        <w:tc>
          <w:tcPr>
            <w:tcW w:w="1442" w:type="dxa"/>
            <w:tcBorders>
              <w:top w:val="nil"/>
              <w:left w:val="nil"/>
              <w:bottom w:val="single" w:color="auto" w:sz="4" w:space="0"/>
              <w:right w:val="single" w:color="auto" w:sz="4" w:space="0"/>
            </w:tcBorders>
            <w:shd w:val="clear" w:color="000000" w:fill="FFFFFF"/>
            <w:vAlign w:val="center"/>
          </w:tcPr>
          <w:p w14:paraId="53A2217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05DBB33">
            <w:pPr>
              <w:pStyle w:val="38"/>
              <w:rPr>
                <w:rFonts w:hint="eastAsia"/>
                <w:highlight w:val="none"/>
              </w:rPr>
            </w:pPr>
          </w:p>
        </w:tc>
      </w:tr>
      <w:tr w14:paraId="5CECA04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EC6443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CE6DE18">
            <w:pPr>
              <w:pStyle w:val="38"/>
              <w:jc w:val="center"/>
              <w:rPr>
                <w:rFonts w:hint="eastAsia"/>
                <w:highlight w:val="none"/>
              </w:rPr>
            </w:pPr>
            <w:r>
              <w:rPr>
                <w:rFonts w:hint="eastAsia"/>
                <w:highlight w:val="none"/>
              </w:rPr>
              <w:t>CI0063</w:t>
            </w:r>
          </w:p>
        </w:tc>
        <w:tc>
          <w:tcPr>
            <w:tcW w:w="2221" w:type="dxa"/>
            <w:tcBorders>
              <w:top w:val="nil"/>
              <w:left w:val="nil"/>
              <w:bottom w:val="single" w:color="auto" w:sz="4" w:space="0"/>
              <w:right w:val="single" w:color="auto" w:sz="4" w:space="0"/>
            </w:tcBorders>
            <w:noWrap/>
            <w:vAlign w:val="center"/>
          </w:tcPr>
          <w:p w14:paraId="71CE1EF9">
            <w:pPr>
              <w:pStyle w:val="38"/>
              <w:rPr>
                <w:rFonts w:hint="eastAsia"/>
                <w:highlight w:val="none"/>
              </w:rPr>
            </w:pPr>
            <w:r>
              <w:rPr>
                <w:rFonts w:hint="eastAsia"/>
                <w:highlight w:val="none"/>
              </w:rPr>
              <w:t>注册检查危急值反馈结果信息</w:t>
            </w:r>
          </w:p>
        </w:tc>
        <w:tc>
          <w:tcPr>
            <w:tcW w:w="1442" w:type="dxa"/>
            <w:tcBorders>
              <w:top w:val="nil"/>
              <w:left w:val="nil"/>
              <w:bottom w:val="single" w:color="auto" w:sz="4" w:space="0"/>
              <w:right w:val="single" w:color="auto" w:sz="4" w:space="0"/>
            </w:tcBorders>
            <w:shd w:val="clear" w:color="000000" w:fill="FFFFFF"/>
            <w:vAlign w:val="center"/>
          </w:tcPr>
          <w:p w14:paraId="5D18F4D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5751BF5">
            <w:pPr>
              <w:pStyle w:val="38"/>
              <w:rPr>
                <w:rFonts w:hint="eastAsia"/>
                <w:highlight w:val="none"/>
              </w:rPr>
            </w:pPr>
          </w:p>
        </w:tc>
      </w:tr>
      <w:tr w14:paraId="78F63DF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883472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D022E4E">
            <w:pPr>
              <w:pStyle w:val="38"/>
              <w:jc w:val="center"/>
              <w:rPr>
                <w:rFonts w:hint="eastAsia"/>
                <w:highlight w:val="none"/>
              </w:rPr>
            </w:pPr>
            <w:r>
              <w:rPr>
                <w:rFonts w:hint="eastAsia"/>
                <w:highlight w:val="none"/>
              </w:rPr>
              <w:t>CI0064</w:t>
            </w:r>
          </w:p>
        </w:tc>
        <w:tc>
          <w:tcPr>
            <w:tcW w:w="2221" w:type="dxa"/>
            <w:tcBorders>
              <w:top w:val="nil"/>
              <w:left w:val="nil"/>
              <w:bottom w:val="single" w:color="auto" w:sz="4" w:space="0"/>
              <w:right w:val="single" w:color="auto" w:sz="4" w:space="0"/>
            </w:tcBorders>
            <w:noWrap/>
            <w:vAlign w:val="center"/>
          </w:tcPr>
          <w:p w14:paraId="1721FD79">
            <w:pPr>
              <w:pStyle w:val="38"/>
              <w:rPr>
                <w:rFonts w:hint="eastAsia"/>
                <w:highlight w:val="none"/>
              </w:rPr>
            </w:pPr>
            <w:r>
              <w:rPr>
                <w:rFonts w:hint="eastAsia"/>
                <w:highlight w:val="none"/>
              </w:rPr>
              <w:t>注册检查报告信息</w:t>
            </w:r>
          </w:p>
        </w:tc>
        <w:tc>
          <w:tcPr>
            <w:tcW w:w="1442" w:type="dxa"/>
            <w:tcBorders>
              <w:top w:val="nil"/>
              <w:left w:val="nil"/>
              <w:bottom w:val="single" w:color="auto" w:sz="4" w:space="0"/>
              <w:right w:val="single" w:color="auto" w:sz="4" w:space="0"/>
            </w:tcBorders>
            <w:shd w:val="clear" w:color="000000" w:fill="FFFFFF"/>
            <w:vAlign w:val="center"/>
          </w:tcPr>
          <w:p w14:paraId="1856EBD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5693D37">
            <w:pPr>
              <w:pStyle w:val="38"/>
              <w:rPr>
                <w:rFonts w:hint="eastAsia"/>
                <w:highlight w:val="none"/>
              </w:rPr>
            </w:pPr>
          </w:p>
        </w:tc>
      </w:tr>
      <w:tr w14:paraId="0339177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EAC96A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C4DE1C2">
            <w:pPr>
              <w:pStyle w:val="38"/>
              <w:jc w:val="center"/>
              <w:rPr>
                <w:rFonts w:hint="eastAsia"/>
                <w:highlight w:val="none"/>
              </w:rPr>
            </w:pPr>
            <w:r>
              <w:rPr>
                <w:rFonts w:hint="eastAsia"/>
                <w:highlight w:val="none"/>
              </w:rPr>
              <w:t>CI0065</w:t>
            </w:r>
          </w:p>
        </w:tc>
        <w:tc>
          <w:tcPr>
            <w:tcW w:w="2221" w:type="dxa"/>
            <w:tcBorders>
              <w:top w:val="nil"/>
              <w:left w:val="nil"/>
              <w:bottom w:val="single" w:color="auto" w:sz="4" w:space="0"/>
              <w:right w:val="single" w:color="auto" w:sz="4" w:space="0"/>
            </w:tcBorders>
            <w:noWrap/>
            <w:vAlign w:val="center"/>
          </w:tcPr>
          <w:p w14:paraId="1CB4DE7C">
            <w:pPr>
              <w:pStyle w:val="38"/>
              <w:rPr>
                <w:rFonts w:hint="eastAsia"/>
                <w:highlight w:val="none"/>
              </w:rPr>
            </w:pPr>
            <w:r>
              <w:rPr>
                <w:rFonts w:hint="eastAsia"/>
                <w:highlight w:val="none"/>
              </w:rPr>
              <w:t>注册病理报告信息</w:t>
            </w:r>
          </w:p>
        </w:tc>
        <w:tc>
          <w:tcPr>
            <w:tcW w:w="1442" w:type="dxa"/>
            <w:tcBorders>
              <w:top w:val="nil"/>
              <w:left w:val="nil"/>
              <w:bottom w:val="single" w:color="auto" w:sz="4" w:space="0"/>
              <w:right w:val="single" w:color="auto" w:sz="4" w:space="0"/>
            </w:tcBorders>
            <w:shd w:val="clear" w:color="000000" w:fill="FFFFFF"/>
            <w:vAlign w:val="center"/>
          </w:tcPr>
          <w:p w14:paraId="6516405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F26D6FC">
            <w:pPr>
              <w:pStyle w:val="38"/>
              <w:rPr>
                <w:rFonts w:hint="eastAsia"/>
                <w:highlight w:val="none"/>
              </w:rPr>
            </w:pPr>
          </w:p>
        </w:tc>
      </w:tr>
      <w:tr w14:paraId="309C0B6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15A1B2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08DEC0D">
            <w:pPr>
              <w:pStyle w:val="38"/>
              <w:jc w:val="center"/>
              <w:rPr>
                <w:rFonts w:hint="eastAsia"/>
                <w:highlight w:val="none"/>
              </w:rPr>
            </w:pPr>
            <w:r>
              <w:rPr>
                <w:rFonts w:hint="eastAsia"/>
                <w:highlight w:val="none"/>
              </w:rPr>
              <w:t>CI0231</w:t>
            </w:r>
          </w:p>
        </w:tc>
        <w:tc>
          <w:tcPr>
            <w:tcW w:w="2221" w:type="dxa"/>
            <w:tcBorders>
              <w:top w:val="nil"/>
              <w:left w:val="nil"/>
              <w:bottom w:val="single" w:color="auto" w:sz="4" w:space="0"/>
              <w:right w:val="single" w:color="auto" w:sz="4" w:space="0"/>
            </w:tcBorders>
            <w:noWrap/>
            <w:vAlign w:val="center"/>
          </w:tcPr>
          <w:p w14:paraId="6824EEE1">
            <w:pPr>
              <w:pStyle w:val="38"/>
              <w:rPr>
                <w:rFonts w:hint="eastAsia"/>
                <w:highlight w:val="none"/>
              </w:rPr>
            </w:pPr>
            <w:r>
              <w:rPr>
                <w:rFonts w:hint="eastAsia"/>
                <w:highlight w:val="none"/>
              </w:rPr>
              <w:t>注册病理标本事件</w:t>
            </w:r>
          </w:p>
        </w:tc>
        <w:tc>
          <w:tcPr>
            <w:tcW w:w="1442" w:type="dxa"/>
            <w:tcBorders>
              <w:top w:val="nil"/>
              <w:left w:val="nil"/>
              <w:bottom w:val="single" w:color="auto" w:sz="4" w:space="0"/>
              <w:right w:val="single" w:color="auto" w:sz="4" w:space="0"/>
            </w:tcBorders>
            <w:shd w:val="clear" w:color="000000" w:fill="FFFFFF"/>
            <w:vAlign w:val="center"/>
          </w:tcPr>
          <w:p w14:paraId="034F778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E4E7770">
            <w:pPr>
              <w:pStyle w:val="38"/>
              <w:rPr>
                <w:rFonts w:hint="eastAsia"/>
                <w:highlight w:val="none"/>
              </w:rPr>
            </w:pPr>
          </w:p>
        </w:tc>
      </w:tr>
      <w:tr w14:paraId="6F800C6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7162D6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927E178">
            <w:pPr>
              <w:pStyle w:val="38"/>
              <w:jc w:val="center"/>
              <w:rPr>
                <w:rFonts w:hint="eastAsia"/>
                <w:highlight w:val="none"/>
              </w:rPr>
            </w:pPr>
            <w:r>
              <w:rPr>
                <w:rFonts w:hint="eastAsia"/>
                <w:highlight w:val="none"/>
              </w:rPr>
              <w:t>CI0066</w:t>
            </w:r>
          </w:p>
        </w:tc>
        <w:tc>
          <w:tcPr>
            <w:tcW w:w="2221" w:type="dxa"/>
            <w:tcBorders>
              <w:top w:val="nil"/>
              <w:left w:val="nil"/>
              <w:bottom w:val="single" w:color="auto" w:sz="4" w:space="0"/>
              <w:right w:val="single" w:color="auto" w:sz="4" w:space="0"/>
            </w:tcBorders>
            <w:noWrap/>
            <w:vAlign w:val="center"/>
          </w:tcPr>
          <w:p w14:paraId="14BAAF03">
            <w:pPr>
              <w:pStyle w:val="38"/>
              <w:rPr>
                <w:rFonts w:hint="eastAsia"/>
                <w:highlight w:val="none"/>
              </w:rPr>
            </w:pPr>
            <w:r>
              <w:rPr>
                <w:rFonts w:hint="eastAsia"/>
                <w:highlight w:val="none"/>
              </w:rPr>
              <w:t>注册检查报告事件</w:t>
            </w:r>
          </w:p>
        </w:tc>
        <w:tc>
          <w:tcPr>
            <w:tcW w:w="1442" w:type="dxa"/>
            <w:tcBorders>
              <w:top w:val="nil"/>
              <w:left w:val="nil"/>
              <w:bottom w:val="single" w:color="auto" w:sz="4" w:space="0"/>
              <w:right w:val="single" w:color="auto" w:sz="4" w:space="0"/>
            </w:tcBorders>
            <w:shd w:val="clear" w:color="000000" w:fill="FFFFFF"/>
            <w:vAlign w:val="center"/>
          </w:tcPr>
          <w:p w14:paraId="3975433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208AA4B">
            <w:pPr>
              <w:pStyle w:val="38"/>
              <w:rPr>
                <w:rFonts w:hint="eastAsia"/>
                <w:highlight w:val="none"/>
              </w:rPr>
            </w:pPr>
          </w:p>
        </w:tc>
      </w:tr>
      <w:tr w14:paraId="732A864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2D5C1C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E3D1E27">
            <w:pPr>
              <w:pStyle w:val="38"/>
              <w:jc w:val="center"/>
              <w:rPr>
                <w:rFonts w:hint="eastAsia"/>
                <w:highlight w:val="none"/>
              </w:rPr>
            </w:pPr>
            <w:r>
              <w:rPr>
                <w:rFonts w:hint="eastAsia"/>
                <w:highlight w:val="none"/>
              </w:rPr>
              <w:t>CI0221</w:t>
            </w:r>
          </w:p>
        </w:tc>
        <w:tc>
          <w:tcPr>
            <w:tcW w:w="2221" w:type="dxa"/>
            <w:tcBorders>
              <w:top w:val="nil"/>
              <w:left w:val="nil"/>
              <w:bottom w:val="single" w:color="auto" w:sz="4" w:space="0"/>
              <w:right w:val="single" w:color="auto" w:sz="4" w:space="0"/>
            </w:tcBorders>
            <w:noWrap/>
            <w:vAlign w:val="center"/>
          </w:tcPr>
          <w:p w14:paraId="1A1C0D7E">
            <w:pPr>
              <w:pStyle w:val="38"/>
              <w:rPr>
                <w:rFonts w:hint="eastAsia"/>
                <w:highlight w:val="none"/>
              </w:rPr>
            </w:pPr>
            <w:r>
              <w:rPr>
                <w:rFonts w:hint="eastAsia"/>
                <w:highlight w:val="none"/>
              </w:rPr>
              <w:t>注册危急值事件</w:t>
            </w:r>
          </w:p>
        </w:tc>
        <w:tc>
          <w:tcPr>
            <w:tcW w:w="1442" w:type="dxa"/>
            <w:tcBorders>
              <w:top w:val="nil"/>
              <w:left w:val="nil"/>
              <w:bottom w:val="single" w:color="auto" w:sz="4" w:space="0"/>
              <w:right w:val="single" w:color="auto" w:sz="4" w:space="0"/>
            </w:tcBorders>
            <w:shd w:val="clear" w:color="000000" w:fill="FFFFFF"/>
            <w:vAlign w:val="center"/>
          </w:tcPr>
          <w:p w14:paraId="07772F9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692581C">
            <w:pPr>
              <w:pStyle w:val="38"/>
              <w:rPr>
                <w:rFonts w:hint="eastAsia"/>
                <w:highlight w:val="none"/>
              </w:rPr>
            </w:pPr>
          </w:p>
        </w:tc>
      </w:tr>
      <w:tr w14:paraId="4C632BF6">
        <w:tblPrEx>
          <w:tblCellMar>
            <w:top w:w="0" w:type="dxa"/>
            <w:left w:w="108" w:type="dxa"/>
            <w:bottom w:w="0" w:type="dxa"/>
            <w:right w:w="108" w:type="dxa"/>
          </w:tblCellMar>
        </w:tblPrEx>
        <w:trPr>
          <w:trHeight w:val="255" w:hRule="atLeast"/>
        </w:trPr>
        <w:tc>
          <w:tcPr>
            <w:tcW w:w="1446" w:type="dxa"/>
            <w:tcBorders>
              <w:top w:val="nil"/>
              <w:left w:val="single" w:color="auto" w:sz="4" w:space="0"/>
              <w:bottom w:val="single" w:color="auto" w:sz="4" w:space="0"/>
              <w:right w:val="single" w:color="auto" w:sz="4" w:space="0"/>
            </w:tcBorders>
            <w:shd w:val="clear" w:color="000000" w:fill="FFFFFF"/>
            <w:vAlign w:val="center"/>
          </w:tcPr>
          <w:p w14:paraId="708AD122">
            <w:pPr>
              <w:pStyle w:val="38"/>
              <w:jc w:val="center"/>
              <w:rPr>
                <w:rFonts w:hint="eastAsia"/>
                <w:highlight w:val="none"/>
              </w:rPr>
            </w:pPr>
            <w:r>
              <w:rPr>
                <w:rFonts w:hint="eastAsia"/>
                <w:highlight w:val="none"/>
              </w:rPr>
              <w:t>危急值</w:t>
            </w:r>
          </w:p>
        </w:tc>
        <w:tc>
          <w:tcPr>
            <w:tcW w:w="1998" w:type="dxa"/>
            <w:tcBorders>
              <w:top w:val="nil"/>
              <w:left w:val="nil"/>
              <w:bottom w:val="single" w:color="auto" w:sz="4" w:space="0"/>
              <w:right w:val="single" w:color="auto" w:sz="4" w:space="0"/>
            </w:tcBorders>
            <w:shd w:val="clear" w:color="000000" w:fill="FFFFFF"/>
            <w:vAlign w:val="center"/>
          </w:tcPr>
          <w:p w14:paraId="4448771C">
            <w:pPr>
              <w:pStyle w:val="38"/>
              <w:jc w:val="center"/>
              <w:rPr>
                <w:rFonts w:hint="eastAsia"/>
                <w:highlight w:val="none"/>
              </w:rPr>
            </w:pPr>
            <w:r>
              <w:rPr>
                <w:rFonts w:hint="eastAsia"/>
                <w:highlight w:val="none"/>
              </w:rPr>
              <w:t>LI0041</w:t>
            </w:r>
          </w:p>
        </w:tc>
        <w:tc>
          <w:tcPr>
            <w:tcW w:w="2221" w:type="dxa"/>
            <w:tcBorders>
              <w:top w:val="nil"/>
              <w:left w:val="nil"/>
              <w:bottom w:val="single" w:color="auto" w:sz="4" w:space="0"/>
              <w:right w:val="single" w:color="auto" w:sz="4" w:space="0"/>
            </w:tcBorders>
            <w:noWrap/>
            <w:vAlign w:val="center"/>
          </w:tcPr>
          <w:p w14:paraId="66C5760B">
            <w:pPr>
              <w:pStyle w:val="38"/>
              <w:rPr>
                <w:rFonts w:hint="eastAsia"/>
                <w:highlight w:val="none"/>
              </w:rPr>
            </w:pPr>
            <w:r>
              <w:rPr>
                <w:rFonts w:hint="eastAsia"/>
                <w:highlight w:val="none"/>
              </w:rPr>
              <w:t>（标准作废）作废危急值信息</w:t>
            </w:r>
          </w:p>
        </w:tc>
        <w:tc>
          <w:tcPr>
            <w:tcW w:w="1442" w:type="dxa"/>
            <w:tcBorders>
              <w:top w:val="nil"/>
              <w:left w:val="nil"/>
              <w:bottom w:val="single" w:color="auto" w:sz="4" w:space="0"/>
              <w:right w:val="single" w:color="auto" w:sz="4" w:space="0"/>
            </w:tcBorders>
            <w:shd w:val="clear" w:color="000000" w:fill="FFFFFF"/>
            <w:vAlign w:val="center"/>
          </w:tcPr>
          <w:p w14:paraId="2557672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A8F063C">
            <w:pPr>
              <w:pStyle w:val="38"/>
              <w:rPr>
                <w:rFonts w:hint="eastAsia"/>
                <w:highlight w:val="none"/>
              </w:rPr>
            </w:pPr>
          </w:p>
        </w:tc>
      </w:tr>
      <w:tr w14:paraId="0B331301">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20FF4170">
            <w:pPr>
              <w:pStyle w:val="38"/>
              <w:jc w:val="center"/>
              <w:rPr>
                <w:rFonts w:hint="eastAsia"/>
                <w:highlight w:val="none"/>
              </w:rPr>
            </w:pPr>
            <w:r>
              <w:rPr>
                <w:rFonts w:hint="eastAsia"/>
                <w:highlight w:val="none"/>
              </w:rPr>
              <w:t>报告</w:t>
            </w:r>
          </w:p>
        </w:tc>
        <w:tc>
          <w:tcPr>
            <w:tcW w:w="1998" w:type="dxa"/>
            <w:tcBorders>
              <w:top w:val="nil"/>
              <w:left w:val="nil"/>
              <w:bottom w:val="single" w:color="auto" w:sz="4" w:space="0"/>
              <w:right w:val="single" w:color="auto" w:sz="4" w:space="0"/>
            </w:tcBorders>
            <w:shd w:val="clear" w:color="000000" w:fill="FFFFFF"/>
            <w:vAlign w:val="center"/>
          </w:tcPr>
          <w:p w14:paraId="37AD3656">
            <w:pPr>
              <w:pStyle w:val="38"/>
              <w:jc w:val="center"/>
              <w:rPr>
                <w:rFonts w:hint="eastAsia"/>
                <w:highlight w:val="none"/>
              </w:rPr>
            </w:pPr>
            <w:r>
              <w:rPr>
                <w:rFonts w:hint="eastAsia"/>
                <w:highlight w:val="none"/>
              </w:rPr>
              <w:t>FI0067</w:t>
            </w:r>
          </w:p>
        </w:tc>
        <w:tc>
          <w:tcPr>
            <w:tcW w:w="2221" w:type="dxa"/>
            <w:tcBorders>
              <w:top w:val="nil"/>
              <w:left w:val="nil"/>
              <w:bottom w:val="single" w:color="auto" w:sz="4" w:space="0"/>
              <w:right w:val="single" w:color="auto" w:sz="4" w:space="0"/>
            </w:tcBorders>
            <w:noWrap/>
            <w:vAlign w:val="center"/>
          </w:tcPr>
          <w:p w14:paraId="394CF028">
            <w:pPr>
              <w:pStyle w:val="38"/>
              <w:rPr>
                <w:rFonts w:hint="eastAsia"/>
                <w:highlight w:val="none"/>
              </w:rPr>
            </w:pPr>
            <w:r>
              <w:rPr>
                <w:rFonts w:hint="eastAsia"/>
                <w:highlight w:val="none"/>
              </w:rPr>
              <w:t>注册报告打印状态</w:t>
            </w:r>
          </w:p>
        </w:tc>
        <w:tc>
          <w:tcPr>
            <w:tcW w:w="1442" w:type="dxa"/>
            <w:tcBorders>
              <w:top w:val="nil"/>
              <w:left w:val="nil"/>
              <w:bottom w:val="single" w:color="auto" w:sz="4" w:space="0"/>
              <w:right w:val="single" w:color="auto" w:sz="4" w:space="0"/>
            </w:tcBorders>
            <w:shd w:val="clear" w:color="000000" w:fill="FFFFFF"/>
            <w:vAlign w:val="center"/>
          </w:tcPr>
          <w:p w14:paraId="3C8989A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14B5041">
            <w:pPr>
              <w:pStyle w:val="38"/>
              <w:rPr>
                <w:rFonts w:hint="eastAsia"/>
                <w:highlight w:val="none"/>
              </w:rPr>
            </w:pPr>
          </w:p>
        </w:tc>
      </w:tr>
      <w:tr w14:paraId="6F71495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ABB7C5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820CD73">
            <w:pPr>
              <w:pStyle w:val="38"/>
              <w:jc w:val="center"/>
              <w:rPr>
                <w:rFonts w:hint="eastAsia"/>
                <w:highlight w:val="none"/>
              </w:rPr>
            </w:pPr>
            <w:r>
              <w:rPr>
                <w:rFonts w:hint="eastAsia"/>
                <w:highlight w:val="none"/>
              </w:rPr>
              <w:t>FD0068</w:t>
            </w:r>
          </w:p>
        </w:tc>
        <w:tc>
          <w:tcPr>
            <w:tcW w:w="2221" w:type="dxa"/>
            <w:tcBorders>
              <w:top w:val="nil"/>
              <w:left w:val="nil"/>
              <w:bottom w:val="single" w:color="auto" w:sz="4" w:space="0"/>
              <w:right w:val="single" w:color="auto" w:sz="4" w:space="0"/>
            </w:tcBorders>
            <w:noWrap/>
            <w:vAlign w:val="center"/>
          </w:tcPr>
          <w:p w14:paraId="7690B5B5">
            <w:pPr>
              <w:pStyle w:val="38"/>
              <w:rPr>
                <w:rFonts w:hint="eastAsia"/>
                <w:highlight w:val="none"/>
              </w:rPr>
            </w:pPr>
            <w:r>
              <w:rPr>
                <w:rFonts w:hint="eastAsia"/>
                <w:highlight w:val="none"/>
              </w:rPr>
              <w:t>撤销报告打印状态</w:t>
            </w:r>
          </w:p>
        </w:tc>
        <w:tc>
          <w:tcPr>
            <w:tcW w:w="1442" w:type="dxa"/>
            <w:tcBorders>
              <w:top w:val="nil"/>
              <w:left w:val="nil"/>
              <w:bottom w:val="single" w:color="auto" w:sz="4" w:space="0"/>
              <w:right w:val="single" w:color="auto" w:sz="4" w:space="0"/>
            </w:tcBorders>
            <w:shd w:val="clear" w:color="000000" w:fill="FFFFFF"/>
            <w:vAlign w:val="center"/>
          </w:tcPr>
          <w:p w14:paraId="09C126A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AE324D0">
            <w:pPr>
              <w:pStyle w:val="38"/>
              <w:rPr>
                <w:rFonts w:hint="eastAsia"/>
                <w:highlight w:val="none"/>
              </w:rPr>
            </w:pPr>
          </w:p>
        </w:tc>
      </w:tr>
      <w:tr w14:paraId="01C2722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C58F1C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75FC50E">
            <w:pPr>
              <w:pStyle w:val="38"/>
              <w:jc w:val="center"/>
              <w:rPr>
                <w:rFonts w:hint="eastAsia"/>
                <w:highlight w:val="none"/>
              </w:rPr>
            </w:pPr>
            <w:r>
              <w:rPr>
                <w:rFonts w:hint="eastAsia"/>
                <w:highlight w:val="none"/>
              </w:rPr>
              <w:t>FI0214</w:t>
            </w:r>
          </w:p>
        </w:tc>
        <w:tc>
          <w:tcPr>
            <w:tcW w:w="2221" w:type="dxa"/>
            <w:tcBorders>
              <w:top w:val="nil"/>
              <w:left w:val="nil"/>
              <w:bottom w:val="single" w:color="auto" w:sz="4" w:space="0"/>
              <w:right w:val="single" w:color="auto" w:sz="4" w:space="0"/>
            </w:tcBorders>
            <w:noWrap/>
            <w:vAlign w:val="center"/>
          </w:tcPr>
          <w:p w14:paraId="3084390C">
            <w:pPr>
              <w:pStyle w:val="38"/>
              <w:rPr>
                <w:rFonts w:hint="eastAsia"/>
                <w:highlight w:val="none"/>
              </w:rPr>
            </w:pPr>
            <w:r>
              <w:rPr>
                <w:rFonts w:hint="eastAsia"/>
                <w:highlight w:val="none"/>
              </w:rPr>
              <w:t>注册体检报告信息</w:t>
            </w:r>
          </w:p>
        </w:tc>
        <w:tc>
          <w:tcPr>
            <w:tcW w:w="1442" w:type="dxa"/>
            <w:tcBorders>
              <w:top w:val="nil"/>
              <w:left w:val="nil"/>
              <w:bottom w:val="single" w:color="auto" w:sz="4" w:space="0"/>
              <w:right w:val="single" w:color="auto" w:sz="4" w:space="0"/>
            </w:tcBorders>
            <w:shd w:val="clear" w:color="000000" w:fill="FFFFFF"/>
            <w:vAlign w:val="center"/>
          </w:tcPr>
          <w:p w14:paraId="7E6F8E0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7A3B429">
            <w:pPr>
              <w:pStyle w:val="38"/>
              <w:rPr>
                <w:rFonts w:hint="eastAsia"/>
                <w:highlight w:val="none"/>
              </w:rPr>
            </w:pPr>
          </w:p>
        </w:tc>
      </w:tr>
      <w:tr w14:paraId="2F8226E2">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6E115D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BCE0114">
            <w:pPr>
              <w:pStyle w:val="38"/>
              <w:jc w:val="center"/>
              <w:rPr>
                <w:rFonts w:hint="eastAsia"/>
                <w:highlight w:val="none"/>
              </w:rPr>
            </w:pPr>
            <w:r>
              <w:rPr>
                <w:rFonts w:hint="eastAsia"/>
                <w:highlight w:val="none"/>
              </w:rPr>
              <w:t>FU0227</w:t>
            </w:r>
          </w:p>
        </w:tc>
        <w:tc>
          <w:tcPr>
            <w:tcW w:w="2221" w:type="dxa"/>
            <w:tcBorders>
              <w:top w:val="nil"/>
              <w:left w:val="nil"/>
              <w:bottom w:val="single" w:color="auto" w:sz="4" w:space="0"/>
              <w:right w:val="single" w:color="auto" w:sz="4" w:space="0"/>
            </w:tcBorders>
            <w:noWrap/>
            <w:vAlign w:val="center"/>
          </w:tcPr>
          <w:p w14:paraId="6132907F">
            <w:pPr>
              <w:pStyle w:val="38"/>
              <w:rPr>
                <w:rFonts w:hint="eastAsia"/>
                <w:highlight w:val="none"/>
              </w:rPr>
            </w:pPr>
            <w:r>
              <w:rPr>
                <w:rFonts w:hint="eastAsia"/>
                <w:highlight w:val="none"/>
              </w:rPr>
              <w:t>变更体检报告信息</w:t>
            </w:r>
          </w:p>
        </w:tc>
        <w:tc>
          <w:tcPr>
            <w:tcW w:w="1442" w:type="dxa"/>
            <w:tcBorders>
              <w:top w:val="nil"/>
              <w:left w:val="nil"/>
              <w:bottom w:val="single" w:color="auto" w:sz="4" w:space="0"/>
              <w:right w:val="single" w:color="auto" w:sz="4" w:space="0"/>
            </w:tcBorders>
            <w:shd w:val="clear" w:color="000000" w:fill="FFFFFF"/>
            <w:vAlign w:val="center"/>
          </w:tcPr>
          <w:p w14:paraId="5216D67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6AEF32C">
            <w:pPr>
              <w:pStyle w:val="38"/>
              <w:rPr>
                <w:rFonts w:hint="eastAsia"/>
                <w:highlight w:val="none"/>
              </w:rPr>
            </w:pPr>
          </w:p>
        </w:tc>
      </w:tr>
      <w:tr w14:paraId="69F6C73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D79B85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933E662">
            <w:pPr>
              <w:pStyle w:val="38"/>
              <w:jc w:val="center"/>
              <w:rPr>
                <w:rFonts w:hint="eastAsia"/>
                <w:highlight w:val="none"/>
              </w:rPr>
            </w:pPr>
            <w:r>
              <w:rPr>
                <w:rFonts w:hint="eastAsia"/>
                <w:highlight w:val="none"/>
              </w:rPr>
              <w:t>FD0228</w:t>
            </w:r>
          </w:p>
        </w:tc>
        <w:tc>
          <w:tcPr>
            <w:tcW w:w="2221" w:type="dxa"/>
            <w:tcBorders>
              <w:top w:val="nil"/>
              <w:left w:val="nil"/>
              <w:bottom w:val="single" w:color="auto" w:sz="4" w:space="0"/>
              <w:right w:val="single" w:color="auto" w:sz="4" w:space="0"/>
            </w:tcBorders>
            <w:noWrap/>
            <w:vAlign w:val="center"/>
          </w:tcPr>
          <w:p w14:paraId="7AECA373">
            <w:pPr>
              <w:pStyle w:val="38"/>
              <w:rPr>
                <w:rFonts w:hint="eastAsia"/>
                <w:highlight w:val="none"/>
              </w:rPr>
            </w:pPr>
            <w:r>
              <w:rPr>
                <w:rFonts w:hint="eastAsia"/>
                <w:highlight w:val="none"/>
              </w:rPr>
              <w:t>删除体检报告信息</w:t>
            </w:r>
          </w:p>
        </w:tc>
        <w:tc>
          <w:tcPr>
            <w:tcW w:w="1442" w:type="dxa"/>
            <w:tcBorders>
              <w:top w:val="nil"/>
              <w:left w:val="nil"/>
              <w:bottom w:val="single" w:color="auto" w:sz="4" w:space="0"/>
              <w:right w:val="single" w:color="auto" w:sz="4" w:space="0"/>
            </w:tcBorders>
            <w:shd w:val="clear" w:color="000000" w:fill="FFFFFF"/>
            <w:vAlign w:val="center"/>
          </w:tcPr>
          <w:p w14:paraId="5DA6728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C4B6746">
            <w:pPr>
              <w:pStyle w:val="38"/>
              <w:rPr>
                <w:rFonts w:hint="eastAsia"/>
                <w:highlight w:val="none"/>
              </w:rPr>
            </w:pPr>
          </w:p>
        </w:tc>
      </w:tr>
      <w:tr w14:paraId="2C29686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6772E8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164C0A8">
            <w:pPr>
              <w:pStyle w:val="38"/>
              <w:jc w:val="center"/>
              <w:rPr>
                <w:rFonts w:hint="eastAsia"/>
                <w:highlight w:val="none"/>
              </w:rPr>
            </w:pPr>
            <w:r>
              <w:rPr>
                <w:rFonts w:hint="eastAsia"/>
                <w:highlight w:val="none"/>
              </w:rPr>
              <w:t>FI0215</w:t>
            </w:r>
          </w:p>
        </w:tc>
        <w:tc>
          <w:tcPr>
            <w:tcW w:w="2221" w:type="dxa"/>
            <w:tcBorders>
              <w:top w:val="nil"/>
              <w:left w:val="nil"/>
              <w:bottom w:val="single" w:color="auto" w:sz="4" w:space="0"/>
              <w:right w:val="single" w:color="auto" w:sz="4" w:space="0"/>
            </w:tcBorders>
            <w:noWrap/>
            <w:vAlign w:val="center"/>
          </w:tcPr>
          <w:p w14:paraId="7D755A2E">
            <w:pPr>
              <w:pStyle w:val="38"/>
              <w:rPr>
                <w:rFonts w:hint="eastAsia"/>
                <w:highlight w:val="none"/>
              </w:rPr>
            </w:pPr>
            <w:r>
              <w:rPr>
                <w:rFonts w:hint="eastAsia"/>
                <w:highlight w:val="none"/>
              </w:rPr>
              <w:t>注册血糖报告结果</w:t>
            </w:r>
          </w:p>
        </w:tc>
        <w:tc>
          <w:tcPr>
            <w:tcW w:w="1442" w:type="dxa"/>
            <w:tcBorders>
              <w:top w:val="nil"/>
              <w:left w:val="nil"/>
              <w:bottom w:val="single" w:color="auto" w:sz="4" w:space="0"/>
              <w:right w:val="single" w:color="auto" w:sz="4" w:space="0"/>
            </w:tcBorders>
            <w:shd w:val="clear" w:color="000000" w:fill="FFFFFF"/>
            <w:vAlign w:val="center"/>
          </w:tcPr>
          <w:p w14:paraId="6A414DC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9298B39">
            <w:pPr>
              <w:pStyle w:val="38"/>
              <w:rPr>
                <w:rFonts w:hint="eastAsia"/>
                <w:highlight w:val="none"/>
              </w:rPr>
            </w:pPr>
          </w:p>
        </w:tc>
      </w:tr>
      <w:tr w14:paraId="1CA5205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B99170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86FEE60">
            <w:pPr>
              <w:pStyle w:val="38"/>
              <w:jc w:val="center"/>
              <w:rPr>
                <w:rFonts w:hint="eastAsia"/>
                <w:highlight w:val="none"/>
              </w:rPr>
            </w:pPr>
            <w:r>
              <w:rPr>
                <w:rFonts w:hint="eastAsia"/>
                <w:highlight w:val="none"/>
              </w:rPr>
              <w:t>FU0229</w:t>
            </w:r>
          </w:p>
        </w:tc>
        <w:tc>
          <w:tcPr>
            <w:tcW w:w="2221" w:type="dxa"/>
            <w:tcBorders>
              <w:top w:val="nil"/>
              <w:left w:val="nil"/>
              <w:bottom w:val="single" w:color="auto" w:sz="4" w:space="0"/>
              <w:right w:val="single" w:color="auto" w:sz="4" w:space="0"/>
            </w:tcBorders>
            <w:noWrap/>
            <w:vAlign w:val="center"/>
          </w:tcPr>
          <w:p w14:paraId="22CD5D75">
            <w:pPr>
              <w:pStyle w:val="38"/>
              <w:rPr>
                <w:rFonts w:hint="eastAsia"/>
                <w:highlight w:val="none"/>
              </w:rPr>
            </w:pPr>
            <w:r>
              <w:rPr>
                <w:rFonts w:hint="eastAsia"/>
                <w:highlight w:val="none"/>
              </w:rPr>
              <w:t>变更血糖报告结果</w:t>
            </w:r>
          </w:p>
        </w:tc>
        <w:tc>
          <w:tcPr>
            <w:tcW w:w="1442" w:type="dxa"/>
            <w:tcBorders>
              <w:top w:val="nil"/>
              <w:left w:val="nil"/>
              <w:bottom w:val="single" w:color="auto" w:sz="4" w:space="0"/>
              <w:right w:val="single" w:color="auto" w:sz="4" w:space="0"/>
            </w:tcBorders>
            <w:shd w:val="clear" w:color="000000" w:fill="FFFFFF"/>
            <w:vAlign w:val="center"/>
          </w:tcPr>
          <w:p w14:paraId="757DA31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F4FF188">
            <w:pPr>
              <w:pStyle w:val="38"/>
              <w:rPr>
                <w:rFonts w:hint="eastAsia"/>
                <w:highlight w:val="none"/>
              </w:rPr>
            </w:pPr>
          </w:p>
        </w:tc>
      </w:tr>
      <w:tr w14:paraId="4E6C71F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756496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296886C">
            <w:pPr>
              <w:pStyle w:val="38"/>
              <w:jc w:val="center"/>
              <w:rPr>
                <w:rFonts w:hint="eastAsia"/>
                <w:highlight w:val="none"/>
              </w:rPr>
            </w:pPr>
            <w:r>
              <w:rPr>
                <w:rFonts w:hint="eastAsia"/>
                <w:highlight w:val="none"/>
              </w:rPr>
              <w:t>FD0230</w:t>
            </w:r>
          </w:p>
        </w:tc>
        <w:tc>
          <w:tcPr>
            <w:tcW w:w="2221" w:type="dxa"/>
            <w:tcBorders>
              <w:top w:val="nil"/>
              <w:left w:val="nil"/>
              <w:bottom w:val="single" w:color="auto" w:sz="4" w:space="0"/>
              <w:right w:val="single" w:color="auto" w:sz="4" w:space="0"/>
            </w:tcBorders>
            <w:noWrap/>
            <w:vAlign w:val="center"/>
          </w:tcPr>
          <w:p w14:paraId="2B2151AC">
            <w:pPr>
              <w:pStyle w:val="38"/>
              <w:rPr>
                <w:rFonts w:hint="eastAsia"/>
                <w:highlight w:val="none"/>
              </w:rPr>
            </w:pPr>
            <w:r>
              <w:rPr>
                <w:rFonts w:hint="eastAsia"/>
                <w:highlight w:val="none"/>
              </w:rPr>
              <w:t>删除血糖报告结果</w:t>
            </w:r>
          </w:p>
        </w:tc>
        <w:tc>
          <w:tcPr>
            <w:tcW w:w="1442" w:type="dxa"/>
            <w:tcBorders>
              <w:top w:val="nil"/>
              <w:left w:val="nil"/>
              <w:bottom w:val="single" w:color="auto" w:sz="4" w:space="0"/>
              <w:right w:val="single" w:color="auto" w:sz="4" w:space="0"/>
            </w:tcBorders>
            <w:shd w:val="clear" w:color="000000" w:fill="FFFFFF"/>
            <w:vAlign w:val="center"/>
          </w:tcPr>
          <w:p w14:paraId="3E1804E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CC7FE5D">
            <w:pPr>
              <w:pStyle w:val="38"/>
              <w:rPr>
                <w:rFonts w:hint="eastAsia"/>
                <w:highlight w:val="none"/>
              </w:rPr>
            </w:pPr>
          </w:p>
        </w:tc>
      </w:tr>
      <w:tr w14:paraId="1BD461EE">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0797900E">
            <w:pPr>
              <w:pStyle w:val="38"/>
              <w:jc w:val="center"/>
              <w:rPr>
                <w:rFonts w:hint="eastAsia"/>
                <w:highlight w:val="none"/>
              </w:rPr>
            </w:pPr>
            <w:r>
              <w:rPr>
                <w:rFonts w:hint="eastAsia"/>
                <w:highlight w:val="none"/>
              </w:rPr>
              <w:t>门诊发药</w:t>
            </w:r>
          </w:p>
        </w:tc>
        <w:tc>
          <w:tcPr>
            <w:tcW w:w="1998" w:type="dxa"/>
            <w:tcBorders>
              <w:top w:val="nil"/>
              <w:left w:val="nil"/>
              <w:bottom w:val="single" w:color="auto" w:sz="4" w:space="0"/>
              <w:right w:val="single" w:color="auto" w:sz="4" w:space="0"/>
            </w:tcBorders>
            <w:shd w:val="clear" w:color="000000" w:fill="FFFFFF"/>
            <w:vAlign w:val="center"/>
          </w:tcPr>
          <w:p w14:paraId="7A6B7B68">
            <w:pPr>
              <w:pStyle w:val="38"/>
              <w:jc w:val="center"/>
              <w:rPr>
                <w:rFonts w:hint="eastAsia"/>
                <w:highlight w:val="none"/>
              </w:rPr>
            </w:pPr>
            <w:r>
              <w:rPr>
                <w:rFonts w:hint="eastAsia"/>
                <w:highlight w:val="none"/>
              </w:rPr>
              <w:t>RI0069</w:t>
            </w:r>
          </w:p>
        </w:tc>
        <w:tc>
          <w:tcPr>
            <w:tcW w:w="2221" w:type="dxa"/>
            <w:tcBorders>
              <w:top w:val="nil"/>
              <w:left w:val="nil"/>
              <w:bottom w:val="single" w:color="auto" w:sz="4" w:space="0"/>
              <w:right w:val="single" w:color="auto" w:sz="4" w:space="0"/>
            </w:tcBorders>
            <w:noWrap/>
            <w:vAlign w:val="center"/>
          </w:tcPr>
          <w:p w14:paraId="077D5244">
            <w:pPr>
              <w:pStyle w:val="38"/>
              <w:rPr>
                <w:rFonts w:hint="eastAsia"/>
                <w:highlight w:val="none"/>
              </w:rPr>
            </w:pPr>
            <w:r>
              <w:rPr>
                <w:rFonts w:hint="eastAsia"/>
                <w:highlight w:val="none"/>
              </w:rPr>
              <w:t>注册处方信息</w:t>
            </w:r>
          </w:p>
        </w:tc>
        <w:tc>
          <w:tcPr>
            <w:tcW w:w="1442" w:type="dxa"/>
            <w:tcBorders>
              <w:top w:val="nil"/>
              <w:left w:val="nil"/>
              <w:bottom w:val="single" w:color="auto" w:sz="4" w:space="0"/>
              <w:right w:val="single" w:color="auto" w:sz="4" w:space="0"/>
            </w:tcBorders>
            <w:shd w:val="clear" w:color="000000" w:fill="FFFFFF"/>
            <w:vAlign w:val="center"/>
          </w:tcPr>
          <w:p w14:paraId="648514F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7D1AE40">
            <w:pPr>
              <w:pStyle w:val="38"/>
              <w:rPr>
                <w:rFonts w:hint="eastAsia"/>
                <w:highlight w:val="none"/>
              </w:rPr>
            </w:pPr>
          </w:p>
        </w:tc>
      </w:tr>
      <w:tr w14:paraId="07FF290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0A4D74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FAFF284">
            <w:pPr>
              <w:pStyle w:val="38"/>
              <w:jc w:val="center"/>
              <w:rPr>
                <w:rFonts w:hint="eastAsia"/>
                <w:highlight w:val="none"/>
              </w:rPr>
            </w:pPr>
            <w:r>
              <w:rPr>
                <w:rFonts w:hint="eastAsia"/>
                <w:highlight w:val="none"/>
              </w:rPr>
              <w:t>RU0070</w:t>
            </w:r>
          </w:p>
        </w:tc>
        <w:tc>
          <w:tcPr>
            <w:tcW w:w="2221" w:type="dxa"/>
            <w:tcBorders>
              <w:top w:val="nil"/>
              <w:left w:val="nil"/>
              <w:bottom w:val="single" w:color="auto" w:sz="4" w:space="0"/>
              <w:right w:val="single" w:color="auto" w:sz="4" w:space="0"/>
            </w:tcBorders>
            <w:noWrap/>
            <w:vAlign w:val="center"/>
          </w:tcPr>
          <w:p w14:paraId="4409715C">
            <w:pPr>
              <w:pStyle w:val="38"/>
              <w:rPr>
                <w:rFonts w:hint="eastAsia"/>
                <w:highlight w:val="none"/>
              </w:rPr>
            </w:pPr>
            <w:r>
              <w:rPr>
                <w:rFonts w:hint="eastAsia"/>
                <w:highlight w:val="none"/>
              </w:rPr>
              <w:t>变更处方信息</w:t>
            </w:r>
          </w:p>
        </w:tc>
        <w:tc>
          <w:tcPr>
            <w:tcW w:w="1442" w:type="dxa"/>
            <w:tcBorders>
              <w:top w:val="nil"/>
              <w:left w:val="nil"/>
              <w:bottom w:val="single" w:color="auto" w:sz="4" w:space="0"/>
              <w:right w:val="single" w:color="auto" w:sz="4" w:space="0"/>
            </w:tcBorders>
            <w:shd w:val="clear" w:color="000000" w:fill="FFFFFF"/>
            <w:vAlign w:val="center"/>
          </w:tcPr>
          <w:p w14:paraId="5603325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DB16952">
            <w:pPr>
              <w:pStyle w:val="38"/>
              <w:rPr>
                <w:rFonts w:hint="eastAsia"/>
                <w:highlight w:val="none"/>
              </w:rPr>
            </w:pPr>
          </w:p>
        </w:tc>
      </w:tr>
      <w:tr w14:paraId="4127353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1B1574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AF1DE5">
            <w:pPr>
              <w:pStyle w:val="38"/>
              <w:jc w:val="center"/>
              <w:rPr>
                <w:rFonts w:hint="eastAsia"/>
                <w:highlight w:val="none"/>
              </w:rPr>
            </w:pPr>
            <w:r>
              <w:rPr>
                <w:rFonts w:hint="eastAsia"/>
                <w:highlight w:val="none"/>
              </w:rPr>
              <w:t>RD0071</w:t>
            </w:r>
          </w:p>
        </w:tc>
        <w:tc>
          <w:tcPr>
            <w:tcW w:w="2221" w:type="dxa"/>
            <w:tcBorders>
              <w:top w:val="nil"/>
              <w:left w:val="nil"/>
              <w:bottom w:val="single" w:color="auto" w:sz="4" w:space="0"/>
              <w:right w:val="single" w:color="auto" w:sz="4" w:space="0"/>
            </w:tcBorders>
            <w:noWrap/>
            <w:vAlign w:val="center"/>
          </w:tcPr>
          <w:p w14:paraId="7DC18ADC">
            <w:pPr>
              <w:pStyle w:val="38"/>
              <w:rPr>
                <w:rFonts w:hint="eastAsia"/>
                <w:highlight w:val="none"/>
              </w:rPr>
            </w:pPr>
            <w:r>
              <w:rPr>
                <w:rFonts w:hint="eastAsia"/>
                <w:highlight w:val="none"/>
              </w:rPr>
              <w:t>作废处方信息</w:t>
            </w:r>
          </w:p>
        </w:tc>
        <w:tc>
          <w:tcPr>
            <w:tcW w:w="1442" w:type="dxa"/>
            <w:tcBorders>
              <w:top w:val="nil"/>
              <w:left w:val="nil"/>
              <w:bottom w:val="single" w:color="auto" w:sz="4" w:space="0"/>
              <w:right w:val="single" w:color="auto" w:sz="4" w:space="0"/>
            </w:tcBorders>
            <w:shd w:val="clear" w:color="000000" w:fill="FFFFFF"/>
            <w:vAlign w:val="center"/>
          </w:tcPr>
          <w:p w14:paraId="7427DB1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C9E8026">
            <w:pPr>
              <w:pStyle w:val="38"/>
              <w:rPr>
                <w:rFonts w:hint="eastAsia"/>
                <w:highlight w:val="none"/>
              </w:rPr>
            </w:pPr>
          </w:p>
        </w:tc>
      </w:tr>
      <w:tr w14:paraId="0FD3FF1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9F90C6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3FD8FAF">
            <w:pPr>
              <w:pStyle w:val="38"/>
              <w:jc w:val="center"/>
              <w:rPr>
                <w:rFonts w:hint="eastAsia"/>
                <w:highlight w:val="none"/>
              </w:rPr>
            </w:pPr>
            <w:r>
              <w:rPr>
                <w:rFonts w:hint="eastAsia"/>
                <w:highlight w:val="none"/>
              </w:rPr>
              <w:t>RI0072</w:t>
            </w:r>
          </w:p>
        </w:tc>
        <w:tc>
          <w:tcPr>
            <w:tcW w:w="2221" w:type="dxa"/>
            <w:tcBorders>
              <w:top w:val="nil"/>
              <w:left w:val="nil"/>
              <w:bottom w:val="single" w:color="auto" w:sz="4" w:space="0"/>
              <w:right w:val="single" w:color="auto" w:sz="4" w:space="0"/>
            </w:tcBorders>
            <w:noWrap/>
            <w:vAlign w:val="center"/>
          </w:tcPr>
          <w:p w14:paraId="0D309ADF">
            <w:pPr>
              <w:pStyle w:val="38"/>
              <w:rPr>
                <w:rFonts w:hint="eastAsia"/>
                <w:highlight w:val="none"/>
              </w:rPr>
            </w:pPr>
            <w:r>
              <w:rPr>
                <w:rFonts w:hint="eastAsia"/>
                <w:highlight w:val="none"/>
              </w:rPr>
              <w:t>注册配药完成信息</w:t>
            </w:r>
          </w:p>
        </w:tc>
        <w:tc>
          <w:tcPr>
            <w:tcW w:w="1442" w:type="dxa"/>
            <w:tcBorders>
              <w:top w:val="nil"/>
              <w:left w:val="nil"/>
              <w:bottom w:val="single" w:color="auto" w:sz="4" w:space="0"/>
              <w:right w:val="single" w:color="auto" w:sz="4" w:space="0"/>
            </w:tcBorders>
            <w:shd w:val="clear" w:color="000000" w:fill="FFFFFF"/>
            <w:vAlign w:val="center"/>
          </w:tcPr>
          <w:p w14:paraId="553E7AE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C4B48FD">
            <w:pPr>
              <w:pStyle w:val="38"/>
              <w:rPr>
                <w:rFonts w:hint="eastAsia"/>
                <w:highlight w:val="none"/>
              </w:rPr>
            </w:pPr>
          </w:p>
        </w:tc>
      </w:tr>
      <w:tr w14:paraId="35874D0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9CAA1F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25B1458">
            <w:pPr>
              <w:pStyle w:val="38"/>
              <w:jc w:val="center"/>
              <w:rPr>
                <w:rFonts w:hint="eastAsia"/>
                <w:highlight w:val="none"/>
              </w:rPr>
            </w:pPr>
            <w:r>
              <w:rPr>
                <w:rFonts w:hint="eastAsia"/>
                <w:highlight w:val="none"/>
              </w:rPr>
              <w:t>RI0073</w:t>
            </w:r>
          </w:p>
        </w:tc>
        <w:tc>
          <w:tcPr>
            <w:tcW w:w="2221" w:type="dxa"/>
            <w:tcBorders>
              <w:top w:val="nil"/>
              <w:left w:val="nil"/>
              <w:bottom w:val="single" w:color="auto" w:sz="4" w:space="0"/>
              <w:right w:val="single" w:color="auto" w:sz="4" w:space="0"/>
            </w:tcBorders>
            <w:noWrap/>
            <w:vAlign w:val="center"/>
          </w:tcPr>
          <w:p w14:paraId="0AA8CAC1">
            <w:pPr>
              <w:pStyle w:val="38"/>
              <w:rPr>
                <w:rFonts w:hint="eastAsia"/>
                <w:highlight w:val="none"/>
              </w:rPr>
            </w:pPr>
            <w:r>
              <w:rPr>
                <w:rFonts w:hint="eastAsia"/>
                <w:highlight w:val="none"/>
              </w:rPr>
              <w:t>注册门诊发药记录信息</w:t>
            </w:r>
          </w:p>
        </w:tc>
        <w:tc>
          <w:tcPr>
            <w:tcW w:w="1442" w:type="dxa"/>
            <w:tcBorders>
              <w:top w:val="nil"/>
              <w:left w:val="nil"/>
              <w:bottom w:val="single" w:color="auto" w:sz="4" w:space="0"/>
              <w:right w:val="single" w:color="auto" w:sz="4" w:space="0"/>
            </w:tcBorders>
            <w:shd w:val="clear" w:color="000000" w:fill="FFFFFF"/>
            <w:vAlign w:val="center"/>
          </w:tcPr>
          <w:p w14:paraId="43DCF94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56C1F8D">
            <w:pPr>
              <w:pStyle w:val="38"/>
              <w:rPr>
                <w:rFonts w:hint="eastAsia"/>
                <w:highlight w:val="none"/>
              </w:rPr>
            </w:pPr>
          </w:p>
        </w:tc>
      </w:tr>
      <w:tr w14:paraId="06A925A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2B4E19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2EC7106">
            <w:pPr>
              <w:pStyle w:val="38"/>
              <w:jc w:val="center"/>
              <w:rPr>
                <w:rFonts w:hint="eastAsia"/>
                <w:highlight w:val="none"/>
              </w:rPr>
            </w:pPr>
            <w:r>
              <w:rPr>
                <w:rFonts w:hint="eastAsia"/>
                <w:highlight w:val="none"/>
              </w:rPr>
              <w:t>RI0222</w:t>
            </w:r>
          </w:p>
        </w:tc>
        <w:tc>
          <w:tcPr>
            <w:tcW w:w="2221" w:type="dxa"/>
            <w:tcBorders>
              <w:top w:val="nil"/>
              <w:left w:val="nil"/>
              <w:bottom w:val="single" w:color="auto" w:sz="4" w:space="0"/>
              <w:right w:val="single" w:color="auto" w:sz="4" w:space="0"/>
            </w:tcBorders>
            <w:noWrap/>
            <w:vAlign w:val="center"/>
          </w:tcPr>
          <w:p w14:paraId="2FD6F05C">
            <w:pPr>
              <w:pStyle w:val="38"/>
              <w:rPr>
                <w:rFonts w:hint="eastAsia"/>
                <w:highlight w:val="none"/>
              </w:rPr>
            </w:pPr>
            <w:r>
              <w:rPr>
                <w:rFonts w:hint="eastAsia"/>
                <w:highlight w:val="none"/>
              </w:rPr>
              <w:t>注册门诊退药信息</w:t>
            </w:r>
          </w:p>
        </w:tc>
        <w:tc>
          <w:tcPr>
            <w:tcW w:w="1442" w:type="dxa"/>
            <w:tcBorders>
              <w:top w:val="nil"/>
              <w:left w:val="nil"/>
              <w:bottom w:val="single" w:color="auto" w:sz="4" w:space="0"/>
              <w:right w:val="single" w:color="auto" w:sz="4" w:space="0"/>
            </w:tcBorders>
            <w:shd w:val="clear" w:color="000000" w:fill="FFFFFF"/>
            <w:vAlign w:val="center"/>
          </w:tcPr>
          <w:p w14:paraId="26CBE52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B31A1FD">
            <w:pPr>
              <w:pStyle w:val="38"/>
              <w:rPr>
                <w:rFonts w:hint="eastAsia"/>
                <w:highlight w:val="none"/>
              </w:rPr>
            </w:pPr>
          </w:p>
        </w:tc>
      </w:tr>
      <w:tr w14:paraId="5865785D">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0617DCD1">
            <w:pPr>
              <w:pStyle w:val="38"/>
              <w:jc w:val="center"/>
              <w:rPr>
                <w:rFonts w:hint="eastAsia"/>
                <w:highlight w:val="none"/>
              </w:rPr>
            </w:pPr>
            <w:r>
              <w:rPr>
                <w:rFonts w:hint="eastAsia"/>
                <w:highlight w:val="none"/>
              </w:rPr>
              <w:t>住院医嘱</w:t>
            </w:r>
          </w:p>
        </w:tc>
        <w:tc>
          <w:tcPr>
            <w:tcW w:w="1998" w:type="dxa"/>
            <w:tcBorders>
              <w:top w:val="nil"/>
              <w:left w:val="nil"/>
              <w:bottom w:val="single" w:color="auto" w:sz="4" w:space="0"/>
              <w:right w:val="single" w:color="auto" w:sz="4" w:space="0"/>
            </w:tcBorders>
            <w:shd w:val="clear" w:color="000000" w:fill="FFFFFF"/>
            <w:vAlign w:val="center"/>
          </w:tcPr>
          <w:p w14:paraId="32BC7228">
            <w:pPr>
              <w:pStyle w:val="38"/>
              <w:jc w:val="center"/>
              <w:rPr>
                <w:rFonts w:hint="eastAsia"/>
                <w:highlight w:val="none"/>
              </w:rPr>
            </w:pPr>
            <w:r>
              <w:rPr>
                <w:rFonts w:hint="eastAsia"/>
                <w:highlight w:val="none"/>
              </w:rPr>
              <w:t>OI0074</w:t>
            </w:r>
          </w:p>
        </w:tc>
        <w:tc>
          <w:tcPr>
            <w:tcW w:w="2221" w:type="dxa"/>
            <w:tcBorders>
              <w:top w:val="nil"/>
              <w:left w:val="nil"/>
              <w:bottom w:val="single" w:color="auto" w:sz="4" w:space="0"/>
              <w:right w:val="single" w:color="auto" w:sz="4" w:space="0"/>
            </w:tcBorders>
            <w:noWrap/>
            <w:vAlign w:val="center"/>
          </w:tcPr>
          <w:p w14:paraId="285F0A9E">
            <w:pPr>
              <w:pStyle w:val="38"/>
              <w:rPr>
                <w:rFonts w:hint="eastAsia"/>
                <w:highlight w:val="none"/>
              </w:rPr>
            </w:pPr>
            <w:r>
              <w:rPr>
                <w:rFonts w:hint="eastAsia"/>
                <w:highlight w:val="none"/>
              </w:rPr>
              <w:t>注册医嘱信息</w:t>
            </w:r>
          </w:p>
        </w:tc>
        <w:tc>
          <w:tcPr>
            <w:tcW w:w="1442" w:type="dxa"/>
            <w:tcBorders>
              <w:top w:val="nil"/>
              <w:left w:val="nil"/>
              <w:bottom w:val="single" w:color="auto" w:sz="4" w:space="0"/>
              <w:right w:val="single" w:color="auto" w:sz="4" w:space="0"/>
            </w:tcBorders>
            <w:shd w:val="clear" w:color="000000" w:fill="FFFFFF"/>
            <w:vAlign w:val="center"/>
          </w:tcPr>
          <w:p w14:paraId="0B6E82FF">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501C15E2">
            <w:pPr>
              <w:pStyle w:val="38"/>
              <w:rPr>
                <w:rFonts w:hint="eastAsia"/>
                <w:highlight w:val="none"/>
              </w:rPr>
            </w:pPr>
            <w:r>
              <w:rPr>
                <w:rFonts w:hint="eastAsia"/>
                <w:highlight w:val="none"/>
              </w:rPr>
              <w:t>医嘱信息新增服务</w:t>
            </w:r>
          </w:p>
        </w:tc>
      </w:tr>
      <w:tr w14:paraId="7B4D76D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5EEBE3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E34A55D">
            <w:pPr>
              <w:pStyle w:val="38"/>
              <w:jc w:val="center"/>
              <w:rPr>
                <w:rFonts w:hint="eastAsia"/>
                <w:highlight w:val="none"/>
              </w:rPr>
            </w:pPr>
            <w:r>
              <w:rPr>
                <w:rFonts w:hint="eastAsia"/>
                <w:highlight w:val="none"/>
              </w:rPr>
              <w:t>OU0075</w:t>
            </w:r>
          </w:p>
        </w:tc>
        <w:tc>
          <w:tcPr>
            <w:tcW w:w="2221" w:type="dxa"/>
            <w:tcBorders>
              <w:top w:val="nil"/>
              <w:left w:val="nil"/>
              <w:bottom w:val="single" w:color="auto" w:sz="4" w:space="0"/>
              <w:right w:val="single" w:color="auto" w:sz="4" w:space="0"/>
            </w:tcBorders>
            <w:noWrap/>
            <w:vAlign w:val="center"/>
          </w:tcPr>
          <w:p w14:paraId="49C32802">
            <w:pPr>
              <w:pStyle w:val="38"/>
              <w:rPr>
                <w:rFonts w:hint="eastAsia"/>
                <w:highlight w:val="none"/>
              </w:rPr>
            </w:pPr>
            <w:r>
              <w:rPr>
                <w:rFonts w:hint="eastAsia"/>
                <w:highlight w:val="none"/>
              </w:rPr>
              <w:t>变更医嘱信息</w:t>
            </w:r>
          </w:p>
        </w:tc>
        <w:tc>
          <w:tcPr>
            <w:tcW w:w="1442" w:type="dxa"/>
            <w:tcBorders>
              <w:top w:val="nil"/>
              <w:left w:val="nil"/>
              <w:bottom w:val="single" w:color="auto" w:sz="4" w:space="0"/>
              <w:right w:val="single" w:color="auto" w:sz="4" w:space="0"/>
            </w:tcBorders>
            <w:shd w:val="clear" w:color="000000" w:fill="FFFFFF"/>
            <w:vAlign w:val="center"/>
          </w:tcPr>
          <w:p w14:paraId="5082DD81">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4127E988">
            <w:pPr>
              <w:pStyle w:val="38"/>
              <w:rPr>
                <w:rFonts w:hint="eastAsia"/>
                <w:highlight w:val="none"/>
              </w:rPr>
            </w:pPr>
            <w:r>
              <w:rPr>
                <w:rFonts w:hint="eastAsia"/>
                <w:highlight w:val="none"/>
              </w:rPr>
              <w:t>医嘱信息更新服务</w:t>
            </w:r>
          </w:p>
        </w:tc>
      </w:tr>
      <w:tr w14:paraId="656A4A7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1A9557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DFE81BB">
            <w:pPr>
              <w:pStyle w:val="38"/>
              <w:jc w:val="center"/>
              <w:rPr>
                <w:rFonts w:hint="eastAsia"/>
                <w:highlight w:val="none"/>
              </w:rPr>
            </w:pPr>
            <w:r>
              <w:rPr>
                <w:rFonts w:hint="eastAsia"/>
                <w:highlight w:val="none"/>
              </w:rPr>
              <w:t>OD0076</w:t>
            </w:r>
          </w:p>
        </w:tc>
        <w:tc>
          <w:tcPr>
            <w:tcW w:w="2221" w:type="dxa"/>
            <w:tcBorders>
              <w:top w:val="nil"/>
              <w:left w:val="nil"/>
              <w:bottom w:val="single" w:color="auto" w:sz="4" w:space="0"/>
              <w:right w:val="single" w:color="auto" w:sz="4" w:space="0"/>
            </w:tcBorders>
            <w:noWrap/>
            <w:vAlign w:val="center"/>
          </w:tcPr>
          <w:p w14:paraId="63B74828">
            <w:pPr>
              <w:pStyle w:val="38"/>
              <w:rPr>
                <w:rFonts w:hint="eastAsia"/>
                <w:highlight w:val="none"/>
              </w:rPr>
            </w:pPr>
            <w:r>
              <w:rPr>
                <w:rFonts w:hint="eastAsia"/>
                <w:highlight w:val="none"/>
              </w:rPr>
              <w:t>删除医嘱信息</w:t>
            </w:r>
          </w:p>
        </w:tc>
        <w:tc>
          <w:tcPr>
            <w:tcW w:w="1442" w:type="dxa"/>
            <w:tcBorders>
              <w:top w:val="nil"/>
              <w:left w:val="nil"/>
              <w:bottom w:val="single" w:color="auto" w:sz="4" w:space="0"/>
              <w:right w:val="single" w:color="auto" w:sz="4" w:space="0"/>
            </w:tcBorders>
            <w:shd w:val="clear" w:color="000000" w:fill="FFFFFF"/>
            <w:vAlign w:val="center"/>
          </w:tcPr>
          <w:p w14:paraId="67AD20F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4A1E3D3">
            <w:pPr>
              <w:pStyle w:val="38"/>
              <w:rPr>
                <w:rFonts w:hint="eastAsia"/>
                <w:highlight w:val="none"/>
              </w:rPr>
            </w:pPr>
          </w:p>
        </w:tc>
      </w:tr>
      <w:tr w14:paraId="0F806EC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931B47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33A0173">
            <w:pPr>
              <w:pStyle w:val="38"/>
              <w:jc w:val="center"/>
              <w:rPr>
                <w:rFonts w:hint="eastAsia"/>
                <w:highlight w:val="none"/>
              </w:rPr>
            </w:pPr>
            <w:r>
              <w:rPr>
                <w:rFonts w:hint="eastAsia"/>
                <w:highlight w:val="none"/>
              </w:rPr>
              <w:t>OD0077</w:t>
            </w:r>
          </w:p>
        </w:tc>
        <w:tc>
          <w:tcPr>
            <w:tcW w:w="2221" w:type="dxa"/>
            <w:tcBorders>
              <w:top w:val="nil"/>
              <w:left w:val="nil"/>
              <w:bottom w:val="single" w:color="auto" w:sz="4" w:space="0"/>
              <w:right w:val="single" w:color="auto" w:sz="4" w:space="0"/>
            </w:tcBorders>
            <w:noWrap/>
            <w:vAlign w:val="center"/>
          </w:tcPr>
          <w:p w14:paraId="2CEC10CC">
            <w:pPr>
              <w:pStyle w:val="38"/>
              <w:rPr>
                <w:rFonts w:hint="eastAsia"/>
                <w:highlight w:val="none"/>
              </w:rPr>
            </w:pPr>
            <w:r>
              <w:rPr>
                <w:rFonts w:hint="eastAsia"/>
                <w:highlight w:val="none"/>
              </w:rPr>
              <w:t>作废医嘱信息</w:t>
            </w:r>
          </w:p>
        </w:tc>
        <w:tc>
          <w:tcPr>
            <w:tcW w:w="1442" w:type="dxa"/>
            <w:tcBorders>
              <w:top w:val="nil"/>
              <w:left w:val="nil"/>
              <w:bottom w:val="single" w:color="auto" w:sz="4" w:space="0"/>
              <w:right w:val="single" w:color="auto" w:sz="4" w:space="0"/>
            </w:tcBorders>
            <w:shd w:val="clear" w:color="000000" w:fill="FFFFFF"/>
            <w:vAlign w:val="center"/>
          </w:tcPr>
          <w:p w14:paraId="67BE364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A7C9986">
            <w:pPr>
              <w:pStyle w:val="38"/>
              <w:rPr>
                <w:rFonts w:hint="eastAsia"/>
                <w:highlight w:val="none"/>
              </w:rPr>
            </w:pPr>
          </w:p>
        </w:tc>
      </w:tr>
      <w:tr w14:paraId="264810A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E840D8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63EE4B0">
            <w:pPr>
              <w:pStyle w:val="38"/>
              <w:jc w:val="center"/>
              <w:rPr>
                <w:rFonts w:hint="eastAsia"/>
                <w:highlight w:val="none"/>
              </w:rPr>
            </w:pPr>
            <w:r>
              <w:rPr>
                <w:rFonts w:hint="eastAsia"/>
                <w:highlight w:val="none"/>
              </w:rPr>
              <w:t>OI0079</w:t>
            </w:r>
          </w:p>
        </w:tc>
        <w:tc>
          <w:tcPr>
            <w:tcW w:w="2221" w:type="dxa"/>
            <w:tcBorders>
              <w:top w:val="nil"/>
              <w:left w:val="nil"/>
              <w:bottom w:val="single" w:color="auto" w:sz="4" w:space="0"/>
              <w:right w:val="single" w:color="auto" w:sz="4" w:space="0"/>
            </w:tcBorders>
            <w:noWrap/>
            <w:vAlign w:val="center"/>
          </w:tcPr>
          <w:p w14:paraId="1AB97E1D">
            <w:pPr>
              <w:pStyle w:val="38"/>
              <w:rPr>
                <w:rFonts w:hint="eastAsia"/>
                <w:highlight w:val="none"/>
              </w:rPr>
            </w:pPr>
            <w:r>
              <w:rPr>
                <w:rFonts w:hint="eastAsia"/>
                <w:highlight w:val="none"/>
              </w:rPr>
              <w:t>注册医嘱停止信息</w:t>
            </w:r>
          </w:p>
        </w:tc>
        <w:tc>
          <w:tcPr>
            <w:tcW w:w="1442" w:type="dxa"/>
            <w:tcBorders>
              <w:top w:val="nil"/>
              <w:left w:val="nil"/>
              <w:bottom w:val="single" w:color="auto" w:sz="4" w:space="0"/>
              <w:right w:val="single" w:color="auto" w:sz="4" w:space="0"/>
            </w:tcBorders>
            <w:shd w:val="clear" w:color="000000" w:fill="FFFFFF"/>
            <w:vAlign w:val="center"/>
          </w:tcPr>
          <w:p w14:paraId="42EDB4D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06A03C3">
            <w:pPr>
              <w:pStyle w:val="38"/>
              <w:rPr>
                <w:rFonts w:hint="eastAsia"/>
                <w:highlight w:val="none"/>
              </w:rPr>
            </w:pPr>
          </w:p>
        </w:tc>
      </w:tr>
      <w:tr w14:paraId="6C41353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E8BA8F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07E8547">
            <w:pPr>
              <w:pStyle w:val="38"/>
              <w:jc w:val="center"/>
              <w:rPr>
                <w:rFonts w:hint="eastAsia"/>
                <w:highlight w:val="none"/>
              </w:rPr>
            </w:pPr>
            <w:r>
              <w:rPr>
                <w:rFonts w:hint="eastAsia"/>
                <w:highlight w:val="none"/>
              </w:rPr>
              <w:t>OI0080</w:t>
            </w:r>
          </w:p>
        </w:tc>
        <w:tc>
          <w:tcPr>
            <w:tcW w:w="2221" w:type="dxa"/>
            <w:tcBorders>
              <w:top w:val="nil"/>
              <w:left w:val="nil"/>
              <w:bottom w:val="single" w:color="auto" w:sz="4" w:space="0"/>
              <w:right w:val="single" w:color="auto" w:sz="4" w:space="0"/>
            </w:tcBorders>
            <w:noWrap/>
            <w:vAlign w:val="center"/>
          </w:tcPr>
          <w:p w14:paraId="35567EEF">
            <w:pPr>
              <w:pStyle w:val="38"/>
              <w:rPr>
                <w:rFonts w:hint="eastAsia"/>
                <w:highlight w:val="none"/>
              </w:rPr>
            </w:pPr>
            <w:r>
              <w:rPr>
                <w:rFonts w:hint="eastAsia"/>
                <w:highlight w:val="none"/>
              </w:rPr>
              <w:t>注册医嘱审方状态</w:t>
            </w:r>
          </w:p>
        </w:tc>
        <w:tc>
          <w:tcPr>
            <w:tcW w:w="1442" w:type="dxa"/>
            <w:tcBorders>
              <w:top w:val="nil"/>
              <w:left w:val="nil"/>
              <w:bottom w:val="single" w:color="auto" w:sz="4" w:space="0"/>
              <w:right w:val="single" w:color="auto" w:sz="4" w:space="0"/>
            </w:tcBorders>
            <w:shd w:val="clear" w:color="000000" w:fill="FFFFFF"/>
            <w:vAlign w:val="center"/>
          </w:tcPr>
          <w:p w14:paraId="0E44392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0E64961">
            <w:pPr>
              <w:pStyle w:val="38"/>
              <w:rPr>
                <w:rFonts w:hint="eastAsia"/>
                <w:highlight w:val="none"/>
              </w:rPr>
            </w:pPr>
          </w:p>
        </w:tc>
      </w:tr>
      <w:tr w14:paraId="2ECDD3F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3AFBE0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BFFEF23">
            <w:pPr>
              <w:pStyle w:val="38"/>
              <w:jc w:val="center"/>
              <w:rPr>
                <w:rFonts w:hint="eastAsia"/>
                <w:highlight w:val="none"/>
              </w:rPr>
            </w:pPr>
            <w:r>
              <w:rPr>
                <w:rFonts w:hint="eastAsia"/>
                <w:highlight w:val="none"/>
              </w:rPr>
              <w:t>OU0081</w:t>
            </w:r>
          </w:p>
        </w:tc>
        <w:tc>
          <w:tcPr>
            <w:tcW w:w="2221" w:type="dxa"/>
            <w:tcBorders>
              <w:top w:val="nil"/>
              <w:left w:val="nil"/>
              <w:bottom w:val="single" w:color="auto" w:sz="4" w:space="0"/>
              <w:right w:val="single" w:color="auto" w:sz="4" w:space="0"/>
            </w:tcBorders>
            <w:noWrap/>
            <w:vAlign w:val="center"/>
          </w:tcPr>
          <w:p w14:paraId="1538ADD5">
            <w:pPr>
              <w:pStyle w:val="38"/>
              <w:rPr>
                <w:rFonts w:hint="eastAsia"/>
                <w:highlight w:val="none"/>
              </w:rPr>
            </w:pPr>
            <w:r>
              <w:rPr>
                <w:rFonts w:hint="eastAsia"/>
                <w:highlight w:val="none"/>
              </w:rPr>
              <w:t>变更医嘱审方状态</w:t>
            </w:r>
          </w:p>
        </w:tc>
        <w:tc>
          <w:tcPr>
            <w:tcW w:w="1442" w:type="dxa"/>
            <w:tcBorders>
              <w:top w:val="nil"/>
              <w:left w:val="nil"/>
              <w:bottom w:val="single" w:color="auto" w:sz="4" w:space="0"/>
              <w:right w:val="single" w:color="auto" w:sz="4" w:space="0"/>
            </w:tcBorders>
            <w:shd w:val="clear" w:color="000000" w:fill="FFFFFF"/>
            <w:vAlign w:val="center"/>
          </w:tcPr>
          <w:p w14:paraId="3B9F1E0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0A703F6">
            <w:pPr>
              <w:pStyle w:val="38"/>
              <w:rPr>
                <w:rFonts w:hint="eastAsia"/>
                <w:highlight w:val="none"/>
              </w:rPr>
            </w:pPr>
          </w:p>
        </w:tc>
      </w:tr>
      <w:tr w14:paraId="7EB694C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81726E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C29089C">
            <w:pPr>
              <w:pStyle w:val="38"/>
              <w:jc w:val="center"/>
              <w:rPr>
                <w:rFonts w:hint="eastAsia"/>
                <w:highlight w:val="none"/>
              </w:rPr>
            </w:pPr>
            <w:r>
              <w:rPr>
                <w:rFonts w:hint="eastAsia"/>
                <w:highlight w:val="none"/>
              </w:rPr>
              <w:t>OD0082</w:t>
            </w:r>
          </w:p>
        </w:tc>
        <w:tc>
          <w:tcPr>
            <w:tcW w:w="2221" w:type="dxa"/>
            <w:tcBorders>
              <w:top w:val="nil"/>
              <w:left w:val="nil"/>
              <w:bottom w:val="single" w:color="auto" w:sz="4" w:space="0"/>
              <w:right w:val="single" w:color="auto" w:sz="4" w:space="0"/>
            </w:tcBorders>
            <w:noWrap/>
            <w:vAlign w:val="center"/>
          </w:tcPr>
          <w:p w14:paraId="57175157">
            <w:pPr>
              <w:pStyle w:val="38"/>
              <w:rPr>
                <w:rFonts w:hint="eastAsia"/>
                <w:highlight w:val="none"/>
              </w:rPr>
            </w:pPr>
            <w:r>
              <w:rPr>
                <w:rFonts w:hint="eastAsia"/>
                <w:highlight w:val="none"/>
              </w:rPr>
              <w:t>撤销医嘱审方状态</w:t>
            </w:r>
          </w:p>
        </w:tc>
        <w:tc>
          <w:tcPr>
            <w:tcW w:w="1442" w:type="dxa"/>
            <w:tcBorders>
              <w:top w:val="nil"/>
              <w:left w:val="nil"/>
              <w:bottom w:val="single" w:color="auto" w:sz="4" w:space="0"/>
              <w:right w:val="single" w:color="auto" w:sz="4" w:space="0"/>
            </w:tcBorders>
            <w:shd w:val="clear" w:color="000000" w:fill="FFFFFF"/>
            <w:vAlign w:val="center"/>
          </w:tcPr>
          <w:p w14:paraId="6495D77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CD85650">
            <w:pPr>
              <w:pStyle w:val="38"/>
              <w:rPr>
                <w:rFonts w:hint="eastAsia"/>
                <w:highlight w:val="none"/>
              </w:rPr>
            </w:pPr>
          </w:p>
        </w:tc>
      </w:tr>
      <w:tr w14:paraId="560349B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6407A0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58D06D">
            <w:pPr>
              <w:pStyle w:val="38"/>
              <w:jc w:val="center"/>
              <w:rPr>
                <w:rFonts w:hint="eastAsia"/>
                <w:highlight w:val="none"/>
              </w:rPr>
            </w:pPr>
            <w:r>
              <w:rPr>
                <w:rFonts w:hint="eastAsia"/>
                <w:highlight w:val="none"/>
              </w:rPr>
              <w:t>OI0083</w:t>
            </w:r>
          </w:p>
        </w:tc>
        <w:tc>
          <w:tcPr>
            <w:tcW w:w="2221" w:type="dxa"/>
            <w:tcBorders>
              <w:top w:val="nil"/>
              <w:left w:val="nil"/>
              <w:bottom w:val="single" w:color="auto" w:sz="4" w:space="0"/>
              <w:right w:val="single" w:color="auto" w:sz="4" w:space="0"/>
            </w:tcBorders>
            <w:noWrap/>
            <w:vAlign w:val="center"/>
          </w:tcPr>
          <w:p w14:paraId="6E7B4796">
            <w:pPr>
              <w:pStyle w:val="38"/>
              <w:rPr>
                <w:rFonts w:hint="eastAsia"/>
                <w:highlight w:val="none"/>
              </w:rPr>
            </w:pPr>
            <w:r>
              <w:rPr>
                <w:rFonts w:hint="eastAsia"/>
                <w:highlight w:val="none"/>
              </w:rPr>
              <w:t>注册医嘱执行单信息</w:t>
            </w:r>
          </w:p>
        </w:tc>
        <w:tc>
          <w:tcPr>
            <w:tcW w:w="1442" w:type="dxa"/>
            <w:tcBorders>
              <w:top w:val="nil"/>
              <w:left w:val="nil"/>
              <w:bottom w:val="single" w:color="auto" w:sz="4" w:space="0"/>
              <w:right w:val="single" w:color="auto" w:sz="4" w:space="0"/>
            </w:tcBorders>
            <w:shd w:val="clear" w:color="000000" w:fill="FFFFFF"/>
            <w:vAlign w:val="center"/>
          </w:tcPr>
          <w:p w14:paraId="2225BF8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0ED18B8">
            <w:pPr>
              <w:pStyle w:val="38"/>
              <w:rPr>
                <w:rFonts w:hint="eastAsia"/>
                <w:highlight w:val="none"/>
              </w:rPr>
            </w:pPr>
          </w:p>
        </w:tc>
      </w:tr>
      <w:tr w14:paraId="7467C70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A5FDDC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433E07B">
            <w:pPr>
              <w:pStyle w:val="38"/>
              <w:jc w:val="center"/>
              <w:rPr>
                <w:rFonts w:hint="eastAsia"/>
                <w:highlight w:val="none"/>
              </w:rPr>
            </w:pPr>
            <w:r>
              <w:rPr>
                <w:rFonts w:hint="eastAsia"/>
                <w:highlight w:val="none"/>
              </w:rPr>
              <w:t>OD0084</w:t>
            </w:r>
          </w:p>
        </w:tc>
        <w:tc>
          <w:tcPr>
            <w:tcW w:w="2221" w:type="dxa"/>
            <w:tcBorders>
              <w:top w:val="nil"/>
              <w:left w:val="nil"/>
              <w:bottom w:val="single" w:color="auto" w:sz="4" w:space="0"/>
              <w:right w:val="single" w:color="auto" w:sz="4" w:space="0"/>
            </w:tcBorders>
            <w:noWrap/>
            <w:vAlign w:val="center"/>
          </w:tcPr>
          <w:p w14:paraId="2961B033">
            <w:pPr>
              <w:pStyle w:val="38"/>
              <w:rPr>
                <w:rFonts w:hint="eastAsia"/>
                <w:highlight w:val="none"/>
              </w:rPr>
            </w:pPr>
            <w:r>
              <w:rPr>
                <w:rFonts w:hint="eastAsia"/>
                <w:highlight w:val="none"/>
              </w:rPr>
              <w:t>作废医嘱执行单信息</w:t>
            </w:r>
          </w:p>
        </w:tc>
        <w:tc>
          <w:tcPr>
            <w:tcW w:w="1442" w:type="dxa"/>
            <w:tcBorders>
              <w:top w:val="nil"/>
              <w:left w:val="nil"/>
              <w:bottom w:val="single" w:color="auto" w:sz="4" w:space="0"/>
              <w:right w:val="single" w:color="auto" w:sz="4" w:space="0"/>
            </w:tcBorders>
            <w:shd w:val="clear" w:color="000000" w:fill="FFFFFF"/>
            <w:vAlign w:val="center"/>
          </w:tcPr>
          <w:p w14:paraId="3F95A6D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4DD592B">
            <w:pPr>
              <w:pStyle w:val="38"/>
              <w:rPr>
                <w:rFonts w:hint="eastAsia"/>
                <w:highlight w:val="none"/>
              </w:rPr>
            </w:pPr>
          </w:p>
        </w:tc>
      </w:tr>
      <w:tr w14:paraId="63FB7A16">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2280AF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39A5A06">
            <w:pPr>
              <w:pStyle w:val="38"/>
              <w:jc w:val="center"/>
              <w:rPr>
                <w:rFonts w:hint="eastAsia"/>
                <w:highlight w:val="none"/>
              </w:rPr>
            </w:pPr>
            <w:r>
              <w:rPr>
                <w:rFonts w:hint="eastAsia"/>
                <w:highlight w:val="none"/>
              </w:rPr>
              <w:t>OU0085</w:t>
            </w:r>
          </w:p>
        </w:tc>
        <w:tc>
          <w:tcPr>
            <w:tcW w:w="2221" w:type="dxa"/>
            <w:tcBorders>
              <w:top w:val="nil"/>
              <w:left w:val="nil"/>
              <w:bottom w:val="single" w:color="auto" w:sz="4" w:space="0"/>
              <w:right w:val="single" w:color="auto" w:sz="4" w:space="0"/>
            </w:tcBorders>
            <w:noWrap/>
            <w:vAlign w:val="center"/>
          </w:tcPr>
          <w:p w14:paraId="76D598AA">
            <w:pPr>
              <w:pStyle w:val="38"/>
              <w:rPr>
                <w:rFonts w:hint="eastAsia"/>
                <w:highlight w:val="none"/>
              </w:rPr>
            </w:pPr>
            <w:r>
              <w:rPr>
                <w:rFonts w:hint="eastAsia"/>
                <w:highlight w:val="none"/>
              </w:rPr>
              <w:t>注册医嘱执行事件</w:t>
            </w:r>
          </w:p>
        </w:tc>
        <w:tc>
          <w:tcPr>
            <w:tcW w:w="1442" w:type="dxa"/>
            <w:tcBorders>
              <w:top w:val="nil"/>
              <w:left w:val="nil"/>
              <w:bottom w:val="single" w:color="auto" w:sz="4" w:space="0"/>
              <w:right w:val="single" w:color="auto" w:sz="4" w:space="0"/>
            </w:tcBorders>
            <w:shd w:val="clear" w:color="000000" w:fill="FFFFFF"/>
            <w:vAlign w:val="center"/>
          </w:tcPr>
          <w:p w14:paraId="1E4C9784">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0CA99383">
            <w:pPr>
              <w:pStyle w:val="38"/>
              <w:rPr>
                <w:rFonts w:hint="eastAsia"/>
                <w:highlight w:val="none"/>
              </w:rPr>
            </w:pPr>
            <w:r>
              <w:rPr>
                <w:rFonts w:hint="eastAsia"/>
                <w:highlight w:val="none"/>
              </w:rPr>
              <w:t>医嘱执行状态信息更新服务</w:t>
            </w:r>
          </w:p>
        </w:tc>
      </w:tr>
      <w:tr w14:paraId="020F976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C1C7B4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974404E">
            <w:pPr>
              <w:pStyle w:val="38"/>
              <w:jc w:val="center"/>
              <w:rPr>
                <w:rFonts w:hint="eastAsia"/>
                <w:highlight w:val="none"/>
              </w:rPr>
            </w:pPr>
            <w:r>
              <w:rPr>
                <w:rFonts w:hint="eastAsia"/>
                <w:highlight w:val="none"/>
              </w:rPr>
              <w:t>OI0087</w:t>
            </w:r>
          </w:p>
        </w:tc>
        <w:tc>
          <w:tcPr>
            <w:tcW w:w="2221" w:type="dxa"/>
            <w:tcBorders>
              <w:top w:val="nil"/>
              <w:left w:val="nil"/>
              <w:bottom w:val="single" w:color="auto" w:sz="4" w:space="0"/>
              <w:right w:val="single" w:color="auto" w:sz="4" w:space="0"/>
            </w:tcBorders>
            <w:noWrap/>
            <w:vAlign w:val="center"/>
          </w:tcPr>
          <w:p w14:paraId="318DE87A">
            <w:pPr>
              <w:pStyle w:val="38"/>
              <w:rPr>
                <w:rFonts w:hint="eastAsia"/>
                <w:highlight w:val="none"/>
              </w:rPr>
            </w:pPr>
            <w:r>
              <w:rPr>
                <w:rFonts w:hint="eastAsia"/>
                <w:highlight w:val="none"/>
              </w:rPr>
              <w:t>注册医嘱审核信息</w:t>
            </w:r>
          </w:p>
        </w:tc>
        <w:tc>
          <w:tcPr>
            <w:tcW w:w="1442" w:type="dxa"/>
            <w:tcBorders>
              <w:top w:val="nil"/>
              <w:left w:val="nil"/>
              <w:bottom w:val="single" w:color="auto" w:sz="4" w:space="0"/>
              <w:right w:val="single" w:color="auto" w:sz="4" w:space="0"/>
            </w:tcBorders>
            <w:shd w:val="clear" w:color="000000" w:fill="FFFFFF"/>
            <w:vAlign w:val="center"/>
          </w:tcPr>
          <w:p w14:paraId="3E42F04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87D64A1">
            <w:pPr>
              <w:pStyle w:val="38"/>
              <w:rPr>
                <w:rFonts w:hint="eastAsia"/>
                <w:highlight w:val="none"/>
              </w:rPr>
            </w:pPr>
          </w:p>
        </w:tc>
      </w:tr>
      <w:tr w14:paraId="1F34E40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5BFC7E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ECE197A">
            <w:pPr>
              <w:pStyle w:val="38"/>
              <w:jc w:val="center"/>
              <w:rPr>
                <w:rFonts w:hint="eastAsia"/>
                <w:highlight w:val="none"/>
              </w:rPr>
            </w:pPr>
            <w:r>
              <w:rPr>
                <w:rFonts w:hint="eastAsia"/>
                <w:highlight w:val="none"/>
              </w:rPr>
              <w:t>OI0089</w:t>
            </w:r>
          </w:p>
        </w:tc>
        <w:tc>
          <w:tcPr>
            <w:tcW w:w="2221" w:type="dxa"/>
            <w:tcBorders>
              <w:top w:val="nil"/>
              <w:left w:val="nil"/>
              <w:bottom w:val="single" w:color="auto" w:sz="4" w:space="0"/>
              <w:right w:val="single" w:color="auto" w:sz="4" w:space="0"/>
            </w:tcBorders>
            <w:noWrap/>
            <w:vAlign w:val="center"/>
          </w:tcPr>
          <w:p w14:paraId="7AFB6BED">
            <w:pPr>
              <w:pStyle w:val="38"/>
              <w:rPr>
                <w:rFonts w:hint="eastAsia"/>
                <w:highlight w:val="none"/>
              </w:rPr>
            </w:pPr>
            <w:r>
              <w:rPr>
                <w:rFonts w:hint="eastAsia"/>
                <w:highlight w:val="none"/>
              </w:rPr>
              <w:t>注册住院发药记录信息</w:t>
            </w:r>
          </w:p>
        </w:tc>
        <w:tc>
          <w:tcPr>
            <w:tcW w:w="1442" w:type="dxa"/>
            <w:tcBorders>
              <w:top w:val="nil"/>
              <w:left w:val="nil"/>
              <w:bottom w:val="single" w:color="auto" w:sz="4" w:space="0"/>
              <w:right w:val="single" w:color="auto" w:sz="4" w:space="0"/>
            </w:tcBorders>
            <w:shd w:val="clear" w:color="000000" w:fill="FFFFFF"/>
            <w:vAlign w:val="center"/>
          </w:tcPr>
          <w:p w14:paraId="24002EC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DDACFE8">
            <w:pPr>
              <w:pStyle w:val="38"/>
              <w:rPr>
                <w:rFonts w:hint="eastAsia"/>
                <w:highlight w:val="none"/>
              </w:rPr>
            </w:pPr>
          </w:p>
        </w:tc>
      </w:tr>
      <w:tr w14:paraId="152A1DD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6B6C6C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92F09D6">
            <w:pPr>
              <w:pStyle w:val="38"/>
              <w:jc w:val="center"/>
              <w:rPr>
                <w:rFonts w:hint="eastAsia"/>
                <w:highlight w:val="none"/>
              </w:rPr>
            </w:pPr>
            <w:r>
              <w:rPr>
                <w:rFonts w:hint="eastAsia"/>
                <w:highlight w:val="none"/>
              </w:rPr>
              <w:t>OI0223</w:t>
            </w:r>
          </w:p>
        </w:tc>
        <w:tc>
          <w:tcPr>
            <w:tcW w:w="2221" w:type="dxa"/>
            <w:tcBorders>
              <w:top w:val="nil"/>
              <w:left w:val="nil"/>
              <w:bottom w:val="single" w:color="auto" w:sz="4" w:space="0"/>
              <w:right w:val="single" w:color="auto" w:sz="4" w:space="0"/>
            </w:tcBorders>
            <w:noWrap/>
            <w:vAlign w:val="center"/>
          </w:tcPr>
          <w:p w14:paraId="34B36158">
            <w:pPr>
              <w:pStyle w:val="38"/>
              <w:rPr>
                <w:rFonts w:hint="eastAsia"/>
                <w:highlight w:val="none"/>
              </w:rPr>
            </w:pPr>
            <w:r>
              <w:rPr>
                <w:rFonts w:hint="eastAsia"/>
                <w:highlight w:val="none"/>
              </w:rPr>
              <w:t>注册住院退药信息</w:t>
            </w:r>
          </w:p>
        </w:tc>
        <w:tc>
          <w:tcPr>
            <w:tcW w:w="1442" w:type="dxa"/>
            <w:tcBorders>
              <w:top w:val="nil"/>
              <w:left w:val="nil"/>
              <w:bottom w:val="single" w:color="auto" w:sz="4" w:space="0"/>
              <w:right w:val="single" w:color="auto" w:sz="4" w:space="0"/>
            </w:tcBorders>
            <w:shd w:val="clear" w:color="000000" w:fill="FFFFFF"/>
            <w:vAlign w:val="center"/>
          </w:tcPr>
          <w:p w14:paraId="7A50D44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AD4CB63">
            <w:pPr>
              <w:pStyle w:val="38"/>
              <w:rPr>
                <w:rFonts w:hint="eastAsia"/>
                <w:highlight w:val="none"/>
              </w:rPr>
            </w:pPr>
          </w:p>
        </w:tc>
      </w:tr>
      <w:tr w14:paraId="4E1185D2">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EC78D0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8BB8A7B">
            <w:pPr>
              <w:pStyle w:val="38"/>
              <w:jc w:val="center"/>
              <w:rPr>
                <w:rFonts w:hint="eastAsia"/>
                <w:highlight w:val="none"/>
              </w:rPr>
            </w:pPr>
            <w:r>
              <w:rPr>
                <w:rFonts w:hint="eastAsia"/>
                <w:highlight w:val="none"/>
              </w:rPr>
              <w:t>OI0090</w:t>
            </w:r>
          </w:p>
        </w:tc>
        <w:tc>
          <w:tcPr>
            <w:tcW w:w="2221" w:type="dxa"/>
            <w:tcBorders>
              <w:top w:val="nil"/>
              <w:left w:val="nil"/>
              <w:bottom w:val="single" w:color="auto" w:sz="4" w:space="0"/>
              <w:right w:val="single" w:color="auto" w:sz="4" w:space="0"/>
            </w:tcBorders>
            <w:noWrap/>
            <w:vAlign w:val="center"/>
          </w:tcPr>
          <w:p w14:paraId="2DD16AAE">
            <w:pPr>
              <w:pStyle w:val="38"/>
              <w:rPr>
                <w:rFonts w:hint="eastAsia"/>
                <w:highlight w:val="none"/>
              </w:rPr>
            </w:pPr>
            <w:r>
              <w:rPr>
                <w:rFonts w:hint="eastAsia"/>
                <w:highlight w:val="none"/>
              </w:rPr>
              <w:t>注册摆药事件</w:t>
            </w:r>
          </w:p>
        </w:tc>
        <w:tc>
          <w:tcPr>
            <w:tcW w:w="1442" w:type="dxa"/>
            <w:tcBorders>
              <w:top w:val="nil"/>
              <w:left w:val="nil"/>
              <w:bottom w:val="single" w:color="auto" w:sz="4" w:space="0"/>
              <w:right w:val="single" w:color="auto" w:sz="4" w:space="0"/>
            </w:tcBorders>
            <w:shd w:val="clear" w:color="000000" w:fill="FFFFFF"/>
            <w:vAlign w:val="center"/>
          </w:tcPr>
          <w:p w14:paraId="5401B71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FE9C2F6">
            <w:pPr>
              <w:pStyle w:val="38"/>
              <w:rPr>
                <w:rFonts w:hint="eastAsia"/>
                <w:highlight w:val="none"/>
              </w:rPr>
            </w:pPr>
          </w:p>
        </w:tc>
      </w:tr>
      <w:tr w14:paraId="535C9D0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4B0F21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E980A21">
            <w:pPr>
              <w:pStyle w:val="38"/>
              <w:jc w:val="center"/>
              <w:rPr>
                <w:rFonts w:hint="eastAsia"/>
                <w:highlight w:val="none"/>
              </w:rPr>
            </w:pPr>
            <w:r>
              <w:rPr>
                <w:rFonts w:hint="eastAsia"/>
                <w:highlight w:val="none"/>
              </w:rPr>
              <w:t>OI0093</w:t>
            </w:r>
          </w:p>
        </w:tc>
        <w:tc>
          <w:tcPr>
            <w:tcW w:w="2221" w:type="dxa"/>
            <w:tcBorders>
              <w:top w:val="nil"/>
              <w:left w:val="nil"/>
              <w:bottom w:val="single" w:color="auto" w:sz="4" w:space="0"/>
              <w:right w:val="single" w:color="auto" w:sz="4" w:space="0"/>
            </w:tcBorders>
            <w:noWrap/>
            <w:vAlign w:val="center"/>
          </w:tcPr>
          <w:p w14:paraId="08DD2CA5">
            <w:pPr>
              <w:pStyle w:val="38"/>
              <w:rPr>
                <w:rFonts w:hint="eastAsia"/>
                <w:highlight w:val="none"/>
              </w:rPr>
            </w:pPr>
            <w:r>
              <w:rPr>
                <w:rFonts w:hint="eastAsia"/>
                <w:highlight w:val="none"/>
              </w:rPr>
              <w:t>注册药品不良反应信息</w:t>
            </w:r>
          </w:p>
        </w:tc>
        <w:tc>
          <w:tcPr>
            <w:tcW w:w="1442" w:type="dxa"/>
            <w:tcBorders>
              <w:top w:val="nil"/>
              <w:left w:val="nil"/>
              <w:bottom w:val="single" w:color="auto" w:sz="4" w:space="0"/>
              <w:right w:val="single" w:color="auto" w:sz="4" w:space="0"/>
            </w:tcBorders>
            <w:shd w:val="clear" w:color="000000" w:fill="FFFFFF"/>
            <w:vAlign w:val="center"/>
          </w:tcPr>
          <w:p w14:paraId="7B83A0A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B6B54A3">
            <w:pPr>
              <w:pStyle w:val="38"/>
              <w:rPr>
                <w:rFonts w:hint="eastAsia"/>
                <w:highlight w:val="none"/>
              </w:rPr>
            </w:pPr>
          </w:p>
        </w:tc>
      </w:tr>
      <w:tr w14:paraId="71EB32B9">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79DFEF3D">
            <w:pPr>
              <w:pStyle w:val="38"/>
              <w:jc w:val="center"/>
              <w:rPr>
                <w:rFonts w:hint="eastAsia"/>
                <w:highlight w:val="none"/>
              </w:rPr>
            </w:pPr>
            <w:r>
              <w:rPr>
                <w:rFonts w:hint="eastAsia"/>
                <w:highlight w:val="none"/>
              </w:rPr>
              <w:t>用血</w:t>
            </w:r>
          </w:p>
        </w:tc>
        <w:tc>
          <w:tcPr>
            <w:tcW w:w="1998" w:type="dxa"/>
            <w:tcBorders>
              <w:top w:val="nil"/>
              <w:left w:val="nil"/>
              <w:bottom w:val="single" w:color="auto" w:sz="4" w:space="0"/>
              <w:right w:val="single" w:color="auto" w:sz="4" w:space="0"/>
            </w:tcBorders>
            <w:shd w:val="clear" w:color="000000" w:fill="FFFFFF"/>
            <w:vAlign w:val="center"/>
          </w:tcPr>
          <w:p w14:paraId="4D425BB5">
            <w:pPr>
              <w:pStyle w:val="38"/>
              <w:jc w:val="center"/>
              <w:rPr>
                <w:rFonts w:hint="eastAsia"/>
                <w:highlight w:val="none"/>
              </w:rPr>
            </w:pPr>
            <w:r>
              <w:rPr>
                <w:rFonts w:hint="eastAsia"/>
                <w:highlight w:val="none"/>
              </w:rPr>
              <w:t>UI0094</w:t>
            </w:r>
          </w:p>
        </w:tc>
        <w:tc>
          <w:tcPr>
            <w:tcW w:w="2221" w:type="dxa"/>
            <w:tcBorders>
              <w:top w:val="nil"/>
              <w:left w:val="nil"/>
              <w:bottom w:val="single" w:color="auto" w:sz="4" w:space="0"/>
              <w:right w:val="single" w:color="auto" w:sz="4" w:space="0"/>
            </w:tcBorders>
            <w:noWrap/>
            <w:vAlign w:val="center"/>
          </w:tcPr>
          <w:p w14:paraId="68A51D9F">
            <w:pPr>
              <w:pStyle w:val="38"/>
              <w:rPr>
                <w:rFonts w:hint="eastAsia"/>
                <w:highlight w:val="none"/>
              </w:rPr>
            </w:pPr>
            <w:r>
              <w:rPr>
                <w:rFonts w:hint="eastAsia"/>
                <w:highlight w:val="none"/>
              </w:rPr>
              <w:t>注册用血申请单信息</w:t>
            </w:r>
          </w:p>
        </w:tc>
        <w:tc>
          <w:tcPr>
            <w:tcW w:w="1442" w:type="dxa"/>
            <w:tcBorders>
              <w:top w:val="nil"/>
              <w:left w:val="nil"/>
              <w:bottom w:val="single" w:color="auto" w:sz="4" w:space="0"/>
              <w:right w:val="single" w:color="auto" w:sz="4" w:space="0"/>
            </w:tcBorders>
            <w:shd w:val="clear" w:color="000000" w:fill="FFFFFF"/>
            <w:vAlign w:val="center"/>
          </w:tcPr>
          <w:p w14:paraId="35C05109">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49A41F07">
            <w:pPr>
              <w:pStyle w:val="38"/>
              <w:rPr>
                <w:rFonts w:hint="eastAsia"/>
                <w:highlight w:val="none"/>
              </w:rPr>
            </w:pPr>
            <w:r>
              <w:rPr>
                <w:rFonts w:hint="eastAsia"/>
                <w:highlight w:val="none"/>
              </w:rPr>
              <w:t>输血申请信息新增服务</w:t>
            </w:r>
          </w:p>
        </w:tc>
      </w:tr>
      <w:tr w14:paraId="72EE5115">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5D675C5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3F56F6C">
            <w:pPr>
              <w:pStyle w:val="38"/>
              <w:jc w:val="center"/>
              <w:rPr>
                <w:rFonts w:hint="eastAsia"/>
                <w:highlight w:val="none"/>
              </w:rPr>
            </w:pPr>
            <w:r>
              <w:rPr>
                <w:rFonts w:hint="eastAsia"/>
                <w:highlight w:val="none"/>
              </w:rPr>
              <w:t>UU0095</w:t>
            </w:r>
          </w:p>
        </w:tc>
        <w:tc>
          <w:tcPr>
            <w:tcW w:w="2221" w:type="dxa"/>
            <w:tcBorders>
              <w:top w:val="nil"/>
              <w:left w:val="nil"/>
              <w:bottom w:val="single" w:color="auto" w:sz="4" w:space="0"/>
              <w:right w:val="single" w:color="auto" w:sz="4" w:space="0"/>
            </w:tcBorders>
            <w:noWrap/>
            <w:vAlign w:val="center"/>
          </w:tcPr>
          <w:p w14:paraId="5873E3E2">
            <w:pPr>
              <w:pStyle w:val="38"/>
              <w:rPr>
                <w:rFonts w:hint="eastAsia"/>
                <w:highlight w:val="none"/>
              </w:rPr>
            </w:pPr>
            <w:r>
              <w:rPr>
                <w:rFonts w:hint="eastAsia"/>
                <w:highlight w:val="none"/>
              </w:rPr>
              <w:t>变更用血申请单信息</w:t>
            </w:r>
          </w:p>
        </w:tc>
        <w:tc>
          <w:tcPr>
            <w:tcW w:w="1442" w:type="dxa"/>
            <w:tcBorders>
              <w:top w:val="nil"/>
              <w:left w:val="nil"/>
              <w:bottom w:val="single" w:color="auto" w:sz="4" w:space="0"/>
              <w:right w:val="single" w:color="auto" w:sz="4" w:space="0"/>
            </w:tcBorders>
            <w:shd w:val="clear" w:color="000000" w:fill="FFFFFF"/>
            <w:vAlign w:val="center"/>
          </w:tcPr>
          <w:p w14:paraId="13C528AA">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0BBB2EB3">
            <w:pPr>
              <w:pStyle w:val="38"/>
              <w:rPr>
                <w:rFonts w:hint="eastAsia"/>
                <w:highlight w:val="none"/>
              </w:rPr>
            </w:pPr>
            <w:r>
              <w:rPr>
                <w:rFonts w:hint="eastAsia"/>
                <w:highlight w:val="none"/>
              </w:rPr>
              <w:t>输血申请信息更新服务</w:t>
            </w:r>
          </w:p>
        </w:tc>
      </w:tr>
      <w:tr w14:paraId="672B09E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3E83C5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BEAFCC3">
            <w:pPr>
              <w:pStyle w:val="38"/>
              <w:jc w:val="center"/>
              <w:rPr>
                <w:rFonts w:hint="eastAsia"/>
                <w:highlight w:val="none"/>
              </w:rPr>
            </w:pPr>
            <w:r>
              <w:rPr>
                <w:rFonts w:hint="eastAsia"/>
                <w:highlight w:val="none"/>
              </w:rPr>
              <w:t>UD0096</w:t>
            </w:r>
          </w:p>
        </w:tc>
        <w:tc>
          <w:tcPr>
            <w:tcW w:w="2221" w:type="dxa"/>
            <w:tcBorders>
              <w:top w:val="nil"/>
              <w:left w:val="nil"/>
              <w:bottom w:val="single" w:color="auto" w:sz="4" w:space="0"/>
              <w:right w:val="single" w:color="auto" w:sz="4" w:space="0"/>
            </w:tcBorders>
            <w:noWrap/>
            <w:vAlign w:val="center"/>
          </w:tcPr>
          <w:p w14:paraId="16583F64">
            <w:pPr>
              <w:pStyle w:val="38"/>
              <w:rPr>
                <w:rFonts w:hint="eastAsia"/>
                <w:highlight w:val="none"/>
              </w:rPr>
            </w:pPr>
            <w:r>
              <w:rPr>
                <w:rFonts w:hint="eastAsia"/>
                <w:highlight w:val="none"/>
              </w:rPr>
              <w:t>作废用血申请单信息</w:t>
            </w:r>
          </w:p>
        </w:tc>
        <w:tc>
          <w:tcPr>
            <w:tcW w:w="1442" w:type="dxa"/>
            <w:tcBorders>
              <w:top w:val="nil"/>
              <w:left w:val="nil"/>
              <w:bottom w:val="single" w:color="auto" w:sz="4" w:space="0"/>
              <w:right w:val="single" w:color="auto" w:sz="4" w:space="0"/>
            </w:tcBorders>
            <w:shd w:val="clear" w:color="000000" w:fill="FFFFFF"/>
            <w:vAlign w:val="center"/>
          </w:tcPr>
          <w:p w14:paraId="13C3ADC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617C186">
            <w:pPr>
              <w:pStyle w:val="38"/>
              <w:rPr>
                <w:rFonts w:hint="eastAsia"/>
                <w:highlight w:val="none"/>
              </w:rPr>
            </w:pPr>
          </w:p>
        </w:tc>
      </w:tr>
      <w:tr w14:paraId="5FD4722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5D5856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A01A35A">
            <w:pPr>
              <w:pStyle w:val="38"/>
              <w:jc w:val="center"/>
              <w:rPr>
                <w:rFonts w:hint="eastAsia"/>
                <w:highlight w:val="none"/>
              </w:rPr>
            </w:pPr>
            <w:r>
              <w:rPr>
                <w:rFonts w:hint="eastAsia"/>
                <w:highlight w:val="none"/>
              </w:rPr>
              <w:t>UI0098</w:t>
            </w:r>
          </w:p>
        </w:tc>
        <w:tc>
          <w:tcPr>
            <w:tcW w:w="2221" w:type="dxa"/>
            <w:tcBorders>
              <w:top w:val="nil"/>
              <w:left w:val="nil"/>
              <w:bottom w:val="single" w:color="auto" w:sz="4" w:space="0"/>
              <w:right w:val="single" w:color="auto" w:sz="4" w:space="0"/>
            </w:tcBorders>
            <w:noWrap/>
            <w:vAlign w:val="center"/>
          </w:tcPr>
          <w:p w14:paraId="5F3E2483">
            <w:pPr>
              <w:pStyle w:val="38"/>
              <w:rPr>
                <w:rFonts w:hint="eastAsia"/>
                <w:highlight w:val="none"/>
              </w:rPr>
            </w:pPr>
            <w:r>
              <w:rPr>
                <w:rFonts w:hint="eastAsia"/>
                <w:highlight w:val="none"/>
              </w:rPr>
              <w:t>注册输血医嘱三级审批信息</w:t>
            </w:r>
          </w:p>
        </w:tc>
        <w:tc>
          <w:tcPr>
            <w:tcW w:w="1442" w:type="dxa"/>
            <w:tcBorders>
              <w:top w:val="nil"/>
              <w:left w:val="nil"/>
              <w:bottom w:val="single" w:color="auto" w:sz="4" w:space="0"/>
              <w:right w:val="single" w:color="auto" w:sz="4" w:space="0"/>
            </w:tcBorders>
            <w:shd w:val="clear" w:color="000000" w:fill="FFFFFF"/>
            <w:vAlign w:val="center"/>
          </w:tcPr>
          <w:p w14:paraId="0D47EB5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12E12F5">
            <w:pPr>
              <w:pStyle w:val="38"/>
              <w:rPr>
                <w:rFonts w:hint="eastAsia"/>
                <w:highlight w:val="none"/>
              </w:rPr>
            </w:pPr>
          </w:p>
        </w:tc>
      </w:tr>
      <w:tr w14:paraId="6EACAA6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947A9C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4987135">
            <w:pPr>
              <w:pStyle w:val="38"/>
              <w:jc w:val="center"/>
              <w:rPr>
                <w:rFonts w:hint="eastAsia"/>
                <w:highlight w:val="none"/>
              </w:rPr>
            </w:pPr>
            <w:r>
              <w:rPr>
                <w:rFonts w:hint="eastAsia"/>
                <w:highlight w:val="none"/>
              </w:rPr>
              <w:t>UI0101</w:t>
            </w:r>
          </w:p>
        </w:tc>
        <w:tc>
          <w:tcPr>
            <w:tcW w:w="2221" w:type="dxa"/>
            <w:tcBorders>
              <w:top w:val="nil"/>
              <w:left w:val="nil"/>
              <w:bottom w:val="single" w:color="auto" w:sz="4" w:space="0"/>
              <w:right w:val="single" w:color="auto" w:sz="4" w:space="0"/>
            </w:tcBorders>
            <w:noWrap/>
            <w:vAlign w:val="center"/>
          </w:tcPr>
          <w:p w14:paraId="08388558">
            <w:pPr>
              <w:pStyle w:val="38"/>
              <w:rPr>
                <w:rFonts w:hint="eastAsia"/>
                <w:highlight w:val="none"/>
              </w:rPr>
            </w:pPr>
            <w:r>
              <w:rPr>
                <w:rFonts w:hint="eastAsia"/>
                <w:highlight w:val="none"/>
              </w:rPr>
              <w:t>注册输血申请单执行事件</w:t>
            </w:r>
          </w:p>
        </w:tc>
        <w:tc>
          <w:tcPr>
            <w:tcW w:w="1442" w:type="dxa"/>
            <w:tcBorders>
              <w:top w:val="nil"/>
              <w:left w:val="nil"/>
              <w:bottom w:val="single" w:color="auto" w:sz="4" w:space="0"/>
              <w:right w:val="single" w:color="auto" w:sz="4" w:space="0"/>
            </w:tcBorders>
            <w:shd w:val="clear" w:color="000000" w:fill="FFFFFF"/>
            <w:vAlign w:val="center"/>
          </w:tcPr>
          <w:p w14:paraId="1A29E42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6BFE1A3">
            <w:pPr>
              <w:pStyle w:val="38"/>
              <w:rPr>
                <w:rFonts w:hint="eastAsia"/>
                <w:highlight w:val="none"/>
              </w:rPr>
            </w:pPr>
          </w:p>
        </w:tc>
      </w:tr>
      <w:tr w14:paraId="5C1FEE9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335AA5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A40B459">
            <w:pPr>
              <w:pStyle w:val="38"/>
              <w:jc w:val="center"/>
              <w:rPr>
                <w:rFonts w:hint="eastAsia"/>
                <w:highlight w:val="none"/>
              </w:rPr>
            </w:pPr>
            <w:r>
              <w:rPr>
                <w:rFonts w:hint="eastAsia"/>
                <w:highlight w:val="none"/>
              </w:rPr>
              <w:t>UI0102</w:t>
            </w:r>
          </w:p>
        </w:tc>
        <w:tc>
          <w:tcPr>
            <w:tcW w:w="2221" w:type="dxa"/>
            <w:tcBorders>
              <w:top w:val="nil"/>
              <w:left w:val="nil"/>
              <w:bottom w:val="single" w:color="auto" w:sz="4" w:space="0"/>
              <w:right w:val="single" w:color="auto" w:sz="4" w:space="0"/>
            </w:tcBorders>
            <w:noWrap/>
            <w:vAlign w:val="center"/>
          </w:tcPr>
          <w:p w14:paraId="7ECC1E4B">
            <w:pPr>
              <w:pStyle w:val="38"/>
              <w:rPr>
                <w:rFonts w:hint="eastAsia"/>
                <w:highlight w:val="none"/>
              </w:rPr>
            </w:pPr>
            <w:r>
              <w:rPr>
                <w:rFonts w:hint="eastAsia"/>
                <w:highlight w:val="none"/>
              </w:rPr>
              <w:t>注册输血不良反应信息</w:t>
            </w:r>
          </w:p>
        </w:tc>
        <w:tc>
          <w:tcPr>
            <w:tcW w:w="1442" w:type="dxa"/>
            <w:tcBorders>
              <w:top w:val="nil"/>
              <w:left w:val="nil"/>
              <w:bottom w:val="single" w:color="auto" w:sz="4" w:space="0"/>
              <w:right w:val="single" w:color="auto" w:sz="4" w:space="0"/>
            </w:tcBorders>
            <w:shd w:val="clear" w:color="000000" w:fill="FFFFFF"/>
            <w:vAlign w:val="center"/>
          </w:tcPr>
          <w:p w14:paraId="64BFFAB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36ADFC6">
            <w:pPr>
              <w:pStyle w:val="38"/>
              <w:rPr>
                <w:rFonts w:hint="eastAsia"/>
                <w:highlight w:val="none"/>
              </w:rPr>
            </w:pPr>
          </w:p>
        </w:tc>
      </w:tr>
      <w:tr w14:paraId="5352EDC0">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06B2295C">
            <w:pPr>
              <w:pStyle w:val="38"/>
              <w:jc w:val="center"/>
              <w:rPr>
                <w:rFonts w:hint="eastAsia"/>
                <w:highlight w:val="none"/>
              </w:rPr>
            </w:pPr>
            <w:r>
              <w:rPr>
                <w:rFonts w:hint="eastAsia"/>
                <w:highlight w:val="none"/>
              </w:rPr>
              <w:t>手术流程</w:t>
            </w:r>
          </w:p>
        </w:tc>
        <w:tc>
          <w:tcPr>
            <w:tcW w:w="1998" w:type="dxa"/>
            <w:tcBorders>
              <w:top w:val="nil"/>
              <w:left w:val="nil"/>
              <w:bottom w:val="single" w:color="auto" w:sz="4" w:space="0"/>
              <w:right w:val="single" w:color="auto" w:sz="4" w:space="0"/>
            </w:tcBorders>
            <w:shd w:val="clear" w:color="000000" w:fill="FFFFFF"/>
            <w:vAlign w:val="center"/>
          </w:tcPr>
          <w:p w14:paraId="7DF6AE8F">
            <w:pPr>
              <w:pStyle w:val="38"/>
              <w:jc w:val="center"/>
              <w:rPr>
                <w:rFonts w:hint="eastAsia"/>
                <w:highlight w:val="none"/>
              </w:rPr>
            </w:pPr>
            <w:r>
              <w:rPr>
                <w:rFonts w:hint="eastAsia"/>
                <w:highlight w:val="none"/>
              </w:rPr>
              <w:t>AI0106</w:t>
            </w:r>
          </w:p>
        </w:tc>
        <w:tc>
          <w:tcPr>
            <w:tcW w:w="2221" w:type="dxa"/>
            <w:tcBorders>
              <w:top w:val="nil"/>
              <w:left w:val="nil"/>
              <w:bottom w:val="single" w:color="auto" w:sz="4" w:space="0"/>
              <w:right w:val="single" w:color="auto" w:sz="4" w:space="0"/>
            </w:tcBorders>
            <w:noWrap/>
            <w:vAlign w:val="center"/>
          </w:tcPr>
          <w:p w14:paraId="29B13AB5">
            <w:pPr>
              <w:pStyle w:val="38"/>
              <w:rPr>
                <w:rFonts w:hint="eastAsia"/>
                <w:highlight w:val="none"/>
              </w:rPr>
            </w:pPr>
            <w:r>
              <w:rPr>
                <w:rFonts w:hint="eastAsia"/>
                <w:highlight w:val="none"/>
              </w:rPr>
              <w:t>注册手术申请单信息</w:t>
            </w:r>
          </w:p>
        </w:tc>
        <w:tc>
          <w:tcPr>
            <w:tcW w:w="1442" w:type="dxa"/>
            <w:tcBorders>
              <w:top w:val="nil"/>
              <w:left w:val="nil"/>
              <w:bottom w:val="single" w:color="auto" w:sz="4" w:space="0"/>
              <w:right w:val="single" w:color="auto" w:sz="4" w:space="0"/>
            </w:tcBorders>
            <w:shd w:val="clear" w:color="000000" w:fill="FFFFFF"/>
            <w:vAlign w:val="center"/>
          </w:tcPr>
          <w:p w14:paraId="69A589C5">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7A136E38">
            <w:pPr>
              <w:pStyle w:val="38"/>
              <w:rPr>
                <w:rFonts w:hint="eastAsia"/>
                <w:highlight w:val="none"/>
              </w:rPr>
            </w:pPr>
            <w:r>
              <w:rPr>
                <w:rFonts w:hint="eastAsia"/>
                <w:highlight w:val="none"/>
              </w:rPr>
              <w:t>手术申请信息新增服务</w:t>
            </w:r>
          </w:p>
        </w:tc>
      </w:tr>
      <w:tr w14:paraId="7417EB3C">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4AF2413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D8EC478">
            <w:pPr>
              <w:pStyle w:val="38"/>
              <w:jc w:val="center"/>
              <w:rPr>
                <w:rFonts w:hint="eastAsia"/>
                <w:highlight w:val="none"/>
              </w:rPr>
            </w:pPr>
            <w:r>
              <w:rPr>
                <w:rFonts w:hint="eastAsia"/>
                <w:highlight w:val="none"/>
              </w:rPr>
              <w:t>AU0107</w:t>
            </w:r>
          </w:p>
        </w:tc>
        <w:tc>
          <w:tcPr>
            <w:tcW w:w="2221" w:type="dxa"/>
            <w:tcBorders>
              <w:top w:val="nil"/>
              <w:left w:val="nil"/>
              <w:bottom w:val="single" w:color="auto" w:sz="4" w:space="0"/>
              <w:right w:val="single" w:color="auto" w:sz="4" w:space="0"/>
            </w:tcBorders>
            <w:noWrap/>
            <w:vAlign w:val="center"/>
          </w:tcPr>
          <w:p w14:paraId="25ECAED0">
            <w:pPr>
              <w:pStyle w:val="38"/>
              <w:rPr>
                <w:rFonts w:hint="eastAsia"/>
                <w:highlight w:val="none"/>
              </w:rPr>
            </w:pPr>
            <w:r>
              <w:rPr>
                <w:rFonts w:hint="eastAsia"/>
                <w:highlight w:val="none"/>
              </w:rPr>
              <w:t>变更手术申请单信息</w:t>
            </w:r>
          </w:p>
        </w:tc>
        <w:tc>
          <w:tcPr>
            <w:tcW w:w="1442" w:type="dxa"/>
            <w:tcBorders>
              <w:top w:val="nil"/>
              <w:left w:val="nil"/>
              <w:bottom w:val="single" w:color="auto" w:sz="4" w:space="0"/>
              <w:right w:val="single" w:color="auto" w:sz="4" w:space="0"/>
            </w:tcBorders>
            <w:shd w:val="clear" w:color="000000" w:fill="FFFFFF"/>
            <w:vAlign w:val="center"/>
          </w:tcPr>
          <w:p w14:paraId="168E216B">
            <w:pPr>
              <w:pStyle w:val="38"/>
              <w:rPr>
                <w:rFonts w:hint="eastAsia"/>
                <w:highlight w:val="none"/>
              </w:rPr>
            </w:pPr>
            <w:r>
              <w:rPr>
                <w:rFonts w:hint="eastAsia"/>
                <w:highlight w:val="none"/>
              </w:rPr>
              <w:t>四级甲等</w:t>
            </w:r>
          </w:p>
        </w:tc>
        <w:tc>
          <w:tcPr>
            <w:tcW w:w="1189" w:type="dxa"/>
            <w:tcBorders>
              <w:top w:val="nil"/>
              <w:left w:val="nil"/>
              <w:bottom w:val="single" w:color="auto" w:sz="4" w:space="0"/>
              <w:right w:val="single" w:color="auto" w:sz="4" w:space="0"/>
            </w:tcBorders>
            <w:shd w:val="clear" w:color="000000" w:fill="FFFFFF"/>
            <w:vAlign w:val="center"/>
          </w:tcPr>
          <w:p w14:paraId="1AC9B142">
            <w:pPr>
              <w:pStyle w:val="38"/>
              <w:rPr>
                <w:rFonts w:hint="eastAsia"/>
                <w:highlight w:val="none"/>
              </w:rPr>
            </w:pPr>
            <w:r>
              <w:rPr>
                <w:rFonts w:hint="eastAsia"/>
                <w:highlight w:val="none"/>
              </w:rPr>
              <w:t>手术申请信息更新服务</w:t>
            </w:r>
          </w:p>
        </w:tc>
      </w:tr>
      <w:tr w14:paraId="54C8C2A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F23152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764A390">
            <w:pPr>
              <w:pStyle w:val="38"/>
              <w:jc w:val="center"/>
              <w:rPr>
                <w:rFonts w:hint="eastAsia"/>
                <w:highlight w:val="none"/>
              </w:rPr>
            </w:pPr>
            <w:r>
              <w:rPr>
                <w:rFonts w:hint="eastAsia"/>
                <w:highlight w:val="none"/>
              </w:rPr>
              <w:t>AD0108</w:t>
            </w:r>
          </w:p>
        </w:tc>
        <w:tc>
          <w:tcPr>
            <w:tcW w:w="2221" w:type="dxa"/>
            <w:tcBorders>
              <w:top w:val="nil"/>
              <w:left w:val="nil"/>
              <w:bottom w:val="single" w:color="auto" w:sz="4" w:space="0"/>
              <w:right w:val="single" w:color="auto" w:sz="4" w:space="0"/>
            </w:tcBorders>
            <w:noWrap/>
            <w:vAlign w:val="center"/>
          </w:tcPr>
          <w:p w14:paraId="11EA55EB">
            <w:pPr>
              <w:pStyle w:val="38"/>
              <w:rPr>
                <w:rFonts w:hint="eastAsia"/>
                <w:highlight w:val="none"/>
              </w:rPr>
            </w:pPr>
            <w:r>
              <w:rPr>
                <w:rFonts w:hint="eastAsia"/>
                <w:highlight w:val="none"/>
              </w:rPr>
              <w:t>作废手术申请单信息</w:t>
            </w:r>
          </w:p>
        </w:tc>
        <w:tc>
          <w:tcPr>
            <w:tcW w:w="1442" w:type="dxa"/>
            <w:tcBorders>
              <w:top w:val="nil"/>
              <w:left w:val="nil"/>
              <w:bottom w:val="single" w:color="auto" w:sz="4" w:space="0"/>
              <w:right w:val="single" w:color="auto" w:sz="4" w:space="0"/>
            </w:tcBorders>
            <w:shd w:val="clear" w:color="000000" w:fill="FFFFFF"/>
            <w:vAlign w:val="center"/>
          </w:tcPr>
          <w:p w14:paraId="3C73827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F641E60">
            <w:pPr>
              <w:pStyle w:val="38"/>
              <w:rPr>
                <w:rFonts w:hint="eastAsia"/>
                <w:highlight w:val="none"/>
              </w:rPr>
            </w:pPr>
          </w:p>
        </w:tc>
      </w:tr>
      <w:tr w14:paraId="4FFC6DE3">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9E54CC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8F37719">
            <w:pPr>
              <w:pStyle w:val="38"/>
              <w:jc w:val="center"/>
              <w:rPr>
                <w:rFonts w:hint="eastAsia"/>
                <w:highlight w:val="none"/>
              </w:rPr>
            </w:pPr>
            <w:r>
              <w:rPr>
                <w:rFonts w:hint="eastAsia"/>
                <w:highlight w:val="none"/>
              </w:rPr>
              <w:t>AI0110</w:t>
            </w:r>
          </w:p>
        </w:tc>
        <w:tc>
          <w:tcPr>
            <w:tcW w:w="2221" w:type="dxa"/>
            <w:tcBorders>
              <w:top w:val="nil"/>
              <w:left w:val="nil"/>
              <w:bottom w:val="single" w:color="auto" w:sz="4" w:space="0"/>
              <w:right w:val="single" w:color="auto" w:sz="4" w:space="0"/>
            </w:tcBorders>
            <w:noWrap/>
            <w:vAlign w:val="center"/>
          </w:tcPr>
          <w:p w14:paraId="5D56F5E9">
            <w:pPr>
              <w:pStyle w:val="38"/>
              <w:rPr>
                <w:rFonts w:hint="eastAsia"/>
                <w:highlight w:val="none"/>
              </w:rPr>
            </w:pPr>
            <w:r>
              <w:rPr>
                <w:rFonts w:hint="eastAsia"/>
                <w:highlight w:val="none"/>
              </w:rPr>
              <w:t>注册手术安排信息</w:t>
            </w:r>
          </w:p>
        </w:tc>
        <w:tc>
          <w:tcPr>
            <w:tcW w:w="1442" w:type="dxa"/>
            <w:tcBorders>
              <w:top w:val="nil"/>
              <w:left w:val="nil"/>
              <w:bottom w:val="single" w:color="auto" w:sz="4" w:space="0"/>
              <w:right w:val="single" w:color="auto" w:sz="4" w:space="0"/>
            </w:tcBorders>
            <w:shd w:val="clear" w:color="000000" w:fill="FFFFFF"/>
            <w:vAlign w:val="center"/>
          </w:tcPr>
          <w:p w14:paraId="49E14AD6">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330B4B9C">
            <w:pPr>
              <w:pStyle w:val="38"/>
              <w:rPr>
                <w:rFonts w:hint="eastAsia"/>
                <w:highlight w:val="none"/>
              </w:rPr>
            </w:pPr>
            <w:r>
              <w:rPr>
                <w:rFonts w:hint="eastAsia"/>
                <w:highlight w:val="none"/>
              </w:rPr>
              <w:t>手术排班信息新增服务</w:t>
            </w:r>
          </w:p>
        </w:tc>
      </w:tr>
      <w:tr w14:paraId="5D42201F">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2B10B2A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8F241D8">
            <w:pPr>
              <w:pStyle w:val="38"/>
              <w:jc w:val="center"/>
              <w:rPr>
                <w:rFonts w:hint="eastAsia"/>
                <w:highlight w:val="none"/>
              </w:rPr>
            </w:pPr>
            <w:r>
              <w:rPr>
                <w:rFonts w:hint="eastAsia"/>
                <w:highlight w:val="none"/>
              </w:rPr>
              <w:t>AU0111</w:t>
            </w:r>
          </w:p>
        </w:tc>
        <w:tc>
          <w:tcPr>
            <w:tcW w:w="2221" w:type="dxa"/>
            <w:tcBorders>
              <w:top w:val="nil"/>
              <w:left w:val="nil"/>
              <w:bottom w:val="single" w:color="auto" w:sz="4" w:space="0"/>
              <w:right w:val="single" w:color="auto" w:sz="4" w:space="0"/>
            </w:tcBorders>
            <w:noWrap/>
            <w:vAlign w:val="center"/>
          </w:tcPr>
          <w:p w14:paraId="5503E142">
            <w:pPr>
              <w:pStyle w:val="38"/>
              <w:rPr>
                <w:rFonts w:hint="eastAsia"/>
                <w:highlight w:val="none"/>
              </w:rPr>
            </w:pPr>
            <w:r>
              <w:rPr>
                <w:rFonts w:hint="eastAsia"/>
                <w:highlight w:val="none"/>
              </w:rPr>
              <w:t>变更手术安排信息</w:t>
            </w:r>
          </w:p>
        </w:tc>
        <w:tc>
          <w:tcPr>
            <w:tcW w:w="1442" w:type="dxa"/>
            <w:tcBorders>
              <w:top w:val="nil"/>
              <w:left w:val="nil"/>
              <w:bottom w:val="single" w:color="auto" w:sz="4" w:space="0"/>
              <w:right w:val="single" w:color="auto" w:sz="4" w:space="0"/>
            </w:tcBorders>
            <w:shd w:val="clear" w:color="000000" w:fill="FFFFFF"/>
            <w:vAlign w:val="center"/>
          </w:tcPr>
          <w:p w14:paraId="5E6ACC99">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0A22D6F7">
            <w:pPr>
              <w:pStyle w:val="38"/>
              <w:rPr>
                <w:rFonts w:hint="eastAsia"/>
                <w:highlight w:val="none"/>
              </w:rPr>
            </w:pPr>
            <w:r>
              <w:rPr>
                <w:rFonts w:hint="eastAsia"/>
                <w:highlight w:val="none"/>
              </w:rPr>
              <w:t>手术排班信息更新服务</w:t>
            </w:r>
          </w:p>
        </w:tc>
      </w:tr>
      <w:tr w14:paraId="3FC79AFF">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7A9EB98">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A74823D">
            <w:pPr>
              <w:pStyle w:val="38"/>
              <w:jc w:val="center"/>
              <w:rPr>
                <w:rFonts w:hint="eastAsia"/>
                <w:highlight w:val="none"/>
              </w:rPr>
            </w:pPr>
            <w:r>
              <w:rPr>
                <w:rFonts w:hint="eastAsia"/>
                <w:highlight w:val="none"/>
              </w:rPr>
              <w:t>AD0112</w:t>
            </w:r>
          </w:p>
        </w:tc>
        <w:tc>
          <w:tcPr>
            <w:tcW w:w="2221" w:type="dxa"/>
            <w:tcBorders>
              <w:top w:val="nil"/>
              <w:left w:val="nil"/>
              <w:bottom w:val="single" w:color="auto" w:sz="4" w:space="0"/>
              <w:right w:val="single" w:color="auto" w:sz="4" w:space="0"/>
            </w:tcBorders>
            <w:noWrap/>
            <w:vAlign w:val="center"/>
          </w:tcPr>
          <w:p w14:paraId="44BCBF07">
            <w:pPr>
              <w:pStyle w:val="38"/>
              <w:rPr>
                <w:rFonts w:hint="eastAsia"/>
                <w:highlight w:val="none"/>
              </w:rPr>
            </w:pPr>
            <w:r>
              <w:rPr>
                <w:rFonts w:hint="eastAsia"/>
                <w:highlight w:val="none"/>
              </w:rPr>
              <w:t>取消手术安排信息</w:t>
            </w:r>
          </w:p>
        </w:tc>
        <w:tc>
          <w:tcPr>
            <w:tcW w:w="1442" w:type="dxa"/>
            <w:tcBorders>
              <w:top w:val="nil"/>
              <w:left w:val="nil"/>
              <w:bottom w:val="single" w:color="auto" w:sz="4" w:space="0"/>
              <w:right w:val="single" w:color="auto" w:sz="4" w:space="0"/>
            </w:tcBorders>
            <w:shd w:val="clear" w:color="000000" w:fill="FFFFFF"/>
            <w:vAlign w:val="center"/>
          </w:tcPr>
          <w:p w14:paraId="15B1871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198F660">
            <w:pPr>
              <w:pStyle w:val="38"/>
              <w:rPr>
                <w:rFonts w:hint="eastAsia"/>
                <w:highlight w:val="none"/>
              </w:rPr>
            </w:pPr>
          </w:p>
        </w:tc>
      </w:tr>
      <w:tr w14:paraId="1DCA8A9A">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1F2578C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18BF223">
            <w:pPr>
              <w:pStyle w:val="38"/>
              <w:jc w:val="center"/>
              <w:rPr>
                <w:rFonts w:hint="eastAsia"/>
                <w:highlight w:val="none"/>
              </w:rPr>
            </w:pPr>
            <w:r>
              <w:rPr>
                <w:rFonts w:hint="eastAsia"/>
                <w:highlight w:val="none"/>
              </w:rPr>
              <w:t>AI0114</w:t>
            </w:r>
          </w:p>
        </w:tc>
        <w:tc>
          <w:tcPr>
            <w:tcW w:w="2221" w:type="dxa"/>
            <w:tcBorders>
              <w:top w:val="nil"/>
              <w:left w:val="nil"/>
              <w:bottom w:val="single" w:color="auto" w:sz="4" w:space="0"/>
              <w:right w:val="single" w:color="auto" w:sz="4" w:space="0"/>
            </w:tcBorders>
            <w:noWrap/>
            <w:vAlign w:val="center"/>
          </w:tcPr>
          <w:p w14:paraId="129BDC20">
            <w:pPr>
              <w:pStyle w:val="38"/>
              <w:rPr>
                <w:rFonts w:hint="eastAsia"/>
                <w:highlight w:val="none"/>
              </w:rPr>
            </w:pPr>
            <w:r>
              <w:rPr>
                <w:rFonts w:hint="eastAsia"/>
                <w:highlight w:val="none"/>
              </w:rPr>
              <w:t>注册手术事件</w:t>
            </w:r>
          </w:p>
        </w:tc>
        <w:tc>
          <w:tcPr>
            <w:tcW w:w="1442" w:type="dxa"/>
            <w:tcBorders>
              <w:top w:val="nil"/>
              <w:left w:val="nil"/>
              <w:bottom w:val="single" w:color="auto" w:sz="4" w:space="0"/>
              <w:right w:val="single" w:color="auto" w:sz="4" w:space="0"/>
            </w:tcBorders>
            <w:shd w:val="clear" w:color="000000" w:fill="FFFFFF"/>
            <w:vAlign w:val="center"/>
          </w:tcPr>
          <w:p w14:paraId="40152BED">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44AFE292">
            <w:pPr>
              <w:pStyle w:val="38"/>
              <w:rPr>
                <w:rFonts w:hint="eastAsia"/>
                <w:highlight w:val="none"/>
              </w:rPr>
            </w:pPr>
            <w:r>
              <w:rPr>
                <w:rFonts w:hint="eastAsia"/>
                <w:highlight w:val="none"/>
              </w:rPr>
              <w:t>手术状态信息更新服务</w:t>
            </w:r>
          </w:p>
        </w:tc>
      </w:tr>
      <w:tr w14:paraId="031EAF8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53E0C9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FF15BCD">
            <w:pPr>
              <w:pStyle w:val="38"/>
              <w:jc w:val="center"/>
              <w:rPr>
                <w:rFonts w:hint="eastAsia"/>
                <w:highlight w:val="none"/>
              </w:rPr>
            </w:pPr>
            <w:r>
              <w:rPr>
                <w:rFonts w:hint="eastAsia"/>
                <w:highlight w:val="none"/>
              </w:rPr>
              <w:t>AI0190</w:t>
            </w:r>
          </w:p>
        </w:tc>
        <w:tc>
          <w:tcPr>
            <w:tcW w:w="2221" w:type="dxa"/>
            <w:tcBorders>
              <w:top w:val="nil"/>
              <w:left w:val="nil"/>
              <w:bottom w:val="single" w:color="auto" w:sz="4" w:space="0"/>
              <w:right w:val="single" w:color="auto" w:sz="4" w:space="0"/>
            </w:tcBorders>
            <w:noWrap/>
            <w:vAlign w:val="center"/>
          </w:tcPr>
          <w:p w14:paraId="7EEEF62D">
            <w:pPr>
              <w:pStyle w:val="38"/>
              <w:rPr>
                <w:rFonts w:hint="eastAsia"/>
                <w:highlight w:val="none"/>
              </w:rPr>
            </w:pPr>
            <w:r>
              <w:rPr>
                <w:rFonts w:hint="eastAsia"/>
                <w:highlight w:val="none"/>
              </w:rPr>
              <w:t>注册手术麻醉记录信息</w:t>
            </w:r>
          </w:p>
        </w:tc>
        <w:tc>
          <w:tcPr>
            <w:tcW w:w="1442" w:type="dxa"/>
            <w:tcBorders>
              <w:top w:val="nil"/>
              <w:left w:val="nil"/>
              <w:bottom w:val="single" w:color="auto" w:sz="4" w:space="0"/>
              <w:right w:val="single" w:color="auto" w:sz="4" w:space="0"/>
            </w:tcBorders>
            <w:shd w:val="clear" w:color="000000" w:fill="FFFFFF"/>
            <w:vAlign w:val="center"/>
          </w:tcPr>
          <w:p w14:paraId="7C60B72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5D47B74">
            <w:pPr>
              <w:pStyle w:val="38"/>
              <w:rPr>
                <w:rFonts w:hint="eastAsia"/>
                <w:highlight w:val="none"/>
              </w:rPr>
            </w:pPr>
          </w:p>
        </w:tc>
      </w:tr>
      <w:tr w14:paraId="2E904FD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2DA8CD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A36B270">
            <w:pPr>
              <w:pStyle w:val="38"/>
              <w:jc w:val="center"/>
              <w:rPr>
                <w:rFonts w:hint="eastAsia"/>
                <w:highlight w:val="none"/>
              </w:rPr>
            </w:pPr>
            <w:r>
              <w:rPr>
                <w:rFonts w:hint="eastAsia"/>
                <w:highlight w:val="none"/>
              </w:rPr>
              <w:t>AU0191</w:t>
            </w:r>
          </w:p>
        </w:tc>
        <w:tc>
          <w:tcPr>
            <w:tcW w:w="2221" w:type="dxa"/>
            <w:tcBorders>
              <w:top w:val="nil"/>
              <w:left w:val="nil"/>
              <w:bottom w:val="single" w:color="auto" w:sz="4" w:space="0"/>
              <w:right w:val="single" w:color="auto" w:sz="4" w:space="0"/>
            </w:tcBorders>
            <w:noWrap/>
            <w:vAlign w:val="center"/>
          </w:tcPr>
          <w:p w14:paraId="4712C0CF">
            <w:pPr>
              <w:pStyle w:val="38"/>
              <w:rPr>
                <w:rFonts w:hint="eastAsia"/>
                <w:highlight w:val="none"/>
              </w:rPr>
            </w:pPr>
            <w:r>
              <w:rPr>
                <w:rFonts w:hint="eastAsia"/>
                <w:highlight w:val="none"/>
              </w:rPr>
              <w:t>变更手术麻醉记录信息</w:t>
            </w:r>
          </w:p>
        </w:tc>
        <w:tc>
          <w:tcPr>
            <w:tcW w:w="1442" w:type="dxa"/>
            <w:tcBorders>
              <w:top w:val="nil"/>
              <w:left w:val="nil"/>
              <w:bottom w:val="single" w:color="auto" w:sz="4" w:space="0"/>
              <w:right w:val="single" w:color="auto" w:sz="4" w:space="0"/>
            </w:tcBorders>
            <w:shd w:val="clear" w:color="000000" w:fill="FFFFFF"/>
            <w:vAlign w:val="center"/>
          </w:tcPr>
          <w:p w14:paraId="55E00FC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CF9ED1C">
            <w:pPr>
              <w:pStyle w:val="38"/>
              <w:rPr>
                <w:rFonts w:hint="eastAsia"/>
                <w:highlight w:val="none"/>
              </w:rPr>
            </w:pPr>
          </w:p>
        </w:tc>
      </w:tr>
      <w:tr w14:paraId="060FAB1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5329EA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EE510C7">
            <w:pPr>
              <w:pStyle w:val="38"/>
              <w:jc w:val="center"/>
              <w:rPr>
                <w:rFonts w:hint="eastAsia"/>
                <w:highlight w:val="none"/>
              </w:rPr>
            </w:pPr>
            <w:r>
              <w:rPr>
                <w:rFonts w:hint="eastAsia"/>
                <w:highlight w:val="none"/>
              </w:rPr>
              <w:t>LI0232</w:t>
            </w:r>
          </w:p>
        </w:tc>
        <w:tc>
          <w:tcPr>
            <w:tcW w:w="2221" w:type="dxa"/>
            <w:tcBorders>
              <w:top w:val="nil"/>
              <w:left w:val="nil"/>
              <w:bottom w:val="single" w:color="auto" w:sz="4" w:space="0"/>
              <w:right w:val="single" w:color="auto" w:sz="4" w:space="0"/>
            </w:tcBorders>
            <w:noWrap/>
            <w:vAlign w:val="center"/>
          </w:tcPr>
          <w:p w14:paraId="5134D972">
            <w:pPr>
              <w:pStyle w:val="38"/>
              <w:rPr>
                <w:rFonts w:hint="eastAsia"/>
                <w:highlight w:val="none"/>
              </w:rPr>
            </w:pPr>
            <w:r>
              <w:rPr>
                <w:rFonts w:hint="eastAsia"/>
                <w:highlight w:val="none"/>
              </w:rPr>
              <w:t>注册消毒供应器械事件</w:t>
            </w:r>
          </w:p>
        </w:tc>
        <w:tc>
          <w:tcPr>
            <w:tcW w:w="1442" w:type="dxa"/>
            <w:tcBorders>
              <w:top w:val="nil"/>
              <w:left w:val="nil"/>
              <w:bottom w:val="single" w:color="auto" w:sz="4" w:space="0"/>
              <w:right w:val="single" w:color="auto" w:sz="4" w:space="0"/>
            </w:tcBorders>
            <w:shd w:val="clear" w:color="000000" w:fill="FFFFFF"/>
            <w:vAlign w:val="center"/>
          </w:tcPr>
          <w:p w14:paraId="5BC2798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1E3F9C0">
            <w:pPr>
              <w:pStyle w:val="38"/>
              <w:rPr>
                <w:rFonts w:hint="eastAsia"/>
                <w:highlight w:val="none"/>
              </w:rPr>
            </w:pPr>
          </w:p>
        </w:tc>
      </w:tr>
      <w:tr w14:paraId="4C1AF271">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492358FD">
            <w:pPr>
              <w:pStyle w:val="38"/>
              <w:jc w:val="center"/>
              <w:rPr>
                <w:rFonts w:hint="eastAsia"/>
                <w:highlight w:val="none"/>
              </w:rPr>
            </w:pPr>
            <w:r>
              <w:rPr>
                <w:rFonts w:hint="eastAsia"/>
                <w:highlight w:val="none"/>
              </w:rPr>
              <w:t>患者病史</w:t>
            </w:r>
          </w:p>
        </w:tc>
        <w:tc>
          <w:tcPr>
            <w:tcW w:w="1998" w:type="dxa"/>
            <w:tcBorders>
              <w:top w:val="nil"/>
              <w:left w:val="nil"/>
              <w:bottom w:val="single" w:color="auto" w:sz="4" w:space="0"/>
              <w:right w:val="single" w:color="auto" w:sz="4" w:space="0"/>
            </w:tcBorders>
            <w:shd w:val="clear" w:color="000000" w:fill="FFFFFF"/>
            <w:vAlign w:val="center"/>
          </w:tcPr>
          <w:p w14:paraId="2BCDAF2A">
            <w:pPr>
              <w:pStyle w:val="38"/>
              <w:jc w:val="center"/>
              <w:rPr>
                <w:rFonts w:hint="eastAsia"/>
                <w:highlight w:val="none"/>
              </w:rPr>
            </w:pPr>
            <w:r>
              <w:rPr>
                <w:rFonts w:hint="eastAsia"/>
                <w:highlight w:val="none"/>
              </w:rPr>
              <w:t>PI0116</w:t>
            </w:r>
          </w:p>
        </w:tc>
        <w:tc>
          <w:tcPr>
            <w:tcW w:w="2221" w:type="dxa"/>
            <w:tcBorders>
              <w:top w:val="nil"/>
              <w:left w:val="nil"/>
              <w:bottom w:val="single" w:color="auto" w:sz="4" w:space="0"/>
              <w:right w:val="single" w:color="auto" w:sz="4" w:space="0"/>
            </w:tcBorders>
            <w:noWrap/>
            <w:vAlign w:val="center"/>
          </w:tcPr>
          <w:p w14:paraId="02DAFAA3">
            <w:pPr>
              <w:pStyle w:val="38"/>
              <w:rPr>
                <w:rFonts w:hint="eastAsia"/>
                <w:highlight w:val="none"/>
              </w:rPr>
            </w:pPr>
            <w:r>
              <w:rPr>
                <w:rFonts w:hint="eastAsia"/>
                <w:highlight w:val="none"/>
              </w:rPr>
              <w:t>注册患者诊断信息</w:t>
            </w:r>
          </w:p>
        </w:tc>
        <w:tc>
          <w:tcPr>
            <w:tcW w:w="1442" w:type="dxa"/>
            <w:tcBorders>
              <w:top w:val="nil"/>
              <w:left w:val="nil"/>
              <w:bottom w:val="single" w:color="auto" w:sz="4" w:space="0"/>
              <w:right w:val="single" w:color="auto" w:sz="4" w:space="0"/>
            </w:tcBorders>
            <w:shd w:val="clear" w:color="000000" w:fill="FFFFFF"/>
            <w:vAlign w:val="center"/>
          </w:tcPr>
          <w:p w14:paraId="6E5D0EE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AA8E45E">
            <w:pPr>
              <w:pStyle w:val="38"/>
              <w:rPr>
                <w:rFonts w:hint="eastAsia"/>
                <w:highlight w:val="none"/>
              </w:rPr>
            </w:pPr>
          </w:p>
        </w:tc>
      </w:tr>
      <w:tr w14:paraId="2488B88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B32B1C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3036276">
            <w:pPr>
              <w:pStyle w:val="38"/>
              <w:jc w:val="center"/>
              <w:rPr>
                <w:rFonts w:hint="eastAsia"/>
                <w:highlight w:val="none"/>
              </w:rPr>
            </w:pPr>
            <w:r>
              <w:rPr>
                <w:rFonts w:hint="eastAsia"/>
                <w:highlight w:val="none"/>
              </w:rPr>
              <w:t>PU0117</w:t>
            </w:r>
          </w:p>
        </w:tc>
        <w:tc>
          <w:tcPr>
            <w:tcW w:w="2221" w:type="dxa"/>
            <w:tcBorders>
              <w:top w:val="nil"/>
              <w:left w:val="nil"/>
              <w:bottom w:val="single" w:color="auto" w:sz="4" w:space="0"/>
              <w:right w:val="single" w:color="auto" w:sz="4" w:space="0"/>
            </w:tcBorders>
            <w:noWrap/>
            <w:vAlign w:val="center"/>
          </w:tcPr>
          <w:p w14:paraId="32A5F2F5">
            <w:pPr>
              <w:pStyle w:val="38"/>
              <w:rPr>
                <w:rFonts w:hint="eastAsia"/>
                <w:highlight w:val="none"/>
              </w:rPr>
            </w:pPr>
            <w:r>
              <w:rPr>
                <w:rFonts w:hint="eastAsia"/>
                <w:highlight w:val="none"/>
              </w:rPr>
              <w:t>变更患者诊断信息</w:t>
            </w:r>
          </w:p>
        </w:tc>
        <w:tc>
          <w:tcPr>
            <w:tcW w:w="1442" w:type="dxa"/>
            <w:tcBorders>
              <w:top w:val="nil"/>
              <w:left w:val="nil"/>
              <w:bottom w:val="single" w:color="auto" w:sz="4" w:space="0"/>
              <w:right w:val="single" w:color="auto" w:sz="4" w:space="0"/>
            </w:tcBorders>
            <w:shd w:val="clear" w:color="000000" w:fill="FFFFFF"/>
            <w:vAlign w:val="center"/>
          </w:tcPr>
          <w:p w14:paraId="7A244DA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F887216">
            <w:pPr>
              <w:pStyle w:val="38"/>
              <w:rPr>
                <w:rFonts w:hint="eastAsia"/>
                <w:highlight w:val="none"/>
              </w:rPr>
            </w:pPr>
          </w:p>
        </w:tc>
      </w:tr>
      <w:tr w14:paraId="5F1608A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E444C5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E706F72">
            <w:pPr>
              <w:pStyle w:val="38"/>
              <w:jc w:val="center"/>
              <w:rPr>
                <w:rFonts w:hint="eastAsia"/>
                <w:highlight w:val="none"/>
              </w:rPr>
            </w:pPr>
            <w:r>
              <w:rPr>
                <w:rFonts w:hint="eastAsia"/>
                <w:highlight w:val="none"/>
              </w:rPr>
              <w:t>PD0118</w:t>
            </w:r>
          </w:p>
        </w:tc>
        <w:tc>
          <w:tcPr>
            <w:tcW w:w="2221" w:type="dxa"/>
            <w:tcBorders>
              <w:top w:val="nil"/>
              <w:left w:val="nil"/>
              <w:bottom w:val="single" w:color="auto" w:sz="4" w:space="0"/>
              <w:right w:val="single" w:color="auto" w:sz="4" w:space="0"/>
            </w:tcBorders>
            <w:noWrap/>
            <w:vAlign w:val="center"/>
          </w:tcPr>
          <w:p w14:paraId="4BC853C8">
            <w:pPr>
              <w:pStyle w:val="38"/>
              <w:rPr>
                <w:rFonts w:hint="eastAsia"/>
                <w:highlight w:val="none"/>
              </w:rPr>
            </w:pPr>
            <w:r>
              <w:rPr>
                <w:rFonts w:hint="eastAsia"/>
                <w:highlight w:val="none"/>
              </w:rPr>
              <w:t>作废患者诊断信息</w:t>
            </w:r>
          </w:p>
        </w:tc>
        <w:tc>
          <w:tcPr>
            <w:tcW w:w="1442" w:type="dxa"/>
            <w:tcBorders>
              <w:top w:val="nil"/>
              <w:left w:val="nil"/>
              <w:bottom w:val="single" w:color="auto" w:sz="4" w:space="0"/>
              <w:right w:val="single" w:color="auto" w:sz="4" w:space="0"/>
            </w:tcBorders>
            <w:shd w:val="clear" w:color="000000" w:fill="FFFFFF"/>
            <w:vAlign w:val="center"/>
          </w:tcPr>
          <w:p w14:paraId="49F9A5D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95E6A30">
            <w:pPr>
              <w:pStyle w:val="38"/>
              <w:rPr>
                <w:rFonts w:hint="eastAsia"/>
                <w:highlight w:val="none"/>
              </w:rPr>
            </w:pPr>
          </w:p>
        </w:tc>
      </w:tr>
      <w:tr w14:paraId="68A2CFC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736DB0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2F8CB6E">
            <w:pPr>
              <w:pStyle w:val="38"/>
              <w:jc w:val="center"/>
              <w:rPr>
                <w:rFonts w:hint="eastAsia"/>
                <w:highlight w:val="none"/>
              </w:rPr>
            </w:pPr>
            <w:r>
              <w:rPr>
                <w:rFonts w:hint="eastAsia"/>
                <w:highlight w:val="none"/>
              </w:rPr>
              <w:t>PI0119</w:t>
            </w:r>
          </w:p>
        </w:tc>
        <w:tc>
          <w:tcPr>
            <w:tcW w:w="2221" w:type="dxa"/>
            <w:tcBorders>
              <w:top w:val="nil"/>
              <w:left w:val="nil"/>
              <w:bottom w:val="single" w:color="auto" w:sz="4" w:space="0"/>
              <w:right w:val="single" w:color="auto" w:sz="4" w:space="0"/>
            </w:tcBorders>
            <w:noWrap/>
            <w:vAlign w:val="center"/>
          </w:tcPr>
          <w:p w14:paraId="4606BA48">
            <w:pPr>
              <w:pStyle w:val="38"/>
              <w:rPr>
                <w:rFonts w:hint="eastAsia"/>
                <w:highlight w:val="none"/>
              </w:rPr>
            </w:pPr>
            <w:r>
              <w:rPr>
                <w:rFonts w:hint="eastAsia"/>
                <w:highlight w:val="none"/>
              </w:rPr>
              <w:t>注册患者过敏信息</w:t>
            </w:r>
          </w:p>
        </w:tc>
        <w:tc>
          <w:tcPr>
            <w:tcW w:w="1442" w:type="dxa"/>
            <w:tcBorders>
              <w:top w:val="nil"/>
              <w:left w:val="nil"/>
              <w:bottom w:val="single" w:color="auto" w:sz="4" w:space="0"/>
              <w:right w:val="single" w:color="auto" w:sz="4" w:space="0"/>
            </w:tcBorders>
            <w:shd w:val="clear" w:color="000000" w:fill="FFFFFF"/>
            <w:vAlign w:val="center"/>
          </w:tcPr>
          <w:p w14:paraId="27AD94E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2A0AF09">
            <w:pPr>
              <w:pStyle w:val="38"/>
              <w:rPr>
                <w:rFonts w:hint="eastAsia"/>
                <w:highlight w:val="none"/>
              </w:rPr>
            </w:pPr>
          </w:p>
        </w:tc>
      </w:tr>
      <w:tr w14:paraId="6DF7ECA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2CD285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85900D2">
            <w:pPr>
              <w:pStyle w:val="38"/>
              <w:jc w:val="center"/>
              <w:rPr>
                <w:rFonts w:hint="eastAsia"/>
                <w:highlight w:val="none"/>
              </w:rPr>
            </w:pPr>
            <w:r>
              <w:rPr>
                <w:rFonts w:hint="eastAsia"/>
                <w:highlight w:val="none"/>
              </w:rPr>
              <w:t>PU0120</w:t>
            </w:r>
          </w:p>
        </w:tc>
        <w:tc>
          <w:tcPr>
            <w:tcW w:w="2221" w:type="dxa"/>
            <w:tcBorders>
              <w:top w:val="nil"/>
              <w:left w:val="nil"/>
              <w:bottom w:val="single" w:color="auto" w:sz="4" w:space="0"/>
              <w:right w:val="single" w:color="auto" w:sz="4" w:space="0"/>
            </w:tcBorders>
            <w:noWrap/>
            <w:vAlign w:val="center"/>
          </w:tcPr>
          <w:p w14:paraId="11DEACF3">
            <w:pPr>
              <w:pStyle w:val="38"/>
              <w:rPr>
                <w:rFonts w:hint="eastAsia"/>
                <w:highlight w:val="none"/>
              </w:rPr>
            </w:pPr>
            <w:r>
              <w:rPr>
                <w:rFonts w:hint="eastAsia"/>
                <w:highlight w:val="none"/>
              </w:rPr>
              <w:t>变更患者过敏信息</w:t>
            </w:r>
          </w:p>
        </w:tc>
        <w:tc>
          <w:tcPr>
            <w:tcW w:w="1442" w:type="dxa"/>
            <w:tcBorders>
              <w:top w:val="nil"/>
              <w:left w:val="nil"/>
              <w:bottom w:val="single" w:color="auto" w:sz="4" w:space="0"/>
              <w:right w:val="single" w:color="auto" w:sz="4" w:space="0"/>
            </w:tcBorders>
            <w:shd w:val="clear" w:color="000000" w:fill="FFFFFF"/>
            <w:vAlign w:val="center"/>
          </w:tcPr>
          <w:p w14:paraId="15F1552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D579D13">
            <w:pPr>
              <w:pStyle w:val="38"/>
              <w:rPr>
                <w:rFonts w:hint="eastAsia"/>
                <w:highlight w:val="none"/>
              </w:rPr>
            </w:pPr>
          </w:p>
        </w:tc>
      </w:tr>
      <w:tr w14:paraId="3724E4F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7063C88">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7AF4EF2">
            <w:pPr>
              <w:pStyle w:val="38"/>
              <w:jc w:val="center"/>
              <w:rPr>
                <w:rFonts w:hint="eastAsia"/>
                <w:highlight w:val="none"/>
              </w:rPr>
            </w:pPr>
            <w:r>
              <w:rPr>
                <w:rFonts w:hint="eastAsia"/>
                <w:highlight w:val="none"/>
              </w:rPr>
              <w:t>PD0121</w:t>
            </w:r>
          </w:p>
        </w:tc>
        <w:tc>
          <w:tcPr>
            <w:tcW w:w="2221" w:type="dxa"/>
            <w:tcBorders>
              <w:top w:val="nil"/>
              <w:left w:val="nil"/>
              <w:bottom w:val="single" w:color="auto" w:sz="4" w:space="0"/>
              <w:right w:val="single" w:color="auto" w:sz="4" w:space="0"/>
            </w:tcBorders>
            <w:noWrap/>
            <w:vAlign w:val="center"/>
          </w:tcPr>
          <w:p w14:paraId="5D779AE9">
            <w:pPr>
              <w:pStyle w:val="38"/>
              <w:rPr>
                <w:rFonts w:hint="eastAsia"/>
                <w:highlight w:val="none"/>
              </w:rPr>
            </w:pPr>
            <w:r>
              <w:rPr>
                <w:rFonts w:hint="eastAsia"/>
                <w:highlight w:val="none"/>
              </w:rPr>
              <w:t>作废患者过敏史信息</w:t>
            </w:r>
          </w:p>
        </w:tc>
        <w:tc>
          <w:tcPr>
            <w:tcW w:w="1442" w:type="dxa"/>
            <w:tcBorders>
              <w:top w:val="nil"/>
              <w:left w:val="nil"/>
              <w:bottom w:val="single" w:color="auto" w:sz="4" w:space="0"/>
              <w:right w:val="single" w:color="auto" w:sz="4" w:space="0"/>
            </w:tcBorders>
            <w:shd w:val="clear" w:color="000000" w:fill="FFFFFF"/>
            <w:vAlign w:val="center"/>
          </w:tcPr>
          <w:p w14:paraId="0A8C13E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94165E2">
            <w:pPr>
              <w:pStyle w:val="38"/>
              <w:rPr>
                <w:rFonts w:hint="eastAsia"/>
                <w:highlight w:val="none"/>
              </w:rPr>
            </w:pPr>
          </w:p>
        </w:tc>
      </w:tr>
      <w:tr w14:paraId="3379A8C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C50D44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124E99F">
            <w:pPr>
              <w:pStyle w:val="38"/>
              <w:jc w:val="center"/>
              <w:rPr>
                <w:rFonts w:hint="eastAsia"/>
                <w:highlight w:val="none"/>
              </w:rPr>
            </w:pPr>
            <w:r>
              <w:rPr>
                <w:rFonts w:hint="eastAsia"/>
                <w:highlight w:val="none"/>
              </w:rPr>
              <w:t>PI0122</w:t>
            </w:r>
          </w:p>
        </w:tc>
        <w:tc>
          <w:tcPr>
            <w:tcW w:w="2221" w:type="dxa"/>
            <w:tcBorders>
              <w:top w:val="nil"/>
              <w:left w:val="nil"/>
              <w:bottom w:val="single" w:color="auto" w:sz="4" w:space="0"/>
              <w:right w:val="single" w:color="auto" w:sz="4" w:space="0"/>
            </w:tcBorders>
            <w:noWrap/>
            <w:vAlign w:val="center"/>
          </w:tcPr>
          <w:p w14:paraId="244E8851">
            <w:pPr>
              <w:pStyle w:val="38"/>
              <w:rPr>
                <w:rFonts w:hint="eastAsia"/>
                <w:highlight w:val="none"/>
              </w:rPr>
            </w:pPr>
            <w:r>
              <w:rPr>
                <w:rFonts w:hint="eastAsia"/>
                <w:highlight w:val="none"/>
              </w:rPr>
              <w:t>注册患者手术史信息</w:t>
            </w:r>
          </w:p>
        </w:tc>
        <w:tc>
          <w:tcPr>
            <w:tcW w:w="1442" w:type="dxa"/>
            <w:tcBorders>
              <w:top w:val="nil"/>
              <w:left w:val="nil"/>
              <w:bottom w:val="single" w:color="auto" w:sz="4" w:space="0"/>
              <w:right w:val="single" w:color="auto" w:sz="4" w:space="0"/>
            </w:tcBorders>
            <w:shd w:val="clear" w:color="000000" w:fill="FFFFFF"/>
            <w:vAlign w:val="center"/>
          </w:tcPr>
          <w:p w14:paraId="10C5EBF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D84F88F">
            <w:pPr>
              <w:pStyle w:val="38"/>
              <w:rPr>
                <w:rFonts w:hint="eastAsia"/>
                <w:highlight w:val="none"/>
              </w:rPr>
            </w:pPr>
          </w:p>
        </w:tc>
      </w:tr>
      <w:tr w14:paraId="7496E4F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DF9165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F93FB19">
            <w:pPr>
              <w:pStyle w:val="38"/>
              <w:jc w:val="center"/>
              <w:rPr>
                <w:rFonts w:hint="eastAsia"/>
                <w:highlight w:val="none"/>
              </w:rPr>
            </w:pPr>
            <w:r>
              <w:rPr>
                <w:rFonts w:hint="eastAsia"/>
                <w:highlight w:val="none"/>
              </w:rPr>
              <w:t>PD0123</w:t>
            </w:r>
          </w:p>
        </w:tc>
        <w:tc>
          <w:tcPr>
            <w:tcW w:w="2221" w:type="dxa"/>
            <w:tcBorders>
              <w:top w:val="nil"/>
              <w:left w:val="nil"/>
              <w:bottom w:val="single" w:color="auto" w:sz="4" w:space="0"/>
              <w:right w:val="single" w:color="auto" w:sz="4" w:space="0"/>
            </w:tcBorders>
            <w:noWrap/>
            <w:vAlign w:val="center"/>
          </w:tcPr>
          <w:p w14:paraId="391AD1ED">
            <w:pPr>
              <w:pStyle w:val="38"/>
              <w:rPr>
                <w:rFonts w:hint="eastAsia"/>
                <w:highlight w:val="none"/>
              </w:rPr>
            </w:pPr>
            <w:r>
              <w:rPr>
                <w:rFonts w:hint="eastAsia"/>
                <w:highlight w:val="none"/>
              </w:rPr>
              <w:t>作废患者手术史信息</w:t>
            </w:r>
          </w:p>
        </w:tc>
        <w:tc>
          <w:tcPr>
            <w:tcW w:w="1442" w:type="dxa"/>
            <w:tcBorders>
              <w:top w:val="nil"/>
              <w:left w:val="nil"/>
              <w:bottom w:val="single" w:color="auto" w:sz="4" w:space="0"/>
              <w:right w:val="single" w:color="auto" w:sz="4" w:space="0"/>
            </w:tcBorders>
            <w:shd w:val="clear" w:color="000000" w:fill="FFFFFF"/>
            <w:vAlign w:val="center"/>
          </w:tcPr>
          <w:p w14:paraId="60FE9DF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3C9573C">
            <w:pPr>
              <w:pStyle w:val="38"/>
              <w:rPr>
                <w:rFonts w:hint="eastAsia"/>
                <w:highlight w:val="none"/>
              </w:rPr>
            </w:pPr>
          </w:p>
        </w:tc>
      </w:tr>
      <w:tr w14:paraId="7749A10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2452FE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F5B595E">
            <w:pPr>
              <w:pStyle w:val="38"/>
              <w:jc w:val="center"/>
              <w:rPr>
                <w:rFonts w:hint="eastAsia"/>
                <w:highlight w:val="none"/>
              </w:rPr>
            </w:pPr>
            <w:r>
              <w:rPr>
                <w:rFonts w:hint="eastAsia"/>
                <w:highlight w:val="none"/>
              </w:rPr>
              <w:t>PI0124</w:t>
            </w:r>
          </w:p>
        </w:tc>
        <w:tc>
          <w:tcPr>
            <w:tcW w:w="2221" w:type="dxa"/>
            <w:tcBorders>
              <w:top w:val="nil"/>
              <w:left w:val="nil"/>
              <w:bottom w:val="single" w:color="auto" w:sz="4" w:space="0"/>
              <w:right w:val="single" w:color="auto" w:sz="4" w:space="0"/>
            </w:tcBorders>
            <w:noWrap/>
            <w:vAlign w:val="center"/>
          </w:tcPr>
          <w:p w14:paraId="54832577">
            <w:pPr>
              <w:pStyle w:val="38"/>
              <w:rPr>
                <w:rFonts w:hint="eastAsia"/>
                <w:highlight w:val="none"/>
              </w:rPr>
            </w:pPr>
            <w:r>
              <w:rPr>
                <w:rFonts w:hint="eastAsia"/>
                <w:highlight w:val="none"/>
              </w:rPr>
              <w:t>注册患者主诉现病史信息</w:t>
            </w:r>
          </w:p>
        </w:tc>
        <w:tc>
          <w:tcPr>
            <w:tcW w:w="1442" w:type="dxa"/>
            <w:tcBorders>
              <w:top w:val="nil"/>
              <w:left w:val="nil"/>
              <w:bottom w:val="single" w:color="auto" w:sz="4" w:space="0"/>
              <w:right w:val="single" w:color="auto" w:sz="4" w:space="0"/>
            </w:tcBorders>
            <w:shd w:val="clear" w:color="000000" w:fill="FFFFFF"/>
            <w:vAlign w:val="center"/>
          </w:tcPr>
          <w:p w14:paraId="4522CCF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A0A6564">
            <w:pPr>
              <w:pStyle w:val="38"/>
              <w:rPr>
                <w:rFonts w:hint="eastAsia"/>
                <w:highlight w:val="none"/>
              </w:rPr>
            </w:pPr>
          </w:p>
        </w:tc>
      </w:tr>
      <w:tr w14:paraId="0AC122B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100887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0F0D61C">
            <w:pPr>
              <w:pStyle w:val="38"/>
              <w:jc w:val="center"/>
              <w:rPr>
                <w:rFonts w:hint="eastAsia"/>
                <w:highlight w:val="none"/>
              </w:rPr>
            </w:pPr>
            <w:r>
              <w:rPr>
                <w:rFonts w:hint="eastAsia"/>
                <w:highlight w:val="none"/>
              </w:rPr>
              <w:t>PD0125</w:t>
            </w:r>
          </w:p>
        </w:tc>
        <w:tc>
          <w:tcPr>
            <w:tcW w:w="2221" w:type="dxa"/>
            <w:tcBorders>
              <w:top w:val="nil"/>
              <w:left w:val="nil"/>
              <w:bottom w:val="single" w:color="auto" w:sz="4" w:space="0"/>
              <w:right w:val="single" w:color="auto" w:sz="4" w:space="0"/>
            </w:tcBorders>
            <w:noWrap/>
            <w:vAlign w:val="center"/>
          </w:tcPr>
          <w:p w14:paraId="4353BB1E">
            <w:pPr>
              <w:pStyle w:val="38"/>
              <w:rPr>
                <w:rFonts w:hint="eastAsia"/>
                <w:highlight w:val="none"/>
              </w:rPr>
            </w:pPr>
            <w:r>
              <w:rPr>
                <w:rFonts w:hint="eastAsia"/>
                <w:highlight w:val="none"/>
              </w:rPr>
              <w:t>作废患者主诉现病史信息</w:t>
            </w:r>
          </w:p>
        </w:tc>
        <w:tc>
          <w:tcPr>
            <w:tcW w:w="1442" w:type="dxa"/>
            <w:tcBorders>
              <w:top w:val="nil"/>
              <w:left w:val="nil"/>
              <w:bottom w:val="single" w:color="auto" w:sz="4" w:space="0"/>
              <w:right w:val="single" w:color="auto" w:sz="4" w:space="0"/>
            </w:tcBorders>
            <w:shd w:val="clear" w:color="000000" w:fill="FFFFFF"/>
            <w:vAlign w:val="center"/>
          </w:tcPr>
          <w:p w14:paraId="7230028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B3241A1">
            <w:pPr>
              <w:pStyle w:val="38"/>
              <w:rPr>
                <w:rFonts w:hint="eastAsia"/>
                <w:highlight w:val="none"/>
              </w:rPr>
            </w:pPr>
          </w:p>
        </w:tc>
      </w:tr>
      <w:tr w14:paraId="165F4132">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E26C3D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C028815">
            <w:pPr>
              <w:pStyle w:val="38"/>
              <w:jc w:val="center"/>
              <w:rPr>
                <w:rFonts w:hint="eastAsia"/>
                <w:highlight w:val="none"/>
              </w:rPr>
            </w:pPr>
            <w:r>
              <w:rPr>
                <w:rFonts w:hint="eastAsia"/>
                <w:highlight w:val="none"/>
              </w:rPr>
              <w:t>PI0126</w:t>
            </w:r>
          </w:p>
        </w:tc>
        <w:tc>
          <w:tcPr>
            <w:tcW w:w="2221" w:type="dxa"/>
            <w:tcBorders>
              <w:top w:val="nil"/>
              <w:left w:val="nil"/>
              <w:bottom w:val="single" w:color="auto" w:sz="4" w:space="0"/>
              <w:right w:val="single" w:color="auto" w:sz="4" w:space="0"/>
            </w:tcBorders>
            <w:noWrap/>
            <w:vAlign w:val="center"/>
          </w:tcPr>
          <w:p w14:paraId="6A6DFD79">
            <w:pPr>
              <w:pStyle w:val="38"/>
              <w:rPr>
                <w:rFonts w:hint="eastAsia"/>
                <w:highlight w:val="none"/>
              </w:rPr>
            </w:pPr>
            <w:r>
              <w:rPr>
                <w:rFonts w:hint="eastAsia"/>
                <w:highlight w:val="none"/>
              </w:rPr>
              <w:t>注册患者出院小结信息</w:t>
            </w:r>
          </w:p>
        </w:tc>
        <w:tc>
          <w:tcPr>
            <w:tcW w:w="1442" w:type="dxa"/>
            <w:tcBorders>
              <w:top w:val="nil"/>
              <w:left w:val="nil"/>
              <w:bottom w:val="single" w:color="auto" w:sz="4" w:space="0"/>
              <w:right w:val="single" w:color="auto" w:sz="4" w:space="0"/>
            </w:tcBorders>
            <w:shd w:val="clear" w:color="000000" w:fill="FFFFFF"/>
            <w:vAlign w:val="center"/>
          </w:tcPr>
          <w:p w14:paraId="067D823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8C35168">
            <w:pPr>
              <w:pStyle w:val="38"/>
              <w:rPr>
                <w:rFonts w:hint="eastAsia"/>
                <w:highlight w:val="none"/>
              </w:rPr>
            </w:pPr>
          </w:p>
        </w:tc>
      </w:tr>
      <w:tr w14:paraId="5C4B43C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001418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97E44E6">
            <w:pPr>
              <w:pStyle w:val="38"/>
              <w:jc w:val="center"/>
              <w:rPr>
                <w:rFonts w:hint="eastAsia"/>
                <w:highlight w:val="none"/>
              </w:rPr>
            </w:pPr>
            <w:r>
              <w:rPr>
                <w:rFonts w:hint="eastAsia"/>
                <w:highlight w:val="none"/>
              </w:rPr>
              <w:t>PD0127</w:t>
            </w:r>
          </w:p>
        </w:tc>
        <w:tc>
          <w:tcPr>
            <w:tcW w:w="2221" w:type="dxa"/>
            <w:tcBorders>
              <w:top w:val="nil"/>
              <w:left w:val="nil"/>
              <w:bottom w:val="single" w:color="auto" w:sz="4" w:space="0"/>
              <w:right w:val="single" w:color="auto" w:sz="4" w:space="0"/>
            </w:tcBorders>
            <w:noWrap/>
            <w:vAlign w:val="center"/>
          </w:tcPr>
          <w:p w14:paraId="37A86F73">
            <w:pPr>
              <w:pStyle w:val="38"/>
              <w:rPr>
                <w:rFonts w:hint="eastAsia"/>
                <w:highlight w:val="none"/>
              </w:rPr>
            </w:pPr>
            <w:r>
              <w:rPr>
                <w:rFonts w:hint="eastAsia"/>
                <w:highlight w:val="none"/>
              </w:rPr>
              <w:t>作废患者出院小结信息</w:t>
            </w:r>
          </w:p>
        </w:tc>
        <w:tc>
          <w:tcPr>
            <w:tcW w:w="1442" w:type="dxa"/>
            <w:tcBorders>
              <w:top w:val="nil"/>
              <w:left w:val="nil"/>
              <w:bottom w:val="single" w:color="auto" w:sz="4" w:space="0"/>
              <w:right w:val="single" w:color="auto" w:sz="4" w:space="0"/>
            </w:tcBorders>
            <w:shd w:val="clear" w:color="000000" w:fill="FFFFFF"/>
            <w:vAlign w:val="center"/>
          </w:tcPr>
          <w:p w14:paraId="46829DD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A79C62B">
            <w:pPr>
              <w:pStyle w:val="38"/>
              <w:rPr>
                <w:rFonts w:hint="eastAsia"/>
                <w:highlight w:val="none"/>
              </w:rPr>
            </w:pPr>
          </w:p>
        </w:tc>
      </w:tr>
      <w:tr w14:paraId="339F0D36">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705C97CD">
            <w:pPr>
              <w:pStyle w:val="38"/>
              <w:jc w:val="center"/>
              <w:rPr>
                <w:rFonts w:hint="eastAsia"/>
                <w:highlight w:val="none"/>
              </w:rPr>
            </w:pPr>
            <w:r>
              <w:rPr>
                <w:rFonts w:hint="eastAsia"/>
                <w:highlight w:val="none"/>
              </w:rPr>
              <w:t>互联互通交互服务（四甲）</w:t>
            </w:r>
          </w:p>
        </w:tc>
        <w:tc>
          <w:tcPr>
            <w:tcW w:w="1998" w:type="dxa"/>
            <w:tcBorders>
              <w:top w:val="nil"/>
              <w:left w:val="nil"/>
              <w:bottom w:val="single" w:color="auto" w:sz="4" w:space="0"/>
              <w:right w:val="single" w:color="auto" w:sz="4" w:space="0"/>
            </w:tcBorders>
            <w:shd w:val="clear" w:color="000000" w:fill="FFFFFF"/>
            <w:vAlign w:val="center"/>
          </w:tcPr>
          <w:p w14:paraId="6DDA05B0">
            <w:pPr>
              <w:pStyle w:val="38"/>
              <w:jc w:val="center"/>
              <w:rPr>
                <w:rFonts w:hint="eastAsia"/>
                <w:highlight w:val="none"/>
              </w:rPr>
            </w:pPr>
            <w:r>
              <w:rPr>
                <w:rFonts w:hint="eastAsia"/>
                <w:highlight w:val="none"/>
              </w:rPr>
              <w:t>EI0128</w:t>
            </w:r>
          </w:p>
        </w:tc>
        <w:tc>
          <w:tcPr>
            <w:tcW w:w="2221" w:type="dxa"/>
            <w:tcBorders>
              <w:top w:val="nil"/>
              <w:left w:val="nil"/>
              <w:bottom w:val="single" w:color="auto" w:sz="4" w:space="0"/>
              <w:right w:val="single" w:color="auto" w:sz="4" w:space="0"/>
            </w:tcBorders>
            <w:noWrap/>
            <w:vAlign w:val="center"/>
          </w:tcPr>
          <w:p w14:paraId="36ADC470">
            <w:pPr>
              <w:pStyle w:val="38"/>
              <w:rPr>
                <w:rFonts w:hint="eastAsia"/>
                <w:highlight w:val="none"/>
              </w:rPr>
            </w:pPr>
            <w:r>
              <w:rPr>
                <w:rFonts w:hint="eastAsia"/>
                <w:highlight w:val="none"/>
              </w:rPr>
              <w:t>注册电子病历文档</w:t>
            </w:r>
          </w:p>
        </w:tc>
        <w:tc>
          <w:tcPr>
            <w:tcW w:w="1442" w:type="dxa"/>
            <w:tcBorders>
              <w:top w:val="nil"/>
              <w:left w:val="nil"/>
              <w:bottom w:val="single" w:color="auto" w:sz="4" w:space="0"/>
              <w:right w:val="single" w:color="auto" w:sz="4" w:space="0"/>
            </w:tcBorders>
            <w:shd w:val="clear" w:color="000000" w:fill="FFFFFF"/>
            <w:vAlign w:val="center"/>
          </w:tcPr>
          <w:p w14:paraId="00498709">
            <w:pPr>
              <w:pStyle w:val="38"/>
              <w:rPr>
                <w:rFonts w:hint="eastAsia"/>
                <w:highlight w:val="none"/>
              </w:rPr>
            </w:pPr>
            <w:r>
              <w:rPr>
                <w:rFonts w:hint="eastAsia"/>
                <w:highlight w:val="none"/>
              </w:rPr>
              <w:t>三级</w:t>
            </w:r>
          </w:p>
        </w:tc>
        <w:tc>
          <w:tcPr>
            <w:tcW w:w="1189" w:type="dxa"/>
            <w:tcBorders>
              <w:top w:val="nil"/>
              <w:left w:val="nil"/>
              <w:bottom w:val="single" w:color="auto" w:sz="4" w:space="0"/>
              <w:right w:val="single" w:color="auto" w:sz="4" w:space="0"/>
            </w:tcBorders>
            <w:shd w:val="clear" w:color="000000" w:fill="FFFFFF"/>
            <w:vAlign w:val="center"/>
          </w:tcPr>
          <w:p w14:paraId="134B588C">
            <w:pPr>
              <w:pStyle w:val="38"/>
              <w:rPr>
                <w:rFonts w:hint="eastAsia"/>
                <w:highlight w:val="none"/>
              </w:rPr>
            </w:pPr>
            <w:r>
              <w:rPr>
                <w:rFonts w:hint="eastAsia"/>
                <w:highlight w:val="none"/>
              </w:rPr>
              <w:t>电子病历文档注册服务</w:t>
            </w:r>
          </w:p>
        </w:tc>
      </w:tr>
      <w:tr w14:paraId="35870F2D">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233185D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8078ABC">
            <w:pPr>
              <w:pStyle w:val="38"/>
              <w:jc w:val="center"/>
              <w:rPr>
                <w:rFonts w:hint="eastAsia"/>
                <w:highlight w:val="none"/>
              </w:rPr>
            </w:pPr>
            <w:r>
              <w:rPr>
                <w:rFonts w:hint="eastAsia"/>
                <w:highlight w:val="none"/>
              </w:rPr>
              <w:t>ES0129</w:t>
            </w:r>
          </w:p>
        </w:tc>
        <w:tc>
          <w:tcPr>
            <w:tcW w:w="2221" w:type="dxa"/>
            <w:tcBorders>
              <w:top w:val="nil"/>
              <w:left w:val="nil"/>
              <w:bottom w:val="single" w:color="auto" w:sz="4" w:space="0"/>
              <w:right w:val="single" w:color="auto" w:sz="4" w:space="0"/>
            </w:tcBorders>
            <w:noWrap/>
            <w:vAlign w:val="center"/>
          </w:tcPr>
          <w:p w14:paraId="2EA16AC3">
            <w:pPr>
              <w:pStyle w:val="38"/>
              <w:rPr>
                <w:rFonts w:hint="eastAsia"/>
                <w:highlight w:val="none"/>
              </w:rPr>
            </w:pPr>
            <w:r>
              <w:rPr>
                <w:rFonts w:hint="eastAsia"/>
                <w:highlight w:val="none"/>
              </w:rPr>
              <w:t>查询电子病历文档</w:t>
            </w:r>
          </w:p>
        </w:tc>
        <w:tc>
          <w:tcPr>
            <w:tcW w:w="1442" w:type="dxa"/>
            <w:tcBorders>
              <w:top w:val="nil"/>
              <w:left w:val="nil"/>
              <w:bottom w:val="single" w:color="auto" w:sz="4" w:space="0"/>
              <w:right w:val="single" w:color="auto" w:sz="4" w:space="0"/>
            </w:tcBorders>
            <w:shd w:val="clear" w:color="000000" w:fill="FFFFFF"/>
            <w:vAlign w:val="center"/>
          </w:tcPr>
          <w:p w14:paraId="41652EA0">
            <w:pPr>
              <w:pStyle w:val="38"/>
              <w:rPr>
                <w:rFonts w:hint="eastAsia"/>
                <w:highlight w:val="none"/>
              </w:rPr>
            </w:pPr>
            <w:r>
              <w:rPr>
                <w:rFonts w:hint="eastAsia"/>
                <w:highlight w:val="none"/>
              </w:rPr>
              <w:t>三级</w:t>
            </w:r>
          </w:p>
        </w:tc>
        <w:tc>
          <w:tcPr>
            <w:tcW w:w="1189" w:type="dxa"/>
            <w:tcBorders>
              <w:top w:val="nil"/>
              <w:left w:val="nil"/>
              <w:bottom w:val="single" w:color="auto" w:sz="4" w:space="0"/>
              <w:right w:val="single" w:color="auto" w:sz="4" w:space="0"/>
            </w:tcBorders>
            <w:shd w:val="clear" w:color="000000" w:fill="FFFFFF"/>
            <w:vAlign w:val="center"/>
          </w:tcPr>
          <w:p w14:paraId="5E716BA7">
            <w:pPr>
              <w:pStyle w:val="38"/>
              <w:rPr>
                <w:rFonts w:hint="eastAsia"/>
                <w:highlight w:val="none"/>
              </w:rPr>
            </w:pPr>
            <w:r>
              <w:rPr>
                <w:rFonts w:hint="eastAsia"/>
                <w:highlight w:val="none"/>
              </w:rPr>
              <w:t>电子病历文档检索服务</w:t>
            </w:r>
          </w:p>
        </w:tc>
      </w:tr>
      <w:tr w14:paraId="0C0F3F81">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5B8A54A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EDA79AF">
            <w:pPr>
              <w:pStyle w:val="38"/>
              <w:jc w:val="center"/>
              <w:rPr>
                <w:rFonts w:hint="eastAsia"/>
                <w:highlight w:val="none"/>
              </w:rPr>
            </w:pPr>
            <w:r>
              <w:rPr>
                <w:rFonts w:hint="eastAsia"/>
                <w:highlight w:val="none"/>
              </w:rPr>
              <w:t>ES0130</w:t>
            </w:r>
          </w:p>
        </w:tc>
        <w:tc>
          <w:tcPr>
            <w:tcW w:w="2221" w:type="dxa"/>
            <w:tcBorders>
              <w:top w:val="nil"/>
              <w:left w:val="nil"/>
              <w:bottom w:val="single" w:color="auto" w:sz="4" w:space="0"/>
              <w:right w:val="single" w:color="auto" w:sz="4" w:space="0"/>
            </w:tcBorders>
            <w:noWrap/>
            <w:vAlign w:val="center"/>
          </w:tcPr>
          <w:p w14:paraId="26F320BD">
            <w:pPr>
              <w:pStyle w:val="38"/>
              <w:rPr>
                <w:rFonts w:hint="eastAsia"/>
                <w:highlight w:val="none"/>
              </w:rPr>
            </w:pPr>
            <w:r>
              <w:rPr>
                <w:rFonts w:hint="eastAsia"/>
                <w:highlight w:val="none"/>
              </w:rPr>
              <w:t>调阅电子病历文档</w:t>
            </w:r>
          </w:p>
        </w:tc>
        <w:tc>
          <w:tcPr>
            <w:tcW w:w="1442" w:type="dxa"/>
            <w:tcBorders>
              <w:top w:val="nil"/>
              <w:left w:val="nil"/>
              <w:bottom w:val="single" w:color="auto" w:sz="4" w:space="0"/>
              <w:right w:val="single" w:color="auto" w:sz="4" w:space="0"/>
            </w:tcBorders>
            <w:shd w:val="clear" w:color="000000" w:fill="FFFFFF"/>
            <w:vAlign w:val="center"/>
          </w:tcPr>
          <w:p w14:paraId="223AEA20">
            <w:pPr>
              <w:pStyle w:val="38"/>
              <w:rPr>
                <w:rFonts w:hint="eastAsia"/>
                <w:highlight w:val="none"/>
              </w:rPr>
            </w:pPr>
            <w:r>
              <w:rPr>
                <w:rFonts w:hint="eastAsia"/>
                <w:highlight w:val="none"/>
              </w:rPr>
              <w:t>三级</w:t>
            </w:r>
          </w:p>
        </w:tc>
        <w:tc>
          <w:tcPr>
            <w:tcW w:w="1189" w:type="dxa"/>
            <w:tcBorders>
              <w:top w:val="nil"/>
              <w:left w:val="nil"/>
              <w:bottom w:val="single" w:color="auto" w:sz="4" w:space="0"/>
              <w:right w:val="single" w:color="auto" w:sz="4" w:space="0"/>
            </w:tcBorders>
            <w:shd w:val="clear" w:color="000000" w:fill="FFFFFF"/>
            <w:vAlign w:val="center"/>
          </w:tcPr>
          <w:p w14:paraId="64C72B6E">
            <w:pPr>
              <w:pStyle w:val="38"/>
              <w:rPr>
                <w:rFonts w:hint="eastAsia"/>
                <w:highlight w:val="none"/>
              </w:rPr>
            </w:pPr>
            <w:r>
              <w:rPr>
                <w:rFonts w:hint="eastAsia"/>
                <w:highlight w:val="none"/>
              </w:rPr>
              <w:t>电子病历文档调阅服务</w:t>
            </w:r>
          </w:p>
        </w:tc>
      </w:tr>
      <w:tr w14:paraId="542A6BF4">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41A8EEC5">
            <w:pPr>
              <w:pStyle w:val="38"/>
              <w:jc w:val="center"/>
              <w:rPr>
                <w:rFonts w:hint="eastAsia"/>
                <w:highlight w:val="none"/>
              </w:rPr>
            </w:pPr>
            <w:r>
              <w:rPr>
                <w:rFonts w:hint="eastAsia"/>
                <w:highlight w:val="none"/>
              </w:rPr>
              <w:t>互联互通交互服务（五乙）</w:t>
            </w:r>
          </w:p>
        </w:tc>
        <w:tc>
          <w:tcPr>
            <w:tcW w:w="1998" w:type="dxa"/>
            <w:tcBorders>
              <w:top w:val="nil"/>
              <w:left w:val="nil"/>
              <w:bottom w:val="single" w:color="auto" w:sz="4" w:space="0"/>
              <w:right w:val="single" w:color="auto" w:sz="4" w:space="0"/>
            </w:tcBorders>
            <w:shd w:val="clear" w:color="000000" w:fill="FFFFFF"/>
            <w:vAlign w:val="center"/>
          </w:tcPr>
          <w:p w14:paraId="0467A60E">
            <w:pPr>
              <w:pStyle w:val="38"/>
              <w:jc w:val="center"/>
              <w:rPr>
                <w:rFonts w:hint="eastAsia"/>
                <w:highlight w:val="none"/>
              </w:rPr>
            </w:pPr>
            <w:r>
              <w:rPr>
                <w:rFonts w:hint="eastAsia"/>
                <w:highlight w:val="none"/>
              </w:rPr>
              <w:t>EI0131</w:t>
            </w:r>
          </w:p>
        </w:tc>
        <w:tc>
          <w:tcPr>
            <w:tcW w:w="2221" w:type="dxa"/>
            <w:tcBorders>
              <w:top w:val="nil"/>
              <w:left w:val="nil"/>
              <w:bottom w:val="single" w:color="auto" w:sz="4" w:space="0"/>
              <w:right w:val="single" w:color="auto" w:sz="4" w:space="0"/>
            </w:tcBorders>
            <w:noWrap/>
            <w:vAlign w:val="center"/>
          </w:tcPr>
          <w:p w14:paraId="41B39DF4">
            <w:pPr>
              <w:pStyle w:val="38"/>
              <w:rPr>
                <w:rFonts w:hint="eastAsia"/>
                <w:highlight w:val="none"/>
              </w:rPr>
            </w:pPr>
            <w:r>
              <w:rPr>
                <w:rFonts w:hint="eastAsia"/>
                <w:highlight w:val="none"/>
              </w:rPr>
              <w:t>注册术语信息</w:t>
            </w:r>
          </w:p>
        </w:tc>
        <w:tc>
          <w:tcPr>
            <w:tcW w:w="1442" w:type="dxa"/>
            <w:tcBorders>
              <w:top w:val="nil"/>
              <w:left w:val="nil"/>
              <w:bottom w:val="single" w:color="auto" w:sz="4" w:space="0"/>
              <w:right w:val="single" w:color="auto" w:sz="4" w:space="0"/>
            </w:tcBorders>
            <w:shd w:val="clear" w:color="000000" w:fill="FFFFFF"/>
            <w:vAlign w:val="center"/>
          </w:tcPr>
          <w:p w14:paraId="4CAFFE8C">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4DEBB47F">
            <w:pPr>
              <w:pStyle w:val="38"/>
              <w:rPr>
                <w:rFonts w:hint="eastAsia"/>
                <w:highlight w:val="none"/>
              </w:rPr>
            </w:pPr>
            <w:r>
              <w:rPr>
                <w:rFonts w:hint="eastAsia"/>
                <w:highlight w:val="none"/>
              </w:rPr>
              <w:t>术语注册服务</w:t>
            </w:r>
          </w:p>
        </w:tc>
      </w:tr>
      <w:tr w14:paraId="17961B4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8AEF7B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6E360EA">
            <w:pPr>
              <w:pStyle w:val="38"/>
              <w:jc w:val="center"/>
              <w:rPr>
                <w:rFonts w:hint="eastAsia"/>
                <w:highlight w:val="none"/>
              </w:rPr>
            </w:pPr>
            <w:r>
              <w:rPr>
                <w:rFonts w:hint="eastAsia"/>
                <w:highlight w:val="none"/>
              </w:rPr>
              <w:t>EU0132</w:t>
            </w:r>
          </w:p>
        </w:tc>
        <w:tc>
          <w:tcPr>
            <w:tcW w:w="2221" w:type="dxa"/>
            <w:tcBorders>
              <w:top w:val="nil"/>
              <w:left w:val="nil"/>
              <w:bottom w:val="single" w:color="auto" w:sz="4" w:space="0"/>
              <w:right w:val="single" w:color="auto" w:sz="4" w:space="0"/>
            </w:tcBorders>
            <w:noWrap/>
            <w:vAlign w:val="center"/>
          </w:tcPr>
          <w:p w14:paraId="7C1E63EE">
            <w:pPr>
              <w:pStyle w:val="38"/>
              <w:rPr>
                <w:rFonts w:hint="eastAsia"/>
                <w:highlight w:val="none"/>
              </w:rPr>
            </w:pPr>
            <w:r>
              <w:rPr>
                <w:rFonts w:hint="eastAsia"/>
                <w:highlight w:val="none"/>
              </w:rPr>
              <w:t>变更术语信息</w:t>
            </w:r>
          </w:p>
        </w:tc>
        <w:tc>
          <w:tcPr>
            <w:tcW w:w="1442" w:type="dxa"/>
            <w:tcBorders>
              <w:top w:val="nil"/>
              <w:left w:val="nil"/>
              <w:bottom w:val="single" w:color="auto" w:sz="4" w:space="0"/>
              <w:right w:val="single" w:color="auto" w:sz="4" w:space="0"/>
            </w:tcBorders>
            <w:shd w:val="clear" w:color="000000" w:fill="FFFFFF"/>
            <w:vAlign w:val="center"/>
          </w:tcPr>
          <w:p w14:paraId="3CCF7DCC">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4751F9EA">
            <w:pPr>
              <w:pStyle w:val="38"/>
              <w:rPr>
                <w:rFonts w:hint="eastAsia"/>
                <w:highlight w:val="none"/>
              </w:rPr>
            </w:pPr>
            <w:r>
              <w:rPr>
                <w:rFonts w:hint="eastAsia"/>
                <w:highlight w:val="none"/>
              </w:rPr>
              <w:t>术语更新服务</w:t>
            </w:r>
          </w:p>
        </w:tc>
      </w:tr>
      <w:tr w14:paraId="6331692A">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058F1F7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E6DCC67">
            <w:pPr>
              <w:pStyle w:val="38"/>
              <w:jc w:val="center"/>
              <w:rPr>
                <w:rFonts w:hint="eastAsia"/>
                <w:highlight w:val="none"/>
              </w:rPr>
            </w:pPr>
            <w:r>
              <w:rPr>
                <w:rFonts w:hint="eastAsia"/>
                <w:highlight w:val="none"/>
              </w:rPr>
              <w:t>EI0134</w:t>
            </w:r>
          </w:p>
        </w:tc>
        <w:tc>
          <w:tcPr>
            <w:tcW w:w="2221" w:type="dxa"/>
            <w:tcBorders>
              <w:top w:val="nil"/>
              <w:left w:val="nil"/>
              <w:bottom w:val="single" w:color="auto" w:sz="4" w:space="0"/>
              <w:right w:val="single" w:color="auto" w:sz="4" w:space="0"/>
            </w:tcBorders>
            <w:noWrap/>
            <w:vAlign w:val="center"/>
          </w:tcPr>
          <w:p w14:paraId="362B7D17">
            <w:pPr>
              <w:pStyle w:val="38"/>
              <w:rPr>
                <w:rFonts w:hint="eastAsia"/>
                <w:highlight w:val="none"/>
              </w:rPr>
            </w:pPr>
            <w:r>
              <w:rPr>
                <w:rFonts w:hint="eastAsia"/>
                <w:highlight w:val="none"/>
              </w:rPr>
              <w:t>注册号源排班信息</w:t>
            </w:r>
          </w:p>
        </w:tc>
        <w:tc>
          <w:tcPr>
            <w:tcW w:w="1442" w:type="dxa"/>
            <w:tcBorders>
              <w:top w:val="nil"/>
              <w:left w:val="nil"/>
              <w:bottom w:val="single" w:color="auto" w:sz="4" w:space="0"/>
              <w:right w:val="single" w:color="auto" w:sz="4" w:space="0"/>
            </w:tcBorders>
            <w:shd w:val="clear" w:color="000000" w:fill="FFFFFF"/>
            <w:vAlign w:val="center"/>
          </w:tcPr>
          <w:p w14:paraId="3656D06E">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50C43527">
            <w:pPr>
              <w:pStyle w:val="38"/>
              <w:rPr>
                <w:rFonts w:hint="eastAsia"/>
                <w:highlight w:val="none"/>
              </w:rPr>
            </w:pPr>
            <w:r>
              <w:rPr>
                <w:rFonts w:hint="eastAsia"/>
                <w:highlight w:val="none"/>
              </w:rPr>
              <w:t>号源排班信息新增服务</w:t>
            </w:r>
          </w:p>
        </w:tc>
      </w:tr>
      <w:tr w14:paraId="68084249">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5E5ED17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F3A244D">
            <w:pPr>
              <w:pStyle w:val="38"/>
              <w:jc w:val="center"/>
              <w:rPr>
                <w:rFonts w:hint="eastAsia"/>
                <w:highlight w:val="none"/>
              </w:rPr>
            </w:pPr>
            <w:r>
              <w:rPr>
                <w:rFonts w:hint="eastAsia"/>
                <w:highlight w:val="none"/>
              </w:rPr>
              <w:t>EU0135</w:t>
            </w:r>
          </w:p>
        </w:tc>
        <w:tc>
          <w:tcPr>
            <w:tcW w:w="2221" w:type="dxa"/>
            <w:tcBorders>
              <w:top w:val="nil"/>
              <w:left w:val="nil"/>
              <w:bottom w:val="single" w:color="auto" w:sz="4" w:space="0"/>
              <w:right w:val="single" w:color="auto" w:sz="4" w:space="0"/>
            </w:tcBorders>
            <w:noWrap/>
            <w:vAlign w:val="center"/>
          </w:tcPr>
          <w:p w14:paraId="69517E39">
            <w:pPr>
              <w:pStyle w:val="38"/>
              <w:rPr>
                <w:rFonts w:hint="eastAsia"/>
                <w:highlight w:val="none"/>
              </w:rPr>
            </w:pPr>
            <w:r>
              <w:rPr>
                <w:rFonts w:hint="eastAsia"/>
                <w:highlight w:val="none"/>
              </w:rPr>
              <w:t>更新号源排班信息</w:t>
            </w:r>
          </w:p>
        </w:tc>
        <w:tc>
          <w:tcPr>
            <w:tcW w:w="1442" w:type="dxa"/>
            <w:tcBorders>
              <w:top w:val="nil"/>
              <w:left w:val="nil"/>
              <w:bottom w:val="single" w:color="auto" w:sz="4" w:space="0"/>
              <w:right w:val="single" w:color="auto" w:sz="4" w:space="0"/>
            </w:tcBorders>
            <w:shd w:val="clear" w:color="000000" w:fill="FFFFFF"/>
            <w:vAlign w:val="center"/>
          </w:tcPr>
          <w:p w14:paraId="7CE202FB">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5E4F251B">
            <w:pPr>
              <w:pStyle w:val="38"/>
              <w:rPr>
                <w:rFonts w:hint="eastAsia"/>
                <w:highlight w:val="none"/>
              </w:rPr>
            </w:pPr>
            <w:r>
              <w:rPr>
                <w:rFonts w:hint="eastAsia"/>
                <w:highlight w:val="none"/>
              </w:rPr>
              <w:t>号源排班信息更新服务</w:t>
            </w:r>
          </w:p>
        </w:tc>
      </w:tr>
      <w:tr w14:paraId="30AA10FC">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2EB96FA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FDDDDB7">
            <w:pPr>
              <w:pStyle w:val="38"/>
              <w:jc w:val="center"/>
              <w:rPr>
                <w:rFonts w:hint="eastAsia"/>
                <w:highlight w:val="none"/>
              </w:rPr>
            </w:pPr>
            <w:r>
              <w:rPr>
                <w:rFonts w:hint="eastAsia"/>
                <w:highlight w:val="none"/>
              </w:rPr>
              <w:t>EI0137</w:t>
            </w:r>
          </w:p>
        </w:tc>
        <w:tc>
          <w:tcPr>
            <w:tcW w:w="2221" w:type="dxa"/>
            <w:tcBorders>
              <w:top w:val="nil"/>
              <w:left w:val="nil"/>
              <w:bottom w:val="single" w:color="auto" w:sz="4" w:space="0"/>
              <w:right w:val="single" w:color="auto" w:sz="4" w:space="0"/>
            </w:tcBorders>
            <w:noWrap/>
            <w:vAlign w:val="center"/>
          </w:tcPr>
          <w:p w14:paraId="183FC59A">
            <w:pPr>
              <w:pStyle w:val="38"/>
              <w:rPr>
                <w:rFonts w:hint="eastAsia"/>
                <w:highlight w:val="none"/>
              </w:rPr>
            </w:pPr>
            <w:r>
              <w:rPr>
                <w:rFonts w:hint="eastAsia"/>
                <w:highlight w:val="none"/>
              </w:rPr>
              <w:t>注册门诊预约信息</w:t>
            </w:r>
          </w:p>
        </w:tc>
        <w:tc>
          <w:tcPr>
            <w:tcW w:w="1442" w:type="dxa"/>
            <w:tcBorders>
              <w:top w:val="nil"/>
              <w:left w:val="nil"/>
              <w:bottom w:val="single" w:color="auto" w:sz="4" w:space="0"/>
              <w:right w:val="single" w:color="auto" w:sz="4" w:space="0"/>
            </w:tcBorders>
            <w:shd w:val="clear" w:color="000000" w:fill="FFFFFF"/>
            <w:vAlign w:val="center"/>
          </w:tcPr>
          <w:p w14:paraId="451589A2">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1F71562F">
            <w:pPr>
              <w:pStyle w:val="38"/>
              <w:rPr>
                <w:rFonts w:hint="eastAsia"/>
                <w:highlight w:val="none"/>
              </w:rPr>
            </w:pPr>
            <w:r>
              <w:rPr>
                <w:rFonts w:hint="eastAsia"/>
                <w:highlight w:val="none"/>
              </w:rPr>
              <w:t>门诊预约状态信息新增服务</w:t>
            </w:r>
          </w:p>
        </w:tc>
      </w:tr>
      <w:tr w14:paraId="388FEBCA">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632D762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2BE14BE">
            <w:pPr>
              <w:pStyle w:val="38"/>
              <w:jc w:val="center"/>
              <w:rPr>
                <w:rFonts w:hint="eastAsia"/>
                <w:highlight w:val="none"/>
              </w:rPr>
            </w:pPr>
            <w:r>
              <w:rPr>
                <w:rFonts w:hint="eastAsia"/>
                <w:highlight w:val="none"/>
              </w:rPr>
              <w:t>EU0138</w:t>
            </w:r>
          </w:p>
        </w:tc>
        <w:tc>
          <w:tcPr>
            <w:tcW w:w="2221" w:type="dxa"/>
            <w:tcBorders>
              <w:top w:val="nil"/>
              <w:left w:val="nil"/>
              <w:bottom w:val="single" w:color="auto" w:sz="4" w:space="0"/>
              <w:right w:val="single" w:color="auto" w:sz="4" w:space="0"/>
            </w:tcBorders>
            <w:noWrap/>
            <w:vAlign w:val="center"/>
          </w:tcPr>
          <w:p w14:paraId="04873FBB">
            <w:pPr>
              <w:pStyle w:val="38"/>
              <w:rPr>
                <w:rFonts w:hint="eastAsia"/>
                <w:highlight w:val="none"/>
              </w:rPr>
            </w:pPr>
            <w:r>
              <w:rPr>
                <w:rFonts w:hint="eastAsia"/>
                <w:highlight w:val="none"/>
              </w:rPr>
              <w:t>更新门诊预约信息</w:t>
            </w:r>
          </w:p>
        </w:tc>
        <w:tc>
          <w:tcPr>
            <w:tcW w:w="1442" w:type="dxa"/>
            <w:tcBorders>
              <w:top w:val="nil"/>
              <w:left w:val="nil"/>
              <w:bottom w:val="single" w:color="auto" w:sz="4" w:space="0"/>
              <w:right w:val="single" w:color="auto" w:sz="4" w:space="0"/>
            </w:tcBorders>
            <w:shd w:val="clear" w:color="000000" w:fill="FFFFFF"/>
            <w:vAlign w:val="center"/>
          </w:tcPr>
          <w:p w14:paraId="72AAEBB5">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39DFCC2F">
            <w:pPr>
              <w:pStyle w:val="38"/>
              <w:rPr>
                <w:rFonts w:hint="eastAsia"/>
                <w:highlight w:val="none"/>
              </w:rPr>
            </w:pPr>
            <w:r>
              <w:rPr>
                <w:rFonts w:hint="eastAsia"/>
                <w:highlight w:val="none"/>
              </w:rPr>
              <w:t>门诊预约状态信息更新服务</w:t>
            </w:r>
          </w:p>
        </w:tc>
      </w:tr>
      <w:tr w14:paraId="33A98447">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1B93717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68F3E50">
            <w:pPr>
              <w:pStyle w:val="38"/>
              <w:jc w:val="center"/>
              <w:rPr>
                <w:rFonts w:hint="eastAsia"/>
                <w:highlight w:val="none"/>
              </w:rPr>
            </w:pPr>
            <w:r>
              <w:rPr>
                <w:rFonts w:hint="eastAsia"/>
                <w:highlight w:val="none"/>
              </w:rPr>
              <w:t>EI0140</w:t>
            </w:r>
          </w:p>
        </w:tc>
        <w:tc>
          <w:tcPr>
            <w:tcW w:w="2221" w:type="dxa"/>
            <w:tcBorders>
              <w:top w:val="nil"/>
              <w:left w:val="nil"/>
              <w:bottom w:val="single" w:color="auto" w:sz="4" w:space="0"/>
              <w:right w:val="single" w:color="auto" w:sz="4" w:space="0"/>
            </w:tcBorders>
            <w:noWrap/>
            <w:vAlign w:val="center"/>
          </w:tcPr>
          <w:p w14:paraId="6CFE5DFA">
            <w:pPr>
              <w:pStyle w:val="38"/>
              <w:rPr>
                <w:rFonts w:hint="eastAsia"/>
                <w:highlight w:val="none"/>
              </w:rPr>
            </w:pPr>
            <w:r>
              <w:rPr>
                <w:rFonts w:hint="eastAsia"/>
                <w:highlight w:val="none"/>
              </w:rPr>
              <w:t>注册检查预约信息</w:t>
            </w:r>
          </w:p>
        </w:tc>
        <w:tc>
          <w:tcPr>
            <w:tcW w:w="1442" w:type="dxa"/>
            <w:tcBorders>
              <w:top w:val="nil"/>
              <w:left w:val="nil"/>
              <w:bottom w:val="single" w:color="auto" w:sz="4" w:space="0"/>
              <w:right w:val="single" w:color="auto" w:sz="4" w:space="0"/>
            </w:tcBorders>
            <w:shd w:val="clear" w:color="000000" w:fill="FFFFFF"/>
            <w:vAlign w:val="center"/>
          </w:tcPr>
          <w:p w14:paraId="70D82FBB">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686A9DBC">
            <w:pPr>
              <w:pStyle w:val="38"/>
              <w:rPr>
                <w:rFonts w:hint="eastAsia"/>
                <w:highlight w:val="none"/>
              </w:rPr>
            </w:pPr>
            <w:r>
              <w:rPr>
                <w:rFonts w:hint="eastAsia"/>
                <w:highlight w:val="none"/>
              </w:rPr>
              <w:t>检查预约状态信息新增服务</w:t>
            </w:r>
          </w:p>
        </w:tc>
      </w:tr>
      <w:tr w14:paraId="2D1B54F5">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0D3F42B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E9059BE">
            <w:pPr>
              <w:pStyle w:val="38"/>
              <w:jc w:val="center"/>
              <w:rPr>
                <w:rFonts w:hint="eastAsia"/>
                <w:highlight w:val="none"/>
              </w:rPr>
            </w:pPr>
            <w:r>
              <w:rPr>
                <w:rFonts w:hint="eastAsia"/>
                <w:highlight w:val="none"/>
              </w:rPr>
              <w:t>EU0141</w:t>
            </w:r>
          </w:p>
        </w:tc>
        <w:tc>
          <w:tcPr>
            <w:tcW w:w="2221" w:type="dxa"/>
            <w:tcBorders>
              <w:top w:val="nil"/>
              <w:left w:val="nil"/>
              <w:bottom w:val="single" w:color="auto" w:sz="4" w:space="0"/>
              <w:right w:val="single" w:color="auto" w:sz="4" w:space="0"/>
            </w:tcBorders>
            <w:noWrap/>
            <w:vAlign w:val="center"/>
          </w:tcPr>
          <w:p w14:paraId="7722B499">
            <w:pPr>
              <w:pStyle w:val="38"/>
              <w:rPr>
                <w:rFonts w:hint="eastAsia"/>
                <w:highlight w:val="none"/>
              </w:rPr>
            </w:pPr>
            <w:r>
              <w:rPr>
                <w:rFonts w:hint="eastAsia"/>
                <w:highlight w:val="none"/>
              </w:rPr>
              <w:t>更新检查预约信息</w:t>
            </w:r>
          </w:p>
        </w:tc>
        <w:tc>
          <w:tcPr>
            <w:tcW w:w="1442" w:type="dxa"/>
            <w:tcBorders>
              <w:top w:val="nil"/>
              <w:left w:val="nil"/>
              <w:bottom w:val="single" w:color="auto" w:sz="4" w:space="0"/>
              <w:right w:val="single" w:color="auto" w:sz="4" w:space="0"/>
            </w:tcBorders>
            <w:shd w:val="clear" w:color="000000" w:fill="FFFFFF"/>
            <w:vAlign w:val="center"/>
          </w:tcPr>
          <w:p w14:paraId="50AB225E">
            <w:pPr>
              <w:pStyle w:val="38"/>
              <w:rPr>
                <w:rFonts w:hint="eastAsia"/>
                <w:highlight w:val="none"/>
              </w:rPr>
            </w:pPr>
            <w:r>
              <w:rPr>
                <w:rFonts w:hint="eastAsia"/>
                <w:highlight w:val="none"/>
              </w:rPr>
              <w:t>五级乙等</w:t>
            </w:r>
          </w:p>
        </w:tc>
        <w:tc>
          <w:tcPr>
            <w:tcW w:w="1189" w:type="dxa"/>
            <w:tcBorders>
              <w:top w:val="nil"/>
              <w:left w:val="nil"/>
              <w:bottom w:val="single" w:color="auto" w:sz="4" w:space="0"/>
              <w:right w:val="single" w:color="auto" w:sz="4" w:space="0"/>
            </w:tcBorders>
            <w:shd w:val="clear" w:color="000000" w:fill="FFFFFF"/>
            <w:vAlign w:val="center"/>
          </w:tcPr>
          <w:p w14:paraId="532F4FF3">
            <w:pPr>
              <w:pStyle w:val="38"/>
              <w:rPr>
                <w:rFonts w:hint="eastAsia"/>
                <w:highlight w:val="none"/>
              </w:rPr>
            </w:pPr>
            <w:r>
              <w:rPr>
                <w:rFonts w:hint="eastAsia"/>
                <w:highlight w:val="none"/>
              </w:rPr>
              <w:t>检查预约状态信息更新服务</w:t>
            </w:r>
          </w:p>
        </w:tc>
      </w:tr>
      <w:tr w14:paraId="458D832F">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41CD382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AF35719">
            <w:pPr>
              <w:pStyle w:val="38"/>
              <w:jc w:val="center"/>
              <w:rPr>
                <w:rFonts w:hint="eastAsia"/>
                <w:highlight w:val="none"/>
              </w:rPr>
            </w:pPr>
            <w:r>
              <w:rPr>
                <w:rFonts w:hint="eastAsia"/>
                <w:highlight w:val="none"/>
              </w:rPr>
              <w:t>ED0143</w:t>
            </w:r>
          </w:p>
        </w:tc>
        <w:tc>
          <w:tcPr>
            <w:tcW w:w="2221" w:type="dxa"/>
            <w:tcBorders>
              <w:top w:val="nil"/>
              <w:left w:val="nil"/>
              <w:bottom w:val="single" w:color="auto" w:sz="4" w:space="0"/>
              <w:right w:val="single" w:color="auto" w:sz="4" w:space="0"/>
            </w:tcBorders>
            <w:noWrap/>
            <w:vAlign w:val="center"/>
          </w:tcPr>
          <w:p w14:paraId="18EABB88">
            <w:pPr>
              <w:pStyle w:val="38"/>
              <w:rPr>
                <w:rFonts w:hint="eastAsia"/>
                <w:highlight w:val="none"/>
              </w:rPr>
            </w:pPr>
            <w:r>
              <w:rPr>
                <w:rFonts w:hint="eastAsia"/>
                <w:highlight w:val="none"/>
              </w:rPr>
              <w:t>作废检查预约信息</w:t>
            </w:r>
          </w:p>
        </w:tc>
        <w:tc>
          <w:tcPr>
            <w:tcW w:w="1442" w:type="dxa"/>
            <w:tcBorders>
              <w:top w:val="nil"/>
              <w:left w:val="nil"/>
              <w:bottom w:val="single" w:color="auto" w:sz="4" w:space="0"/>
              <w:right w:val="single" w:color="auto" w:sz="4" w:space="0"/>
            </w:tcBorders>
            <w:shd w:val="clear" w:color="000000" w:fill="FFFFFF"/>
            <w:vAlign w:val="center"/>
          </w:tcPr>
          <w:p w14:paraId="4EA3656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94C98BE">
            <w:pPr>
              <w:pStyle w:val="38"/>
              <w:rPr>
                <w:rFonts w:hint="eastAsia"/>
                <w:highlight w:val="none"/>
              </w:rPr>
            </w:pPr>
            <w:r>
              <w:rPr>
                <w:rFonts w:hint="eastAsia"/>
                <w:highlight w:val="none"/>
              </w:rPr>
              <w:t>检查预约作废信息上传</w:t>
            </w:r>
          </w:p>
        </w:tc>
      </w:tr>
      <w:tr w14:paraId="3CD5CD19">
        <w:tblPrEx>
          <w:tblCellMar>
            <w:top w:w="0" w:type="dxa"/>
            <w:left w:w="108" w:type="dxa"/>
            <w:bottom w:w="0" w:type="dxa"/>
            <w:right w:w="108" w:type="dxa"/>
          </w:tblCellMar>
        </w:tblPrEx>
        <w:trPr>
          <w:trHeight w:val="255" w:hRule="atLeast"/>
        </w:trPr>
        <w:tc>
          <w:tcPr>
            <w:tcW w:w="1446" w:type="dxa"/>
            <w:tcBorders>
              <w:top w:val="nil"/>
              <w:left w:val="single" w:color="auto" w:sz="4" w:space="0"/>
              <w:bottom w:val="single" w:color="auto" w:sz="4" w:space="0"/>
              <w:right w:val="single" w:color="auto" w:sz="4" w:space="0"/>
            </w:tcBorders>
            <w:shd w:val="clear" w:color="000000" w:fill="FFFFFF"/>
            <w:vAlign w:val="center"/>
          </w:tcPr>
          <w:p w14:paraId="6BFDF8F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9DA996A">
            <w:pPr>
              <w:pStyle w:val="38"/>
              <w:jc w:val="center"/>
              <w:rPr>
                <w:rFonts w:hint="eastAsia"/>
                <w:highlight w:val="none"/>
              </w:rPr>
            </w:pPr>
            <w:r>
              <w:rPr>
                <w:rFonts w:hint="eastAsia"/>
                <w:highlight w:val="none"/>
              </w:rPr>
              <w:t>EI0235</w:t>
            </w:r>
          </w:p>
        </w:tc>
        <w:tc>
          <w:tcPr>
            <w:tcW w:w="2221" w:type="dxa"/>
            <w:tcBorders>
              <w:top w:val="nil"/>
              <w:left w:val="nil"/>
              <w:bottom w:val="single" w:color="auto" w:sz="4" w:space="0"/>
              <w:right w:val="single" w:color="auto" w:sz="4" w:space="0"/>
            </w:tcBorders>
            <w:noWrap/>
            <w:vAlign w:val="center"/>
          </w:tcPr>
          <w:p w14:paraId="04BE3CA4">
            <w:pPr>
              <w:pStyle w:val="38"/>
              <w:rPr>
                <w:rFonts w:hint="eastAsia"/>
                <w:highlight w:val="none"/>
              </w:rPr>
            </w:pPr>
            <w:r>
              <w:rPr>
                <w:rFonts w:hint="eastAsia"/>
                <w:highlight w:val="none"/>
              </w:rPr>
              <w:t>注册检查预约登记确认信息</w:t>
            </w:r>
          </w:p>
        </w:tc>
        <w:tc>
          <w:tcPr>
            <w:tcW w:w="1442" w:type="dxa"/>
            <w:tcBorders>
              <w:top w:val="nil"/>
              <w:left w:val="nil"/>
              <w:bottom w:val="single" w:color="auto" w:sz="4" w:space="0"/>
              <w:right w:val="single" w:color="auto" w:sz="4" w:space="0"/>
            </w:tcBorders>
            <w:shd w:val="clear" w:color="000000" w:fill="FFFFFF"/>
            <w:vAlign w:val="center"/>
          </w:tcPr>
          <w:p w14:paraId="6E8ECA3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2E88C99">
            <w:pPr>
              <w:pStyle w:val="38"/>
              <w:rPr>
                <w:rFonts w:hint="eastAsia"/>
                <w:highlight w:val="none"/>
              </w:rPr>
            </w:pPr>
          </w:p>
        </w:tc>
      </w:tr>
      <w:tr w14:paraId="5956CE01">
        <w:tblPrEx>
          <w:tblCellMar>
            <w:top w:w="0" w:type="dxa"/>
            <w:left w:w="108" w:type="dxa"/>
            <w:bottom w:w="0" w:type="dxa"/>
            <w:right w:w="108" w:type="dxa"/>
          </w:tblCellMar>
        </w:tblPrEx>
        <w:trPr>
          <w:trHeight w:val="480"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7D3FFF90">
            <w:pPr>
              <w:pStyle w:val="38"/>
              <w:jc w:val="center"/>
              <w:rPr>
                <w:rFonts w:hint="eastAsia"/>
                <w:highlight w:val="none"/>
              </w:rPr>
            </w:pPr>
            <w:r>
              <w:rPr>
                <w:rFonts w:hint="eastAsia"/>
                <w:highlight w:val="none"/>
              </w:rPr>
              <w:t>主数据</w:t>
            </w:r>
          </w:p>
        </w:tc>
        <w:tc>
          <w:tcPr>
            <w:tcW w:w="1998" w:type="dxa"/>
            <w:tcBorders>
              <w:top w:val="nil"/>
              <w:left w:val="nil"/>
              <w:bottom w:val="single" w:color="auto" w:sz="4" w:space="0"/>
              <w:right w:val="single" w:color="auto" w:sz="4" w:space="0"/>
            </w:tcBorders>
            <w:shd w:val="clear" w:color="000000" w:fill="FFFFFF"/>
            <w:vAlign w:val="center"/>
          </w:tcPr>
          <w:p w14:paraId="0BF9D687">
            <w:pPr>
              <w:pStyle w:val="38"/>
              <w:jc w:val="center"/>
              <w:rPr>
                <w:rFonts w:hint="eastAsia"/>
                <w:highlight w:val="none"/>
              </w:rPr>
            </w:pPr>
            <w:r>
              <w:rPr>
                <w:rFonts w:hint="eastAsia"/>
                <w:highlight w:val="none"/>
              </w:rPr>
              <w:t>MI0144</w:t>
            </w:r>
          </w:p>
        </w:tc>
        <w:tc>
          <w:tcPr>
            <w:tcW w:w="2221" w:type="dxa"/>
            <w:tcBorders>
              <w:top w:val="nil"/>
              <w:left w:val="nil"/>
              <w:bottom w:val="single" w:color="auto" w:sz="4" w:space="0"/>
              <w:right w:val="single" w:color="auto" w:sz="4" w:space="0"/>
            </w:tcBorders>
            <w:noWrap/>
            <w:vAlign w:val="center"/>
          </w:tcPr>
          <w:p w14:paraId="0F52E933">
            <w:pPr>
              <w:pStyle w:val="38"/>
              <w:rPr>
                <w:rFonts w:hint="eastAsia"/>
                <w:highlight w:val="none"/>
              </w:rPr>
            </w:pPr>
            <w:r>
              <w:rPr>
                <w:rFonts w:hint="eastAsia"/>
                <w:highlight w:val="none"/>
              </w:rPr>
              <w:t>注册医疗卫生机构（科室）信息</w:t>
            </w:r>
          </w:p>
        </w:tc>
        <w:tc>
          <w:tcPr>
            <w:tcW w:w="1442" w:type="dxa"/>
            <w:tcBorders>
              <w:top w:val="nil"/>
              <w:left w:val="nil"/>
              <w:bottom w:val="single" w:color="auto" w:sz="4" w:space="0"/>
              <w:right w:val="single" w:color="auto" w:sz="4" w:space="0"/>
            </w:tcBorders>
            <w:shd w:val="clear" w:color="000000" w:fill="FFFFFF"/>
            <w:vAlign w:val="center"/>
          </w:tcPr>
          <w:p w14:paraId="2CE5358C">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1099A88B">
            <w:pPr>
              <w:pStyle w:val="38"/>
              <w:rPr>
                <w:rFonts w:hint="eastAsia"/>
                <w:highlight w:val="none"/>
              </w:rPr>
            </w:pPr>
            <w:r>
              <w:rPr>
                <w:rFonts w:hint="eastAsia"/>
                <w:highlight w:val="none"/>
              </w:rPr>
              <w:t>医疗卫生机构（科室）信息注册服务</w:t>
            </w:r>
          </w:p>
        </w:tc>
      </w:tr>
      <w:tr w14:paraId="37F3CAF3">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311A748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142EA1C">
            <w:pPr>
              <w:pStyle w:val="38"/>
              <w:jc w:val="center"/>
              <w:rPr>
                <w:rFonts w:hint="eastAsia"/>
                <w:highlight w:val="none"/>
              </w:rPr>
            </w:pPr>
            <w:r>
              <w:rPr>
                <w:rFonts w:hint="eastAsia"/>
                <w:highlight w:val="none"/>
              </w:rPr>
              <w:t>MU0145</w:t>
            </w:r>
          </w:p>
        </w:tc>
        <w:tc>
          <w:tcPr>
            <w:tcW w:w="2221" w:type="dxa"/>
            <w:tcBorders>
              <w:top w:val="nil"/>
              <w:left w:val="nil"/>
              <w:bottom w:val="single" w:color="auto" w:sz="4" w:space="0"/>
              <w:right w:val="single" w:color="auto" w:sz="4" w:space="0"/>
            </w:tcBorders>
            <w:noWrap/>
            <w:vAlign w:val="center"/>
          </w:tcPr>
          <w:p w14:paraId="5E82B5E8">
            <w:pPr>
              <w:pStyle w:val="38"/>
              <w:rPr>
                <w:rFonts w:hint="eastAsia"/>
                <w:highlight w:val="none"/>
              </w:rPr>
            </w:pPr>
            <w:r>
              <w:rPr>
                <w:rFonts w:hint="eastAsia"/>
                <w:highlight w:val="none"/>
              </w:rPr>
              <w:t>更新医疗卫生机构（科室）信息</w:t>
            </w:r>
          </w:p>
        </w:tc>
        <w:tc>
          <w:tcPr>
            <w:tcW w:w="1442" w:type="dxa"/>
            <w:tcBorders>
              <w:top w:val="nil"/>
              <w:left w:val="nil"/>
              <w:bottom w:val="single" w:color="auto" w:sz="4" w:space="0"/>
              <w:right w:val="single" w:color="auto" w:sz="4" w:space="0"/>
            </w:tcBorders>
            <w:shd w:val="clear" w:color="000000" w:fill="FFFFFF"/>
            <w:vAlign w:val="center"/>
          </w:tcPr>
          <w:p w14:paraId="67566B66">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7A31D86A">
            <w:pPr>
              <w:pStyle w:val="38"/>
              <w:rPr>
                <w:rFonts w:hint="eastAsia"/>
                <w:highlight w:val="none"/>
              </w:rPr>
            </w:pPr>
            <w:r>
              <w:rPr>
                <w:rFonts w:hint="eastAsia"/>
                <w:highlight w:val="none"/>
              </w:rPr>
              <w:t>医疗卫生机构（科室）信息更新服务</w:t>
            </w:r>
          </w:p>
        </w:tc>
      </w:tr>
      <w:tr w14:paraId="175A6A5A">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1D0D5BD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C859A0E">
            <w:pPr>
              <w:pStyle w:val="38"/>
              <w:jc w:val="center"/>
              <w:rPr>
                <w:rFonts w:hint="eastAsia"/>
                <w:highlight w:val="none"/>
              </w:rPr>
            </w:pPr>
            <w:r>
              <w:rPr>
                <w:rFonts w:hint="eastAsia"/>
                <w:highlight w:val="none"/>
              </w:rPr>
              <w:t>MI0147</w:t>
            </w:r>
          </w:p>
        </w:tc>
        <w:tc>
          <w:tcPr>
            <w:tcW w:w="2221" w:type="dxa"/>
            <w:tcBorders>
              <w:top w:val="nil"/>
              <w:left w:val="nil"/>
              <w:bottom w:val="single" w:color="auto" w:sz="4" w:space="0"/>
              <w:right w:val="single" w:color="auto" w:sz="4" w:space="0"/>
            </w:tcBorders>
            <w:noWrap/>
            <w:vAlign w:val="center"/>
          </w:tcPr>
          <w:p w14:paraId="762ABEFF">
            <w:pPr>
              <w:pStyle w:val="38"/>
              <w:rPr>
                <w:rFonts w:hint="eastAsia"/>
                <w:highlight w:val="none"/>
              </w:rPr>
            </w:pPr>
            <w:r>
              <w:rPr>
                <w:rFonts w:hint="eastAsia"/>
                <w:highlight w:val="none"/>
              </w:rPr>
              <w:t>注册医护人员信息</w:t>
            </w:r>
          </w:p>
        </w:tc>
        <w:tc>
          <w:tcPr>
            <w:tcW w:w="1442" w:type="dxa"/>
            <w:tcBorders>
              <w:top w:val="nil"/>
              <w:left w:val="nil"/>
              <w:bottom w:val="single" w:color="auto" w:sz="4" w:space="0"/>
              <w:right w:val="single" w:color="auto" w:sz="4" w:space="0"/>
            </w:tcBorders>
            <w:shd w:val="clear" w:color="000000" w:fill="FFFFFF"/>
            <w:vAlign w:val="center"/>
          </w:tcPr>
          <w:p w14:paraId="4CD5BD1E">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42151C22">
            <w:pPr>
              <w:pStyle w:val="38"/>
              <w:rPr>
                <w:rFonts w:hint="eastAsia"/>
                <w:highlight w:val="none"/>
              </w:rPr>
            </w:pPr>
            <w:r>
              <w:rPr>
                <w:rFonts w:hint="eastAsia"/>
                <w:highlight w:val="none"/>
              </w:rPr>
              <w:t>医疗卫生人员信息注册服务</w:t>
            </w:r>
          </w:p>
        </w:tc>
      </w:tr>
      <w:tr w14:paraId="15D830AF">
        <w:tblPrEx>
          <w:tblCellMar>
            <w:top w:w="0" w:type="dxa"/>
            <w:left w:w="108" w:type="dxa"/>
            <w:bottom w:w="0" w:type="dxa"/>
            <w:right w:w="108" w:type="dxa"/>
          </w:tblCellMar>
        </w:tblPrEx>
        <w:trPr>
          <w:trHeight w:val="480" w:hRule="atLeast"/>
        </w:trPr>
        <w:tc>
          <w:tcPr>
            <w:tcW w:w="1446" w:type="dxa"/>
            <w:vMerge w:val="continue"/>
            <w:tcBorders>
              <w:top w:val="nil"/>
              <w:left w:val="single" w:color="auto" w:sz="4" w:space="0"/>
              <w:bottom w:val="single" w:color="auto" w:sz="4" w:space="0"/>
              <w:right w:val="single" w:color="auto" w:sz="4" w:space="0"/>
            </w:tcBorders>
            <w:vAlign w:val="center"/>
          </w:tcPr>
          <w:p w14:paraId="76A6AE8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3B4E3F4">
            <w:pPr>
              <w:pStyle w:val="38"/>
              <w:jc w:val="center"/>
              <w:rPr>
                <w:rFonts w:hint="eastAsia"/>
                <w:highlight w:val="none"/>
              </w:rPr>
            </w:pPr>
            <w:r>
              <w:rPr>
                <w:rFonts w:hint="eastAsia"/>
                <w:highlight w:val="none"/>
              </w:rPr>
              <w:t>MU0148</w:t>
            </w:r>
          </w:p>
        </w:tc>
        <w:tc>
          <w:tcPr>
            <w:tcW w:w="2221" w:type="dxa"/>
            <w:tcBorders>
              <w:top w:val="nil"/>
              <w:left w:val="nil"/>
              <w:bottom w:val="single" w:color="auto" w:sz="4" w:space="0"/>
              <w:right w:val="single" w:color="auto" w:sz="4" w:space="0"/>
            </w:tcBorders>
            <w:noWrap/>
            <w:vAlign w:val="center"/>
          </w:tcPr>
          <w:p w14:paraId="61C5AA6A">
            <w:pPr>
              <w:pStyle w:val="38"/>
              <w:rPr>
                <w:rFonts w:hint="eastAsia"/>
                <w:highlight w:val="none"/>
              </w:rPr>
            </w:pPr>
            <w:r>
              <w:rPr>
                <w:rFonts w:hint="eastAsia"/>
                <w:highlight w:val="none"/>
              </w:rPr>
              <w:t>变更医护人员信息</w:t>
            </w:r>
          </w:p>
        </w:tc>
        <w:tc>
          <w:tcPr>
            <w:tcW w:w="1442" w:type="dxa"/>
            <w:tcBorders>
              <w:top w:val="nil"/>
              <w:left w:val="nil"/>
              <w:bottom w:val="single" w:color="auto" w:sz="4" w:space="0"/>
              <w:right w:val="single" w:color="auto" w:sz="4" w:space="0"/>
            </w:tcBorders>
            <w:shd w:val="clear" w:color="000000" w:fill="FFFFFF"/>
            <w:vAlign w:val="center"/>
          </w:tcPr>
          <w:p w14:paraId="0DA43E99">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302A61B6">
            <w:pPr>
              <w:pStyle w:val="38"/>
              <w:rPr>
                <w:rFonts w:hint="eastAsia"/>
                <w:highlight w:val="none"/>
              </w:rPr>
            </w:pPr>
            <w:r>
              <w:rPr>
                <w:rFonts w:hint="eastAsia"/>
                <w:highlight w:val="none"/>
              </w:rPr>
              <w:t>医疗卫生人员信息更新服务</w:t>
            </w:r>
          </w:p>
        </w:tc>
      </w:tr>
      <w:tr w14:paraId="1E23E08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A7961D8">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9E00F41">
            <w:pPr>
              <w:pStyle w:val="38"/>
              <w:jc w:val="center"/>
              <w:rPr>
                <w:rFonts w:hint="eastAsia"/>
                <w:highlight w:val="none"/>
              </w:rPr>
            </w:pPr>
            <w:r>
              <w:rPr>
                <w:rFonts w:hint="eastAsia"/>
                <w:highlight w:val="none"/>
              </w:rPr>
              <w:t>MI0150</w:t>
            </w:r>
          </w:p>
        </w:tc>
        <w:tc>
          <w:tcPr>
            <w:tcW w:w="2221" w:type="dxa"/>
            <w:tcBorders>
              <w:top w:val="nil"/>
              <w:left w:val="nil"/>
              <w:bottom w:val="single" w:color="auto" w:sz="4" w:space="0"/>
              <w:right w:val="single" w:color="auto" w:sz="4" w:space="0"/>
            </w:tcBorders>
            <w:noWrap/>
            <w:vAlign w:val="center"/>
          </w:tcPr>
          <w:p w14:paraId="491BF9B4">
            <w:pPr>
              <w:pStyle w:val="38"/>
              <w:rPr>
                <w:rFonts w:hint="eastAsia"/>
                <w:highlight w:val="none"/>
              </w:rPr>
            </w:pPr>
            <w:r>
              <w:rPr>
                <w:rFonts w:hint="eastAsia"/>
                <w:highlight w:val="none"/>
              </w:rPr>
              <w:t>注册非药品收费项目信息</w:t>
            </w:r>
          </w:p>
        </w:tc>
        <w:tc>
          <w:tcPr>
            <w:tcW w:w="1442" w:type="dxa"/>
            <w:tcBorders>
              <w:top w:val="nil"/>
              <w:left w:val="nil"/>
              <w:bottom w:val="single" w:color="auto" w:sz="4" w:space="0"/>
              <w:right w:val="single" w:color="auto" w:sz="4" w:space="0"/>
            </w:tcBorders>
            <w:shd w:val="clear" w:color="000000" w:fill="FFFFFF"/>
            <w:vAlign w:val="center"/>
          </w:tcPr>
          <w:p w14:paraId="7DC4DE2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7551613">
            <w:pPr>
              <w:pStyle w:val="38"/>
              <w:rPr>
                <w:rFonts w:hint="eastAsia"/>
                <w:highlight w:val="none"/>
              </w:rPr>
            </w:pPr>
          </w:p>
        </w:tc>
      </w:tr>
      <w:tr w14:paraId="4B21CAC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1D55C2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4E0391E">
            <w:pPr>
              <w:pStyle w:val="38"/>
              <w:jc w:val="center"/>
              <w:rPr>
                <w:rFonts w:hint="eastAsia"/>
                <w:highlight w:val="none"/>
              </w:rPr>
            </w:pPr>
            <w:r>
              <w:rPr>
                <w:rFonts w:hint="eastAsia"/>
                <w:highlight w:val="none"/>
              </w:rPr>
              <w:t>MU0151</w:t>
            </w:r>
          </w:p>
        </w:tc>
        <w:tc>
          <w:tcPr>
            <w:tcW w:w="2221" w:type="dxa"/>
            <w:tcBorders>
              <w:top w:val="nil"/>
              <w:left w:val="nil"/>
              <w:bottom w:val="single" w:color="auto" w:sz="4" w:space="0"/>
              <w:right w:val="single" w:color="auto" w:sz="4" w:space="0"/>
            </w:tcBorders>
            <w:noWrap/>
            <w:vAlign w:val="center"/>
          </w:tcPr>
          <w:p w14:paraId="1D46D678">
            <w:pPr>
              <w:pStyle w:val="38"/>
              <w:rPr>
                <w:rFonts w:hint="eastAsia"/>
                <w:highlight w:val="none"/>
              </w:rPr>
            </w:pPr>
            <w:r>
              <w:rPr>
                <w:rFonts w:hint="eastAsia"/>
                <w:highlight w:val="none"/>
              </w:rPr>
              <w:t>变更非药品收费项目信息</w:t>
            </w:r>
          </w:p>
        </w:tc>
        <w:tc>
          <w:tcPr>
            <w:tcW w:w="1442" w:type="dxa"/>
            <w:tcBorders>
              <w:top w:val="nil"/>
              <w:left w:val="nil"/>
              <w:bottom w:val="single" w:color="auto" w:sz="4" w:space="0"/>
              <w:right w:val="single" w:color="auto" w:sz="4" w:space="0"/>
            </w:tcBorders>
            <w:shd w:val="clear" w:color="000000" w:fill="FFFFFF"/>
            <w:vAlign w:val="center"/>
          </w:tcPr>
          <w:p w14:paraId="65098C3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9BC9658">
            <w:pPr>
              <w:pStyle w:val="38"/>
              <w:rPr>
                <w:rFonts w:hint="eastAsia"/>
                <w:highlight w:val="none"/>
              </w:rPr>
            </w:pPr>
          </w:p>
        </w:tc>
      </w:tr>
      <w:tr w14:paraId="2F9A574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F5590C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5426F56">
            <w:pPr>
              <w:pStyle w:val="38"/>
              <w:jc w:val="center"/>
              <w:rPr>
                <w:rFonts w:hint="eastAsia"/>
                <w:highlight w:val="none"/>
              </w:rPr>
            </w:pPr>
            <w:r>
              <w:rPr>
                <w:rFonts w:hint="eastAsia"/>
                <w:highlight w:val="none"/>
              </w:rPr>
              <w:t>MI0152</w:t>
            </w:r>
          </w:p>
        </w:tc>
        <w:tc>
          <w:tcPr>
            <w:tcW w:w="2221" w:type="dxa"/>
            <w:tcBorders>
              <w:top w:val="nil"/>
              <w:left w:val="nil"/>
              <w:bottom w:val="single" w:color="auto" w:sz="4" w:space="0"/>
              <w:right w:val="single" w:color="auto" w:sz="4" w:space="0"/>
            </w:tcBorders>
            <w:noWrap/>
            <w:vAlign w:val="center"/>
          </w:tcPr>
          <w:p w14:paraId="305F1C4B">
            <w:pPr>
              <w:pStyle w:val="38"/>
              <w:rPr>
                <w:rFonts w:hint="eastAsia"/>
                <w:highlight w:val="none"/>
              </w:rPr>
            </w:pPr>
            <w:r>
              <w:rPr>
                <w:rFonts w:hint="eastAsia"/>
                <w:highlight w:val="none"/>
              </w:rPr>
              <w:t>注册复合项目与收费项目关系</w:t>
            </w:r>
          </w:p>
        </w:tc>
        <w:tc>
          <w:tcPr>
            <w:tcW w:w="1442" w:type="dxa"/>
            <w:tcBorders>
              <w:top w:val="nil"/>
              <w:left w:val="nil"/>
              <w:bottom w:val="single" w:color="auto" w:sz="4" w:space="0"/>
              <w:right w:val="single" w:color="auto" w:sz="4" w:space="0"/>
            </w:tcBorders>
            <w:shd w:val="clear" w:color="000000" w:fill="FFFFFF"/>
            <w:vAlign w:val="center"/>
          </w:tcPr>
          <w:p w14:paraId="1A701DB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89EB0B6">
            <w:pPr>
              <w:pStyle w:val="38"/>
              <w:rPr>
                <w:rFonts w:hint="eastAsia"/>
                <w:highlight w:val="none"/>
              </w:rPr>
            </w:pPr>
          </w:p>
        </w:tc>
      </w:tr>
      <w:tr w14:paraId="6F67208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30F933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3900AF9">
            <w:pPr>
              <w:pStyle w:val="38"/>
              <w:jc w:val="center"/>
              <w:rPr>
                <w:rFonts w:hint="eastAsia"/>
                <w:highlight w:val="none"/>
              </w:rPr>
            </w:pPr>
            <w:r>
              <w:rPr>
                <w:rFonts w:hint="eastAsia"/>
                <w:highlight w:val="none"/>
              </w:rPr>
              <w:t>MU0153</w:t>
            </w:r>
          </w:p>
        </w:tc>
        <w:tc>
          <w:tcPr>
            <w:tcW w:w="2221" w:type="dxa"/>
            <w:tcBorders>
              <w:top w:val="nil"/>
              <w:left w:val="nil"/>
              <w:bottom w:val="single" w:color="auto" w:sz="4" w:space="0"/>
              <w:right w:val="single" w:color="auto" w:sz="4" w:space="0"/>
            </w:tcBorders>
            <w:noWrap/>
            <w:vAlign w:val="center"/>
          </w:tcPr>
          <w:p w14:paraId="51C95C6C">
            <w:pPr>
              <w:pStyle w:val="38"/>
              <w:rPr>
                <w:rFonts w:hint="eastAsia"/>
                <w:highlight w:val="none"/>
              </w:rPr>
            </w:pPr>
            <w:r>
              <w:rPr>
                <w:rFonts w:hint="eastAsia"/>
                <w:highlight w:val="none"/>
              </w:rPr>
              <w:t>变更复合项目与收费项目关系</w:t>
            </w:r>
          </w:p>
        </w:tc>
        <w:tc>
          <w:tcPr>
            <w:tcW w:w="1442" w:type="dxa"/>
            <w:tcBorders>
              <w:top w:val="nil"/>
              <w:left w:val="nil"/>
              <w:bottom w:val="single" w:color="auto" w:sz="4" w:space="0"/>
              <w:right w:val="single" w:color="auto" w:sz="4" w:space="0"/>
            </w:tcBorders>
            <w:shd w:val="clear" w:color="000000" w:fill="FFFFFF"/>
            <w:vAlign w:val="center"/>
          </w:tcPr>
          <w:p w14:paraId="5666A82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D45F84B">
            <w:pPr>
              <w:pStyle w:val="38"/>
              <w:rPr>
                <w:rFonts w:hint="eastAsia"/>
                <w:highlight w:val="none"/>
              </w:rPr>
            </w:pPr>
          </w:p>
        </w:tc>
      </w:tr>
      <w:tr w14:paraId="75970C9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FBD960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C83AB46">
            <w:pPr>
              <w:pStyle w:val="38"/>
              <w:jc w:val="center"/>
              <w:rPr>
                <w:rFonts w:hint="eastAsia"/>
                <w:highlight w:val="none"/>
              </w:rPr>
            </w:pPr>
            <w:r>
              <w:rPr>
                <w:rFonts w:hint="eastAsia"/>
                <w:highlight w:val="none"/>
              </w:rPr>
              <w:t>MU0154</w:t>
            </w:r>
          </w:p>
        </w:tc>
        <w:tc>
          <w:tcPr>
            <w:tcW w:w="2221" w:type="dxa"/>
            <w:tcBorders>
              <w:top w:val="nil"/>
              <w:left w:val="nil"/>
              <w:bottom w:val="single" w:color="auto" w:sz="4" w:space="0"/>
              <w:right w:val="single" w:color="auto" w:sz="4" w:space="0"/>
            </w:tcBorders>
            <w:noWrap/>
            <w:vAlign w:val="center"/>
          </w:tcPr>
          <w:p w14:paraId="4CE9E49A">
            <w:pPr>
              <w:pStyle w:val="38"/>
              <w:rPr>
                <w:rFonts w:hint="eastAsia"/>
                <w:highlight w:val="none"/>
              </w:rPr>
            </w:pPr>
            <w:r>
              <w:rPr>
                <w:rFonts w:hint="eastAsia"/>
                <w:highlight w:val="none"/>
              </w:rPr>
              <w:t>注册非药品收费项目调价信息</w:t>
            </w:r>
          </w:p>
        </w:tc>
        <w:tc>
          <w:tcPr>
            <w:tcW w:w="1442" w:type="dxa"/>
            <w:tcBorders>
              <w:top w:val="nil"/>
              <w:left w:val="nil"/>
              <w:bottom w:val="single" w:color="auto" w:sz="4" w:space="0"/>
              <w:right w:val="single" w:color="auto" w:sz="4" w:space="0"/>
            </w:tcBorders>
            <w:shd w:val="clear" w:color="000000" w:fill="FFFFFF"/>
            <w:vAlign w:val="center"/>
          </w:tcPr>
          <w:p w14:paraId="51BE9F7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6EC6AC6">
            <w:pPr>
              <w:pStyle w:val="38"/>
              <w:rPr>
                <w:rFonts w:hint="eastAsia"/>
                <w:highlight w:val="none"/>
              </w:rPr>
            </w:pPr>
          </w:p>
        </w:tc>
      </w:tr>
      <w:tr w14:paraId="2753471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ACC3C7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EAAFC83">
            <w:pPr>
              <w:pStyle w:val="38"/>
              <w:jc w:val="center"/>
              <w:rPr>
                <w:rFonts w:hint="eastAsia"/>
                <w:highlight w:val="none"/>
              </w:rPr>
            </w:pPr>
            <w:r>
              <w:rPr>
                <w:rFonts w:hint="eastAsia"/>
                <w:highlight w:val="none"/>
              </w:rPr>
              <w:t>MI0155</w:t>
            </w:r>
          </w:p>
        </w:tc>
        <w:tc>
          <w:tcPr>
            <w:tcW w:w="2221" w:type="dxa"/>
            <w:tcBorders>
              <w:top w:val="nil"/>
              <w:left w:val="nil"/>
              <w:bottom w:val="single" w:color="auto" w:sz="4" w:space="0"/>
              <w:right w:val="single" w:color="auto" w:sz="4" w:space="0"/>
            </w:tcBorders>
            <w:noWrap/>
            <w:vAlign w:val="center"/>
          </w:tcPr>
          <w:p w14:paraId="1CC26B5B">
            <w:pPr>
              <w:pStyle w:val="38"/>
              <w:rPr>
                <w:rFonts w:hint="eastAsia"/>
                <w:highlight w:val="none"/>
              </w:rPr>
            </w:pPr>
            <w:r>
              <w:rPr>
                <w:rFonts w:hint="eastAsia"/>
                <w:highlight w:val="none"/>
              </w:rPr>
              <w:t>注册主诊组(医疗组)信息</w:t>
            </w:r>
          </w:p>
        </w:tc>
        <w:tc>
          <w:tcPr>
            <w:tcW w:w="1442" w:type="dxa"/>
            <w:tcBorders>
              <w:top w:val="nil"/>
              <w:left w:val="nil"/>
              <w:bottom w:val="single" w:color="auto" w:sz="4" w:space="0"/>
              <w:right w:val="single" w:color="auto" w:sz="4" w:space="0"/>
            </w:tcBorders>
            <w:shd w:val="clear" w:color="000000" w:fill="FFFFFF"/>
            <w:vAlign w:val="center"/>
          </w:tcPr>
          <w:p w14:paraId="316553A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B70DE64">
            <w:pPr>
              <w:pStyle w:val="38"/>
              <w:rPr>
                <w:rFonts w:hint="eastAsia"/>
                <w:highlight w:val="none"/>
              </w:rPr>
            </w:pPr>
          </w:p>
        </w:tc>
      </w:tr>
      <w:tr w14:paraId="13160F4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935F79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F813C50">
            <w:pPr>
              <w:pStyle w:val="38"/>
              <w:jc w:val="center"/>
              <w:rPr>
                <w:rFonts w:hint="eastAsia"/>
                <w:highlight w:val="none"/>
              </w:rPr>
            </w:pPr>
            <w:r>
              <w:rPr>
                <w:rFonts w:hint="eastAsia"/>
                <w:highlight w:val="none"/>
              </w:rPr>
              <w:t>MU0156</w:t>
            </w:r>
          </w:p>
        </w:tc>
        <w:tc>
          <w:tcPr>
            <w:tcW w:w="2221" w:type="dxa"/>
            <w:tcBorders>
              <w:top w:val="nil"/>
              <w:left w:val="nil"/>
              <w:bottom w:val="single" w:color="auto" w:sz="4" w:space="0"/>
              <w:right w:val="single" w:color="auto" w:sz="4" w:space="0"/>
            </w:tcBorders>
            <w:noWrap/>
            <w:vAlign w:val="center"/>
          </w:tcPr>
          <w:p w14:paraId="510D38C4">
            <w:pPr>
              <w:pStyle w:val="38"/>
              <w:rPr>
                <w:rFonts w:hint="eastAsia"/>
                <w:highlight w:val="none"/>
              </w:rPr>
            </w:pPr>
            <w:r>
              <w:rPr>
                <w:rFonts w:hint="eastAsia"/>
                <w:highlight w:val="none"/>
              </w:rPr>
              <w:t>变更主诊组(医疗组)信息</w:t>
            </w:r>
          </w:p>
        </w:tc>
        <w:tc>
          <w:tcPr>
            <w:tcW w:w="1442" w:type="dxa"/>
            <w:tcBorders>
              <w:top w:val="nil"/>
              <w:left w:val="nil"/>
              <w:bottom w:val="single" w:color="auto" w:sz="4" w:space="0"/>
              <w:right w:val="single" w:color="auto" w:sz="4" w:space="0"/>
            </w:tcBorders>
            <w:shd w:val="clear" w:color="000000" w:fill="FFFFFF"/>
            <w:vAlign w:val="center"/>
          </w:tcPr>
          <w:p w14:paraId="121DE13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EEC4B8F">
            <w:pPr>
              <w:pStyle w:val="38"/>
              <w:rPr>
                <w:rFonts w:hint="eastAsia"/>
                <w:highlight w:val="none"/>
              </w:rPr>
            </w:pPr>
          </w:p>
        </w:tc>
      </w:tr>
      <w:tr w14:paraId="20472E6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143621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76EB67F1">
            <w:pPr>
              <w:pStyle w:val="38"/>
              <w:jc w:val="center"/>
              <w:rPr>
                <w:rFonts w:hint="eastAsia"/>
                <w:highlight w:val="none"/>
              </w:rPr>
            </w:pPr>
            <w:r>
              <w:rPr>
                <w:rFonts w:hint="eastAsia"/>
                <w:highlight w:val="none"/>
              </w:rPr>
              <w:t>MD0157</w:t>
            </w:r>
          </w:p>
        </w:tc>
        <w:tc>
          <w:tcPr>
            <w:tcW w:w="2221" w:type="dxa"/>
            <w:tcBorders>
              <w:top w:val="nil"/>
              <w:left w:val="nil"/>
              <w:bottom w:val="single" w:color="auto" w:sz="4" w:space="0"/>
              <w:right w:val="single" w:color="auto" w:sz="4" w:space="0"/>
            </w:tcBorders>
            <w:noWrap/>
            <w:vAlign w:val="center"/>
          </w:tcPr>
          <w:p w14:paraId="5813E564">
            <w:pPr>
              <w:pStyle w:val="38"/>
              <w:rPr>
                <w:rFonts w:hint="eastAsia"/>
                <w:highlight w:val="none"/>
              </w:rPr>
            </w:pPr>
            <w:r>
              <w:rPr>
                <w:rFonts w:hint="eastAsia"/>
                <w:highlight w:val="none"/>
              </w:rPr>
              <w:t>作废主诊组(医疗组)信息</w:t>
            </w:r>
          </w:p>
        </w:tc>
        <w:tc>
          <w:tcPr>
            <w:tcW w:w="1442" w:type="dxa"/>
            <w:tcBorders>
              <w:top w:val="nil"/>
              <w:left w:val="nil"/>
              <w:bottom w:val="single" w:color="auto" w:sz="4" w:space="0"/>
              <w:right w:val="single" w:color="auto" w:sz="4" w:space="0"/>
            </w:tcBorders>
            <w:shd w:val="clear" w:color="000000" w:fill="FFFFFF"/>
            <w:vAlign w:val="center"/>
          </w:tcPr>
          <w:p w14:paraId="0561B91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274705A">
            <w:pPr>
              <w:pStyle w:val="38"/>
              <w:rPr>
                <w:rFonts w:hint="eastAsia"/>
                <w:highlight w:val="none"/>
              </w:rPr>
            </w:pPr>
          </w:p>
        </w:tc>
      </w:tr>
      <w:tr w14:paraId="49CC2FA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527C47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B771B4B">
            <w:pPr>
              <w:pStyle w:val="38"/>
              <w:jc w:val="center"/>
              <w:rPr>
                <w:rFonts w:hint="eastAsia"/>
                <w:highlight w:val="none"/>
              </w:rPr>
            </w:pPr>
            <w:r>
              <w:rPr>
                <w:rFonts w:hint="eastAsia"/>
                <w:highlight w:val="none"/>
              </w:rPr>
              <w:t>MI0158</w:t>
            </w:r>
          </w:p>
        </w:tc>
        <w:tc>
          <w:tcPr>
            <w:tcW w:w="2221" w:type="dxa"/>
            <w:tcBorders>
              <w:top w:val="nil"/>
              <w:left w:val="nil"/>
              <w:bottom w:val="single" w:color="auto" w:sz="4" w:space="0"/>
              <w:right w:val="single" w:color="auto" w:sz="4" w:space="0"/>
            </w:tcBorders>
            <w:noWrap/>
            <w:vAlign w:val="center"/>
          </w:tcPr>
          <w:p w14:paraId="3D302690">
            <w:pPr>
              <w:pStyle w:val="38"/>
              <w:rPr>
                <w:rFonts w:hint="eastAsia"/>
                <w:highlight w:val="none"/>
              </w:rPr>
            </w:pPr>
            <w:r>
              <w:rPr>
                <w:rFonts w:hint="eastAsia"/>
                <w:highlight w:val="none"/>
              </w:rPr>
              <w:t>注册耗材信息</w:t>
            </w:r>
          </w:p>
        </w:tc>
        <w:tc>
          <w:tcPr>
            <w:tcW w:w="1442" w:type="dxa"/>
            <w:tcBorders>
              <w:top w:val="nil"/>
              <w:left w:val="nil"/>
              <w:bottom w:val="single" w:color="auto" w:sz="4" w:space="0"/>
              <w:right w:val="single" w:color="auto" w:sz="4" w:space="0"/>
            </w:tcBorders>
            <w:shd w:val="clear" w:color="000000" w:fill="FFFFFF"/>
            <w:vAlign w:val="center"/>
          </w:tcPr>
          <w:p w14:paraId="4D048F9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7FFB2E5">
            <w:pPr>
              <w:pStyle w:val="38"/>
              <w:rPr>
                <w:rFonts w:hint="eastAsia"/>
                <w:highlight w:val="none"/>
              </w:rPr>
            </w:pPr>
          </w:p>
        </w:tc>
      </w:tr>
      <w:tr w14:paraId="7A3F8D9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CA054D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EBAB753">
            <w:pPr>
              <w:pStyle w:val="38"/>
              <w:jc w:val="center"/>
              <w:rPr>
                <w:rFonts w:hint="eastAsia"/>
                <w:highlight w:val="none"/>
              </w:rPr>
            </w:pPr>
            <w:r>
              <w:rPr>
                <w:rFonts w:hint="eastAsia"/>
                <w:highlight w:val="none"/>
              </w:rPr>
              <w:t>MU0159</w:t>
            </w:r>
          </w:p>
        </w:tc>
        <w:tc>
          <w:tcPr>
            <w:tcW w:w="2221" w:type="dxa"/>
            <w:tcBorders>
              <w:top w:val="nil"/>
              <w:left w:val="nil"/>
              <w:bottom w:val="single" w:color="auto" w:sz="4" w:space="0"/>
              <w:right w:val="single" w:color="auto" w:sz="4" w:space="0"/>
            </w:tcBorders>
            <w:noWrap/>
            <w:vAlign w:val="center"/>
          </w:tcPr>
          <w:p w14:paraId="054E1E85">
            <w:pPr>
              <w:pStyle w:val="38"/>
              <w:rPr>
                <w:rFonts w:hint="eastAsia"/>
                <w:highlight w:val="none"/>
              </w:rPr>
            </w:pPr>
            <w:r>
              <w:rPr>
                <w:rFonts w:hint="eastAsia"/>
                <w:highlight w:val="none"/>
              </w:rPr>
              <w:t>变更耗材信息</w:t>
            </w:r>
          </w:p>
        </w:tc>
        <w:tc>
          <w:tcPr>
            <w:tcW w:w="1442" w:type="dxa"/>
            <w:tcBorders>
              <w:top w:val="nil"/>
              <w:left w:val="nil"/>
              <w:bottom w:val="single" w:color="auto" w:sz="4" w:space="0"/>
              <w:right w:val="single" w:color="auto" w:sz="4" w:space="0"/>
            </w:tcBorders>
            <w:shd w:val="clear" w:color="000000" w:fill="FFFFFF"/>
            <w:vAlign w:val="center"/>
          </w:tcPr>
          <w:p w14:paraId="01A3CB0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C4D0140">
            <w:pPr>
              <w:pStyle w:val="38"/>
              <w:rPr>
                <w:rFonts w:hint="eastAsia"/>
                <w:highlight w:val="none"/>
              </w:rPr>
            </w:pPr>
          </w:p>
        </w:tc>
      </w:tr>
      <w:tr w14:paraId="3BA5750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8052D4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49115A5">
            <w:pPr>
              <w:pStyle w:val="38"/>
              <w:jc w:val="center"/>
              <w:rPr>
                <w:rFonts w:hint="eastAsia"/>
                <w:highlight w:val="none"/>
              </w:rPr>
            </w:pPr>
            <w:r>
              <w:rPr>
                <w:rFonts w:hint="eastAsia"/>
                <w:highlight w:val="none"/>
              </w:rPr>
              <w:t>MI0160</w:t>
            </w:r>
          </w:p>
        </w:tc>
        <w:tc>
          <w:tcPr>
            <w:tcW w:w="2221" w:type="dxa"/>
            <w:tcBorders>
              <w:top w:val="nil"/>
              <w:left w:val="nil"/>
              <w:bottom w:val="single" w:color="auto" w:sz="4" w:space="0"/>
              <w:right w:val="single" w:color="auto" w:sz="4" w:space="0"/>
            </w:tcBorders>
            <w:noWrap/>
            <w:vAlign w:val="center"/>
          </w:tcPr>
          <w:p w14:paraId="1A4DD241">
            <w:pPr>
              <w:pStyle w:val="38"/>
              <w:rPr>
                <w:rFonts w:hint="eastAsia"/>
                <w:highlight w:val="none"/>
              </w:rPr>
            </w:pPr>
            <w:r>
              <w:rPr>
                <w:rFonts w:hint="eastAsia"/>
                <w:highlight w:val="none"/>
              </w:rPr>
              <w:t>注册药品信息</w:t>
            </w:r>
          </w:p>
        </w:tc>
        <w:tc>
          <w:tcPr>
            <w:tcW w:w="1442" w:type="dxa"/>
            <w:tcBorders>
              <w:top w:val="nil"/>
              <w:left w:val="nil"/>
              <w:bottom w:val="single" w:color="auto" w:sz="4" w:space="0"/>
              <w:right w:val="single" w:color="auto" w:sz="4" w:space="0"/>
            </w:tcBorders>
            <w:shd w:val="clear" w:color="000000" w:fill="FFFFFF"/>
            <w:vAlign w:val="center"/>
          </w:tcPr>
          <w:p w14:paraId="78324B8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9B63769">
            <w:pPr>
              <w:pStyle w:val="38"/>
              <w:rPr>
                <w:rFonts w:hint="eastAsia"/>
                <w:highlight w:val="none"/>
              </w:rPr>
            </w:pPr>
          </w:p>
        </w:tc>
      </w:tr>
      <w:tr w14:paraId="6021FD1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5627DD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ABE7997">
            <w:pPr>
              <w:pStyle w:val="38"/>
              <w:jc w:val="center"/>
              <w:rPr>
                <w:rFonts w:hint="eastAsia"/>
                <w:highlight w:val="none"/>
              </w:rPr>
            </w:pPr>
            <w:r>
              <w:rPr>
                <w:rFonts w:hint="eastAsia"/>
                <w:highlight w:val="none"/>
              </w:rPr>
              <w:t>MU0161</w:t>
            </w:r>
          </w:p>
        </w:tc>
        <w:tc>
          <w:tcPr>
            <w:tcW w:w="2221" w:type="dxa"/>
            <w:tcBorders>
              <w:top w:val="nil"/>
              <w:left w:val="nil"/>
              <w:bottom w:val="single" w:color="auto" w:sz="4" w:space="0"/>
              <w:right w:val="single" w:color="auto" w:sz="4" w:space="0"/>
            </w:tcBorders>
            <w:noWrap/>
            <w:vAlign w:val="center"/>
          </w:tcPr>
          <w:p w14:paraId="63949D4F">
            <w:pPr>
              <w:pStyle w:val="38"/>
              <w:rPr>
                <w:rFonts w:hint="eastAsia"/>
                <w:highlight w:val="none"/>
              </w:rPr>
            </w:pPr>
            <w:r>
              <w:rPr>
                <w:rFonts w:hint="eastAsia"/>
                <w:highlight w:val="none"/>
              </w:rPr>
              <w:t>变更药品信息</w:t>
            </w:r>
          </w:p>
        </w:tc>
        <w:tc>
          <w:tcPr>
            <w:tcW w:w="1442" w:type="dxa"/>
            <w:tcBorders>
              <w:top w:val="nil"/>
              <w:left w:val="nil"/>
              <w:bottom w:val="single" w:color="auto" w:sz="4" w:space="0"/>
              <w:right w:val="single" w:color="auto" w:sz="4" w:space="0"/>
            </w:tcBorders>
            <w:shd w:val="clear" w:color="000000" w:fill="FFFFFF"/>
            <w:vAlign w:val="center"/>
          </w:tcPr>
          <w:p w14:paraId="07961E7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06B7682">
            <w:pPr>
              <w:pStyle w:val="38"/>
              <w:rPr>
                <w:rFonts w:hint="eastAsia"/>
                <w:highlight w:val="none"/>
              </w:rPr>
            </w:pPr>
          </w:p>
        </w:tc>
      </w:tr>
      <w:tr w14:paraId="0AE374B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4DBEE1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8378B89">
            <w:pPr>
              <w:pStyle w:val="38"/>
              <w:jc w:val="center"/>
              <w:rPr>
                <w:rFonts w:hint="eastAsia"/>
                <w:highlight w:val="none"/>
              </w:rPr>
            </w:pPr>
            <w:r>
              <w:rPr>
                <w:rFonts w:hint="eastAsia"/>
                <w:highlight w:val="none"/>
              </w:rPr>
              <w:t>MI0162</w:t>
            </w:r>
          </w:p>
        </w:tc>
        <w:tc>
          <w:tcPr>
            <w:tcW w:w="2221" w:type="dxa"/>
            <w:tcBorders>
              <w:top w:val="nil"/>
              <w:left w:val="nil"/>
              <w:bottom w:val="single" w:color="auto" w:sz="4" w:space="0"/>
              <w:right w:val="single" w:color="auto" w:sz="4" w:space="0"/>
            </w:tcBorders>
            <w:noWrap/>
            <w:vAlign w:val="center"/>
          </w:tcPr>
          <w:p w14:paraId="63CC5D07">
            <w:pPr>
              <w:pStyle w:val="38"/>
              <w:rPr>
                <w:rFonts w:hint="eastAsia"/>
                <w:highlight w:val="none"/>
              </w:rPr>
            </w:pPr>
            <w:r>
              <w:rPr>
                <w:rFonts w:hint="eastAsia"/>
                <w:highlight w:val="none"/>
              </w:rPr>
              <w:t>注册供应商信息</w:t>
            </w:r>
          </w:p>
        </w:tc>
        <w:tc>
          <w:tcPr>
            <w:tcW w:w="1442" w:type="dxa"/>
            <w:tcBorders>
              <w:top w:val="nil"/>
              <w:left w:val="nil"/>
              <w:bottom w:val="single" w:color="auto" w:sz="4" w:space="0"/>
              <w:right w:val="single" w:color="auto" w:sz="4" w:space="0"/>
            </w:tcBorders>
            <w:shd w:val="clear" w:color="000000" w:fill="FFFFFF"/>
            <w:vAlign w:val="center"/>
          </w:tcPr>
          <w:p w14:paraId="02E42BC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8F7EC07">
            <w:pPr>
              <w:pStyle w:val="38"/>
              <w:rPr>
                <w:rFonts w:hint="eastAsia"/>
                <w:highlight w:val="none"/>
              </w:rPr>
            </w:pPr>
          </w:p>
        </w:tc>
      </w:tr>
      <w:tr w14:paraId="0043E86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811691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A57A5F8">
            <w:pPr>
              <w:pStyle w:val="38"/>
              <w:jc w:val="center"/>
              <w:rPr>
                <w:rFonts w:hint="eastAsia"/>
                <w:highlight w:val="none"/>
              </w:rPr>
            </w:pPr>
            <w:r>
              <w:rPr>
                <w:rFonts w:hint="eastAsia"/>
                <w:highlight w:val="none"/>
              </w:rPr>
              <w:t>MU0163</w:t>
            </w:r>
          </w:p>
        </w:tc>
        <w:tc>
          <w:tcPr>
            <w:tcW w:w="2221" w:type="dxa"/>
            <w:tcBorders>
              <w:top w:val="nil"/>
              <w:left w:val="nil"/>
              <w:bottom w:val="single" w:color="auto" w:sz="4" w:space="0"/>
              <w:right w:val="single" w:color="auto" w:sz="4" w:space="0"/>
            </w:tcBorders>
            <w:noWrap/>
            <w:vAlign w:val="center"/>
          </w:tcPr>
          <w:p w14:paraId="00882E69">
            <w:pPr>
              <w:pStyle w:val="38"/>
              <w:rPr>
                <w:rFonts w:hint="eastAsia"/>
                <w:highlight w:val="none"/>
              </w:rPr>
            </w:pPr>
            <w:r>
              <w:rPr>
                <w:rFonts w:hint="eastAsia"/>
                <w:highlight w:val="none"/>
              </w:rPr>
              <w:t>变更供应商信息</w:t>
            </w:r>
          </w:p>
        </w:tc>
        <w:tc>
          <w:tcPr>
            <w:tcW w:w="1442" w:type="dxa"/>
            <w:tcBorders>
              <w:top w:val="nil"/>
              <w:left w:val="nil"/>
              <w:bottom w:val="single" w:color="auto" w:sz="4" w:space="0"/>
              <w:right w:val="single" w:color="auto" w:sz="4" w:space="0"/>
            </w:tcBorders>
            <w:shd w:val="clear" w:color="000000" w:fill="FFFFFF"/>
            <w:vAlign w:val="center"/>
          </w:tcPr>
          <w:p w14:paraId="1AD2E03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E8CA274">
            <w:pPr>
              <w:pStyle w:val="38"/>
              <w:rPr>
                <w:rFonts w:hint="eastAsia"/>
                <w:highlight w:val="none"/>
              </w:rPr>
            </w:pPr>
          </w:p>
        </w:tc>
      </w:tr>
      <w:tr w14:paraId="7CF5487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FF0AD1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6C0014B">
            <w:pPr>
              <w:pStyle w:val="38"/>
              <w:jc w:val="center"/>
              <w:rPr>
                <w:rFonts w:hint="eastAsia"/>
                <w:highlight w:val="none"/>
              </w:rPr>
            </w:pPr>
            <w:r>
              <w:rPr>
                <w:rFonts w:hint="eastAsia"/>
                <w:highlight w:val="none"/>
              </w:rPr>
              <w:t>MI0164</w:t>
            </w:r>
          </w:p>
        </w:tc>
        <w:tc>
          <w:tcPr>
            <w:tcW w:w="2221" w:type="dxa"/>
            <w:tcBorders>
              <w:top w:val="nil"/>
              <w:left w:val="nil"/>
              <w:bottom w:val="single" w:color="auto" w:sz="4" w:space="0"/>
              <w:right w:val="single" w:color="auto" w:sz="4" w:space="0"/>
            </w:tcBorders>
            <w:noWrap/>
            <w:vAlign w:val="center"/>
          </w:tcPr>
          <w:p w14:paraId="524E8130">
            <w:pPr>
              <w:pStyle w:val="38"/>
              <w:rPr>
                <w:rFonts w:hint="eastAsia"/>
                <w:highlight w:val="none"/>
              </w:rPr>
            </w:pPr>
            <w:r>
              <w:rPr>
                <w:rFonts w:hint="eastAsia"/>
                <w:highlight w:val="none"/>
              </w:rPr>
              <w:t>注册非药品术语对照信息</w:t>
            </w:r>
          </w:p>
        </w:tc>
        <w:tc>
          <w:tcPr>
            <w:tcW w:w="1442" w:type="dxa"/>
            <w:tcBorders>
              <w:top w:val="nil"/>
              <w:left w:val="nil"/>
              <w:bottom w:val="single" w:color="auto" w:sz="4" w:space="0"/>
              <w:right w:val="single" w:color="auto" w:sz="4" w:space="0"/>
            </w:tcBorders>
            <w:shd w:val="clear" w:color="000000" w:fill="FFFFFF"/>
            <w:vAlign w:val="center"/>
          </w:tcPr>
          <w:p w14:paraId="47F57D7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EFD5FD4">
            <w:pPr>
              <w:pStyle w:val="38"/>
              <w:rPr>
                <w:rFonts w:hint="eastAsia"/>
                <w:highlight w:val="none"/>
              </w:rPr>
            </w:pPr>
          </w:p>
        </w:tc>
      </w:tr>
      <w:tr w14:paraId="3CE971F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E4B4B2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C90B8A1">
            <w:pPr>
              <w:pStyle w:val="38"/>
              <w:jc w:val="center"/>
              <w:rPr>
                <w:rFonts w:hint="eastAsia"/>
                <w:highlight w:val="none"/>
              </w:rPr>
            </w:pPr>
            <w:r>
              <w:rPr>
                <w:rFonts w:hint="eastAsia"/>
                <w:highlight w:val="none"/>
              </w:rPr>
              <w:t>MU0165</w:t>
            </w:r>
          </w:p>
        </w:tc>
        <w:tc>
          <w:tcPr>
            <w:tcW w:w="2221" w:type="dxa"/>
            <w:tcBorders>
              <w:top w:val="nil"/>
              <w:left w:val="nil"/>
              <w:bottom w:val="single" w:color="auto" w:sz="4" w:space="0"/>
              <w:right w:val="single" w:color="auto" w:sz="4" w:space="0"/>
            </w:tcBorders>
            <w:noWrap/>
            <w:vAlign w:val="center"/>
          </w:tcPr>
          <w:p w14:paraId="0825CB6A">
            <w:pPr>
              <w:pStyle w:val="38"/>
              <w:rPr>
                <w:rFonts w:hint="eastAsia"/>
                <w:highlight w:val="none"/>
              </w:rPr>
            </w:pPr>
            <w:r>
              <w:rPr>
                <w:rFonts w:hint="eastAsia"/>
                <w:highlight w:val="none"/>
              </w:rPr>
              <w:t>变更非药品术语对照信息</w:t>
            </w:r>
          </w:p>
        </w:tc>
        <w:tc>
          <w:tcPr>
            <w:tcW w:w="1442" w:type="dxa"/>
            <w:tcBorders>
              <w:top w:val="nil"/>
              <w:left w:val="nil"/>
              <w:bottom w:val="single" w:color="auto" w:sz="4" w:space="0"/>
              <w:right w:val="single" w:color="auto" w:sz="4" w:space="0"/>
            </w:tcBorders>
            <w:shd w:val="clear" w:color="000000" w:fill="FFFFFF"/>
            <w:vAlign w:val="center"/>
          </w:tcPr>
          <w:p w14:paraId="64EBC87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A9B4326">
            <w:pPr>
              <w:pStyle w:val="38"/>
              <w:rPr>
                <w:rFonts w:hint="eastAsia"/>
                <w:highlight w:val="none"/>
              </w:rPr>
            </w:pPr>
          </w:p>
        </w:tc>
      </w:tr>
      <w:tr w14:paraId="25953A6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7A706E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E5EF750">
            <w:pPr>
              <w:pStyle w:val="38"/>
              <w:jc w:val="center"/>
              <w:rPr>
                <w:rFonts w:hint="eastAsia"/>
                <w:highlight w:val="none"/>
              </w:rPr>
            </w:pPr>
            <w:r>
              <w:rPr>
                <w:rFonts w:hint="eastAsia"/>
                <w:highlight w:val="none"/>
              </w:rPr>
              <w:t>MI0186</w:t>
            </w:r>
          </w:p>
        </w:tc>
        <w:tc>
          <w:tcPr>
            <w:tcW w:w="2221" w:type="dxa"/>
            <w:tcBorders>
              <w:top w:val="nil"/>
              <w:left w:val="nil"/>
              <w:bottom w:val="single" w:color="auto" w:sz="4" w:space="0"/>
              <w:right w:val="single" w:color="auto" w:sz="4" w:space="0"/>
            </w:tcBorders>
            <w:noWrap/>
            <w:vAlign w:val="center"/>
          </w:tcPr>
          <w:p w14:paraId="5277323B">
            <w:pPr>
              <w:pStyle w:val="38"/>
              <w:rPr>
                <w:rFonts w:hint="eastAsia"/>
                <w:highlight w:val="none"/>
              </w:rPr>
            </w:pPr>
            <w:r>
              <w:rPr>
                <w:rFonts w:hint="eastAsia"/>
                <w:highlight w:val="none"/>
              </w:rPr>
              <w:t>注册诊断信息</w:t>
            </w:r>
          </w:p>
        </w:tc>
        <w:tc>
          <w:tcPr>
            <w:tcW w:w="1442" w:type="dxa"/>
            <w:tcBorders>
              <w:top w:val="nil"/>
              <w:left w:val="nil"/>
              <w:bottom w:val="single" w:color="auto" w:sz="4" w:space="0"/>
              <w:right w:val="single" w:color="auto" w:sz="4" w:space="0"/>
            </w:tcBorders>
            <w:shd w:val="clear" w:color="000000" w:fill="FFFFFF"/>
            <w:vAlign w:val="center"/>
          </w:tcPr>
          <w:p w14:paraId="66C6A14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7D7DD21">
            <w:pPr>
              <w:pStyle w:val="38"/>
              <w:rPr>
                <w:rFonts w:hint="eastAsia"/>
                <w:highlight w:val="none"/>
              </w:rPr>
            </w:pPr>
          </w:p>
        </w:tc>
      </w:tr>
      <w:tr w14:paraId="213D4BE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E6870A8">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EDCB61E">
            <w:pPr>
              <w:pStyle w:val="38"/>
              <w:jc w:val="center"/>
              <w:rPr>
                <w:rFonts w:hint="eastAsia"/>
                <w:highlight w:val="none"/>
              </w:rPr>
            </w:pPr>
            <w:r>
              <w:rPr>
                <w:rFonts w:hint="eastAsia"/>
                <w:highlight w:val="none"/>
              </w:rPr>
              <w:t>MU0187</w:t>
            </w:r>
          </w:p>
        </w:tc>
        <w:tc>
          <w:tcPr>
            <w:tcW w:w="2221" w:type="dxa"/>
            <w:tcBorders>
              <w:top w:val="nil"/>
              <w:left w:val="nil"/>
              <w:bottom w:val="single" w:color="auto" w:sz="4" w:space="0"/>
              <w:right w:val="single" w:color="auto" w:sz="4" w:space="0"/>
            </w:tcBorders>
            <w:noWrap/>
            <w:vAlign w:val="center"/>
          </w:tcPr>
          <w:p w14:paraId="565C3B1F">
            <w:pPr>
              <w:pStyle w:val="38"/>
              <w:rPr>
                <w:rFonts w:hint="eastAsia"/>
                <w:highlight w:val="none"/>
              </w:rPr>
            </w:pPr>
            <w:r>
              <w:rPr>
                <w:rFonts w:hint="eastAsia"/>
                <w:highlight w:val="none"/>
              </w:rPr>
              <w:t>变更诊断信息</w:t>
            </w:r>
          </w:p>
        </w:tc>
        <w:tc>
          <w:tcPr>
            <w:tcW w:w="1442" w:type="dxa"/>
            <w:tcBorders>
              <w:top w:val="nil"/>
              <w:left w:val="nil"/>
              <w:bottom w:val="single" w:color="auto" w:sz="4" w:space="0"/>
              <w:right w:val="single" w:color="auto" w:sz="4" w:space="0"/>
            </w:tcBorders>
            <w:shd w:val="clear" w:color="000000" w:fill="FFFFFF"/>
            <w:vAlign w:val="center"/>
          </w:tcPr>
          <w:p w14:paraId="329EF49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DA93C05">
            <w:pPr>
              <w:pStyle w:val="38"/>
              <w:rPr>
                <w:rFonts w:hint="eastAsia"/>
                <w:highlight w:val="none"/>
              </w:rPr>
            </w:pPr>
          </w:p>
        </w:tc>
      </w:tr>
      <w:tr w14:paraId="0B97F79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541691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1E7C1D5">
            <w:pPr>
              <w:pStyle w:val="38"/>
              <w:jc w:val="center"/>
              <w:rPr>
                <w:rFonts w:hint="eastAsia"/>
                <w:highlight w:val="none"/>
              </w:rPr>
            </w:pPr>
            <w:r>
              <w:rPr>
                <w:rFonts w:hint="eastAsia"/>
                <w:highlight w:val="none"/>
              </w:rPr>
              <w:t>MI0188</w:t>
            </w:r>
          </w:p>
        </w:tc>
        <w:tc>
          <w:tcPr>
            <w:tcW w:w="2221" w:type="dxa"/>
            <w:tcBorders>
              <w:top w:val="nil"/>
              <w:left w:val="nil"/>
              <w:bottom w:val="single" w:color="auto" w:sz="4" w:space="0"/>
              <w:right w:val="single" w:color="auto" w:sz="4" w:space="0"/>
            </w:tcBorders>
            <w:noWrap/>
            <w:vAlign w:val="center"/>
          </w:tcPr>
          <w:p w14:paraId="7D6E8087">
            <w:pPr>
              <w:pStyle w:val="38"/>
              <w:rPr>
                <w:rFonts w:hint="eastAsia"/>
                <w:highlight w:val="none"/>
              </w:rPr>
            </w:pPr>
            <w:r>
              <w:rPr>
                <w:rFonts w:hint="eastAsia"/>
                <w:highlight w:val="none"/>
              </w:rPr>
              <w:t>注册术式信息</w:t>
            </w:r>
          </w:p>
        </w:tc>
        <w:tc>
          <w:tcPr>
            <w:tcW w:w="1442" w:type="dxa"/>
            <w:tcBorders>
              <w:top w:val="nil"/>
              <w:left w:val="nil"/>
              <w:bottom w:val="single" w:color="auto" w:sz="4" w:space="0"/>
              <w:right w:val="single" w:color="auto" w:sz="4" w:space="0"/>
            </w:tcBorders>
            <w:shd w:val="clear" w:color="000000" w:fill="FFFFFF"/>
            <w:vAlign w:val="center"/>
          </w:tcPr>
          <w:p w14:paraId="7E56D6F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981C9EB">
            <w:pPr>
              <w:pStyle w:val="38"/>
              <w:rPr>
                <w:rFonts w:hint="eastAsia"/>
                <w:highlight w:val="none"/>
              </w:rPr>
            </w:pPr>
          </w:p>
        </w:tc>
      </w:tr>
      <w:tr w14:paraId="25DCB34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13FABA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B09D675">
            <w:pPr>
              <w:pStyle w:val="38"/>
              <w:jc w:val="center"/>
              <w:rPr>
                <w:rFonts w:hint="eastAsia"/>
                <w:highlight w:val="none"/>
              </w:rPr>
            </w:pPr>
            <w:r>
              <w:rPr>
                <w:rFonts w:hint="eastAsia"/>
                <w:highlight w:val="none"/>
              </w:rPr>
              <w:t>MU0189</w:t>
            </w:r>
          </w:p>
        </w:tc>
        <w:tc>
          <w:tcPr>
            <w:tcW w:w="2221" w:type="dxa"/>
            <w:tcBorders>
              <w:top w:val="nil"/>
              <w:left w:val="nil"/>
              <w:bottom w:val="single" w:color="auto" w:sz="4" w:space="0"/>
              <w:right w:val="single" w:color="auto" w:sz="4" w:space="0"/>
            </w:tcBorders>
            <w:noWrap/>
            <w:vAlign w:val="center"/>
          </w:tcPr>
          <w:p w14:paraId="2116DCC3">
            <w:pPr>
              <w:pStyle w:val="38"/>
              <w:rPr>
                <w:rFonts w:hint="eastAsia"/>
                <w:highlight w:val="none"/>
              </w:rPr>
            </w:pPr>
            <w:r>
              <w:rPr>
                <w:rFonts w:hint="eastAsia"/>
                <w:highlight w:val="none"/>
              </w:rPr>
              <w:t>变更术式信息</w:t>
            </w:r>
          </w:p>
        </w:tc>
        <w:tc>
          <w:tcPr>
            <w:tcW w:w="1442" w:type="dxa"/>
            <w:tcBorders>
              <w:top w:val="nil"/>
              <w:left w:val="nil"/>
              <w:bottom w:val="single" w:color="auto" w:sz="4" w:space="0"/>
              <w:right w:val="single" w:color="auto" w:sz="4" w:space="0"/>
            </w:tcBorders>
            <w:shd w:val="clear" w:color="000000" w:fill="FFFFFF"/>
            <w:vAlign w:val="center"/>
          </w:tcPr>
          <w:p w14:paraId="70FF177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0E91484">
            <w:pPr>
              <w:pStyle w:val="38"/>
              <w:rPr>
                <w:rFonts w:hint="eastAsia"/>
                <w:highlight w:val="none"/>
              </w:rPr>
            </w:pPr>
          </w:p>
        </w:tc>
      </w:tr>
      <w:tr w14:paraId="4E968C1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64C936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C92DA53">
            <w:pPr>
              <w:pStyle w:val="38"/>
              <w:jc w:val="center"/>
              <w:rPr>
                <w:rFonts w:hint="eastAsia"/>
                <w:highlight w:val="none"/>
              </w:rPr>
            </w:pPr>
            <w:r>
              <w:rPr>
                <w:rFonts w:hint="eastAsia"/>
                <w:highlight w:val="none"/>
              </w:rPr>
              <w:t>MI0194</w:t>
            </w:r>
          </w:p>
        </w:tc>
        <w:tc>
          <w:tcPr>
            <w:tcW w:w="2221" w:type="dxa"/>
            <w:tcBorders>
              <w:top w:val="nil"/>
              <w:left w:val="nil"/>
              <w:bottom w:val="single" w:color="auto" w:sz="4" w:space="0"/>
              <w:right w:val="single" w:color="auto" w:sz="4" w:space="0"/>
            </w:tcBorders>
            <w:noWrap/>
            <w:vAlign w:val="center"/>
          </w:tcPr>
          <w:p w14:paraId="09705C53">
            <w:pPr>
              <w:pStyle w:val="38"/>
              <w:rPr>
                <w:rFonts w:hint="eastAsia"/>
                <w:highlight w:val="none"/>
              </w:rPr>
            </w:pPr>
            <w:r>
              <w:rPr>
                <w:rFonts w:hint="eastAsia"/>
                <w:highlight w:val="none"/>
              </w:rPr>
              <w:t>注册床位信息</w:t>
            </w:r>
          </w:p>
        </w:tc>
        <w:tc>
          <w:tcPr>
            <w:tcW w:w="1442" w:type="dxa"/>
            <w:tcBorders>
              <w:top w:val="nil"/>
              <w:left w:val="nil"/>
              <w:bottom w:val="single" w:color="auto" w:sz="4" w:space="0"/>
              <w:right w:val="single" w:color="auto" w:sz="4" w:space="0"/>
            </w:tcBorders>
            <w:shd w:val="clear" w:color="000000" w:fill="FFFFFF"/>
            <w:vAlign w:val="center"/>
          </w:tcPr>
          <w:p w14:paraId="2BC258C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4D2982F">
            <w:pPr>
              <w:pStyle w:val="38"/>
              <w:rPr>
                <w:rFonts w:hint="eastAsia"/>
                <w:highlight w:val="none"/>
              </w:rPr>
            </w:pPr>
          </w:p>
        </w:tc>
      </w:tr>
      <w:tr w14:paraId="2D1B77B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238E16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A1F3665">
            <w:pPr>
              <w:pStyle w:val="38"/>
              <w:jc w:val="center"/>
              <w:rPr>
                <w:rFonts w:hint="eastAsia"/>
                <w:highlight w:val="none"/>
              </w:rPr>
            </w:pPr>
            <w:r>
              <w:rPr>
                <w:rFonts w:hint="eastAsia"/>
                <w:highlight w:val="none"/>
              </w:rPr>
              <w:t>MU0195</w:t>
            </w:r>
          </w:p>
        </w:tc>
        <w:tc>
          <w:tcPr>
            <w:tcW w:w="2221" w:type="dxa"/>
            <w:tcBorders>
              <w:top w:val="nil"/>
              <w:left w:val="nil"/>
              <w:bottom w:val="single" w:color="auto" w:sz="4" w:space="0"/>
              <w:right w:val="single" w:color="auto" w:sz="4" w:space="0"/>
            </w:tcBorders>
            <w:noWrap/>
            <w:vAlign w:val="center"/>
          </w:tcPr>
          <w:p w14:paraId="0CA6073E">
            <w:pPr>
              <w:pStyle w:val="38"/>
              <w:rPr>
                <w:rFonts w:hint="eastAsia"/>
                <w:highlight w:val="none"/>
              </w:rPr>
            </w:pPr>
            <w:r>
              <w:rPr>
                <w:rFonts w:hint="eastAsia"/>
                <w:highlight w:val="none"/>
              </w:rPr>
              <w:t>变更床位信息</w:t>
            </w:r>
          </w:p>
        </w:tc>
        <w:tc>
          <w:tcPr>
            <w:tcW w:w="1442" w:type="dxa"/>
            <w:tcBorders>
              <w:top w:val="nil"/>
              <w:left w:val="nil"/>
              <w:bottom w:val="single" w:color="auto" w:sz="4" w:space="0"/>
              <w:right w:val="single" w:color="auto" w:sz="4" w:space="0"/>
            </w:tcBorders>
            <w:shd w:val="clear" w:color="000000" w:fill="FFFFFF"/>
            <w:vAlign w:val="center"/>
          </w:tcPr>
          <w:p w14:paraId="04FAD83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60D11FB">
            <w:pPr>
              <w:pStyle w:val="38"/>
              <w:rPr>
                <w:rFonts w:hint="eastAsia"/>
                <w:highlight w:val="none"/>
              </w:rPr>
            </w:pPr>
          </w:p>
        </w:tc>
      </w:tr>
      <w:tr w14:paraId="0251111C">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D29082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AC01D4D">
            <w:pPr>
              <w:pStyle w:val="38"/>
              <w:jc w:val="center"/>
              <w:rPr>
                <w:rFonts w:hint="eastAsia"/>
                <w:highlight w:val="none"/>
              </w:rPr>
            </w:pPr>
            <w:r>
              <w:rPr>
                <w:rFonts w:hint="eastAsia"/>
                <w:highlight w:val="none"/>
              </w:rPr>
              <w:t>MI0196</w:t>
            </w:r>
          </w:p>
        </w:tc>
        <w:tc>
          <w:tcPr>
            <w:tcW w:w="2221" w:type="dxa"/>
            <w:tcBorders>
              <w:top w:val="nil"/>
              <w:left w:val="nil"/>
              <w:bottom w:val="single" w:color="auto" w:sz="4" w:space="0"/>
              <w:right w:val="single" w:color="auto" w:sz="4" w:space="0"/>
            </w:tcBorders>
            <w:noWrap/>
            <w:vAlign w:val="center"/>
          </w:tcPr>
          <w:p w14:paraId="7F217740">
            <w:pPr>
              <w:pStyle w:val="38"/>
              <w:rPr>
                <w:rFonts w:hint="eastAsia"/>
                <w:highlight w:val="none"/>
              </w:rPr>
            </w:pPr>
            <w:r>
              <w:rPr>
                <w:rFonts w:hint="eastAsia"/>
                <w:highlight w:val="none"/>
              </w:rPr>
              <w:t>注册麻醉方式信息</w:t>
            </w:r>
          </w:p>
        </w:tc>
        <w:tc>
          <w:tcPr>
            <w:tcW w:w="1442" w:type="dxa"/>
            <w:tcBorders>
              <w:top w:val="nil"/>
              <w:left w:val="nil"/>
              <w:bottom w:val="single" w:color="auto" w:sz="4" w:space="0"/>
              <w:right w:val="single" w:color="auto" w:sz="4" w:space="0"/>
            </w:tcBorders>
            <w:shd w:val="clear" w:color="000000" w:fill="FFFFFF"/>
            <w:vAlign w:val="center"/>
          </w:tcPr>
          <w:p w14:paraId="2CB5D68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A59E2AD">
            <w:pPr>
              <w:pStyle w:val="38"/>
              <w:rPr>
                <w:rFonts w:hint="eastAsia"/>
                <w:highlight w:val="none"/>
              </w:rPr>
            </w:pPr>
          </w:p>
        </w:tc>
      </w:tr>
      <w:tr w14:paraId="08E2A94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F8F4E0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851DA42">
            <w:pPr>
              <w:pStyle w:val="38"/>
              <w:jc w:val="center"/>
              <w:rPr>
                <w:rFonts w:hint="eastAsia"/>
                <w:highlight w:val="none"/>
              </w:rPr>
            </w:pPr>
            <w:r>
              <w:rPr>
                <w:rFonts w:hint="eastAsia"/>
                <w:highlight w:val="none"/>
              </w:rPr>
              <w:t>MU0197</w:t>
            </w:r>
          </w:p>
        </w:tc>
        <w:tc>
          <w:tcPr>
            <w:tcW w:w="2221" w:type="dxa"/>
            <w:tcBorders>
              <w:top w:val="nil"/>
              <w:left w:val="nil"/>
              <w:bottom w:val="single" w:color="auto" w:sz="4" w:space="0"/>
              <w:right w:val="single" w:color="auto" w:sz="4" w:space="0"/>
            </w:tcBorders>
            <w:noWrap/>
            <w:vAlign w:val="center"/>
          </w:tcPr>
          <w:p w14:paraId="0A68B066">
            <w:pPr>
              <w:pStyle w:val="38"/>
              <w:rPr>
                <w:rFonts w:hint="eastAsia"/>
                <w:highlight w:val="none"/>
              </w:rPr>
            </w:pPr>
            <w:r>
              <w:rPr>
                <w:rFonts w:hint="eastAsia"/>
                <w:highlight w:val="none"/>
              </w:rPr>
              <w:t>变更麻醉方式信息</w:t>
            </w:r>
          </w:p>
        </w:tc>
        <w:tc>
          <w:tcPr>
            <w:tcW w:w="1442" w:type="dxa"/>
            <w:tcBorders>
              <w:top w:val="nil"/>
              <w:left w:val="nil"/>
              <w:bottom w:val="single" w:color="auto" w:sz="4" w:space="0"/>
              <w:right w:val="single" w:color="auto" w:sz="4" w:space="0"/>
            </w:tcBorders>
            <w:shd w:val="clear" w:color="000000" w:fill="FFFFFF"/>
            <w:vAlign w:val="center"/>
          </w:tcPr>
          <w:p w14:paraId="43E22C63">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3944A2D">
            <w:pPr>
              <w:pStyle w:val="38"/>
              <w:rPr>
                <w:rFonts w:hint="eastAsia"/>
                <w:highlight w:val="none"/>
              </w:rPr>
            </w:pPr>
          </w:p>
        </w:tc>
      </w:tr>
      <w:tr w14:paraId="656DB4F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4FC269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4ED9C0B">
            <w:pPr>
              <w:pStyle w:val="38"/>
              <w:jc w:val="center"/>
              <w:rPr>
                <w:rFonts w:hint="eastAsia"/>
                <w:highlight w:val="none"/>
              </w:rPr>
            </w:pPr>
            <w:r>
              <w:rPr>
                <w:rFonts w:hint="eastAsia"/>
                <w:highlight w:val="none"/>
              </w:rPr>
              <w:t>MI0198</w:t>
            </w:r>
          </w:p>
        </w:tc>
        <w:tc>
          <w:tcPr>
            <w:tcW w:w="2221" w:type="dxa"/>
            <w:tcBorders>
              <w:top w:val="nil"/>
              <w:left w:val="nil"/>
              <w:bottom w:val="single" w:color="auto" w:sz="4" w:space="0"/>
              <w:right w:val="single" w:color="auto" w:sz="4" w:space="0"/>
            </w:tcBorders>
            <w:noWrap/>
            <w:vAlign w:val="center"/>
          </w:tcPr>
          <w:p w14:paraId="3A90C40A">
            <w:pPr>
              <w:pStyle w:val="38"/>
              <w:rPr>
                <w:rFonts w:hint="eastAsia"/>
                <w:highlight w:val="none"/>
              </w:rPr>
            </w:pPr>
            <w:r>
              <w:rPr>
                <w:rFonts w:hint="eastAsia"/>
                <w:highlight w:val="none"/>
              </w:rPr>
              <w:t>注册检验容器信息</w:t>
            </w:r>
          </w:p>
        </w:tc>
        <w:tc>
          <w:tcPr>
            <w:tcW w:w="1442" w:type="dxa"/>
            <w:tcBorders>
              <w:top w:val="nil"/>
              <w:left w:val="nil"/>
              <w:bottom w:val="single" w:color="auto" w:sz="4" w:space="0"/>
              <w:right w:val="single" w:color="auto" w:sz="4" w:space="0"/>
            </w:tcBorders>
            <w:shd w:val="clear" w:color="000000" w:fill="FFFFFF"/>
            <w:vAlign w:val="center"/>
          </w:tcPr>
          <w:p w14:paraId="2CD6C69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445F44C">
            <w:pPr>
              <w:pStyle w:val="38"/>
              <w:rPr>
                <w:rFonts w:hint="eastAsia"/>
                <w:highlight w:val="none"/>
              </w:rPr>
            </w:pPr>
          </w:p>
        </w:tc>
      </w:tr>
      <w:tr w14:paraId="5BCB235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53F269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FB2DFC0">
            <w:pPr>
              <w:pStyle w:val="38"/>
              <w:jc w:val="center"/>
              <w:rPr>
                <w:rFonts w:hint="eastAsia"/>
                <w:highlight w:val="none"/>
              </w:rPr>
            </w:pPr>
            <w:r>
              <w:rPr>
                <w:rFonts w:hint="eastAsia"/>
                <w:highlight w:val="none"/>
              </w:rPr>
              <w:t>MU0199</w:t>
            </w:r>
          </w:p>
        </w:tc>
        <w:tc>
          <w:tcPr>
            <w:tcW w:w="2221" w:type="dxa"/>
            <w:tcBorders>
              <w:top w:val="nil"/>
              <w:left w:val="nil"/>
              <w:bottom w:val="single" w:color="auto" w:sz="4" w:space="0"/>
              <w:right w:val="single" w:color="auto" w:sz="4" w:space="0"/>
            </w:tcBorders>
            <w:noWrap/>
            <w:vAlign w:val="center"/>
          </w:tcPr>
          <w:p w14:paraId="25957A6D">
            <w:pPr>
              <w:pStyle w:val="38"/>
              <w:rPr>
                <w:rFonts w:hint="eastAsia"/>
                <w:highlight w:val="none"/>
              </w:rPr>
            </w:pPr>
            <w:r>
              <w:rPr>
                <w:rFonts w:hint="eastAsia"/>
                <w:highlight w:val="none"/>
              </w:rPr>
              <w:t>变更检验容器信息</w:t>
            </w:r>
          </w:p>
        </w:tc>
        <w:tc>
          <w:tcPr>
            <w:tcW w:w="1442" w:type="dxa"/>
            <w:tcBorders>
              <w:top w:val="nil"/>
              <w:left w:val="nil"/>
              <w:bottom w:val="single" w:color="auto" w:sz="4" w:space="0"/>
              <w:right w:val="single" w:color="auto" w:sz="4" w:space="0"/>
            </w:tcBorders>
            <w:shd w:val="clear" w:color="000000" w:fill="FFFFFF"/>
            <w:vAlign w:val="center"/>
          </w:tcPr>
          <w:p w14:paraId="273BC2A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4FF2FDB">
            <w:pPr>
              <w:pStyle w:val="38"/>
              <w:rPr>
                <w:rFonts w:hint="eastAsia"/>
                <w:highlight w:val="none"/>
              </w:rPr>
            </w:pPr>
          </w:p>
        </w:tc>
      </w:tr>
      <w:tr w14:paraId="4A59DE3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166BE7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2A3494A">
            <w:pPr>
              <w:pStyle w:val="38"/>
              <w:jc w:val="center"/>
              <w:rPr>
                <w:rFonts w:hint="eastAsia"/>
                <w:highlight w:val="none"/>
              </w:rPr>
            </w:pPr>
            <w:r>
              <w:rPr>
                <w:rFonts w:hint="eastAsia"/>
                <w:highlight w:val="none"/>
              </w:rPr>
              <w:t>MI0200</w:t>
            </w:r>
          </w:p>
        </w:tc>
        <w:tc>
          <w:tcPr>
            <w:tcW w:w="2221" w:type="dxa"/>
            <w:tcBorders>
              <w:top w:val="nil"/>
              <w:left w:val="nil"/>
              <w:bottom w:val="single" w:color="auto" w:sz="4" w:space="0"/>
              <w:right w:val="single" w:color="auto" w:sz="4" w:space="0"/>
            </w:tcBorders>
            <w:noWrap/>
            <w:vAlign w:val="center"/>
          </w:tcPr>
          <w:p w14:paraId="3079AA3E">
            <w:pPr>
              <w:pStyle w:val="38"/>
              <w:rPr>
                <w:rFonts w:hint="eastAsia"/>
                <w:highlight w:val="none"/>
              </w:rPr>
            </w:pPr>
            <w:r>
              <w:rPr>
                <w:rFonts w:hint="eastAsia"/>
                <w:highlight w:val="none"/>
              </w:rPr>
              <w:t>注册检验标本信息</w:t>
            </w:r>
          </w:p>
        </w:tc>
        <w:tc>
          <w:tcPr>
            <w:tcW w:w="1442" w:type="dxa"/>
            <w:tcBorders>
              <w:top w:val="nil"/>
              <w:left w:val="nil"/>
              <w:bottom w:val="single" w:color="auto" w:sz="4" w:space="0"/>
              <w:right w:val="single" w:color="auto" w:sz="4" w:space="0"/>
            </w:tcBorders>
            <w:shd w:val="clear" w:color="000000" w:fill="FFFFFF"/>
            <w:vAlign w:val="center"/>
          </w:tcPr>
          <w:p w14:paraId="49AAA06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9F97790">
            <w:pPr>
              <w:pStyle w:val="38"/>
              <w:rPr>
                <w:rFonts w:hint="eastAsia"/>
                <w:highlight w:val="none"/>
              </w:rPr>
            </w:pPr>
          </w:p>
        </w:tc>
      </w:tr>
      <w:tr w14:paraId="3F23AE7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417B50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39880D0">
            <w:pPr>
              <w:pStyle w:val="38"/>
              <w:jc w:val="center"/>
              <w:rPr>
                <w:rFonts w:hint="eastAsia"/>
                <w:highlight w:val="none"/>
              </w:rPr>
            </w:pPr>
            <w:r>
              <w:rPr>
                <w:rFonts w:hint="eastAsia"/>
                <w:highlight w:val="none"/>
              </w:rPr>
              <w:t>MU0201</w:t>
            </w:r>
          </w:p>
        </w:tc>
        <w:tc>
          <w:tcPr>
            <w:tcW w:w="2221" w:type="dxa"/>
            <w:tcBorders>
              <w:top w:val="nil"/>
              <w:left w:val="nil"/>
              <w:bottom w:val="single" w:color="auto" w:sz="4" w:space="0"/>
              <w:right w:val="single" w:color="auto" w:sz="4" w:space="0"/>
            </w:tcBorders>
            <w:noWrap/>
            <w:vAlign w:val="center"/>
          </w:tcPr>
          <w:p w14:paraId="00D1EB42">
            <w:pPr>
              <w:pStyle w:val="38"/>
              <w:rPr>
                <w:rFonts w:hint="eastAsia"/>
                <w:highlight w:val="none"/>
              </w:rPr>
            </w:pPr>
            <w:r>
              <w:rPr>
                <w:rFonts w:hint="eastAsia"/>
                <w:highlight w:val="none"/>
              </w:rPr>
              <w:t>变更检验标本信息</w:t>
            </w:r>
          </w:p>
        </w:tc>
        <w:tc>
          <w:tcPr>
            <w:tcW w:w="1442" w:type="dxa"/>
            <w:tcBorders>
              <w:top w:val="nil"/>
              <w:left w:val="nil"/>
              <w:bottom w:val="single" w:color="auto" w:sz="4" w:space="0"/>
              <w:right w:val="single" w:color="auto" w:sz="4" w:space="0"/>
            </w:tcBorders>
            <w:shd w:val="clear" w:color="000000" w:fill="FFFFFF"/>
            <w:vAlign w:val="center"/>
          </w:tcPr>
          <w:p w14:paraId="43F0D51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928A849">
            <w:pPr>
              <w:pStyle w:val="38"/>
              <w:rPr>
                <w:rFonts w:hint="eastAsia"/>
                <w:highlight w:val="none"/>
              </w:rPr>
            </w:pPr>
          </w:p>
        </w:tc>
      </w:tr>
      <w:tr w14:paraId="1E5A6CD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A5B163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3C9A00E">
            <w:pPr>
              <w:pStyle w:val="38"/>
              <w:jc w:val="center"/>
              <w:rPr>
                <w:rFonts w:hint="eastAsia"/>
                <w:highlight w:val="none"/>
              </w:rPr>
            </w:pPr>
            <w:r>
              <w:rPr>
                <w:rFonts w:hint="eastAsia"/>
                <w:highlight w:val="none"/>
              </w:rPr>
              <w:t>MI0202</w:t>
            </w:r>
          </w:p>
        </w:tc>
        <w:tc>
          <w:tcPr>
            <w:tcW w:w="2221" w:type="dxa"/>
            <w:tcBorders>
              <w:top w:val="nil"/>
              <w:left w:val="nil"/>
              <w:bottom w:val="single" w:color="auto" w:sz="4" w:space="0"/>
              <w:right w:val="single" w:color="auto" w:sz="4" w:space="0"/>
            </w:tcBorders>
            <w:noWrap/>
            <w:vAlign w:val="center"/>
          </w:tcPr>
          <w:p w14:paraId="3BEEB578">
            <w:pPr>
              <w:pStyle w:val="38"/>
              <w:rPr>
                <w:rFonts w:hint="eastAsia"/>
                <w:highlight w:val="none"/>
              </w:rPr>
            </w:pPr>
            <w:r>
              <w:rPr>
                <w:rFonts w:hint="eastAsia"/>
                <w:highlight w:val="none"/>
              </w:rPr>
              <w:t>注册过敏字典信息</w:t>
            </w:r>
          </w:p>
        </w:tc>
        <w:tc>
          <w:tcPr>
            <w:tcW w:w="1442" w:type="dxa"/>
            <w:tcBorders>
              <w:top w:val="nil"/>
              <w:left w:val="nil"/>
              <w:bottom w:val="single" w:color="auto" w:sz="4" w:space="0"/>
              <w:right w:val="single" w:color="auto" w:sz="4" w:space="0"/>
            </w:tcBorders>
            <w:shd w:val="clear" w:color="000000" w:fill="FFFFFF"/>
            <w:vAlign w:val="center"/>
          </w:tcPr>
          <w:p w14:paraId="4D33C2F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D3A2660">
            <w:pPr>
              <w:pStyle w:val="38"/>
              <w:rPr>
                <w:rFonts w:hint="eastAsia"/>
                <w:highlight w:val="none"/>
              </w:rPr>
            </w:pPr>
          </w:p>
        </w:tc>
      </w:tr>
      <w:tr w14:paraId="73E42DF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E1F69E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5FD0BCE">
            <w:pPr>
              <w:pStyle w:val="38"/>
              <w:jc w:val="center"/>
              <w:rPr>
                <w:rFonts w:hint="eastAsia"/>
                <w:highlight w:val="none"/>
              </w:rPr>
            </w:pPr>
            <w:r>
              <w:rPr>
                <w:rFonts w:hint="eastAsia"/>
                <w:highlight w:val="none"/>
              </w:rPr>
              <w:t>MU0203</w:t>
            </w:r>
          </w:p>
        </w:tc>
        <w:tc>
          <w:tcPr>
            <w:tcW w:w="2221" w:type="dxa"/>
            <w:tcBorders>
              <w:top w:val="nil"/>
              <w:left w:val="nil"/>
              <w:bottom w:val="single" w:color="auto" w:sz="4" w:space="0"/>
              <w:right w:val="single" w:color="auto" w:sz="4" w:space="0"/>
            </w:tcBorders>
            <w:noWrap/>
            <w:vAlign w:val="center"/>
          </w:tcPr>
          <w:p w14:paraId="6B5A64E9">
            <w:pPr>
              <w:pStyle w:val="38"/>
              <w:rPr>
                <w:rFonts w:hint="eastAsia"/>
                <w:highlight w:val="none"/>
              </w:rPr>
            </w:pPr>
            <w:r>
              <w:rPr>
                <w:rFonts w:hint="eastAsia"/>
                <w:highlight w:val="none"/>
              </w:rPr>
              <w:t>变更过敏字典信息</w:t>
            </w:r>
          </w:p>
        </w:tc>
        <w:tc>
          <w:tcPr>
            <w:tcW w:w="1442" w:type="dxa"/>
            <w:tcBorders>
              <w:top w:val="nil"/>
              <w:left w:val="nil"/>
              <w:bottom w:val="single" w:color="auto" w:sz="4" w:space="0"/>
              <w:right w:val="single" w:color="auto" w:sz="4" w:space="0"/>
            </w:tcBorders>
            <w:shd w:val="clear" w:color="000000" w:fill="FFFFFF"/>
            <w:vAlign w:val="center"/>
          </w:tcPr>
          <w:p w14:paraId="67FDB6F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61DFDD7">
            <w:pPr>
              <w:pStyle w:val="38"/>
              <w:rPr>
                <w:rFonts w:hint="eastAsia"/>
                <w:highlight w:val="none"/>
              </w:rPr>
            </w:pPr>
          </w:p>
        </w:tc>
      </w:tr>
      <w:tr w14:paraId="7E84C0C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DEC7DC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263A45F">
            <w:pPr>
              <w:pStyle w:val="38"/>
              <w:jc w:val="center"/>
              <w:rPr>
                <w:rFonts w:hint="eastAsia"/>
                <w:highlight w:val="none"/>
              </w:rPr>
            </w:pPr>
            <w:r>
              <w:rPr>
                <w:rFonts w:hint="eastAsia"/>
                <w:highlight w:val="none"/>
              </w:rPr>
              <w:t>MI0204</w:t>
            </w:r>
          </w:p>
        </w:tc>
        <w:tc>
          <w:tcPr>
            <w:tcW w:w="2221" w:type="dxa"/>
            <w:tcBorders>
              <w:top w:val="nil"/>
              <w:left w:val="nil"/>
              <w:bottom w:val="single" w:color="auto" w:sz="4" w:space="0"/>
              <w:right w:val="single" w:color="auto" w:sz="4" w:space="0"/>
            </w:tcBorders>
            <w:noWrap/>
            <w:vAlign w:val="center"/>
          </w:tcPr>
          <w:p w14:paraId="7F6ACC40">
            <w:pPr>
              <w:pStyle w:val="38"/>
              <w:rPr>
                <w:rFonts w:hint="eastAsia"/>
                <w:highlight w:val="none"/>
              </w:rPr>
            </w:pPr>
            <w:r>
              <w:rPr>
                <w:rFonts w:hint="eastAsia"/>
                <w:highlight w:val="none"/>
              </w:rPr>
              <w:t>注册检验结果字典</w:t>
            </w:r>
          </w:p>
        </w:tc>
        <w:tc>
          <w:tcPr>
            <w:tcW w:w="1442" w:type="dxa"/>
            <w:tcBorders>
              <w:top w:val="nil"/>
              <w:left w:val="nil"/>
              <w:bottom w:val="single" w:color="auto" w:sz="4" w:space="0"/>
              <w:right w:val="single" w:color="auto" w:sz="4" w:space="0"/>
            </w:tcBorders>
            <w:shd w:val="clear" w:color="000000" w:fill="FFFFFF"/>
            <w:vAlign w:val="center"/>
          </w:tcPr>
          <w:p w14:paraId="4D492F7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BFB7567">
            <w:pPr>
              <w:pStyle w:val="38"/>
              <w:rPr>
                <w:rFonts w:hint="eastAsia"/>
                <w:highlight w:val="none"/>
              </w:rPr>
            </w:pPr>
          </w:p>
        </w:tc>
      </w:tr>
      <w:tr w14:paraId="30A9BBE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8A4FD5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F79DEEB">
            <w:pPr>
              <w:pStyle w:val="38"/>
              <w:jc w:val="center"/>
              <w:rPr>
                <w:rFonts w:hint="eastAsia"/>
                <w:highlight w:val="none"/>
              </w:rPr>
            </w:pPr>
            <w:r>
              <w:rPr>
                <w:rFonts w:hint="eastAsia"/>
                <w:highlight w:val="none"/>
              </w:rPr>
              <w:t>MU0205</w:t>
            </w:r>
          </w:p>
        </w:tc>
        <w:tc>
          <w:tcPr>
            <w:tcW w:w="2221" w:type="dxa"/>
            <w:tcBorders>
              <w:top w:val="nil"/>
              <w:left w:val="nil"/>
              <w:bottom w:val="single" w:color="auto" w:sz="4" w:space="0"/>
              <w:right w:val="single" w:color="auto" w:sz="4" w:space="0"/>
            </w:tcBorders>
            <w:noWrap/>
            <w:vAlign w:val="center"/>
          </w:tcPr>
          <w:p w14:paraId="414D10E1">
            <w:pPr>
              <w:pStyle w:val="38"/>
              <w:rPr>
                <w:rFonts w:hint="eastAsia"/>
                <w:highlight w:val="none"/>
              </w:rPr>
            </w:pPr>
            <w:r>
              <w:rPr>
                <w:rFonts w:hint="eastAsia"/>
                <w:highlight w:val="none"/>
              </w:rPr>
              <w:t>变更检验结果字典</w:t>
            </w:r>
          </w:p>
        </w:tc>
        <w:tc>
          <w:tcPr>
            <w:tcW w:w="1442" w:type="dxa"/>
            <w:tcBorders>
              <w:top w:val="nil"/>
              <w:left w:val="nil"/>
              <w:bottom w:val="single" w:color="auto" w:sz="4" w:space="0"/>
              <w:right w:val="single" w:color="auto" w:sz="4" w:space="0"/>
            </w:tcBorders>
            <w:shd w:val="clear" w:color="000000" w:fill="FFFFFF"/>
            <w:vAlign w:val="center"/>
          </w:tcPr>
          <w:p w14:paraId="26966B4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FF46DF5">
            <w:pPr>
              <w:pStyle w:val="38"/>
              <w:rPr>
                <w:rFonts w:hint="eastAsia"/>
                <w:highlight w:val="none"/>
              </w:rPr>
            </w:pPr>
          </w:p>
        </w:tc>
      </w:tr>
      <w:tr w14:paraId="3DC5596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82A5A9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841B426">
            <w:pPr>
              <w:pStyle w:val="38"/>
              <w:jc w:val="center"/>
              <w:rPr>
                <w:rFonts w:hint="eastAsia"/>
                <w:highlight w:val="none"/>
              </w:rPr>
            </w:pPr>
            <w:r>
              <w:rPr>
                <w:rFonts w:hint="eastAsia"/>
                <w:highlight w:val="none"/>
              </w:rPr>
              <w:t>MI0206</w:t>
            </w:r>
          </w:p>
        </w:tc>
        <w:tc>
          <w:tcPr>
            <w:tcW w:w="2221" w:type="dxa"/>
            <w:tcBorders>
              <w:top w:val="nil"/>
              <w:left w:val="nil"/>
              <w:bottom w:val="single" w:color="auto" w:sz="4" w:space="0"/>
              <w:right w:val="single" w:color="auto" w:sz="4" w:space="0"/>
            </w:tcBorders>
            <w:noWrap/>
            <w:vAlign w:val="center"/>
          </w:tcPr>
          <w:p w14:paraId="5B54DEBA">
            <w:pPr>
              <w:pStyle w:val="38"/>
              <w:rPr>
                <w:rFonts w:hint="eastAsia"/>
                <w:highlight w:val="none"/>
              </w:rPr>
            </w:pPr>
            <w:r>
              <w:rPr>
                <w:rFonts w:hint="eastAsia"/>
                <w:highlight w:val="none"/>
              </w:rPr>
              <w:t>注册药品调价信息</w:t>
            </w:r>
          </w:p>
        </w:tc>
        <w:tc>
          <w:tcPr>
            <w:tcW w:w="1442" w:type="dxa"/>
            <w:tcBorders>
              <w:top w:val="nil"/>
              <w:left w:val="nil"/>
              <w:bottom w:val="single" w:color="auto" w:sz="4" w:space="0"/>
              <w:right w:val="single" w:color="auto" w:sz="4" w:space="0"/>
            </w:tcBorders>
            <w:shd w:val="clear" w:color="000000" w:fill="FFFFFF"/>
            <w:vAlign w:val="center"/>
          </w:tcPr>
          <w:p w14:paraId="2DC4D4E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A538F55">
            <w:pPr>
              <w:pStyle w:val="38"/>
              <w:rPr>
                <w:rFonts w:hint="eastAsia"/>
                <w:highlight w:val="none"/>
              </w:rPr>
            </w:pPr>
          </w:p>
        </w:tc>
      </w:tr>
      <w:tr w14:paraId="0D52126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A9C84F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0BD2343">
            <w:pPr>
              <w:pStyle w:val="38"/>
              <w:jc w:val="center"/>
              <w:rPr>
                <w:rFonts w:hint="eastAsia"/>
                <w:highlight w:val="none"/>
              </w:rPr>
            </w:pPr>
            <w:r>
              <w:rPr>
                <w:rFonts w:hint="eastAsia"/>
                <w:highlight w:val="none"/>
              </w:rPr>
              <w:t>MI0210</w:t>
            </w:r>
          </w:p>
        </w:tc>
        <w:tc>
          <w:tcPr>
            <w:tcW w:w="2221" w:type="dxa"/>
            <w:tcBorders>
              <w:top w:val="nil"/>
              <w:left w:val="nil"/>
              <w:bottom w:val="single" w:color="auto" w:sz="4" w:space="0"/>
              <w:right w:val="single" w:color="auto" w:sz="4" w:space="0"/>
            </w:tcBorders>
            <w:noWrap/>
            <w:vAlign w:val="center"/>
          </w:tcPr>
          <w:p w14:paraId="7F6D1F2F">
            <w:pPr>
              <w:pStyle w:val="38"/>
              <w:rPr>
                <w:rFonts w:hint="eastAsia"/>
                <w:highlight w:val="none"/>
              </w:rPr>
            </w:pPr>
            <w:r>
              <w:rPr>
                <w:rFonts w:hint="eastAsia"/>
                <w:highlight w:val="none"/>
              </w:rPr>
              <w:t>注册给药途径字典</w:t>
            </w:r>
          </w:p>
        </w:tc>
        <w:tc>
          <w:tcPr>
            <w:tcW w:w="1442" w:type="dxa"/>
            <w:tcBorders>
              <w:top w:val="nil"/>
              <w:left w:val="nil"/>
              <w:bottom w:val="single" w:color="auto" w:sz="4" w:space="0"/>
              <w:right w:val="single" w:color="auto" w:sz="4" w:space="0"/>
            </w:tcBorders>
            <w:shd w:val="clear" w:color="000000" w:fill="FFFFFF"/>
            <w:vAlign w:val="center"/>
          </w:tcPr>
          <w:p w14:paraId="0A7EB68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AE68EBF">
            <w:pPr>
              <w:pStyle w:val="38"/>
              <w:rPr>
                <w:rFonts w:hint="eastAsia"/>
                <w:highlight w:val="none"/>
              </w:rPr>
            </w:pPr>
          </w:p>
        </w:tc>
      </w:tr>
      <w:tr w14:paraId="61E70B30">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C1EE763">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81065A5">
            <w:pPr>
              <w:pStyle w:val="38"/>
              <w:jc w:val="center"/>
              <w:rPr>
                <w:rFonts w:hint="eastAsia"/>
                <w:highlight w:val="none"/>
              </w:rPr>
            </w:pPr>
            <w:r>
              <w:rPr>
                <w:rFonts w:hint="eastAsia"/>
                <w:highlight w:val="none"/>
              </w:rPr>
              <w:t>MU0224</w:t>
            </w:r>
          </w:p>
        </w:tc>
        <w:tc>
          <w:tcPr>
            <w:tcW w:w="2221" w:type="dxa"/>
            <w:tcBorders>
              <w:top w:val="nil"/>
              <w:left w:val="nil"/>
              <w:bottom w:val="single" w:color="auto" w:sz="4" w:space="0"/>
              <w:right w:val="single" w:color="auto" w:sz="4" w:space="0"/>
            </w:tcBorders>
            <w:noWrap/>
            <w:vAlign w:val="center"/>
          </w:tcPr>
          <w:p w14:paraId="2AB175DE">
            <w:pPr>
              <w:pStyle w:val="38"/>
              <w:rPr>
                <w:rFonts w:hint="eastAsia"/>
                <w:highlight w:val="none"/>
              </w:rPr>
            </w:pPr>
            <w:r>
              <w:rPr>
                <w:rFonts w:hint="eastAsia"/>
                <w:highlight w:val="none"/>
              </w:rPr>
              <w:t>变更给药途径字典</w:t>
            </w:r>
          </w:p>
        </w:tc>
        <w:tc>
          <w:tcPr>
            <w:tcW w:w="1442" w:type="dxa"/>
            <w:tcBorders>
              <w:top w:val="nil"/>
              <w:left w:val="nil"/>
              <w:bottom w:val="single" w:color="auto" w:sz="4" w:space="0"/>
              <w:right w:val="single" w:color="auto" w:sz="4" w:space="0"/>
            </w:tcBorders>
            <w:shd w:val="clear" w:color="000000" w:fill="FFFFFF"/>
            <w:vAlign w:val="center"/>
          </w:tcPr>
          <w:p w14:paraId="1082EF2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57C3B91">
            <w:pPr>
              <w:pStyle w:val="38"/>
              <w:rPr>
                <w:rFonts w:hint="eastAsia"/>
                <w:highlight w:val="none"/>
              </w:rPr>
            </w:pPr>
          </w:p>
        </w:tc>
      </w:tr>
      <w:tr w14:paraId="4B4E1AD4">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A74AA4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432AD1">
            <w:pPr>
              <w:pStyle w:val="38"/>
              <w:jc w:val="center"/>
              <w:rPr>
                <w:rFonts w:hint="eastAsia"/>
                <w:highlight w:val="none"/>
              </w:rPr>
            </w:pPr>
            <w:r>
              <w:rPr>
                <w:rFonts w:hint="eastAsia"/>
                <w:highlight w:val="none"/>
              </w:rPr>
              <w:t>MI0212</w:t>
            </w:r>
          </w:p>
        </w:tc>
        <w:tc>
          <w:tcPr>
            <w:tcW w:w="2221" w:type="dxa"/>
            <w:tcBorders>
              <w:top w:val="nil"/>
              <w:left w:val="nil"/>
              <w:bottom w:val="single" w:color="auto" w:sz="4" w:space="0"/>
              <w:right w:val="single" w:color="auto" w:sz="4" w:space="0"/>
            </w:tcBorders>
            <w:noWrap/>
            <w:vAlign w:val="center"/>
          </w:tcPr>
          <w:p w14:paraId="2D47C5A3">
            <w:pPr>
              <w:pStyle w:val="38"/>
              <w:rPr>
                <w:rFonts w:hint="eastAsia"/>
                <w:highlight w:val="none"/>
              </w:rPr>
            </w:pPr>
            <w:r>
              <w:rPr>
                <w:rFonts w:hint="eastAsia"/>
                <w:highlight w:val="none"/>
              </w:rPr>
              <w:t>注册频次字典</w:t>
            </w:r>
          </w:p>
        </w:tc>
        <w:tc>
          <w:tcPr>
            <w:tcW w:w="1442" w:type="dxa"/>
            <w:tcBorders>
              <w:top w:val="nil"/>
              <w:left w:val="nil"/>
              <w:bottom w:val="single" w:color="auto" w:sz="4" w:space="0"/>
              <w:right w:val="single" w:color="auto" w:sz="4" w:space="0"/>
            </w:tcBorders>
            <w:shd w:val="clear" w:color="000000" w:fill="FFFFFF"/>
            <w:vAlign w:val="center"/>
          </w:tcPr>
          <w:p w14:paraId="7F60CF8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DAAEEE7">
            <w:pPr>
              <w:pStyle w:val="38"/>
              <w:rPr>
                <w:rFonts w:hint="eastAsia"/>
                <w:highlight w:val="none"/>
              </w:rPr>
            </w:pPr>
          </w:p>
        </w:tc>
      </w:tr>
      <w:tr w14:paraId="20F6ADC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519FF1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47A981B">
            <w:pPr>
              <w:pStyle w:val="38"/>
              <w:jc w:val="center"/>
              <w:rPr>
                <w:rFonts w:hint="eastAsia"/>
                <w:highlight w:val="none"/>
              </w:rPr>
            </w:pPr>
            <w:r>
              <w:rPr>
                <w:rFonts w:hint="eastAsia"/>
                <w:highlight w:val="none"/>
              </w:rPr>
              <w:t>MU0225</w:t>
            </w:r>
          </w:p>
        </w:tc>
        <w:tc>
          <w:tcPr>
            <w:tcW w:w="2221" w:type="dxa"/>
            <w:tcBorders>
              <w:top w:val="nil"/>
              <w:left w:val="nil"/>
              <w:bottom w:val="single" w:color="auto" w:sz="4" w:space="0"/>
              <w:right w:val="single" w:color="auto" w:sz="4" w:space="0"/>
            </w:tcBorders>
            <w:noWrap/>
            <w:vAlign w:val="center"/>
          </w:tcPr>
          <w:p w14:paraId="084033A0">
            <w:pPr>
              <w:pStyle w:val="38"/>
              <w:rPr>
                <w:rFonts w:hint="eastAsia"/>
                <w:highlight w:val="none"/>
              </w:rPr>
            </w:pPr>
            <w:r>
              <w:rPr>
                <w:rFonts w:hint="eastAsia"/>
                <w:highlight w:val="none"/>
              </w:rPr>
              <w:t>变更频次字典</w:t>
            </w:r>
          </w:p>
        </w:tc>
        <w:tc>
          <w:tcPr>
            <w:tcW w:w="1442" w:type="dxa"/>
            <w:tcBorders>
              <w:top w:val="nil"/>
              <w:left w:val="nil"/>
              <w:bottom w:val="single" w:color="auto" w:sz="4" w:space="0"/>
              <w:right w:val="single" w:color="auto" w:sz="4" w:space="0"/>
            </w:tcBorders>
            <w:shd w:val="clear" w:color="000000" w:fill="FFFFFF"/>
            <w:vAlign w:val="center"/>
          </w:tcPr>
          <w:p w14:paraId="5155065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5429B20">
            <w:pPr>
              <w:pStyle w:val="38"/>
              <w:rPr>
                <w:rFonts w:hint="eastAsia"/>
                <w:highlight w:val="none"/>
              </w:rPr>
            </w:pPr>
          </w:p>
        </w:tc>
      </w:tr>
      <w:tr w14:paraId="7CCFE4B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84996A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011D51D">
            <w:pPr>
              <w:pStyle w:val="38"/>
              <w:jc w:val="center"/>
              <w:rPr>
                <w:rFonts w:hint="eastAsia"/>
                <w:highlight w:val="none"/>
              </w:rPr>
            </w:pPr>
            <w:r>
              <w:rPr>
                <w:rFonts w:hint="eastAsia"/>
                <w:highlight w:val="none"/>
              </w:rPr>
              <w:t>MI0216</w:t>
            </w:r>
          </w:p>
        </w:tc>
        <w:tc>
          <w:tcPr>
            <w:tcW w:w="2221" w:type="dxa"/>
            <w:tcBorders>
              <w:top w:val="nil"/>
              <w:left w:val="nil"/>
              <w:bottom w:val="single" w:color="auto" w:sz="4" w:space="0"/>
              <w:right w:val="single" w:color="auto" w:sz="4" w:space="0"/>
            </w:tcBorders>
            <w:noWrap/>
            <w:vAlign w:val="center"/>
          </w:tcPr>
          <w:p w14:paraId="5AD7931B">
            <w:pPr>
              <w:pStyle w:val="38"/>
              <w:rPr>
                <w:rFonts w:hint="eastAsia"/>
                <w:highlight w:val="none"/>
              </w:rPr>
            </w:pPr>
            <w:r>
              <w:rPr>
                <w:rFonts w:hint="eastAsia"/>
                <w:highlight w:val="none"/>
              </w:rPr>
              <w:t>注册院区信息</w:t>
            </w:r>
          </w:p>
        </w:tc>
        <w:tc>
          <w:tcPr>
            <w:tcW w:w="1442" w:type="dxa"/>
            <w:tcBorders>
              <w:top w:val="nil"/>
              <w:left w:val="nil"/>
              <w:bottom w:val="single" w:color="auto" w:sz="4" w:space="0"/>
              <w:right w:val="single" w:color="auto" w:sz="4" w:space="0"/>
            </w:tcBorders>
            <w:shd w:val="clear" w:color="000000" w:fill="FFFFFF"/>
            <w:vAlign w:val="center"/>
          </w:tcPr>
          <w:p w14:paraId="351619E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CC5FEEC">
            <w:pPr>
              <w:pStyle w:val="38"/>
              <w:rPr>
                <w:rFonts w:hint="eastAsia"/>
                <w:highlight w:val="none"/>
              </w:rPr>
            </w:pPr>
          </w:p>
        </w:tc>
      </w:tr>
      <w:tr w14:paraId="6150FBB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F43528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519F772C">
            <w:pPr>
              <w:pStyle w:val="38"/>
              <w:jc w:val="center"/>
              <w:rPr>
                <w:rFonts w:hint="eastAsia"/>
                <w:highlight w:val="none"/>
              </w:rPr>
            </w:pPr>
            <w:r>
              <w:rPr>
                <w:rFonts w:hint="eastAsia"/>
                <w:highlight w:val="none"/>
              </w:rPr>
              <w:t>MU0226</w:t>
            </w:r>
          </w:p>
        </w:tc>
        <w:tc>
          <w:tcPr>
            <w:tcW w:w="2221" w:type="dxa"/>
            <w:tcBorders>
              <w:top w:val="nil"/>
              <w:left w:val="nil"/>
              <w:bottom w:val="single" w:color="auto" w:sz="4" w:space="0"/>
              <w:right w:val="single" w:color="auto" w:sz="4" w:space="0"/>
            </w:tcBorders>
            <w:noWrap/>
            <w:vAlign w:val="center"/>
          </w:tcPr>
          <w:p w14:paraId="1355F89D">
            <w:pPr>
              <w:pStyle w:val="38"/>
              <w:rPr>
                <w:rFonts w:hint="eastAsia"/>
                <w:highlight w:val="none"/>
              </w:rPr>
            </w:pPr>
            <w:r>
              <w:rPr>
                <w:rFonts w:hint="eastAsia"/>
                <w:highlight w:val="none"/>
              </w:rPr>
              <w:t>变更院区信息</w:t>
            </w:r>
          </w:p>
        </w:tc>
        <w:tc>
          <w:tcPr>
            <w:tcW w:w="1442" w:type="dxa"/>
            <w:tcBorders>
              <w:top w:val="nil"/>
              <w:left w:val="nil"/>
              <w:bottom w:val="single" w:color="auto" w:sz="4" w:space="0"/>
              <w:right w:val="single" w:color="auto" w:sz="4" w:space="0"/>
            </w:tcBorders>
            <w:shd w:val="clear" w:color="000000" w:fill="FFFFFF"/>
            <w:vAlign w:val="center"/>
          </w:tcPr>
          <w:p w14:paraId="3B4CD93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488191B">
            <w:pPr>
              <w:pStyle w:val="38"/>
              <w:rPr>
                <w:rFonts w:hint="eastAsia"/>
                <w:highlight w:val="none"/>
              </w:rPr>
            </w:pPr>
          </w:p>
        </w:tc>
      </w:tr>
      <w:tr w14:paraId="657C94A9">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083BB696">
            <w:pPr>
              <w:pStyle w:val="38"/>
              <w:jc w:val="center"/>
              <w:rPr>
                <w:rFonts w:hint="eastAsia"/>
                <w:highlight w:val="none"/>
              </w:rPr>
            </w:pPr>
            <w:r>
              <w:rPr>
                <w:rFonts w:hint="eastAsia"/>
                <w:highlight w:val="none"/>
              </w:rPr>
              <w:t>Empi</w:t>
            </w:r>
          </w:p>
        </w:tc>
        <w:tc>
          <w:tcPr>
            <w:tcW w:w="1998" w:type="dxa"/>
            <w:tcBorders>
              <w:top w:val="nil"/>
              <w:left w:val="nil"/>
              <w:bottom w:val="single" w:color="auto" w:sz="4" w:space="0"/>
              <w:right w:val="single" w:color="auto" w:sz="4" w:space="0"/>
            </w:tcBorders>
            <w:shd w:val="clear" w:color="000000" w:fill="FFFFFF"/>
            <w:vAlign w:val="center"/>
          </w:tcPr>
          <w:p w14:paraId="7AFC7303">
            <w:pPr>
              <w:pStyle w:val="38"/>
              <w:jc w:val="center"/>
              <w:rPr>
                <w:rFonts w:hint="eastAsia"/>
                <w:highlight w:val="none"/>
              </w:rPr>
            </w:pPr>
            <w:r>
              <w:rPr>
                <w:rFonts w:hint="eastAsia"/>
                <w:highlight w:val="none"/>
              </w:rPr>
              <w:t>MIU0166</w:t>
            </w:r>
          </w:p>
        </w:tc>
        <w:tc>
          <w:tcPr>
            <w:tcW w:w="2221" w:type="dxa"/>
            <w:tcBorders>
              <w:top w:val="nil"/>
              <w:left w:val="nil"/>
              <w:bottom w:val="single" w:color="auto" w:sz="4" w:space="0"/>
              <w:right w:val="single" w:color="auto" w:sz="4" w:space="0"/>
            </w:tcBorders>
            <w:noWrap/>
            <w:vAlign w:val="center"/>
          </w:tcPr>
          <w:p w14:paraId="1B536AD6">
            <w:pPr>
              <w:pStyle w:val="38"/>
              <w:rPr>
                <w:rFonts w:hint="eastAsia"/>
                <w:highlight w:val="none"/>
              </w:rPr>
            </w:pPr>
            <w:r>
              <w:rPr>
                <w:rFonts w:hint="eastAsia"/>
                <w:highlight w:val="none"/>
              </w:rPr>
              <w:t>注册患者信息</w:t>
            </w:r>
          </w:p>
        </w:tc>
        <w:tc>
          <w:tcPr>
            <w:tcW w:w="1442" w:type="dxa"/>
            <w:tcBorders>
              <w:top w:val="nil"/>
              <w:left w:val="nil"/>
              <w:bottom w:val="single" w:color="auto" w:sz="4" w:space="0"/>
              <w:right w:val="single" w:color="auto" w:sz="4" w:space="0"/>
            </w:tcBorders>
            <w:shd w:val="clear" w:color="000000" w:fill="FFFFFF"/>
            <w:vAlign w:val="center"/>
          </w:tcPr>
          <w:p w14:paraId="0B022B9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9B65FB7">
            <w:pPr>
              <w:pStyle w:val="38"/>
              <w:rPr>
                <w:rFonts w:hint="eastAsia"/>
                <w:highlight w:val="none"/>
              </w:rPr>
            </w:pPr>
          </w:p>
        </w:tc>
      </w:tr>
      <w:tr w14:paraId="56C84F9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4C0B36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1724ED0">
            <w:pPr>
              <w:pStyle w:val="38"/>
              <w:jc w:val="center"/>
              <w:rPr>
                <w:rFonts w:hint="eastAsia"/>
                <w:highlight w:val="none"/>
              </w:rPr>
            </w:pPr>
            <w:r>
              <w:rPr>
                <w:rFonts w:hint="eastAsia"/>
                <w:highlight w:val="none"/>
              </w:rPr>
              <w:t>MS0167</w:t>
            </w:r>
          </w:p>
        </w:tc>
        <w:tc>
          <w:tcPr>
            <w:tcW w:w="2221" w:type="dxa"/>
            <w:tcBorders>
              <w:top w:val="nil"/>
              <w:left w:val="nil"/>
              <w:bottom w:val="single" w:color="auto" w:sz="4" w:space="0"/>
              <w:right w:val="single" w:color="auto" w:sz="4" w:space="0"/>
            </w:tcBorders>
            <w:noWrap/>
            <w:vAlign w:val="center"/>
          </w:tcPr>
          <w:p w14:paraId="395E7AEB">
            <w:pPr>
              <w:pStyle w:val="38"/>
              <w:rPr>
                <w:rFonts w:hint="eastAsia"/>
                <w:highlight w:val="none"/>
              </w:rPr>
            </w:pPr>
            <w:r>
              <w:rPr>
                <w:rFonts w:hint="eastAsia"/>
                <w:highlight w:val="none"/>
              </w:rPr>
              <w:t>查询相似患者列表</w:t>
            </w:r>
          </w:p>
        </w:tc>
        <w:tc>
          <w:tcPr>
            <w:tcW w:w="1442" w:type="dxa"/>
            <w:tcBorders>
              <w:top w:val="nil"/>
              <w:left w:val="nil"/>
              <w:bottom w:val="single" w:color="auto" w:sz="4" w:space="0"/>
              <w:right w:val="single" w:color="auto" w:sz="4" w:space="0"/>
            </w:tcBorders>
            <w:shd w:val="clear" w:color="000000" w:fill="FFFFFF"/>
            <w:vAlign w:val="center"/>
          </w:tcPr>
          <w:p w14:paraId="6DA216A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747A149">
            <w:pPr>
              <w:pStyle w:val="38"/>
              <w:rPr>
                <w:rFonts w:hint="eastAsia"/>
                <w:highlight w:val="none"/>
              </w:rPr>
            </w:pPr>
          </w:p>
        </w:tc>
      </w:tr>
      <w:tr w14:paraId="4B9B91A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CAF049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DD10530">
            <w:pPr>
              <w:pStyle w:val="38"/>
              <w:jc w:val="center"/>
              <w:rPr>
                <w:rFonts w:hint="eastAsia"/>
                <w:highlight w:val="none"/>
              </w:rPr>
            </w:pPr>
            <w:r>
              <w:rPr>
                <w:rFonts w:hint="eastAsia"/>
                <w:highlight w:val="none"/>
              </w:rPr>
              <w:t>MI0168</w:t>
            </w:r>
          </w:p>
        </w:tc>
        <w:tc>
          <w:tcPr>
            <w:tcW w:w="2221" w:type="dxa"/>
            <w:tcBorders>
              <w:top w:val="nil"/>
              <w:left w:val="nil"/>
              <w:bottom w:val="single" w:color="auto" w:sz="4" w:space="0"/>
              <w:right w:val="single" w:color="auto" w:sz="4" w:space="0"/>
            </w:tcBorders>
            <w:noWrap/>
            <w:vAlign w:val="center"/>
          </w:tcPr>
          <w:p w14:paraId="4A379135">
            <w:pPr>
              <w:pStyle w:val="38"/>
              <w:rPr>
                <w:rFonts w:hint="eastAsia"/>
                <w:highlight w:val="none"/>
              </w:rPr>
            </w:pPr>
            <w:r>
              <w:rPr>
                <w:rFonts w:hint="eastAsia"/>
                <w:highlight w:val="none"/>
              </w:rPr>
              <w:t>个人身份合并服务</w:t>
            </w:r>
          </w:p>
        </w:tc>
        <w:tc>
          <w:tcPr>
            <w:tcW w:w="1442" w:type="dxa"/>
            <w:tcBorders>
              <w:top w:val="nil"/>
              <w:left w:val="nil"/>
              <w:bottom w:val="single" w:color="auto" w:sz="4" w:space="0"/>
              <w:right w:val="single" w:color="auto" w:sz="4" w:space="0"/>
            </w:tcBorders>
            <w:shd w:val="clear" w:color="000000" w:fill="FFFFFF"/>
            <w:vAlign w:val="center"/>
          </w:tcPr>
          <w:p w14:paraId="4DDFADA5">
            <w:pPr>
              <w:pStyle w:val="38"/>
              <w:rPr>
                <w:rFonts w:hint="eastAsia"/>
                <w:highlight w:val="none"/>
              </w:rPr>
            </w:pPr>
            <w:r>
              <w:rPr>
                <w:rFonts w:hint="eastAsia"/>
                <w:highlight w:val="none"/>
              </w:rPr>
              <w:t>四级乙等</w:t>
            </w:r>
          </w:p>
        </w:tc>
        <w:tc>
          <w:tcPr>
            <w:tcW w:w="1189" w:type="dxa"/>
            <w:tcBorders>
              <w:top w:val="nil"/>
              <w:left w:val="nil"/>
              <w:bottom w:val="single" w:color="auto" w:sz="4" w:space="0"/>
              <w:right w:val="single" w:color="auto" w:sz="4" w:space="0"/>
            </w:tcBorders>
            <w:shd w:val="clear" w:color="000000" w:fill="FFFFFF"/>
            <w:vAlign w:val="center"/>
          </w:tcPr>
          <w:p w14:paraId="0CE6DA7F">
            <w:pPr>
              <w:pStyle w:val="38"/>
              <w:rPr>
                <w:rFonts w:hint="eastAsia"/>
                <w:highlight w:val="none"/>
              </w:rPr>
            </w:pPr>
            <w:r>
              <w:rPr>
                <w:rFonts w:hint="eastAsia"/>
                <w:highlight w:val="none"/>
              </w:rPr>
              <w:t>个人信息合并服务</w:t>
            </w:r>
          </w:p>
        </w:tc>
      </w:tr>
      <w:tr w14:paraId="4F2A460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A841C8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E972D15">
            <w:pPr>
              <w:pStyle w:val="38"/>
              <w:jc w:val="center"/>
              <w:rPr>
                <w:rFonts w:hint="eastAsia"/>
                <w:highlight w:val="none"/>
              </w:rPr>
            </w:pPr>
            <w:r>
              <w:rPr>
                <w:rFonts w:hint="eastAsia"/>
                <w:highlight w:val="none"/>
              </w:rPr>
              <w:t>MI0169</w:t>
            </w:r>
          </w:p>
        </w:tc>
        <w:tc>
          <w:tcPr>
            <w:tcW w:w="2221" w:type="dxa"/>
            <w:tcBorders>
              <w:top w:val="nil"/>
              <w:left w:val="nil"/>
              <w:bottom w:val="single" w:color="auto" w:sz="4" w:space="0"/>
              <w:right w:val="single" w:color="auto" w:sz="4" w:space="0"/>
            </w:tcBorders>
            <w:noWrap/>
            <w:vAlign w:val="center"/>
          </w:tcPr>
          <w:p w14:paraId="7B3F0FDC">
            <w:pPr>
              <w:pStyle w:val="38"/>
              <w:rPr>
                <w:rFonts w:hint="eastAsia"/>
                <w:highlight w:val="none"/>
              </w:rPr>
            </w:pPr>
            <w:r>
              <w:rPr>
                <w:rFonts w:hint="eastAsia"/>
                <w:highlight w:val="none"/>
              </w:rPr>
              <w:t>身份合并通知</w:t>
            </w:r>
          </w:p>
        </w:tc>
        <w:tc>
          <w:tcPr>
            <w:tcW w:w="1442" w:type="dxa"/>
            <w:tcBorders>
              <w:top w:val="nil"/>
              <w:left w:val="nil"/>
              <w:bottom w:val="single" w:color="auto" w:sz="4" w:space="0"/>
              <w:right w:val="single" w:color="auto" w:sz="4" w:space="0"/>
            </w:tcBorders>
            <w:shd w:val="clear" w:color="000000" w:fill="FFFFFF"/>
            <w:vAlign w:val="center"/>
          </w:tcPr>
          <w:p w14:paraId="0A14883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7EE3779">
            <w:pPr>
              <w:pStyle w:val="38"/>
              <w:rPr>
                <w:rFonts w:hint="eastAsia"/>
                <w:highlight w:val="none"/>
              </w:rPr>
            </w:pPr>
          </w:p>
        </w:tc>
      </w:tr>
      <w:tr w14:paraId="5B6AA50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A36B41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E0765CD">
            <w:pPr>
              <w:pStyle w:val="38"/>
              <w:jc w:val="center"/>
              <w:rPr>
                <w:rFonts w:hint="eastAsia"/>
                <w:highlight w:val="none"/>
              </w:rPr>
            </w:pPr>
            <w:r>
              <w:rPr>
                <w:rFonts w:hint="eastAsia"/>
                <w:highlight w:val="none"/>
              </w:rPr>
              <w:t>MI0170</w:t>
            </w:r>
          </w:p>
        </w:tc>
        <w:tc>
          <w:tcPr>
            <w:tcW w:w="2221" w:type="dxa"/>
            <w:tcBorders>
              <w:top w:val="nil"/>
              <w:left w:val="nil"/>
              <w:bottom w:val="single" w:color="auto" w:sz="4" w:space="0"/>
              <w:right w:val="single" w:color="auto" w:sz="4" w:space="0"/>
            </w:tcBorders>
            <w:noWrap/>
            <w:vAlign w:val="center"/>
          </w:tcPr>
          <w:p w14:paraId="4B5C766E">
            <w:pPr>
              <w:pStyle w:val="38"/>
              <w:rPr>
                <w:rFonts w:hint="eastAsia"/>
                <w:highlight w:val="none"/>
              </w:rPr>
            </w:pPr>
            <w:r>
              <w:rPr>
                <w:rFonts w:hint="eastAsia"/>
                <w:highlight w:val="none"/>
              </w:rPr>
              <w:t>患者主索引拆分服务</w:t>
            </w:r>
          </w:p>
        </w:tc>
        <w:tc>
          <w:tcPr>
            <w:tcW w:w="1442" w:type="dxa"/>
            <w:tcBorders>
              <w:top w:val="nil"/>
              <w:left w:val="nil"/>
              <w:bottom w:val="single" w:color="auto" w:sz="4" w:space="0"/>
              <w:right w:val="single" w:color="auto" w:sz="4" w:space="0"/>
            </w:tcBorders>
            <w:shd w:val="clear" w:color="000000" w:fill="FFFFFF"/>
            <w:vAlign w:val="center"/>
          </w:tcPr>
          <w:p w14:paraId="78C8743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F3A2B82">
            <w:pPr>
              <w:pStyle w:val="38"/>
              <w:rPr>
                <w:rFonts w:hint="eastAsia"/>
                <w:highlight w:val="none"/>
              </w:rPr>
            </w:pPr>
          </w:p>
        </w:tc>
      </w:tr>
      <w:tr w14:paraId="1CF8135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DDCD22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6D33A0">
            <w:pPr>
              <w:pStyle w:val="38"/>
              <w:jc w:val="center"/>
              <w:rPr>
                <w:rFonts w:hint="eastAsia"/>
                <w:highlight w:val="none"/>
              </w:rPr>
            </w:pPr>
            <w:r>
              <w:rPr>
                <w:rFonts w:hint="eastAsia"/>
                <w:highlight w:val="none"/>
              </w:rPr>
              <w:t>MI0171</w:t>
            </w:r>
          </w:p>
        </w:tc>
        <w:tc>
          <w:tcPr>
            <w:tcW w:w="2221" w:type="dxa"/>
            <w:tcBorders>
              <w:top w:val="nil"/>
              <w:left w:val="nil"/>
              <w:bottom w:val="single" w:color="auto" w:sz="4" w:space="0"/>
              <w:right w:val="single" w:color="auto" w:sz="4" w:space="0"/>
            </w:tcBorders>
            <w:noWrap/>
            <w:vAlign w:val="center"/>
          </w:tcPr>
          <w:p w14:paraId="2BD8BED7">
            <w:pPr>
              <w:pStyle w:val="38"/>
              <w:rPr>
                <w:rFonts w:hint="eastAsia"/>
                <w:highlight w:val="none"/>
              </w:rPr>
            </w:pPr>
            <w:r>
              <w:rPr>
                <w:rFonts w:hint="eastAsia"/>
                <w:highlight w:val="none"/>
              </w:rPr>
              <w:t>主索引拆分通知</w:t>
            </w:r>
          </w:p>
        </w:tc>
        <w:tc>
          <w:tcPr>
            <w:tcW w:w="1442" w:type="dxa"/>
            <w:tcBorders>
              <w:top w:val="nil"/>
              <w:left w:val="nil"/>
              <w:bottom w:val="single" w:color="auto" w:sz="4" w:space="0"/>
              <w:right w:val="single" w:color="auto" w:sz="4" w:space="0"/>
            </w:tcBorders>
            <w:shd w:val="clear" w:color="000000" w:fill="FFFFFF"/>
            <w:vAlign w:val="center"/>
          </w:tcPr>
          <w:p w14:paraId="691E73B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364B3A9">
            <w:pPr>
              <w:pStyle w:val="38"/>
              <w:rPr>
                <w:rFonts w:hint="eastAsia"/>
                <w:highlight w:val="none"/>
              </w:rPr>
            </w:pPr>
          </w:p>
        </w:tc>
      </w:tr>
      <w:tr w14:paraId="4293F78A">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2B854EA9">
            <w:pPr>
              <w:pStyle w:val="38"/>
              <w:jc w:val="center"/>
              <w:rPr>
                <w:rFonts w:hint="eastAsia"/>
                <w:highlight w:val="none"/>
              </w:rPr>
            </w:pPr>
            <w:r>
              <w:rPr>
                <w:rFonts w:hint="eastAsia"/>
                <w:highlight w:val="none"/>
              </w:rPr>
              <w:t>费用</w:t>
            </w:r>
          </w:p>
        </w:tc>
        <w:tc>
          <w:tcPr>
            <w:tcW w:w="1998" w:type="dxa"/>
            <w:tcBorders>
              <w:top w:val="nil"/>
              <w:left w:val="nil"/>
              <w:bottom w:val="single" w:color="auto" w:sz="4" w:space="0"/>
              <w:right w:val="single" w:color="auto" w:sz="4" w:space="0"/>
            </w:tcBorders>
            <w:shd w:val="clear" w:color="000000" w:fill="FFFFFF"/>
            <w:vAlign w:val="center"/>
          </w:tcPr>
          <w:p w14:paraId="39C8471E">
            <w:pPr>
              <w:pStyle w:val="38"/>
              <w:jc w:val="center"/>
              <w:rPr>
                <w:rFonts w:hint="eastAsia"/>
                <w:highlight w:val="none"/>
              </w:rPr>
            </w:pPr>
            <w:r>
              <w:rPr>
                <w:rFonts w:hint="eastAsia"/>
                <w:highlight w:val="none"/>
              </w:rPr>
              <w:t>FI0172</w:t>
            </w:r>
          </w:p>
        </w:tc>
        <w:tc>
          <w:tcPr>
            <w:tcW w:w="2221" w:type="dxa"/>
            <w:tcBorders>
              <w:top w:val="nil"/>
              <w:left w:val="nil"/>
              <w:bottom w:val="single" w:color="auto" w:sz="4" w:space="0"/>
              <w:right w:val="single" w:color="auto" w:sz="4" w:space="0"/>
            </w:tcBorders>
            <w:noWrap/>
            <w:vAlign w:val="center"/>
          </w:tcPr>
          <w:p w14:paraId="0937F6D9">
            <w:pPr>
              <w:pStyle w:val="38"/>
              <w:rPr>
                <w:rFonts w:hint="eastAsia"/>
                <w:highlight w:val="none"/>
              </w:rPr>
            </w:pPr>
            <w:r>
              <w:rPr>
                <w:rFonts w:hint="eastAsia"/>
                <w:highlight w:val="none"/>
              </w:rPr>
              <w:t>注册门诊缴费信息</w:t>
            </w:r>
          </w:p>
        </w:tc>
        <w:tc>
          <w:tcPr>
            <w:tcW w:w="1442" w:type="dxa"/>
            <w:tcBorders>
              <w:top w:val="nil"/>
              <w:left w:val="nil"/>
              <w:bottom w:val="single" w:color="auto" w:sz="4" w:space="0"/>
              <w:right w:val="single" w:color="auto" w:sz="4" w:space="0"/>
            </w:tcBorders>
            <w:shd w:val="clear" w:color="000000" w:fill="FFFFFF"/>
            <w:vAlign w:val="center"/>
          </w:tcPr>
          <w:p w14:paraId="40DAF18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C9D2B7D">
            <w:pPr>
              <w:pStyle w:val="38"/>
              <w:rPr>
                <w:rFonts w:hint="eastAsia"/>
                <w:highlight w:val="none"/>
              </w:rPr>
            </w:pPr>
          </w:p>
        </w:tc>
      </w:tr>
      <w:tr w14:paraId="0FD0658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B731B1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9CB16AD">
            <w:pPr>
              <w:pStyle w:val="38"/>
              <w:jc w:val="center"/>
              <w:rPr>
                <w:rFonts w:hint="eastAsia"/>
                <w:highlight w:val="none"/>
              </w:rPr>
            </w:pPr>
            <w:r>
              <w:rPr>
                <w:rFonts w:hint="eastAsia"/>
                <w:highlight w:val="none"/>
              </w:rPr>
              <w:t>FD0173</w:t>
            </w:r>
          </w:p>
        </w:tc>
        <w:tc>
          <w:tcPr>
            <w:tcW w:w="2221" w:type="dxa"/>
            <w:tcBorders>
              <w:top w:val="nil"/>
              <w:left w:val="nil"/>
              <w:bottom w:val="single" w:color="auto" w:sz="4" w:space="0"/>
              <w:right w:val="single" w:color="auto" w:sz="4" w:space="0"/>
            </w:tcBorders>
            <w:noWrap/>
            <w:vAlign w:val="center"/>
          </w:tcPr>
          <w:p w14:paraId="696486CC">
            <w:pPr>
              <w:pStyle w:val="38"/>
              <w:rPr>
                <w:rFonts w:hint="eastAsia"/>
                <w:highlight w:val="none"/>
              </w:rPr>
            </w:pPr>
            <w:r>
              <w:rPr>
                <w:rFonts w:hint="eastAsia"/>
                <w:highlight w:val="none"/>
              </w:rPr>
              <w:t>作废门诊发票信息</w:t>
            </w:r>
          </w:p>
        </w:tc>
        <w:tc>
          <w:tcPr>
            <w:tcW w:w="1442" w:type="dxa"/>
            <w:tcBorders>
              <w:top w:val="nil"/>
              <w:left w:val="nil"/>
              <w:bottom w:val="single" w:color="auto" w:sz="4" w:space="0"/>
              <w:right w:val="single" w:color="auto" w:sz="4" w:space="0"/>
            </w:tcBorders>
            <w:shd w:val="clear" w:color="000000" w:fill="FFFFFF"/>
            <w:vAlign w:val="center"/>
          </w:tcPr>
          <w:p w14:paraId="3F3E8905">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C5ACFDA">
            <w:pPr>
              <w:pStyle w:val="38"/>
              <w:rPr>
                <w:rFonts w:hint="eastAsia"/>
                <w:highlight w:val="none"/>
              </w:rPr>
            </w:pPr>
          </w:p>
        </w:tc>
      </w:tr>
      <w:tr w14:paraId="3524A281">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54042376">
            <w:pPr>
              <w:pStyle w:val="38"/>
              <w:jc w:val="center"/>
              <w:rPr>
                <w:rFonts w:hint="eastAsia"/>
                <w:highlight w:val="none"/>
              </w:rPr>
            </w:pPr>
            <w:r>
              <w:rPr>
                <w:rFonts w:hint="eastAsia"/>
                <w:highlight w:val="none"/>
              </w:rPr>
              <w:t>会诊</w:t>
            </w:r>
          </w:p>
        </w:tc>
        <w:tc>
          <w:tcPr>
            <w:tcW w:w="1998" w:type="dxa"/>
            <w:tcBorders>
              <w:top w:val="nil"/>
              <w:left w:val="nil"/>
              <w:bottom w:val="single" w:color="auto" w:sz="4" w:space="0"/>
              <w:right w:val="single" w:color="auto" w:sz="4" w:space="0"/>
            </w:tcBorders>
            <w:shd w:val="clear" w:color="000000" w:fill="FFFFFF"/>
            <w:vAlign w:val="center"/>
          </w:tcPr>
          <w:p w14:paraId="79111DCA">
            <w:pPr>
              <w:pStyle w:val="38"/>
              <w:jc w:val="center"/>
              <w:rPr>
                <w:rFonts w:hint="eastAsia"/>
                <w:highlight w:val="none"/>
              </w:rPr>
            </w:pPr>
            <w:r>
              <w:rPr>
                <w:rFonts w:hint="eastAsia"/>
                <w:highlight w:val="none"/>
              </w:rPr>
              <w:t>GI0174</w:t>
            </w:r>
          </w:p>
        </w:tc>
        <w:tc>
          <w:tcPr>
            <w:tcW w:w="2221" w:type="dxa"/>
            <w:tcBorders>
              <w:top w:val="nil"/>
              <w:left w:val="nil"/>
              <w:bottom w:val="single" w:color="auto" w:sz="4" w:space="0"/>
              <w:right w:val="single" w:color="auto" w:sz="4" w:space="0"/>
            </w:tcBorders>
            <w:noWrap/>
            <w:vAlign w:val="center"/>
          </w:tcPr>
          <w:p w14:paraId="472F7A8D">
            <w:pPr>
              <w:pStyle w:val="38"/>
              <w:rPr>
                <w:rFonts w:hint="eastAsia"/>
                <w:highlight w:val="none"/>
              </w:rPr>
            </w:pPr>
            <w:r>
              <w:rPr>
                <w:rFonts w:hint="eastAsia"/>
                <w:highlight w:val="none"/>
              </w:rPr>
              <w:t>注册会诊申请单信息</w:t>
            </w:r>
          </w:p>
        </w:tc>
        <w:tc>
          <w:tcPr>
            <w:tcW w:w="1442" w:type="dxa"/>
            <w:tcBorders>
              <w:top w:val="nil"/>
              <w:left w:val="nil"/>
              <w:bottom w:val="single" w:color="auto" w:sz="4" w:space="0"/>
              <w:right w:val="single" w:color="auto" w:sz="4" w:space="0"/>
            </w:tcBorders>
            <w:shd w:val="clear" w:color="000000" w:fill="FFFFFF"/>
            <w:vAlign w:val="center"/>
          </w:tcPr>
          <w:p w14:paraId="1AA5821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7D71473">
            <w:pPr>
              <w:pStyle w:val="38"/>
              <w:rPr>
                <w:rFonts w:hint="eastAsia"/>
                <w:highlight w:val="none"/>
              </w:rPr>
            </w:pPr>
          </w:p>
        </w:tc>
      </w:tr>
      <w:tr w14:paraId="32177E6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4AD311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5C2D963">
            <w:pPr>
              <w:pStyle w:val="38"/>
              <w:jc w:val="center"/>
              <w:rPr>
                <w:rFonts w:hint="eastAsia"/>
                <w:highlight w:val="none"/>
              </w:rPr>
            </w:pPr>
            <w:r>
              <w:rPr>
                <w:rFonts w:hint="eastAsia"/>
                <w:highlight w:val="none"/>
              </w:rPr>
              <w:t>GU0175</w:t>
            </w:r>
          </w:p>
        </w:tc>
        <w:tc>
          <w:tcPr>
            <w:tcW w:w="2221" w:type="dxa"/>
            <w:tcBorders>
              <w:top w:val="nil"/>
              <w:left w:val="nil"/>
              <w:bottom w:val="single" w:color="auto" w:sz="4" w:space="0"/>
              <w:right w:val="single" w:color="auto" w:sz="4" w:space="0"/>
            </w:tcBorders>
            <w:noWrap/>
            <w:vAlign w:val="center"/>
          </w:tcPr>
          <w:p w14:paraId="2ACC5DEF">
            <w:pPr>
              <w:pStyle w:val="38"/>
              <w:rPr>
                <w:rFonts w:hint="eastAsia"/>
                <w:highlight w:val="none"/>
              </w:rPr>
            </w:pPr>
            <w:r>
              <w:rPr>
                <w:rFonts w:hint="eastAsia"/>
                <w:highlight w:val="none"/>
              </w:rPr>
              <w:t>变更会诊申请单信息</w:t>
            </w:r>
          </w:p>
        </w:tc>
        <w:tc>
          <w:tcPr>
            <w:tcW w:w="1442" w:type="dxa"/>
            <w:tcBorders>
              <w:top w:val="nil"/>
              <w:left w:val="nil"/>
              <w:bottom w:val="single" w:color="auto" w:sz="4" w:space="0"/>
              <w:right w:val="single" w:color="auto" w:sz="4" w:space="0"/>
            </w:tcBorders>
            <w:shd w:val="clear" w:color="000000" w:fill="FFFFFF"/>
            <w:vAlign w:val="center"/>
          </w:tcPr>
          <w:p w14:paraId="397E575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9D5F9ED">
            <w:pPr>
              <w:pStyle w:val="38"/>
              <w:rPr>
                <w:rFonts w:hint="eastAsia"/>
                <w:highlight w:val="none"/>
              </w:rPr>
            </w:pPr>
          </w:p>
        </w:tc>
      </w:tr>
      <w:tr w14:paraId="20E09DF2">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022EDA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61E2E10">
            <w:pPr>
              <w:pStyle w:val="38"/>
              <w:jc w:val="center"/>
              <w:rPr>
                <w:rFonts w:hint="eastAsia"/>
                <w:highlight w:val="none"/>
              </w:rPr>
            </w:pPr>
            <w:r>
              <w:rPr>
                <w:rFonts w:hint="eastAsia"/>
                <w:highlight w:val="none"/>
              </w:rPr>
              <w:t>GD0176</w:t>
            </w:r>
          </w:p>
        </w:tc>
        <w:tc>
          <w:tcPr>
            <w:tcW w:w="2221" w:type="dxa"/>
            <w:tcBorders>
              <w:top w:val="nil"/>
              <w:left w:val="nil"/>
              <w:bottom w:val="single" w:color="auto" w:sz="4" w:space="0"/>
              <w:right w:val="single" w:color="auto" w:sz="4" w:space="0"/>
            </w:tcBorders>
            <w:noWrap/>
            <w:vAlign w:val="center"/>
          </w:tcPr>
          <w:p w14:paraId="0F55EF9E">
            <w:pPr>
              <w:pStyle w:val="38"/>
              <w:rPr>
                <w:rFonts w:hint="eastAsia"/>
                <w:highlight w:val="none"/>
              </w:rPr>
            </w:pPr>
            <w:r>
              <w:rPr>
                <w:rFonts w:hint="eastAsia"/>
                <w:highlight w:val="none"/>
              </w:rPr>
              <w:t>作废会诊申请单信息</w:t>
            </w:r>
          </w:p>
        </w:tc>
        <w:tc>
          <w:tcPr>
            <w:tcW w:w="1442" w:type="dxa"/>
            <w:tcBorders>
              <w:top w:val="nil"/>
              <w:left w:val="nil"/>
              <w:bottom w:val="single" w:color="auto" w:sz="4" w:space="0"/>
              <w:right w:val="single" w:color="auto" w:sz="4" w:space="0"/>
            </w:tcBorders>
            <w:shd w:val="clear" w:color="000000" w:fill="FFFFFF"/>
            <w:vAlign w:val="center"/>
          </w:tcPr>
          <w:p w14:paraId="51D8D534">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E9EDC5B">
            <w:pPr>
              <w:pStyle w:val="38"/>
              <w:rPr>
                <w:rFonts w:hint="eastAsia"/>
                <w:highlight w:val="none"/>
              </w:rPr>
            </w:pPr>
          </w:p>
        </w:tc>
      </w:tr>
      <w:tr w14:paraId="5BBF2A3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E257E6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E06563F">
            <w:pPr>
              <w:pStyle w:val="38"/>
              <w:jc w:val="center"/>
              <w:rPr>
                <w:rFonts w:hint="eastAsia"/>
                <w:highlight w:val="none"/>
              </w:rPr>
            </w:pPr>
            <w:r>
              <w:rPr>
                <w:rFonts w:hint="eastAsia"/>
                <w:highlight w:val="none"/>
              </w:rPr>
              <w:t>GI0177</w:t>
            </w:r>
          </w:p>
        </w:tc>
        <w:tc>
          <w:tcPr>
            <w:tcW w:w="2221" w:type="dxa"/>
            <w:tcBorders>
              <w:top w:val="nil"/>
              <w:left w:val="nil"/>
              <w:bottom w:val="single" w:color="auto" w:sz="4" w:space="0"/>
              <w:right w:val="single" w:color="auto" w:sz="4" w:space="0"/>
            </w:tcBorders>
            <w:noWrap/>
            <w:vAlign w:val="center"/>
          </w:tcPr>
          <w:p w14:paraId="5DB1EA90">
            <w:pPr>
              <w:pStyle w:val="38"/>
              <w:rPr>
                <w:rFonts w:hint="eastAsia"/>
                <w:highlight w:val="none"/>
              </w:rPr>
            </w:pPr>
            <w:r>
              <w:rPr>
                <w:rFonts w:hint="eastAsia"/>
                <w:highlight w:val="none"/>
              </w:rPr>
              <w:t>注册会诊审批结果信息</w:t>
            </w:r>
          </w:p>
        </w:tc>
        <w:tc>
          <w:tcPr>
            <w:tcW w:w="1442" w:type="dxa"/>
            <w:tcBorders>
              <w:top w:val="nil"/>
              <w:left w:val="nil"/>
              <w:bottom w:val="single" w:color="auto" w:sz="4" w:space="0"/>
              <w:right w:val="single" w:color="auto" w:sz="4" w:space="0"/>
            </w:tcBorders>
            <w:shd w:val="clear" w:color="000000" w:fill="FFFFFF"/>
            <w:vAlign w:val="center"/>
          </w:tcPr>
          <w:p w14:paraId="1C232C6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E7270A0">
            <w:pPr>
              <w:pStyle w:val="38"/>
              <w:rPr>
                <w:rFonts w:hint="eastAsia"/>
                <w:highlight w:val="none"/>
              </w:rPr>
            </w:pPr>
          </w:p>
        </w:tc>
      </w:tr>
      <w:tr w14:paraId="7787490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FAB631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963A0A6">
            <w:pPr>
              <w:pStyle w:val="38"/>
              <w:jc w:val="center"/>
              <w:rPr>
                <w:rFonts w:hint="eastAsia"/>
                <w:highlight w:val="none"/>
              </w:rPr>
            </w:pPr>
            <w:r>
              <w:rPr>
                <w:rFonts w:hint="eastAsia"/>
                <w:highlight w:val="none"/>
              </w:rPr>
              <w:t>GI0178</w:t>
            </w:r>
          </w:p>
        </w:tc>
        <w:tc>
          <w:tcPr>
            <w:tcW w:w="2221" w:type="dxa"/>
            <w:tcBorders>
              <w:top w:val="nil"/>
              <w:left w:val="nil"/>
              <w:bottom w:val="single" w:color="auto" w:sz="4" w:space="0"/>
              <w:right w:val="single" w:color="auto" w:sz="4" w:space="0"/>
            </w:tcBorders>
            <w:noWrap/>
            <w:vAlign w:val="center"/>
          </w:tcPr>
          <w:p w14:paraId="0495BC25">
            <w:pPr>
              <w:pStyle w:val="38"/>
              <w:rPr>
                <w:rFonts w:hint="eastAsia"/>
                <w:highlight w:val="none"/>
              </w:rPr>
            </w:pPr>
            <w:r>
              <w:rPr>
                <w:rFonts w:hint="eastAsia"/>
                <w:highlight w:val="none"/>
              </w:rPr>
              <w:t>注册会诊申请单事件</w:t>
            </w:r>
          </w:p>
        </w:tc>
        <w:tc>
          <w:tcPr>
            <w:tcW w:w="1442" w:type="dxa"/>
            <w:tcBorders>
              <w:top w:val="nil"/>
              <w:left w:val="nil"/>
              <w:bottom w:val="single" w:color="auto" w:sz="4" w:space="0"/>
              <w:right w:val="single" w:color="auto" w:sz="4" w:space="0"/>
            </w:tcBorders>
            <w:shd w:val="clear" w:color="000000" w:fill="FFFFFF"/>
            <w:vAlign w:val="center"/>
          </w:tcPr>
          <w:p w14:paraId="522A822C">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FF02E32">
            <w:pPr>
              <w:pStyle w:val="38"/>
              <w:rPr>
                <w:rFonts w:hint="eastAsia"/>
                <w:highlight w:val="none"/>
              </w:rPr>
            </w:pPr>
          </w:p>
        </w:tc>
      </w:tr>
      <w:tr w14:paraId="3182E67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4B12D1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194264D">
            <w:pPr>
              <w:pStyle w:val="38"/>
              <w:jc w:val="center"/>
              <w:rPr>
                <w:rFonts w:hint="eastAsia"/>
                <w:highlight w:val="none"/>
              </w:rPr>
            </w:pPr>
            <w:r>
              <w:rPr>
                <w:rFonts w:hint="eastAsia"/>
                <w:highlight w:val="none"/>
              </w:rPr>
              <w:t>GI0179</w:t>
            </w:r>
          </w:p>
        </w:tc>
        <w:tc>
          <w:tcPr>
            <w:tcW w:w="2221" w:type="dxa"/>
            <w:tcBorders>
              <w:top w:val="nil"/>
              <w:left w:val="nil"/>
              <w:bottom w:val="single" w:color="auto" w:sz="4" w:space="0"/>
              <w:right w:val="single" w:color="auto" w:sz="4" w:space="0"/>
            </w:tcBorders>
            <w:noWrap/>
            <w:vAlign w:val="center"/>
          </w:tcPr>
          <w:p w14:paraId="5FE599AE">
            <w:pPr>
              <w:pStyle w:val="38"/>
              <w:rPr>
                <w:rFonts w:hint="eastAsia"/>
                <w:highlight w:val="none"/>
              </w:rPr>
            </w:pPr>
            <w:r>
              <w:rPr>
                <w:rFonts w:hint="eastAsia"/>
                <w:highlight w:val="none"/>
              </w:rPr>
              <w:t>注册会诊申请科室评价</w:t>
            </w:r>
          </w:p>
        </w:tc>
        <w:tc>
          <w:tcPr>
            <w:tcW w:w="1442" w:type="dxa"/>
            <w:tcBorders>
              <w:top w:val="nil"/>
              <w:left w:val="nil"/>
              <w:bottom w:val="single" w:color="auto" w:sz="4" w:space="0"/>
              <w:right w:val="single" w:color="auto" w:sz="4" w:space="0"/>
            </w:tcBorders>
            <w:shd w:val="clear" w:color="000000" w:fill="FFFFFF"/>
            <w:vAlign w:val="center"/>
          </w:tcPr>
          <w:p w14:paraId="333641B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04C19B6">
            <w:pPr>
              <w:pStyle w:val="38"/>
              <w:rPr>
                <w:rFonts w:hint="eastAsia"/>
                <w:highlight w:val="none"/>
              </w:rPr>
            </w:pPr>
          </w:p>
        </w:tc>
      </w:tr>
      <w:tr w14:paraId="46CDC25B">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8B849A7">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F69A8E2">
            <w:pPr>
              <w:pStyle w:val="38"/>
              <w:jc w:val="center"/>
              <w:rPr>
                <w:rFonts w:hint="eastAsia"/>
                <w:highlight w:val="none"/>
              </w:rPr>
            </w:pPr>
            <w:r>
              <w:rPr>
                <w:rFonts w:hint="eastAsia"/>
                <w:highlight w:val="none"/>
              </w:rPr>
              <w:t>GI0180</w:t>
            </w:r>
          </w:p>
        </w:tc>
        <w:tc>
          <w:tcPr>
            <w:tcW w:w="2221" w:type="dxa"/>
            <w:tcBorders>
              <w:top w:val="nil"/>
              <w:left w:val="nil"/>
              <w:bottom w:val="single" w:color="auto" w:sz="4" w:space="0"/>
              <w:right w:val="single" w:color="auto" w:sz="4" w:space="0"/>
            </w:tcBorders>
            <w:noWrap/>
            <w:vAlign w:val="center"/>
          </w:tcPr>
          <w:p w14:paraId="34A4E52B">
            <w:pPr>
              <w:pStyle w:val="38"/>
              <w:rPr>
                <w:rFonts w:hint="eastAsia"/>
                <w:highlight w:val="none"/>
              </w:rPr>
            </w:pPr>
            <w:r>
              <w:rPr>
                <w:rFonts w:hint="eastAsia"/>
                <w:highlight w:val="none"/>
              </w:rPr>
              <w:t>注册会诊被邀请科室评价</w:t>
            </w:r>
          </w:p>
        </w:tc>
        <w:tc>
          <w:tcPr>
            <w:tcW w:w="1442" w:type="dxa"/>
            <w:tcBorders>
              <w:top w:val="nil"/>
              <w:left w:val="nil"/>
              <w:bottom w:val="single" w:color="auto" w:sz="4" w:space="0"/>
              <w:right w:val="single" w:color="auto" w:sz="4" w:space="0"/>
            </w:tcBorders>
            <w:shd w:val="clear" w:color="000000" w:fill="FFFFFF"/>
            <w:vAlign w:val="center"/>
          </w:tcPr>
          <w:p w14:paraId="68A96F17">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DE339C1">
            <w:pPr>
              <w:pStyle w:val="38"/>
              <w:rPr>
                <w:rFonts w:hint="eastAsia"/>
                <w:highlight w:val="none"/>
              </w:rPr>
            </w:pPr>
          </w:p>
        </w:tc>
      </w:tr>
      <w:tr w14:paraId="45A80657">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noWrap/>
            <w:vAlign w:val="center"/>
          </w:tcPr>
          <w:p w14:paraId="62B9B3AD">
            <w:pPr>
              <w:pStyle w:val="38"/>
              <w:jc w:val="center"/>
              <w:rPr>
                <w:rFonts w:hint="eastAsia"/>
                <w:highlight w:val="none"/>
              </w:rPr>
            </w:pPr>
            <w:r>
              <w:rPr>
                <w:rFonts w:hint="eastAsia"/>
                <w:highlight w:val="none"/>
              </w:rPr>
              <w:t>药品</w:t>
            </w:r>
          </w:p>
        </w:tc>
        <w:tc>
          <w:tcPr>
            <w:tcW w:w="1998" w:type="dxa"/>
            <w:tcBorders>
              <w:top w:val="nil"/>
              <w:left w:val="nil"/>
              <w:bottom w:val="single" w:color="auto" w:sz="4" w:space="0"/>
              <w:right w:val="single" w:color="auto" w:sz="4" w:space="0"/>
            </w:tcBorders>
            <w:shd w:val="clear" w:color="000000" w:fill="FFFFFF"/>
            <w:vAlign w:val="center"/>
          </w:tcPr>
          <w:p w14:paraId="64518703">
            <w:pPr>
              <w:pStyle w:val="38"/>
              <w:jc w:val="center"/>
              <w:rPr>
                <w:rFonts w:hint="eastAsia"/>
                <w:highlight w:val="none"/>
              </w:rPr>
            </w:pPr>
            <w:r>
              <w:rPr>
                <w:rFonts w:hint="eastAsia"/>
                <w:highlight w:val="none"/>
              </w:rPr>
              <w:t>DI0181</w:t>
            </w:r>
          </w:p>
        </w:tc>
        <w:tc>
          <w:tcPr>
            <w:tcW w:w="2221" w:type="dxa"/>
            <w:tcBorders>
              <w:top w:val="nil"/>
              <w:left w:val="nil"/>
              <w:bottom w:val="single" w:color="auto" w:sz="4" w:space="0"/>
              <w:right w:val="single" w:color="auto" w:sz="4" w:space="0"/>
            </w:tcBorders>
            <w:noWrap/>
            <w:vAlign w:val="center"/>
          </w:tcPr>
          <w:p w14:paraId="45619A0F">
            <w:pPr>
              <w:pStyle w:val="38"/>
              <w:rPr>
                <w:rFonts w:hint="eastAsia"/>
                <w:highlight w:val="none"/>
              </w:rPr>
            </w:pPr>
            <w:r>
              <w:rPr>
                <w:rFonts w:hint="eastAsia"/>
                <w:highlight w:val="none"/>
              </w:rPr>
              <w:t>注册包药机条码信息</w:t>
            </w:r>
          </w:p>
        </w:tc>
        <w:tc>
          <w:tcPr>
            <w:tcW w:w="1442" w:type="dxa"/>
            <w:tcBorders>
              <w:top w:val="nil"/>
              <w:left w:val="nil"/>
              <w:bottom w:val="single" w:color="auto" w:sz="4" w:space="0"/>
              <w:right w:val="single" w:color="auto" w:sz="4" w:space="0"/>
            </w:tcBorders>
            <w:shd w:val="clear" w:color="000000" w:fill="FFFFFF"/>
            <w:vAlign w:val="center"/>
          </w:tcPr>
          <w:p w14:paraId="64ADFAE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7AEFC01">
            <w:pPr>
              <w:pStyle w:val="38"/>
              <w:rPr>
                <w:rFonts w:hint="eastAsia"/>
                <w:highlight w:val="none"/>
              </w:rPr>
            </w:pPr>
          </w:p>
        </w:tc>
      </w:tr>
      <w:tr w14:paraId="7E0EA81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8D7613E">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C4BBEE5">
            <w:pPr>
              <w:pStyle w:val="38"/>
              <w:jc w:val="center"/>
              <w:rPr>
                <w:rFonts w:hint="eastAsia"/>
                <w:highlight w:val="none"/>
              </w:rPr>
            </w:pPr>
            <w:r>
              <w:rPr>
                <w:rFonts w:hint="eastAsia"/>
                <w:highlight w:val="none"/>
              </w:rPr>
              <w:t>DI0182</w:t>
            </w:r>
          </w:p>
        </w:tc>
        <w:tc>
          <w:tcPr>
            <w:tcW w:w="2221" w:type="dxa"/>
            <w:tcBorders>
              <w:top w:val="nil"/>
              <w:left w:val="nil"/>
              <w:bottom w:val="single" w:color="auto" w:sz="4" w:space="0"/>
              <w:right w:val="single" w:color="auto" w:sz="4" w:space="0"/>
            </w:tcBorders>
            <w:noWrap/>
            <w:vAlign w:val="center"/>
          </w:tcPr>
          <w:p w14:paraId="5887F062">
            <w:pPr>
              <w:pStyle w:val="38"/>
              <w:rPr>
                <w:rFonts w:hint="eastAsia"/>
                <w:highlight w:val="none"/>
              </w:rPr>
            </w:pPr>
            <w:r>
              <w:rPr>
                <w:rFonts w:hint="eastAsia"/>
                <w:highlight w:val="none"/>
              </w:rPr>
              <w:t>注册静配中心条码信息</w:t>
            </w:r>
          </w:p>
        </w:tc>
        <w:tc>
          <w:tcPr>
            <w:tcW w:w="1442" w:type="dxa"/>
            <w:tcBorders>
              <w:top w:val="nil"/>
              <w:left w:val="nil"/>
              <w:bottom w:val="single" w:color="auto" w:sz="4" w:space="0"/>
              <w:right w:val="single" w:color="auto" w:sz="4" w:space="0"/>
            </w:tcBorders>
            <w:shd w:val="clear" w:color="000000" w:fill="FFFFFF"/>
            <w:vAlign w:val="center"/>
          </w:tcPr>
          <w:p w14:paraId="2FE0474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5B49397C">
            <w:pPr>
              <w:pStyle w:val="38"/>
              <w:rPr>
                <w:rFonts w:hint="eastAsia"/>
                <w:highlight w:val="none"/>
              </w:rPr>
            </w:pPr>
          </w:p>
        </w:tc>
      </w:tr>
      <w:tr w14:paraId="5CBE7C3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AEBE67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4EAD73A">
            <w:pPr>
              <w:pStyle w:val="38"/>
              <w:jc w:val="center"/>
              <w:rPr>
                <w:rFonts w:hint="eastAsia"/>
                <w:highlight w:val="none"/>
              </w:rPr>
            </w:pPr>
            <w:r>
              <w:rPr>
                <w:rFonts w:hint="eastAsia"/>
                <w:highlight w:val="none"/>
              </w:rPr>
              <w:t>DI0220</w:t>
            </w:r>
          </w:p>
        </w:tc>
        <w:tc>
          <w:tcPr>
            <w:tcW w:w="2221" w:type="dxa"/>
            <w:tcBorders>
              <w:top w:val="nil"/>
              <w:left w:val="nil"/>
              <w:bottom w:val="single" w:color="auto" w:sz="4" w:space="0"/>
              <w:right w:val="single" w:color="auto" w:sz="4" w:space="0"/>
            </w:tcBorders>
            <w:noWrap/>
            <w:vAlign w:val="center"/>
          </w:tcPr>
          <w:p w14:paraId="57CD24B2">
            <w:pPr>
              <w:pStyle w:val="38"/>
              <w:rPr>
                <w:rFonts w:hint="eastAsia"/>
                <w:highlight w:val="none"/>
              </w:rPr>
            </w:pPr>
            <w:r>
              <w:rPr>
                <w:rFonts w:hint="eastAsia"/>
                <w:highlight w:val="none"/>
              </w:rPr>
              <w:t>注册申请发药信息</w:t>
            </w:r>
          </w:p>
        </w:tc>
        <w:tc>
          <w:tcPr>
            <w:tcW w:w="1442" w:type="dxa"/>
            <w:tcBorders>
              <w:top w:val="nil"/>
              <w:left w:val="nil"/>
              <w:bottom w:val="single" w:color="auto" w:sz="4" w:space="0"/>
              <w:right w:val="single" w:color="auto" w:sz="4" w:space="0"/>
            </w:tcBorders>
            <w:shd w:val="clear" w:color="000000" w:fill="FFFFFF"/>
            <w:vAlign w:val="center"/>
          </w:tcPr>
          <w:p w14:paraId="1809E732">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C8B479C">
            <w:pPr>
              <w:pStyle w:val="38"/>
              <w:rPr>
                <w:rFonts w:hint="eastAsia"/>
                <w:highlight w:val="none"/>
              </w:rPr>
            </w:pPr>
          </w:p>
        </w:tc>
      </w:tr>
      <w:tr w14:paraId="495B44E6">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126E2930">
            <w:pPr>
              <w:pStyle w:val="38"/>
              <w:jc w:val="center"/>
              <w:rPr>
                <w:rFonts w:hint="eastAsia"/>
                <w:highlight w:val="none"/>
              </w:rPr>
            </w:pPr>
            <w:r>
              <w:rPr>
                <w:rFonts w:hint="eastAsia"/>
                <w:highlight w:val="none"/>
              </w:rPr>
              <w:t>分诊</w:t>
            </w:r>
          </w:p>
        </w:tc>
        <w:tc>
          <w:tcPr>
            <w:tcW w:w="1998" w:type="dxa"/>
            <w:tcBorders>
              <w:top w:val="nil"/>
              <w:left w:val="nil"/>
              <w:bottom w:val="single" w:color="auto" w:sz="4" w:space="0"/>
              <w:right w:val="single" w:color="auto" w:sz="4" w:space="0"/>
            </w:tcBorders>
            <w:shd w:val="clear" w:color="000000" w:fill="FFFFFF"/>
            <w:vAlign w:val="center"/>
          </w:tcPr>
          <w:p w14:paraId="41EBCE33">
            <w:pPr>
              <w:pStyle w:val="38"/>
              <w:jc w:val="center"/>
              <w:rPr>
                <w:rFonts w:hint="eastAsia"/>
                <w:highlight w:val="none"/>
              </w:rPr>
            </w:pPr>
            <w:r>
              <w:rPr>
                <w:rFonts w:hint="eastAsia"/>
                <w:highlight w:val="none"/>
              </w:rPr>
              <w:t>SI0183</w:t>
            </w:r>
          </w:p>
        </w:tc>
        <w:tc>
          <w:tcPr>
            <w:tcW w:w="2221" w:type="dxa"/>
            <w:tcBorders>
              <w:top w:val="nil"/>
              <w:left w:val="nil"/>
              <w:bottom w:val="single" w:color="auto" w:sz="4" w:space="0"/>
              <w:right w:val="single" w:color="auto" w:sz="4" w:space="0"/>
            </w:tcBorders>
            <w:noWrap/>
            <w:vAlign w:val="center"/>
          </w:tcPr>
          <w:p w14:paraId="0233EE56">
            <w:pPr>
              <w:pStyle w:val="38"/>
              <w:rPr>
                <w:rFonts w:hint="eastAsia"/>
                <w:highlight w:val="none"/>
              </w:rPr>
            </w:pPr>
            <w:r>
              <w:rPr>
                <w:rFonts w:hint="eastAsia"/>
                <w:highlight w:val="none"/>
              </w:rPr>
              <w:t>注册分诊信息</w:t>
            </w:r>
          </w:p>
        </w:tc>
        <w:tc>
          <w:tcPr>
            <w:tcW w:w="1442" w:type="dxa"/>
            <w:tcBorders>
              <w:top w:val="nil"/>
              <w:left w:val="nil"/>
              <w:bottom w:val="single" w:color="auto" w:sz="4" w:space="0"/>
              <w:right w:val="single" w:color="auto" w:sz="4" w:space="0"/>
            </w:tcBorders>
            <w:shd w:val="clear" w:color="000000" w:fill="FFFFFF"/>
            <w:vAlign w:val="center"/>
          </w:tcPr>
          <w:p w14:paraId="2D5CB85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CB87F02">
            <w:pPr>
              <w:pStyle w:val="38"/>
              <w:rPr>
                <w:rFonts w:hint="eastAsia"/>
                <w:highlight w:val="none"/>
              </w:rPr>
            </w:pPr>
          </w:p>
        </w:tc>
      </w:tr>
      <w:tr w14:paraId="568874CA">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D91EA4A">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E93CB03">
            <w:pPr>
              <w:pStyle w:val="38"/>
              <w:jc w:val="center"/>
              <w:rPr>
                <w:rFonts w:hint="eastAsia"/>
                <w:highlight w:val="none"/>
              </w:rPr>
            </w:pPr>
            <w:r>
              <w:rPr>
                <w:rFonts w:hint="eastAsia"/>
                <w:highlight w:val="none"/>
              </w:rPr>
              <w:t>SU0184</w:t>
            </w:r>
          </w:p>
        </w:tc>
        <w:tc>
          <w:tcPr>
            <w:tcW w:w="2221" w:type="dxa"/>
            <w:tcBorders>
              <w:top w:val="nil"/>
              <w:left w:val="nil"/>
              <w:bottom w:val="single" w:color="auto" w:sz="4" w:space="0"/>
              <w:right w:val="single" w:color="auto" w:sz="4" w:space="0"/>
            </w:tcBorders>
            <w:noWrap/>
            <w:vAlign w:val="center"/>
          </w:tcPr>
          <w:p w14:paraId="03096CB0">
            <w:pPr>
              <w:pStyle w:val="38"/>
              <w:rPr>
                <w:rFonts w:hint="eastAsia"/>
                <w:highlight w:val="none"/>
              </w:rPr>
            </w:pPr>
            <w:r>
              <w:rPr>
                <w:rFonts w:hint="eastAsia"/>
                <w:highlight w:val="none"/>
              </w:rPr>
              <w:t>变更分诊信息</w:t>
            </w:r>
          </w:p>
        </w:tc>
        <w:tc>
          <w:tcPr>
            <w:tcW w:w="1442" w:type="dxa"/>
            <w:tcBorders>
              <w:top w:val="nil"/>
              <w:left w:val="nil"/>
              <w:bottom w:val="single" w:color="auto" w:sz="4" w:space="0"/>
              <w:right w:val="single" w:color="auto" w:sz="4" w:space="0"/>
            </w:tcBorders>
            <w:shd w:val="clear" w:color="000000" w:fill="FFFFFF"/>
            <w:vAlign w:val="center"/>
          </w:tcPr>
          <w:p w14:paraId="5711351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621C173">
            <w:pPr>
              <w:pStyle w:val="38"/>
              <w:rPr>
                <w:rFonts w:hint="eastAsia"/>
                <w:highlight w:val="none"/>
              </w:rPr>
            </w:pPr>
          </w:p>
        </w:tc>
      </w:tr>
      <w:tr w14:paraId="64588506">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74B8B811">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FDF1348">
            <w:pPr>
              <w:pStyle w:val="38"/>
              <w:jc w:val="center"/>
              <w:rPr>
                <w:rFonts w:hint="eastAsia"/>
                <w:highlight w:val="none"/>
              </w:rPr>
            </w:pPr>
            <w:r>
              <w:rPr>
                <w:rFonts w:hint="eastAsia"/>
                <w:highlight w:val="none"/>
              </w:rPr>
              <w:t>SD0185</w:t>
            </w:r>
          </w:p>
        </w:tc>
        <w:tc>
          <w:tcPr>
            <w:tcW w:w="2221" w:type="dxa"/>
            <w:tcBorders>
              <w:top w:val="nil"/>
              <w:left w:val="nil"/>
              <w:bottom w:val="single" w:color="auto" w:sz="4" w:space="0"/>
              <w:right w:val="single" w:color="auto" w:sz="4" w:space="0"/>
            </w:tcBorders>
            <w:noWrap/>
            <w:vAlign w:val="center"/>
          </w:tcPr>
          <w:p w14:paraId="0993CC7D">
            <w:pPr>
              <w:pStyle w:val="38"/>
              <w:rPr>
                <w:rFonts w:hint="eastAsia"/>
                <w:highlight w:val="none"/>
              </w:rPr>
            </w:pPr>
            <w:r>
              <w:rPr>
                <w:rFonts w:hint="eastAsia"/>
                <w:highlight w:val="none"/>
              </w:rPr>
              <w:t>撤销分诊信息</w:t>
            </w:r>
          </w:p>
        </w:tc>
        <w:tc>
          <w:tcPr>
            <w:tcW w:w="1442" w:type="dxa"/>
            <w:tcBorders>
              <w:top w:val="nil"/>
              <w:left w:val="nil"/>
              <w:bottom w:val="single" w:color="auto" w:sz="4" w:space="0"/>
              <w:right w:val="single" w:color="auto" w:sz="4" w:space="0"/>
            </w:tcBorders>
            <w:shd w:val="clear" w:color="000000" w:fill="FFFFFF"/>
            <w:vAlign w:val="center"/>
          </w:tcPr>
          <w:p w14:paraId="149385B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4F2624B">
            <w:pPr>
              <w:pStyle w:val="38"/>
              <w:rPr>
                <w:rFonts w:hint="eastAsia"/>
                <w:highlight w:val="none"/>
              </w:rPr>
            </w:pPr>
          </w:p>
        </w:tc>
      </w:tr>
      <w:tr w14:paraId="2D82E8EB">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549925F6">
            <w:pPr>
              <w:pStyle w:val="38"/>
              <w:jc w:val="center"/>
              <w:rPr>
                <w:rFonts w:hint="eastAsia"/>
                <w:highlight w:val="none"/>
              </w:rPr>
            </w:pPr>
            <w:r>
              <w:rPr>
                <w:rFonts w:hint="eastAsia"/>
                <w:highlight w:val="none"/>
              </w:rPr>
              <w:t>血透</w:t>
            </w:r>
          </w:p>
        </w:tc>
        <w:tc>
          <w:tcPr>
            <w:tcW w:w="1998" w:type="dxa"/>
            <w:tcBorders>
              <w:top w:val="nil"/>
              <w:left w:val="nil"/>
              <w:bottom w:val="single" w:color="auto" w:sz="4" w:space="0"/>
              <w:right w:val="single" w:color="auto" w:sz="4" w:space="0"/>
            </w:tcBorders>
            <w:shd w:val="clear" w:color="000000" w:fill="FFFFFF"/>
            <w:vAlign w:val="center"/>
          </w:tcPr>
          <w:p w14:paraId="1D9FCFF2">
            <w:pPr>
              <w:pStyle w:val="38"/>
              <w:jc w:val="center"/>
              <w:rPr>
                <w:rFonts w:hint="eastAsia"/>
                <w:highlight w:val="none"/>
              </w:rPr>
            </w:pPr>
            <w:r>
              <w:rPr>
                <w:rFonts w:hint="eastAsia"/>
                <w:highlight w:val="none"/>
              </w:rPr>
              <w:t>BI0208</w:t>
            </w:r>
          </w:p>
        </w:tc>
        <w:tc>
          <w:tcPr>
            <w:tcW w:w="2221" w:type="dxa"/>
            <w:tcBorders>
              <w:top w:val="nil"/>
              <w:left w:val="nil"/>
              <w:bottom w:val="single" w:color="auto" w:sz="4" w:space="0"/>
              <w:right w:val="single" w:color="auto" w:sz="4" w:space="0"/>
            </w:tcBorders>
            <w:noWrap/>
            <w:vAlign w:val="center"/>
          </w:tcPr>
          <w:p w14:paraId="6FED6457">
            <w:pPr>
              <w:pStyle w:val="38"/>
              <w:rPr>
                <w:rFonts w:hint="eastAsia"/>
                <w:highlight w:val="none"/>
              </w:rPr>
            </w:pPr>
            <w:r>
              <w:rPr>
                <w:rFonts w:hint="eastAsia"/>
                <w:highlight w:val="none"/>
              </w:rPr>
              <w:t>注册血透安排信息</w:t>
            </w:r>
          </w:p>
        </w:tc>
        <w:tc>
          <w:tcPr>
            <w:tcW w:w="1442" w:type="dxa"/>
            <w:tcBorders>
              <w:top w:val="nil"/>
              <w:left w:val="nil"/>
              <w:bottom w:val="single" w:color="auto" w:sz="4" w:space="0"/>
              <w:right w:val="single" w:color="auto" w:sz="4" w:space="0"/>
            </w:tcBorders>
            <w:shd w:val="clear" w:color="000000" w:fill="FFFFFF"/>
            <w:vAlign w:val="center"/>
          </w:tcPr>
          <w:p w14:paraId="7E93C46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522BBC2">
            <w:pPr>
              <w:pStyle w:val="38"/>
              <w:rPr>
                <w:rFonts w:hint="eastAsia"/>
                <w:highlight w:val="none"/>
              </w:rPr>
            </w:pPr>
          </w:p>
        </w:tc>
      </w:tr>
      <w:tr w14:paraId="30B0C6F7">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7458246">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343E887">
            <w:pPr>
              <w:pStyle w:val="38"/>
              <w:jc w:val="center"/>
              <w:rPr>
                <w:rFonts w:hint="eastAsia"/>
                <w:highlight w:val="none"/>
              </w:rPr>
            </w:pPr>
            <w:r>
              <w:rPr>
                <w:rFonts w:hint="eastAsia"/>
                <w:highlight w:val="none"/>
              </w:rPr>
              <w:t>BU0209</w:t>
            </w:r>
          </w:p>
        </w:tc>
        <w:tc>
          <w:tcPr>
            <w:tcW w:w="2221" w:type="dxa"/>
            <w:tcBorders>
              <w:top w:val="nil"/>
              <w:left w:val="nil"/>
              <w:bottom w:val="single" w:color="auto" w:sz="4" w:space="0"/>
              <w:right w:val="single" w:color="auto" w:sz="4" w:space="0"/>
            </w:tcBorders>
            <w:noWrap/>
            <w:vAlign w:val="center"/>
          </w:tcPr>
          <w:p w14:paraId="0D22F33C">
            <w:pPr>
              <w:pStyle w:val="38"/>
              <w:rPr>
                <w:rFonts w:hint="eastAsia"/>
                <w:highlight w:val="none"/>
              </w:rPr>
            </w:pPr>
            <w:r>
              <w:rPr>
                <w:rFonts w:hint="eastAsia"/>
                <w:highlight w:val="none"/>
              </w:rPr>
              <w:t>变更血透安排信息</w:t>
            </w:r>
          </w:p>
        </w:tc>
        <w:tc>
          <w:tcPr>
            <w:tcW w:w="1442" w:type="dxa"/>
            <w:tcBorders>
              <w:top w:val="nil"/>
              <w:left w:val="nil"/>
              <w:bottom w:val="single" w:color="auto" w:sz="4" w:space="0"/>
              <w:right w:val="single" w:color="auto" w:sz="4" w:space="0"/>
            </w:tcBorders>
            <w:shd w:val="clear" w:color="000000" w:fill="FFFFFF"/>
            <w:vAlign w:val="center"/>
          </w:tcPr>
          <w:p w14:paraId="3306525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67DFAD2">
            <w:pPr>
              <w:pStyle w:val="38"/>
              <w:rPr>
                <w:rFonts w:hint="eastAsia"/>
                <w:highlight w:val="none"/>
              </w:rPr>
            </w:pPr>
          </w:p>
        </w:tc>
      </w:tr>
      <w:tr w14:paraId="13F3F96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657793D">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029AB4D0">
            <w:pPr>
              <w:pStyle w:val="38"/>
              <w:jc w:val="center"/>
              <w:rPr>
                <w:rFonts w:hint="eastAsia"/>
                <w:highlight w:val="none"/>
              </w:rPr>
            </w:pPr>
            <w:r>
              <w:rPr>
                <w:rFonts w:hint="eastAsia"/>
                <w:highlight w:val="none"/>
              </w:rPr>
              <w:t>BD0192</w:t>
            </w:r>
          </w:p>
        </w:tc>
        <w:tc>
          <w:tcPr>
            <w:tcW w:w="2221" w:type="dxa"/>
            <w:tcBorders>
              <w:top w:val="nil"/>
              <w:left w:val="nil"/>
              <w:bottom w:val="single" w:color="auto" w:sz="4" w:space="0"/>
              <w:right w:val="single" w:color="auto" w:sz="4" w:space="0"/>
            </w:tcBorders>
            <w:noWrap/>
            <w:vAlign w:val="center"/>
          </w:tcPr>
          <w:p w14:paraId="43630F68">
            <w:pPr>
              <w:pStyle w:val="38"/>
              <w:rPr>
                <w:rFonts w:hint="eastAsia"/>
                <w:highlight w:val="none"/>
              </w:rPr>
            </w:pPr>
            <w:r>
              <w:rPr>
                <w:rFonts w:hint="eastAsia"/>
                <w:highlight w:val="none"/>
              </w:rPr>
              <w:t>作废血透安排信息</w:t>
            </w:r>
          </w:p>
        </w:tc>
        <w:tc>
          <w:tcPr>
            <w:tcW w:w="1442" w:type="dxa"/>
            <w:tcBorders>
              <w:top w:val="nil"/>
              <w:left w:val="nil"/>
              <w:bottom w:val="single" w:color="auto" w:sz="4" w:space="0"/>
              <w:right w:val="single" w:color="auto" w:sz="4" w:space="0"/>
            </w:tcBorders>
            <w:shd w:val="clear" w:color="000000" w:fill="FFFFFF"/>
            <w:vAlign w:val="center"/>
          </w:tcPr>
          <w:p w14:paraId="4A57F3C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4AB9FCF">
            <w:pPr>
              <w:pStyle w:val="38"/>
              <w:rPr>
                <w:rFonts w:hint="eastAsia"/>
                <w:highlight w:val="none"/>
              </w:rPr>
            </w:pPr>
          </w:p>
        </w:tc>
      </w:tr>
      <w:tr w14:paraId="7FE510B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5AD0975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4DD82842">
            <w:pPr>
              <w:pStyle w:val="38"/>
              <w:jc w:val="center"/>
              <w:rPr>
                <w:rFonts w:hint="eastAsia"/>
                <w:highlight w:val="none"/>
              </w:rPr>
            </w:pPr>
            <w:r>
              <w:rPr>
                <w:rFonts w:hint="eastAsia"/>
                <w:highlight w:val="none"/>
              </w:rPr>
              <w:t>BI0193</w:t>
            </w:r>
          </w:p>
        </w:tc>
        <w:tc>
          <w:tcPr>
            <w:tcW w:w="2221" w:type="dxa"/>
            <w:tcBorders>
              <w:top w:val="nil"/>
              <w:left w:val="nil"/>
              <w:bottom w:val="single" w:color="auto" w:sz="4" w:space="0"/>
              <w:right w:val="single" w:color="auto" w:sz="4" w:space="0"/>
            </w:tcBorders>
            <w:noWrap/>
            <w:vAlign w:val="center"/>
          </w:tcPr>
          <w:p w14:paraId="77D58D5C">
            <w:pPr>
              <w:pStyle w:val="38"/>
              <w:rPr>
                <w:rFonts w:hint="eastAsia"/>
                <w:highlight w:val="none"/>
              </w:rPr>
            </w:pPr>
            <w:r>
              <w:rPr>
                <w:rFonts w:hint="eastAsia"/>
                <w:highlight w:val="none"/>
              </w:rPr>
              <w:t>注册血透事件</w:t>
            </w:r>
          </w:p>
        </w:tc>
        <w:tc>
          <w:tcPr>
            <w:tcW w:w="1442" w:type="dxa"/>
            <w:tcBorders>
              <w:top w:val="nil"/>
              <w:left w:val="nil"/>
              <w:bottom w:val="single" w:color="auto" w:sz="4" w:space="0"/>
              <w:right w:val="single" w:color="auto" w:sz="4" w:space="0"/>
            </w:tcBorders>
            <w:shd w:val="clear" w:color="000000" w:fill="FFFFFF"/>
            <w:vAlign w:val="center"/>
          </w:tcPr>
          <w:p w14:paraId="00E006C9">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B70A7C0">
            <w:pPr>
              <w:pStyle w:val="38"/>
              <w:rPr>
                <w:rFonts w:hint="eastAsia"/>
                <w:highlight w:val="none"/>
              </w:rPr>
            </w:pPr>
          </w:p>
        </w:tc>
      </w:tr>
      <w:tr w14:paraId="54DEEB2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04D1C1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FB94854">
            <w:pPr>
              <w:pStyle w:val="38"/>
              <w:jc w:val="center"/>
              <w:rPr>
                <w:rFonts w:hint="eastAsia"/>
                <w:highlight w:val="none"/>
              </w:rPr>
            </w:pPr>
            <w:r>
              <w:rPr>
                <w:rFonts w:hint="eastAsia"/>
                <w:highlight w:val="none"/>
              </w:rPr>
              <w:t>BI0217</w:t>
            </w:r>
          </w:p>
        </w:tc>
        <w:tc>
          <w:tcPr>
            <w:tcW w:w="2221" w:type="dxa"/>
            <w:tcBorders>
              <w:top w:val="nil"/>
              <w:left w:val="nil"/>
              <w:bottom w:val="single" w:color="auto" w:sz="4" w:space="0"/>
              <w:right w:val="single" w:color="auto" w:sz="4" w:space="0"/>
            </w:tcBorders>
            <w:noWrap/>
            <w:vAlign w:val="center"/>
          </w:tcPr>
          <w:p w14:paraId="1847A4A6">
            <w:pPr>
              <w:pStyle w:val="38"/>
              <w:rPr>
                <w:rFonts w:hint="eastAsia"/>
                <w:highlight w:val="none"/>
              </w:rPr>
            </w:pPr>
            <w:r>
              <w:rPr>
                <w:rFonts w:hint="eastAsia"/>
                <w:highlight w:val="none"/>
              </w:rPr>
              <w:t>注册血透记录单</w:t>
            </w:r>
          </w:p>
        </w:tc>
        <w:tc>
          <w:tcPr>
            <w:tcW w:w="1442" w:type="dxa"/>
            <w:tcBorders>
              <w:top w:val="nil"/>
              <w:left w:val="nil"/>
              <w:bottom w:val="single" w:color="auto" w:sz="4" w:space="0"/>
              <w:right w:val="single" w:color="auto" w:sz="4" w:space="0"/>
            </w:tcBorders>
            <w:shd w:val="clear" w:color="000000" w:fill="FFFFFF"/>
            <w:vAlign w:val="center"/>
          </w:tcPr>
          <w:p w14:paraId="6C9DE221">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F22D994">
            <w:pPr>
              <w:pStyle w:val="38"/>
              <w:rPr>
                <w:rFonts w:hint="eastAsia"/>
                <w:highlight w:val="none"/>
              </w:rPr>
            </w:pPr>
          </w:p>
        </w:tc>
      </w:tr>
      <w:tr w14:paraId="3A8829B7">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40489491">
            <w:pPr>
              <w:pStyle w:val="38"/>
              <w:jc w:val="center"/>
              <w:rPr>
                <w:rFonts w:hint="eastAsia"/>
                <w:highlight w:val="none"/>
              </w:rPr>
            </w:pPr>
            <w:r>
              <w:rPr>
                <w:rFonts w:hint="eastAsia"/>
                <w:highlight w:val="none"/>
              </w:rPr>
              <w:t>护理</w:t>
            </w:r>
          </w:p>
        </w:tc>
        <w:tc>
          <w:tcPr>
            <w:tcW w:w="1998" w:type="dxa"/>
            <w:tcBorders>
              <w:top w:val="nil"/>
              <w:left w:val="nil"/>
              <w:bottom w:val="single" w:color="auto" w:sz="4" w:space="0"/>
              <w:right w:val="single" w:color="auto" w:sz="4" w:space="0"/>
            </w:tcBorders>
            <w:shd w:val="clear" w:color="000000" w:fill="FFFFFF"/>
            <w:vAlign w:val="center"/>
          </w:tcPr>
          <w:p w14:paraId="0E32655F">
            <w:pPr>
              <w:pStyle w:val="38"/>
              <w:jc w:val="center"/>
              <w:rPr>
                <w:rFonts w:hint="eastAsia"/>
                <w:highlight w:val="none"/>
              </w:rPr>
            </w:pPr>
            <w:r>
              <w:rPr>
                <w:rFonts w:hint="eastAsia"/>
                <w:highlight w:val="none"/>
              </w:rPr>
              <w:t>HI0218</w:t>
            </w:r>
          </w:p>
        </w:tc>
        <w:tc>
          <w:tcPr>
            <w:tcW w:w="2221" w:type="dxa"/>
            <w:tcBorders>
              <w:top w:val="nil"/>
              <w:left w:val="nil"/>
              <w:bottom w:val="single" w:color="auto" w:sz="4" w:space="0"/>
              <w:right w:val="single" w:color="auto" w:sz="4" w:space="0"/>
            </w:tcBorders>
            <w:noWrap/>
            <w:vAlign w:val="center"/>
          </w:tcPr>
          <w:p w14:paraId="04D20B8F">
            <w:pPr>
              <w:pStyle w:val="38"/>
              <w:rPr>
                <w:rFonts w:hint="eastAsia"/>
                <w:highlight w:val="none"/>
              </w:rPr>
            </w:pPr>
            <w:r>
              <w:rPr>
                <w:rFonts w:hint="eastAsia"/>
                <w:highlight w:val="none"/>
              </w:rPr>
              <w:t>注册患者风险评估信息</w:t>
            </w:r>
          </w:p>
        </w:tc>
        <w:tc>
          <w:tcPr>
            <w:tcW w:w="1442" w:type="dxa"/>
            <w:tcBorders>
              <w:top w:val="nil"/>
              <w:left w:val="nil"/>
              <w:bottom w:val="single" w:color="auto" w:sz="4" w:space="0"/>
              <w:right w:val="single" w:color="auto" w:sz="4" w:space="0"/>
            </w:tcBorders>
            <w:shd w:val="clear" w:color="000000" w:fill="FFFFFF"/>
            <w:vAlign w:val="center"/>
          </w:tcPr>
          <w:p w14:paraId="08B9B85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024F919">
            <w:pPr>
              <w:pStyle w:val="38"/>
              <w:rPr>
                <w:rFonts w:hint="eastAsia"/>
                <w:highlight w:val="none"/>
              </w:rPr>
            </w:pPr>
          </w:p>
        </w:tc>
      </w:tr>
      <w:tr w14:paraId="611EBFE9">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CEC2369">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6131AB4">
            <w:pPr>
              <w:pStyle w:val="38"/>
              <w:jc w:val="center"/>
              <w:rPr>
                <w:rFonts w:hint="eastAsia"/>
                <w:highlight w:val="none"/>
              </w:rPr>
            </w:pPr>
            <w:r>
              <w:rPr>
                <w:rFonts w:hint="eastAsia"/>
                <w:highlight w:val="none"/>
              </w:rPr>
              <w:t>HI0245</w:t>
            </w:r>
          </w:p>
        </w:tc>
        <w:tc>
          <w:tcPr>
            <w:tcW w:w="2221" w:type="dxa"/>
            <w:tcBorders>
              <w:top w:val="nil"/>
              <w:left w:val="nil"/>
              <w:bottom w:val="single" w:color="auto" w:sz="4" w:space="0"/>
              <w:right w:val="single" w:color="auto" w:sz="4" w:space="0"/>
            </w:tcBorders>
            <w:noWrap/>
            <w:vAlign w:val="center"/>
          </w:tcPr>
          <w:p w14:paraId="5DEC3FCF">
            <w:pPr>
              <w:pStyle w:val="38"/>
              <w:rPr>
                <w:rFonts w:hint="eastAsia"/>
                <w:highlight w:val="none"/>
              </w:rPr>
            </w:pPr>
            <w:r>
              <w:rPr>
                <w:rFonts w:hint="eastAsia"/>
                <w:highlight w:val="none"/>
              </w:rPr>
              <w:t>注册患者护理记录单信息</w:t>
            </w:r>
          </w:p>
        </w:tc>
        <w:tc>
          <w:tcPr>
            <w:tcW w:w="1442" w:type="dxa"/>
            <w:tcBorders>
              <w:top w:val="nil"/>
              <w:left w:val="nil"/>
              <w:bottom w:val="single" w:color="auto" w:sz="4" w:space="0"/>
              <w:right w:val="single" w:color="auto" w:sz="4" w:space="0"/>
            </w:tcBorders>
            <w:shd w:val="clear" w:color="000000" w:fill="FFFFFF"/>
            <w:vAlign w:val="center"/>
          </w:tcPr>
          <w:p w14:paraId="6CF94C86">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62759E4F">
            <w:pPr>
              <w:pStyle w:val="38"/>
              <w:rPr>
                <w:rFonts w:hint="eastAsia"/>
                <w:highlight w:val="none"/>
              </w:rPr>
            </w:pPr>
          </w:p>
        </w:tc>
      </w:tr>
      <w:tr w14:paraId="38F82D0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6587030">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29A618B8">
            <w:pPr>
              <w:pStyle w:val="38"/>
              <w:jc w:val="center"/>
              <w:rPr>
                <w:rFonts w:hint="eastAsia"/>
                <w:highlight w:val="none"/>
              </w:rPr>
            </w:pPr>
            <w:r>
              <w:rPr>
                <w:rFonts w:hint="eastAsia"/>
                <w:highlight w:val="none"/>
              </w:rPr>
              <w:t>HI0246</w:t>
            </w:r>
          </w:p>
        </w:tc>
        <w:tc>
          <w:tcPr>
            <w:tcW w:w="2221" w:type="dxa"/>
            <w:tcBorders>
              <w:top w:val="nil"/>
              <w:left w:val="nil"/>
              <w:bottom w:val="single" w:color="auto" w:sz="4" w:space="0"/>
              <w:right w:val="single" w:color="auto" w:sz="4" w:space="0"/>
            </w:tcBorders>
            <w:noWrap/>
            <w:vAlign w:val="center"/>
          </w:tcPr>
          <w:p w14:paraId="4D4696C4">
            <w:pPr>
              <w:pStyle w:val="38"/>
              <w:rPr>
                <w:rFonts w:hint="eastAsia"/>
                <w:highlight w:val="none"/>
              </w:rPr>
            </w:pPr>
            <w:r>
              <w:rPr>
                <w:rFonts w:hint="eastAsia"/>
                <w:highlight w:val="none"/>
              </w:rPr>
              <w:t>注册院内感染信息</w:t>
            </w:r>
          </w:p>
        </w:tc>
        <w:tc>
          <w:tcPr>
            <w:tcW w:w="1442" w:type="dxa"/>
            <w:tcBorders>
              <w:top w:val="nil"/>
              <w:left w:val="nil"/>
              <w:bottom w:val="single" w:color="auto" w:sz="4" w:space="0"/>
              <w:right w:val="single" w:color="auto" w:sz="4" w:space="0"/>
            </w:tcBorders>
            <w:shd w:val="clear" w:color="000000" w:fill="FFFFFF"/>
            <w:vAlign w:val="center"/>
          </w:tcPr>
          <w:p w14:paraId="46AED4DE">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857AFAF">
            <w:pPr>
              <w:pStyle w:val="38"/>
              <w:rPr>
                <w:rFonts w:hint="eastAsia"/>
                <w:highlight w:val="none"/>
              </w:rPr>
            </w:pPr>
          </w:p>
        </w:tc>
      </w:tr>
      <w:tr w14:paraId="4C648C6D">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455F330C">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29121FD">
            <w:pPr>
              <w:pStyle w:val="38"/>
              <w:jc w:val="center"/>
              <w:rPr>
                <w:rFonts w:hint="eastAsia"/>
                <w:highlight w:val="none"/>
              </w:rPr>
            </w:pPr>
            <w:r>
              <w:rPr>
                <w:rFonts w:hint="eastAsia"/>
                <w:highlight w:val="none"/>
              </w:rPr>
              <w:t>HI0247</w:t>
            </w:r>
          </w:p>
        </w:tc>
        <w:tc>
          <w:tcPr>
            <w:tcW w:w="2221" w:type="dxa"/>
            <w:tcBorders>
              <w:top w:val="nil"/>
              <w:left w:val="nil"/>
              <w:bottom w:val="single" w:color="auto" w:sz="4" w:space="0"/>
              <w:right w:val="single" w:color="auto" w:sz="4" w:space="0"/>
            </w:tcBorders>
            <w:noWrap/>
            <w:vAlign w:val="center"/>
          </w:tcPr>
          <w:p w14:paraId="13BFA6A4">
            <w:pPr>
              <w:pStyle w:val="38"/>
              <w:rPr>
                <w:rFonts w:hint="eastAsia"/>
                <w:highlight w:val="none"/>
              </w:rPr>
            </w:pPr>
            <w:r>
              <w:rPr>
                <w:rFonts w:hint="eastAsia"/>
                <w:highlight w:val="none"/>
              </w:rPr>
              <w:t>注册APACHEⅡ评估信息</w:t>
            </w:r>
          </w:p>
        </w:tc>
        <w:tc>
          <w:tcPr>
            <w:tcW w:w="1442" w:type="dxa"/>
            <w:tcBorders>
              <w:top w:val="nil"/>
              <w:left w:val="nil"/>
              <w:bottom w:val="single" w:color="auto" w:sz="4" w:space="0"/>
              <w:right w:val="single" w:color="auto" w:sz="4" w:space="0"/>
            </w:tcBorders>
            <w:shd w:val="clear" w:color="000000" w:fill="FFFFFF"/>
            <w:vAlign w:val="center"/>
          </w:tcPr>
          <w:p w14:paraId="4F4E83DA">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778432B">
            <w:pPr>
              <w:pStyle w:val="38"/>
              <w:rPr>
                <w:rFonts w:hint="eastAsia"/>
                <w:highlight w:val="none"/>
              </w:rPr>
            </w:pPr>
          </w:p>
        </w:tc>
      </w:tr>
      <w:tr w14:paraId="770F5701">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2C322CB5">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CDDFF82">
            <w:pPr>
              <w:pStyle w:val="38"/>
              <w:jc w:val="center"/>
              <w:rPr>
                <w:rFonts w:hint="eastAsia"/>
                <w:highlight w:val="none"/>
              </w:rPr>
            </w:pPr>
            <w:r>
              <w:rPr>
                <w:rFonts w:hint="eastAsia"/>
                <w:highlight w:val="none"/>
              </w:rPr>
              <w:t>HI0236</w:t>
            </w:r>
          </w:p>
        </w:tc>
        <w:tc>
          <w:tcPr>
            <w:tcW w:w="2221" w:type="dxa"/>
            <w:tcBorders>
              <w:top w:val="nil"/>
              <w:left w:val="nil"/>
              <w:bottom w:val="single" w:color="auto" w:sz="4" w:space="0"/>
              <w:right w:val="single" w:color="auto" w:sz="4" w:space="0"/>
            </w:tcBorders>
            <w:noWrap/>
            <w:vAlign w:val="center"/>
          </w:tcPr>
          <w:p w14:paraId="558BB785">
            <w:pPr>
              <w:pStyle w:val="38"/>
              <w:rPr>
                <w:rFonts w:hint="eastAsia"/>
                <w:highlight w:val="none"/>
              </w:rPr>
            </w:pPr>
            <w:r>
              <w:rPr>
                <w:rFonts w:hint="eastAsia"/>
                <w:highlight w:val="none"/>
              </w:rPr>
              <w:t>注册患者VTE风险评估信息</w:t>
            </w:r>
          </w:p>
        </w:tc>
        <w:tc>
          <w:tcPr>
            <w:tcW w:w="1442" w:type="dxa"/>
            <w:tcBorders>
              <w:top w:val="nil"/>
              <w:left w:val="nil"/>
              <w:bottom w:val="single" w:color="auto" w:sz="4" w:space="0"/>
              <w:right w:val="single" w:color="auto" w:sz="4" w:space="0"/>
            </w:tcBorders>
            <w:shd w:val="clear" w:color="000000" w:fill="FFFFFF"/>
            <w:vAlign w:val="center"/>
          </w:tcPr>
          <w:p w14:paraId="72A56FF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0D2E18C3">
            <w:pPr>
              <w:pStyle w:val="38"/>
              <w:rPr>
                <w:rFonts w:hint="eastAsia"/>
                <w:highlight w:val="none"/>
              </w:rPr>
            </w:pPr>
          </w:p>
        </w:tc>
      </w:tr>
      <w:tr w14:paraId="212316C3">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35C13F9B">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6C09FA3F">
            <w:pPr>
              <w:pStyle w:val="38"/>
              <w:jc w:val="center"/>
              <w:rPr>
                <w:rFonts w:hint="eastAsia"/>
                <w:highlight w:val="none"/>
              </w:rPr>
            </w:pPr>
            <w:r>
              <w:rPr>
                <w:rFonts w:hint="eastAsia"/>
                <w:highlight w:val="none"/>
              </w:rPr>
              <w:t>HI0237</w:t>
            </w:r>
          </w:p>
        </w:tc>
        <w:tc>
          <w:tcPr>
            <w:tcW w:w="2221" w:type="dxa"/>
            <w:tcBorders>
              <w:top w:val="nil"/>
              <w:left w:val="nil"/>
              <w:bottom w:val="single" w:color="auto" w:sz="4" w:space="0"/>
              <w:right w:val="single" w:color="auto" w:sz="4" w:space="0"/>
            </w:tcBorders>
            <w:noWrap/>
            <w:vAlign w:val="center"/>
          </w:tcPr>
          <w:p w14:paraId="1EE93323">
            <w:pPr>
              <w:pStyle w:val="38"/>
              <w:rPr>
                <w:rFonts w:hint="eastAsia"/>
                <w:highlight w:val="none"/>
              </w:rPr>
            </w:pPr>
            <w:r>
              <w:rPr>
                <w:rFonts w:hint="eastAsia"/>
                <w:highlight w:val="none"/>
              </w:rPr>
              <w:t>注册患者出血评估信息</w:t>
            </w:r>
          </w:p>
        </w:tc>
        <w:tc>
          <w:tcPr>
            <w:tcW w:w="1442" w:type="dxa"/>
            <w:tcBorders>
              <w:top w:val="nil"/>
              <w:left w:val="nil"/>
              <w:bottom w:val="single" w:color="auto" w:sz="4" w:space="0"/>
              <w:right w:val="single" w:color="auto" w:sz="4" w:space="0"/>
            </w:tcBorders>
            <w:shd w:val="clear" w:color="000000" w:fill="FFFFFF"/>
            <w:vAlign w:val="center"/>
          </w:tcPr>
          <w:p w14:paraId="04DB3920">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08E01E1">
            <w:pPr>
              <w:pStyle w:val="38"/>
              <w:rPr>
                <w:rFonts w:hint="eastAsia"/>
                <w:highlight w:val="none"/>
              </w:rPr>
            </w:pPr>
          </w:p>
        </w:tc>
      </w:tr>
      <w:tr w14:paraId="237FF6AE">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1B07BD52">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8890134">
            <w:pPr>
              <w:pStyle w:val="38"/>
              <w:jc w:val="center"/>
              <w:rPr>
                <w:rFonts w:hint="eastAsia"/>
                <w:highlight w:val="none"/>
              </w:rPr>
            </w:pPr>
            <w:r>
              <w:rPr>
                <w:rFonts w:hint="eastAsia"/>
                <w:highlight w:val="none"/>
              </w:rPr>
              <w:t>HI0219</w:t>
            </w:r>
          </w:p>
        </w:tc>
        <w:tc>
          <w:tcPr>
            <w:tcW w:w="2221" w:type="dxa"/>
            <w:tcBorders>
              <w:top w:val="nil"/>
              <w:left w:val="nil"/>
              <w:bottom w:val="single" w:color="auto" w:sz="4" w:space="0"/>
              <w:right w:val="single" w:color="auto" w:sz="4" w:space="0"/>
            </w:tcBorders>
            <w:noWrap/>
            <w:vAlign w:val="center"/>
          </w:tcPr>
          <w:p w14:paraId="1945B7A2">
            <w:pPr>
              <w:pStyle w:val="38"/>
              <w:rPr>
                <w:rFonts w:hint="eastAsia"/>
                <w:highlight w:val="none"/>
              </w:rPr>
            </w:pPr>
            <w:r>
              <w:rPr>
                <w:rFonts w:hint="eastAsia"/>
                <w:highlight w:val="none"/>
              </w:rPr>
              <w:t>注册患者体表信息</w:t>
            </w:r>
          </w:p>
        </w:tc>
        <w:tc>
          <w:tcPr>
            <w:tcW w:w="1442" w:type="dxa"/>
            <w:tcBorders>
              <w:top w:val="nil"/>
              <w:left w:val="nil"/>
              <w:bottom w:val="single" w:color="auto" w:sz="4" w:space="0"/>
              <w:right w:val="single" w:color="auto" w:sz="4" w:space="0"/>
            </w:tcBorders>
            <w:shd w:val="clear" w:color="000000" w:fill="FFFFFF"/>
            <w:vAlign w:val="center"/>
          </w:tcPr>
          <w:p w14:paraId="0003C76D">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259975DF">
            <w:pPr>
              <w:pStyle w:val="38"/>
              <w:rPr>
                <w:rFonts w:hint="eastAsia"/>
                <w:highlight w:val="none"/>
              </w:rPr>
            </w:pPr>
          </w:p>
        </w:tc>
      </w:tr>
      <w:tr w14:paraId="3F906484">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127B8EF9">
            <w:pPr>
              <w:pStyle w:val="38"/>
              <w:jc w:val="center"/>
              <w:rPr>
                <w:rFonts w:hint="eastAsia"/>
                <w:highlight w:val="none"/>
              </w:rPr>
            </w:pPr>
            <w:r>
              <w:rPr>
                <w:rFonts w:hint="eastAsia"/>
                <w:highlight w:val="none"/>
              </w:rPr>
              <w:t>评估单</w:t>
            </w:r>
          </w:p>
        </w:tc>
        <w:tc>
          <w:tcPr>
            <w:tcW w:w="1998" w:type="dxa"/>
            <w:tcBorders>
              <w:top w:val="nil"/>
              <w:left w:val="nil"/>
              <w:bottom w:val="single" w:color="auto" w:sz="4" w:space="0"/>
              <w:right w:val="single" w:color="auto" w:sz="4" w:space="0"/>
            </w:tcBorders>
            <w:shd w:val="clear" w:color="000000" w:fill="FFFFFF"/>
            <w:vAlign w:val="center"/>
          </w:tcPr>
          <w:p w14:paraId="703ECC47">
            <w:pPr>
              <w:pStyle w:val="38"/>
              <w:jc w:val="center"/>
              <w:rPr>
                <w:rFonts w:hint="eastAsia"/>
                <w:highlight w:val="none"/>
              </w:rPr>
            </w:pPr>
            <w:r>
              <w:rPr>
                <w:rFonts w:hint="eastAsia"/>
                <w:highlight w:val="none"/>
              </w:rPr>
              <w:t>HI0236</w:t>
            </w:r>
          </w:p>
        </w:tc>
        <w:tc>
          <w:tcPr>
            <w:tcW w:w="2221" w:type="dxa"/>
            <w:tcBorders>
              <w:top w:val="nil"/>
              <w:left w:val="nil"/>
              <w:bottom w:val="single" w:color="auto" w:sz="4" w:space="0"/>
              <w:right w:val="single" w:color="auto" w:sz="4" w:space="0"/>
            </w:tcBorders>
            <w:noWrap/>
            <w:vAlign w:val="center"/>
          </w:tcPr>
          <w:p w14:paraId="72705CF6">
            <w:pPr>
              <w:pStyle w:val="38"/>
              <w:rPr>
                <w:rFonts w:hint="eastAsia"/>
                <w:highlight w:val="none"/>
              </w:rPr>
            </w:pPr>
            <w:r>
              <w:rPr>
                <w:rFonts w:hint="eastAsia"/>
                <w:highlight w:val="none"/>
              </w:rPr>
              <w:t>注册患者VTE风险评估信息</w:t>
            </w:r>
          </w:p>
        </w:tc>
        <w:tc>
          <w:tcPr>
            <w:tcW w:w="1442" w:type="dxa"/>
            <w:tcBorders>
              <w:top w:val="nil"/>
              <w:left w:val="nil"/>
              <w:bottom w:val="single" w:color="auto" w:sz="4" w:space="0"/>
              <w:right w:val="single" w:color="auto" w:sz="4" w:space="0"/>
            </w:tcBorders>
            <w:shd w:val="clear" w:color="000000" w:fill="FFFFFF"/>
            <w:vAlign w:val="center"/>
          </w:tcPr>
          <w:p w14:paraId="28F5940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4DBEBDF4">
            <w:pPr>
              <w:pStyle w:val="38"/>
              <w:rPr>
                <w:rFonts w:hint="eastAsia"/>
                <w:highlight w:val="none"/>
              </w:rPr>
            </w:pPr>
          </w:p>
        </w:tc>
      </w:tr>
      <w:tr w14:paraId="54647E78">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08624D4F">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3047DD91">
            <w:pPr>
              <w:pStyle w:val="38"/>
              <w:jc w:val="center"/>
              <w:rPr>
                <w:rFonts w:hint="eastAsia"/>
                <w:highlight w:val="none"/>
              </w:rPr>
            </w:pPr>
            <w:r>
              <w:rPr>
                <w:rFonts w:hint="eastAsia"/>
                <w:highlight w:val="none"/>
              </w:rPr>
              <w:t>HI0237</w:t>
            </w:r>
          </w:p>
        </w:tc>
        <w:tc>
          <w:tcPr>
            <w:tcW w:w="2221" w:type="dxa"/>
            <w:tcBorders>
              <w:top w:val="nil"/>
              <w:left w:val="nil"/>
              <w:bottom w:val="single" w:color="auto" w:sz="4" w:space="0"/>
              <w:right w:val="single" w:color="auto" w:sz="4" w:space="0"/>
            </w:tcBorders>
            <w:noWrap/>
            <w:vAlign w:val="center"/>
          </w:tcPr>
          <w:p w14:paraId="5EBCDAE3">
            <w:pPr>
              <w:pStyle w:val="38"/>
              <w:rPr>
                <w:rFonts w:hint="eastAsia"/>
                <w:highlight w:val="none"/>
              </w:rPr>
            </w:pPr>
            <w:r>
              <w:rPr>
                <w:rFonts w:hint="eastAsia"/>
                <w:highlight w:val="none"/>
              </w:rPr>
              <w:t>注册患者出血评估信息</w:t>
            </w:r>
          </w:p>
        </w:tc>
        <w:tc>
          <w:tcPr>
            <w:tcW w:w="1442" w:type="dxa"/>
            <w:tcBorders>
              <w:top w:val="nil"/>
              <w:left w:val="nil"/>
              <w:bottom w:val="single" w:color="auto" w:sz="4" w:space="0"/>
              <w:right w:val="single" w:color="auto" w:sz="4" w:space="0"/>
            </w:tcBorders>
            <w:shd w:val="clear" w:color="000000" w:fill="FFFFFF"/>
            <w:vAlign w:val="center"/>
          </w:tcPr>
          <w:p w14:paraId="6ECBC7B8">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1C0EB61D">
            <w:pPr>
              <w:pStyle w:val="38"/>
              <w:rPr>
                <w:rFonts w:hint="eastAsia"/>
                <w:highlight w:val="none"/>
              </w:rPr>
            </w:pPr>
          </w:p>
        </w:tc>
      </w:tr>
      <w:tr w14:paraId="21992587">
        <w:tblPrEx>
          <w:tblCellMar>
            <w:top w:w="0" w:type="dxa"/>
            <w:left w:w="108" w:type="dxa"/>
            <w:bottom w:w="0" w:type="dxa"/>
            <w:right w:w="108" w:type="dxa"/>
          </w:tblCellMar>
        </w:tblPrEx>
        <w:trPr>
          <w:trHeight w:val="255" w:hRule="atLeast"/>
        </w:trPr>
        <w:tc>
          <w:tcPr>
            <w:tcW w:w="1446" w:type="dxa"/>
            <w:vMerge w:val="restart"/>
            <w:tcBorders>
              <w:top w:val="nil"/>
              <w:left w:val="single" w:color="auto" w:sz="4" w:space="0"/>
              <w:bottom w:val="single" w:color="auto" w:sz="4" w:space="0"/>
              <w:right w:val="single" w:color="auto" w:sz="4" w:space="0"/>
            </w:tcBorders>
            <w:shd w:val="clear" w:color="000000" w:fill="FFFFFF"/>
            <w:vAlign w:val="center"/>
          </w:tcPr>
          <w:p w14:paraId="1A55956D">
            <w:pPr>
              <w:pStyle w:val="38"/>
              <w:jc w:val="center"/>
              <w:rPr>
                <w:rFonts w:hint="eastAsia"/>
                <w:highlight w:val="none"/>
              </w:rPr>
            </w:pPr>
            <w:r>
              <w:rPr>
                <w:rFonts w:hint="eastAsia"/>
                <w:highlight w:val="none"/>
              </w:rPr>
              <w:t>闭环</w:t>
            </w:r>
          </w:p>
        </w:tc>
        <w:tc>
          <w:tcPr>
            <w:tcW w:w="1998" w:type="dxa"/>
            <w:tcBorders>
              <w:top w:val="nil"/>
              <w:left w:val="nil"/>
              <w:bottom w:val="single" w:color="auto" w:sz="4" w:space="0"/>
              <w:right w:val="single" w:color="auto" w:sz="4" w:space="0"/>
            </w:tcBorders>
            <w:shd w:val="clear" w:color="000000" w:fill="FFFFFF"/>
            <w:vAlign w:val="center"/>
          </w:tcPr>
          <w:p w14:paraId="11EC7FD7">
            <w:pPr>
              <w:pStyle w:val="38"/>
              <w:jc w:val="center"/>
              <w:rPr>
                <w:rFonts w:hint="eastAsia"/>
                <w:highlight w:val="none"/>
              </w:rPr>
            </w:pPr>
            <w:r>
              <w:rPr>
                <w:rFonts w:hint="eastAsia"/>
                <w:highlight w:val="none"/>
              </w:rPr>
              <w:t>LI0233</w:t>
            </w:r>
          </w:p>
        </w:tc>
        <w:tc>
          <w:tcPr>
            <w:tcW w:w="2221" w:type="dxa"/>
            <w:tcBorders>
              <w:top w:val="nil"/>
              <w:left w:val="nil"/>
              <w:bottom w:val="single" w:color="auto" w:sz="4" w:space="0"/>
              <w:right w:val="single" w:color="auto" w:sz="4" w:space="0"/>
            </w:tcBorders>
            <w:noWrap/>
            <w:vAlign w:val="center"/>
          </w:tcPr>
          <w:p w14:paraId="60B30CE8">
            <w:pPr>
              <w:pStyle w:val="38"/>
              <w:rPr>
                <w:rFonts w:hint="eastAsia"/>
                <w:highlight w:val="none"/>
              </w:rPr>
            </w:pPr>
            <w:r>
              <w:rPr>
                <w:rFonts w:hint="eastAsia"/>
                <w:highlight w:val="none"/>
              </w:rPr>
              <w:t>注册急诊就诊事件</w:t>
            </w:r>
          </w:p>
        </w:tc>
        <w:tc>
          <w:tcPr>
            <w:tcW w:w="1442" w:type="dxa"/>
            <w:tcBorders>
              <w:top w:val="nil"/>
              <w:left w:val="nil"/>
              <w:bottom w:val="single" w:color="auto" w:sz="4" w:space="0"/>
              <w:right w:val="single" w:color="auto" w:sz="4" w:space="0"/>
            </w:tcBorders>
            <w:shd w:val="clear" w:color="000000" w:fill="FFFFFF"/>
            <w:vAlign w:val="center"/>
          </w:tcPr>
          <w:p w14:paraId="4AD2CBDF">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7D2A0936">
            <w:pPr>
              <w:pStyle w:val="38"/>
              <w:rPr>
                <w:rFonts w:hint="eastAsia"/>
                <w:highlight w:val="none"/>
              </w:rPr>
            </w:pPr>
          </w:p>
        </w:tc>
      </w:tr>
      <w:tr w14:paraId="7A8FC265">
        <w:tblPrEx>
          <w:tblCellMar>
            <w:top w:w="0" w:type="dxa"/>
            <w:left w:w="108" w:type="dxa"/>
            <w:bottom w:w="0" w:type="dxa"/>
            <w:right w:w="108" w:type="dxa"/>
          </w:tblCellMar>
        </w:tblPrEx>
        <w:trPr>
          <w:trHeight w:val="255" w:hRule="atLeast"/>
        </w:trPr>
        <w:tc>
          <w:tcPr>
            <w:tcW w:w="1446" w:type="dxa"/>
            <w:vMerge w:val="continue"/>
            <w:tcBorders>
              <w:top w:val="nil"/>
              <w:left w:val="single" w:color="auto" w:sz="4" w:space="0"/>
              <w:bottom w:val="single" w:color="auto" w:sz="4" w:space="0"/>
              <w:right w:val="single" w:color="auto" w:sz="4" w:space="0"/>
            </w:tcBorders>
            <w:vAlign w:val="center"/>
          </w:tcPr>
          <w:p w14:paraId="640B7524">
            <w:pPr>
              <w:pStyle w:val="38"/>
              <w:jc w:val="center"/>
              <w:rPr>
                <w:rFonts w:hint="eastAsia"/>
                <w:highlight w:val="none"/>
              </w:rPr>
            </w:pPr>
          </w:p>
        </w:tc>
        <w:tc>
          <w:tcPr>
            <w:tcW w:w="1998" w:type="dxa"/>
            <w:tcBorders>
              <w:top w:val="nil"/>
              <w:left w:val="nil"/>
              <w:bottom w:val="single" w:color="auto" w:sz="4" w:space="0"/>
              <w:right w:val="single" w:color="auto" w:sz="4" w:space="0"/>
            </w:tcBorders>
            <w:shd w:val="clear" w:color="000000" w:fill="FFFFFF"/>
            <w:vAlign w:val="center"/>
          </w:tcPr>
          <w:p w14:paraId="142B933B">
            <w:pPr>
              <w:pStyle w:val="38"/>
              <w:jc w:val="center"/>
              <w:rPr>
                <w:rFonts w:hint="eastAsia"/>
                <w:highlight w:val="none"/>
              </w:rPr>
            </w:pPr>
            <w:r>
              <w:rPr>
                <w:rFonts w:hint="eastAsia"/>
                <w:highlight w:val="none"/>
              </w:rPr>
              <w:t>LI0234</w:t>
            </w:r>
          </w:p>
        </w:tc>
        <w:tc>
          <w:tcPr>
            <w:tcW w:w="2221" w:type="dxa"/>
            <w:tcBorders>
              <w:top w:val="nil"/>
              <w:left w:val="nil"/>
              <w:bottom w:val="single" w:color="auto" w:sz="4" w:space="0"/>
              <w:right w:val="single" w:color="auto" w:sz="4" w:space="0"/>
            </w:tcBorders>
            <w:noWrap/>
            <w:vAlign w:val="center"/>
          </w:tcPr>
          <w:p w14:paraId="74DB848D">
            <w:pPr>
              <w:pStyle w:val="38"/>
              <w:rPr>
                <w:rFonts w:hint="eastAsia"/>
                <w:highlight w:val="none"/>
              </w:rPr>
            </w:pPr>
            <w:r>
              <w:rPr>
                <w:rFonts w:hint="eastAsia"/>
                <w:highlight w:val="none"/>
              </w:rPr>
              <w:t>注册三大中心事件</w:t>
            </w:r>
          </w:p>
        </w:tc>
        <w:tc>
          <w:tcPr>
            <w:tcW w:w="1442" w:type="dxa"/>
            <w:tcBorders>
              <w:top w:val="nil"/>
              <w:left w:val="nil"/>
              <w:bottom w:val="single" w:color="auto" w:sz="4" w:space="0"/>
              <w:right w:val="single" w:color="auto" w:sz="4" w:space="0"/>
            </w:tcBorders>
            <w:shd w:val="clear" w:color="000000" w:fill="FFFFFF"/>
            <w:vAlign w:val="center"/>
          </w:tcPr>
          <w:p w14:paraId="06F30FDB">
            <w:pPr>
              <w:pStyle w:val="38"/>
              <w:rPr>
                <w:rFonts w:hint="eastAsia"/>
                <w:highlight w:val="none"/>
              </w:rPr>
            </w:pPr>
          </w:p>
        </w:tc>
        <w:tc>
          <w:tcPr>
            <w:tcW w:w="1189" w:type="dxa"/>
            <w:tcBorders>
              <w:top w:val="nil"/>
              <w:left w:val="nil"/>
              <w:bottom w:val="single" w:color="auto" w:sz="4" w:space="0"/>
              <w:right w:val="single" w:color="auto" w:sz="4" w:space="0"/>
            </w:tcBorders>
            <w:shd w:val="clear" w:color="000000" w:fill="FFFFFF"/>
            <w:vAlign w:val="center"/>
          </w:tcPr>
          <w:p w14:paraId="3C1B0C6D">
            <w:pPr>
              <w:pStyle w:val="38"/>
              <w:rPr>
                <w:rFonts w:hint="eastAsia"/>
                <w:highlight w:val="none"/>
              </w:rPr>
            </w:pPr>
          </w:p>
        </w:tc>
      </w:tr>
    </w:tbl>
    <w:p w14:paraId="380CC03A">
      <w:pPr>
        <w:pStyle w:val="7"/>
        <w:rPr>
          <w:rFonts w:hint="eastAsia"/>
          <w:highlight w:val="none"/>
        </w:rPr>
      </w:pPr>
      <w:bookmarkStart w:id="247" w:name="_Toc197780304"/>
      <w:r>
        <w:rPr>
          <w:rFonts w:hint="eastAsia"/>
          <w:highlight w:val="none"/>
          <w:lang w:val="en-US" w:eastAsia="zh-CN"/>
        </w:rPr>
        <w:t xml:space="preserve"> </w:t>
      </w:r>
      <w:r>
        <w:rPr>
          <w:rFonts w:hint="eastAsia"/>
          <w:highlight w:val="none"/>
        </w:rPr>
        <w:t>核心业务服务</w:t>
      </w:r>
      <w:bookmarkEnd w:id="247"/>
    </w:p>
    <w:p w14:paraId="5E9C3028">
      <w:pPr>
        <w:pStyle w:val="12"/>
        <w:shd w:val="clear" w:color="auto" w:fill="auto"/>
        <w:ind w:firstLine="480"/>
        <w:rPr>
          <w:rFonts w:hint="eastAsia"/>
          <w:highlight w:val="none"/>
        </w:rPr>
      </w:pPr>
      <w:r>
        <w:rPr>
          <w:rFonts w:hint="eastAsia"/>
          <w:highlight w:val="none"/>
        </w:rPr>
        <w:t>支持符合医院核心系统业务需求的标准化外联接口。</w:t>
      </w:r>
    </w:p>
    <w:p w14:paraId="108F2F52">
      <w:pPr>
        <w:pStyle w:val="12"/>
        <w:shd w:val="clear" w:color="auto" w:fill="auto"/>
        <w:ind w:firstLine="480"/>
        <w:rPr>
          <w:rFonts w:hint="eastAsia"/>
          <w:highlight w:val="none"/>
        </w:rPr>
      </w:pPr>
      <w:r>
        <w:rPr>
          <w:rFonts w:hint="eastAsia"/>
          <w:highlight w:val="none"/>
        </w:rPr>
        <w:t>支持包含：医嘱、病历、患者、费用、基础信息五大领域的核心业务服务。</w:t>
      </w:r>
    </w:p>
    <w:p w14:paraId="2579DD77">
      <w:pPr>
        <w:pStyle w:val="12"/>
        <w:shd w:val="clear" w:color="auto" w:fill="auto"/>
        <w:ind w:firstLine="480"/>
        <w:rPr>
          <w:rFonts w:hint="eastAsia"/>
          <w:highlight w:val="none"/>
        </w:rPr>
      </w:pPr>
      <w:r>
        <w:rPr>
          <w:rFonts w:hint="eastAsia"/>
          <w:highlight w:val="none"/>
        </w:rPr>
        <w:t>支持提供医嘱服务标准外联服务，包括医嘱、医嘱术语、术语对照、药品库存、医嘱组套、诊疗项目、药品用法、用药频次、医嘱字典、草药、检查检验申请单、检查检验报告、病理报告、微生物报告、手术申请单、手术安排、医嘱执行单信息的查询共享，同时支持医嘱开立、医嘱执行功能。</w:t>
      </w:r>
    </w:p>
    <w:p w14:paraId="5F8A2474">
      <w:pPr>
        <w:pStyle w:val="12"/>
        <w:shd w:val="clear" w:color="auto" w:fill="auto"/>
        <w:ind w:firstLine="480"/>
        <w:rPr>
          <w:rFonts w:hint="eastAsia"/>
          <w:highlight w:val="none"/>
        </w:rPr>
      </w:pPr>
      <w:r>
        <w:rPr>
          <w:rFonts w:hint="eastAsia"/>
          <w:highlight w:val="none"/>
        </w:rPr>
        <w:t>支持病历服务标准接口，内部适用多种业务流程。包括诊断基础信息、患者诊断信息、过敏基础信息、患者过敏信息、病历信息、病历模板信息、病案信息、病史信息、出院信息、体温单信息的查询共享，同时需支持为患者开立诊断、编写病历、保存过敏信息功能。</w:t>
      </w:r>
    </w:p>
    <w:p w14:paraId="7C63ECC1">
      <w:pPr>
        <w:pStyle w:val="12"/>
        <w:shd w:val="clear" w:color="auto" w:fill="auto"/>
        <w:ind w:firstLine="480"/>
        <w:rPr>
          <w:rFonts w:hint="eastAsia"/>
          <w:highlight w:val="none"/>
        </w:rPr>
      </w:pPr>
      <w:r>
        <w:rPr>
          <w:rFonts w:hint="eastAsia"/>
          <w:highlight w:val="none"/>
        </w:rPr>
        <w:t>支持提供患者服务标准服务接口，包括患者档案、患者挂号、患者入院登记、患者门诊账户、患者就诊卡、患者预约、患者占号、院内排班科室、排班医生、排班号位、电子发票、住院预约、患者转科信息的查询共享，同时支持患者建档、患者占号、挂号缴费、急诊挂号、诊间缴费、院内绑卡、院内卡充值、患者住院预约、床位预约、住院登记功能。</w:t>
      </w:r>
    </w:p>
    <w:p w14:paraId="46C098C8">
      <w:pPr>
        <w:pStyle w:val="12"/>
        <w:shd w:val="clear" w:color="auto" w:fill="auto"/>
        <w:ind w:firstLine="480"/>
        <w:rPr>
          <w:rFonts w:hint="eastAsia"/>
          <w:highlight w:val="none"/>
        </w:rPr>
      </w:pPr>
      <w:r>
        <w:rPr>
          <w:rFonts w:hint="eastAsia"/>
          <w:highlight w:val="none"/>
        </w:rPr>
        <w:t>支持提供费用服务标准服务接口，包括门诊费用、门诊支付状态、住院日账单、住院费用汇总、住院费用分类汇总、预交金缴费记录、医嘱可退项目信息的查询共享，同时支持门诊划价、缴纳住院预交金、门诊申请退费功能。</w:t>
      </w:r>
    </w:p>
    <w:p w14:paraId="27FBCFDF">
      <w:pPr>
        <w:pStyle w:val="12"/>
        <w:shd w:val="clear" w:color="auto" w:fill="auto"/>
        <w:ind w:firstLine="480"/>
        <w:rPr>
          <w:rFonts w:hint="eastAsia"/>
          <w:highlight w:val="none"/>
        </w:rPr>
      </w:pPr>
      <w:r>
        <w:rPr>
          <w:rFonts w:hint="eastAsia"/>
          <w:highlight w:val="none"/>
        </w:rPr>
        <w:t>支持提供公共基础外联服务标准服务接口，实现科室、人员、物价、药品、诊疗、医院信息、病床信息、婴儿信息、门诊患者信息、住院患者信息共享，同时包括医生登录权限校验功能。</w:t>
      </w:r>
    </w:p>
    <w:p w14:paraId="1E521697">
      <w:pPr>
        <w:pStyle w:val="6"/>
        <w:rPr>
          <w:rFonts w:hint="eastAsia"/>
          <w:highlight w:val="none"/>
        </w:rPr>
      </w:pPr>
      <w:bookmarkStart w:id="248" w:name="_Toc197780507"/>
      <w:r>
        <w:rPr>
          <w:rFonts w:hint="eastAsia"/>
          <w:highlight w:val="none"/>
          <w:lang w:val="en-US" w:eastAsia="zh-CN"/>
        </w:rPr>
        <w:t xml:space="preserve"> </w:t>
      </w:r>
      <w:r>
        <w:rPr>
          <w:rFonts w:hint="eastAsia"/>
          <w:highlight w:val="none"/>
        </w:rPr>
        <w:t>闭环管理</w:t>
      </w:r>
      <w:bookmarkEnd w:id="248"/>
    </w:p>
    <w:p w14:paraId="5AFDDA76">
      <w:pPr>
        <w:pStyle w:val="12"/>
        <w:shd w:val="clear" w:color="auto" w:fill="auto"/>
        <w:ind w:firstLine="480"/>
        <w:rPr>
          <w:rFonts w:hint="eastAsia"/>
          <w:highlight w:val="none"/>
        </w:rPr>
      </w:pPr>
      <w:r>
        <w:rPr>
          <w:rFonts w:hint="eastAsia"/>
          <w:highlight w:val="none"/>
        </w:rPr>
        <w:t>闭环管理应用由闭环配置、流程展示与质控分析三部分构成，满足互联互通评级要求，支持业务闭环的灵活配置与可视化展现。</w:t>
      </w:r>
    </w:p>
    <w:p w14:paraId="0C4B67AB">
      <w:pPr>
        <w:pStyle w:val="12"/>
        <w:shd w:val="clear" w:color="auto" w:fill="auto"/>
        <w:ind w:firstLine="480"/>
        <w:rPr>
          <w:rFonts w:hint="eastAsia"/>
          <w:highlight w:val="none"/>
        </w:rPr>
      </w:pPr>
      <w:r>
        <w:rPr>
          <w:rFonts w:hint="eastAsia"/>
          <w:highlight w:val="none"/>
        </w:rPr>
        <w:t>闭环配置管理：</w:t>
      </w:r>
    </w:p>
    <w:p w14:paraId="42F4FC82">
      <w:pPr>
        <w:pStyle w:val="12"/>
        <w:shd w:val="clear" w:color="auto" w:fill="auto"/>
        <w:ind w:firstLine="480"/>
        <w:rPr>
          <w:rFonts w:hint="eastAsia"/>
          <w:highlight w:val="none"/>
        </w:rPr>
      </w:pPr>
      <w:r>
        <w:rPr>
          <w:rFonts w:hint="eastAsia"/>
          <w:highlight w:val="none"/>
        </w:rPr>
        <w:t>支持创建新闭环流程，具备扩展性以适应业务变化；可生成事件并建立闭环关系，提升协同效率。支持列表与流程图形式展示已配置闭环，便于管理监控，并支持闭环分组分类管理。系统具备实时数据拉取能力，与各数据源对接，在规则页面进行细粒度设置。可根据医院实际业务新建或扩展现有闭环，配置节点时长及灵活选用节点，实现事件关联。</w:t>
      </w:r>
    </w:p>
    <w:p w14:paraId="62DE4275">
      <w:pPr>
        <w:pStyle w:val="12"/>
        <w:shd w:val="clear" w:color="auto" w:fill="auto"/>
        <w:ind w:firstLine="480"/>
        <w:rPr>
          <w:rFonts w:hint="eastAsia"/>
          <w:highlight w:val="none"/>
        </w:rPr>
      </w:pPr>
      <w:r>
        <w:rPr>
          <w:rFonts w:hint="eastAsia"/>
          <w:highlight w:val="none"/>
        </w:rPr>
        <w:t>闭环流程管理：</w:t>
      </w:r>
    </w:p>
    <w:p w14:paraId="2945C238">
      <w:pPr>
        <w:pStyle w:val="12"/>
        <w:shd w:val="clear" w:color="auto" w:fill="auto"/>
        <w:ind w:firstLine="480"/>
        <w:rPr>
          <w:rFonts w:hint="eastAsia"/>
          <w:highlight w:val="none"/>
        </w:rPr>
      </w:pPr>
      <w:r>
        <w:rPr>
          <w:rFonts w:hint="eastAsia"/>
          <w:highlight w:val="none"/>
        </w:rPr>
        <w:t>支持按不同医疗场景设计闭环节点，直观展示重点流程，帮助医生掌握患者就诊状态。系统实时跟踪全流程，支持按时间筛选特定时段闭环，并以流程图或列表形式展示。支持闭环分解至医嘱级及执行状态级，多日用药闭环可展示连续执行情况。集成审核报告及检查检验结果，支持通过业务号或流水号快速定位单次闭环数据，提升诊疗效率。</w:t>
      </w:r>
    </w:p>
    <w:p w14:paraId="79A8957C">
      <w:pPr>
        <w:pStyle w:val="12"/>
        <w:shd w:val="clear" w:color="auto" w:fill="auto"/>
        <w:ind w:firstLine="480"/>
        <w:rPr>
          <w:rFonts w:hint="eastAsia"/>
          <w:highlight w:val="none"/>
        </w:rPr>
      </w:pPr>
      <w:r>
        <w:rPr>
          <w:rFonts w:hint="eastAsia"/>
          <w:highlight w:val="none"/>
        </w:rPr>
        <w:t>闭环质控分析：</w:t>
      </w:r>
    </w:p>
    <w:p w14:paraId="1985ED8A">
      <w:pPr>
        <w:pStyle w:val="12"/>
        <w:shd w:val="clear" w:color="auto" w:fill="auto"/>
        <w:ind w:firstLine="480"/>
        <w:rPr>
          <w:rFonts w:hint="eastAsia"/>
          <w:highlight w:val="none"/>
        </w:rPr>
      </w:pPr>
      <w:r>
        <w:rPr>
          <w:rFonts w:hint="eastAsia"/>
          <w:highlight w:val="none"/>
        </w:rPr>
        <w:t>涵盖质控详情、执行明细、完成情况及科室完成率。支持按时间、院区、科室、闭环类型筛选数据，查看某类闭环的总量、节点执行率、完整率及时限合理率。质控详情页可按名称深入查看，支持多维度查询每条闭环状态，包括业务号、项目名称、开立时间、执行进度等信息，并可追溯单患者全部闭环或指定流程。明细列表展示各节点起止时间、科室、执行人及耗时，支持规则过滤与自定义耗时范围筛选，提升问题识别效率。支持按科室或执行人排序查看时间合理率排名。</w:t>
      </w:r>
    </w:p>
    <w:p w14:paraId="6C72E379">
      <w:pPr>
        <w:pStyle w:val="12"/>
        <w:shd w:val="clear" w:color="auto" w:fill="auto"/>
        <w:ind w:firstLine="480"/>
        <w:rPr>
          <w:rFonts w:hint="eastAsia"/>
          <w:highlight w:val="none"/>
        </w:rPr>
      </w:pPr>
      <w:r>
        <w:rPr>
          <w:rFonts w:hint="eastAsia"/>
          <w:highlight w:val="none"/>
        </w:rPr>
        <w:t>执行明细支持查看指定时间段内各节点的数据量、执行量、执行率及平均耗时，支持多条件筛选；节点明细表可定位具体患者闭环状态，并二次筛选来源、开立医生及节点状态，支持导出Excel。闭环完成情况统计指定时间内完成量、未完成量及完成率（无缺失节点视为完成），默认显示Top10并可查全排名。科室完成率统计各科室在指定时间内的闭环完成表现，同样支持Top10展示与完整排名查看。</w:t>
      </w:r>
    </w:p>
    <w:p w14:paraId="01CC69B3">
      <w:pPr>
        <w:pStyle w:val="6"/>
        <w:rPr>
          <w:rFonts w:hint="eastAsia"/>
          <w:highlight w:val="none"/>
        </w:rPr>
      </w:pPr>
      <w:bookmarkStart w:id="249" w:name="_Toc197780534"/>
      <w:r>
        <w:rPr>
          <w:rFonts w:hint="eastAsia"/>
          <w:highlight w:val="none"/>
          <w:lang w:val="en-US" w:eastAsia="zh-CN"/>
        </w:rPr>
        <w:t xml:space="preserve"> </w:t>
      </w:r>
      <w:r>
        <w:rPr>
          <w:rFonts w:hint="eastAsia"/>
          <w:highlight w:val="none"/>
        </w:rPr>
        <w:t>互联互通应用BI</w:t>
      </w:r>
      <w:bookmarkEnd w:id="249"/>
    </w:p>
    <w:p w14:paraId="3B62CEC5">
      <w:pPr>
        <w:pStyle w:val="12"/>
        <w:shd w:val="clear" w:color="auto" w:fill="auto"/>
        <w:ind w:firstLine="480"/>
        <w:rPr>
          <w:rFonts w:hint="eastAsia"/>
          <w:highlight w:val="none"/>
        </w:rPr>
      </w:pPr>
      <w:r>
        <w:rPr>
          <w:rFonts w:hint="eastAsia"/>
          <w:highlight w:val="none"/>
        </w:rPr>
        <w:t>工作负荷管理：分析门急诊及住院工作量趋势，助力管理人员掌握医护工作情况，优化排班与资源配置，提升运营效率与医疗服务质量。</w:t>
      </w:r>
    </w:p>
    <w:p w14:paraId="181DF85D">
      <w:pPr>
        <w:pStyle w:val="12"/>
        <w:shd w:val="clear" w:color="auto" w:fill="auto"/>
        <w:ind w:firstLine="480"/>
        <w:rPr>
          <w:rFonts w:hint="eastAsia"/>
          <w:highlight w:val="none"/>
        </w:rPr>
      </w:pPr>
      <w:r>
        <w:rPr>
          <w:rFonts w:hint="eastAsia"/>
          <w:highlight w:val="none"/>
        </w:rPr>
        <w:t>患者负担管理：统计门急诊、住院及医保费用，了解患者负担，减轻压力，提升医院经济效益。</w:t>
      </w:r>
    </w:p>
    <w:p w14:paraId="178DA398">
      <w:pPr>
        <w:pStyle w:val="12"/>
        <w:shd w:val="clear" w:color="auto" w:fill="auto"/>
        <w:ind w:firstLine="480"/>
        <w:rPr>
          <w:rFonts w:hint="eastAsia"/>
          <w:highlight w:val="none"/>
        </w:rPr>
      </w:pPr>
      <w:r>
        <w:rPr>
          <w:rFonts w:hint="eastAsia"/>
          <w:highlight w:val="none"/>
        </w:rPr>
        <w:t>门诊动态管理：实时统计候诊、就诊人数及预约率、等候时长，为门诊决策提供数据支持。</w:t>
      </w:r>
    </w:p>
    <w:p w14:paraId="09BE5164">
      <w:pPr>
        <w:pStyle w:val="12"/>
        <w:shd w:val="clear" w:color="auto" w:fill="auto"/>
        <w:ind w:firstLine="480"/>
        <w:rPr>
          <w:rFonts w:hint="eastAsia"/>
          <w:highlight w:val="none"/>
        </w:rPr>
      </w:pPr>
      <w:r>
        <w:rPr>
          <w:rFonts w:hint="eastAsia"/>
          <w:highlight w:val="none"/>
        </w:rPr>
        <w:t>工作效率管理：分析床日效率、平均住院日和床位使用率，科学呈现数据，在保障质量前提下缩短住院日，降低患者费用与资源成本，提升综合效益。</w:t>
      </w:r>
    </w:p>
    <w:p w14:paraId="2588C555">
      <w:pPr>
        <w:pStyle w:val="12"/>
        <w:shd w:val="clear" w:color="auto" w:fill="auto"/>
        <w:ind w:firstLine="480"/>
        <w:rPr>
          <w:rFonts w:hint="eastAsia"/>
          <w:highlight w:val="none"/>
        </w:rPr>
      </w:pPr>
      <w:r>
        <w:rPr>
          <w:rFonts w:hint="eastAsia"/>
          <w:highlight w:val="none"/>
        </w:rPr>
        <w:t>质量与安全：监测手术并发症、切口感染、单病种及重症医学质量指标，挖掘数据价值，促进医疗质量提升。</w:t>
      </w:r>
    </w:p>
    <w:p w14:paraId="2D92EA4E">
      <w:pPr>
        <w:pStyle w:val="12"/>
        <w:shd w:val="clear" w:color="auto" w:fill="auto"/>
        <w:ind w:firstLine="480"/>
        <w:rPr>
          <w:rFonts w:hint="eastAsia"/>
          <w:highlight w:val="none"/>
        </w:rPr>
      </w:pPr>
      <w:r>
        <w:rPr>
          <w:rFonts w:hint="eastAsia"/>
          <w:highlight w:val="none"/>
        </w:rPr>
        <w:t>合理用药监测：通过处方点评比例、抗菌药使用强度、基药使用率等指标，监督用药安全，保障患者用药合理。</w:t>
      </w:r>
    </w:p>
    <w:p w14:paraId="00B79D5F">
      <w:pPr>
        <w:pStyle w:val="6"/>
        <w:rPr>
          <w:rFonts w:hint="eastAsia"/>
          <w:highlight w:val="none"/>
        </w:rPr>
      </w:pPr>
      <w:r>
        <w:rPr>
          <w:rFonts w:hint="eastAsia"/>
          <w:highlight w:val="none"/>
          <w:lang w:val="en-US" w:eastAsia="zh-CN"/>
        </w:rPr>
        <w:t xml:space="preserve"> </w:t>
      </w:r>
      <w:r>
        <w:rPr>
          <w:rFonts w:hint="eastAsia"/>
          <w:highlight w:val="none"/>
        </w:rPr>
        <w:t>互联互通套件</w:t>
      </w:r>
    </w:p>
    <w:p w14:paraId="739282B5">
      <w:pPr>
        <w:pStyle w:val="7"/>
        <w:rPr>
          <w:rFonts w:hint="eastAsia"/>
          <w:highlight w:val="none"/>
        </w:rPr>
      </w:pPr>
      <w:r>
        <w:rPr>
          <w:rFonts w:hint="eastAsia"/>
          <w:highlight w:val="none"/>
          <w:lang w:val="en-US" w:eastAsia="zh-CN"/>
        </w:rPr>
        <w:t xml:space="preserve"> </w:t>
      </w:r>
      <w:r>
        <w:rPr>
          <w:rFonts w:hint="eastAsia"/>
          <w:highlight w:val="none"/>
        </w:rPr>
        <w:t>互联互通评级四甲定量指标</w:t>
      </w:r>
    </w:p>
    <w:p w14:paraId="058D04EF">
      <w:pPr>
        <w:pStyle w:val="12"/>
        <w:shd w:val="clear" w:color="auto" w:fill="auto"/>
        <w:ind w:firstLine="480"/>
        <w:rPr>
          <w:rFonts w:hint="eastAsia"/>
          <w:highlight w:val="none"/>
        </w:rPr>
      </w:pPr>
      <w:r>
        <w:rPr>
          <w:rFonts w:hint="eastAsia"/>
          <w:highlight w:val="none"/>
        </w:rPr>
        <w:t>医院信息平台建设以平台为中心，实现各子系统的互联互通；结合临床需求，构建以患者为中心的临床数据存储库，以协助医务人员在系统平台上能随时访问所需临床数据，及时有效地作出判断和决策。</w:t>
      </w:r>
    </w:p>
    <w:p w14:paraId="299B45B0">
      <w:pPr>
        <w:pStyle w:val="8"/>
        <w:rPr>
          <w:rFonts w:hint="eastAsia"/>
          <w:highlight w:val="none"/>
        </w:rPr>
      </w:pPr>
      <w:r>
        <w:rPr>
          <w:rFonts w:hint="eastAsia"/>
          <w:highlight w:val="none"/>
          <w:lang w:val="en-US" w:eastAsia="zh-CN"/>
        </w:rPr>
        <w:t xml:space="preserve"> </w:t>
      </w:r>
      <w:r>
        <w:rPr>
          <w:rFonts w:hint="eastAsia"/>
          <w:highlight w:val="none"/>
        </w:rPr>
        <w:t>医院信息平台--互联互通服务包</w:t>
      </w:r>
    </w:p>
    <w:p w14:paraId="138F85E2">
      <w:pPr>
        <w:pStyle w:val="12"/>
        <w:shd w:val="clear" w:color="auto" w:fill="auto"/>
        <w:ind w:firstLine="480"/>
        <w:rPr>
          <w:rFonts w:hint="eastAsia"/>
          <w:highlight w:val="none"/>
        </w:rPr>
      </w:pPr>
      <w:r>
        <w:rPr>
          <w:rFonts w:hint="eastAsia"/>
          <w:highlight w:val="none"/>
        </w:rPr>
        <w:t>包括《国家医疗健康信息医院信息互联互通标准化成熟度测评方案（2020年版）》“3.2互联互通交互服务情况”章节内的等级要求达到“四级甲等”的所有服务：46个消息服务。</w:t>
      </w:r>
    </w:p>
    <w:p w14:paraId="4FF474D4">
      <w:pPr>
        <w:pStyle w:val="8"/>
        <w:rPr>
          <w:rFonts w:hint="eastAsia"/>
          <w:highlight w:val="none"/>
        </w:rPr>
      </w:pPr>
      <w:r>
        <w:rPr>
          <w:rFonts w:hint="eastAsia"/>
          <w:highlight w:val="none"/>
          <w:lang w:val="en-US" w:eastAsia="zh-CN"/>
        </w:rPr>
        <w:t xml:space="preserve"> </w:t>
      </w:r>
      <w:r>
        <w:rPr>
          <w:rFonts w:hint="eastAsia"/>
          <w:highlight w:val="none"/>
        </w:rPr>
        <w:t>医院信息平台--数据标准化专题包</w:t>
      </w:r>
    </w:p>
    <w:p w14:paraId="291808E2">
      <w:pPr>
        <w:pStyle w:val="12"/>
        <w:shd w:val="clear" w:color="auto" w:fill="auto"/>
        <w:ind w:firstLine="480"/>
        <w:rPr>
          <w:rFonts w:hint="eastAsia"/>
          <w:highlight w:val="none"/>
        </w:rPr>
      </w:pPr>
      <w:r>
        <w:rPr>
          <w:rFonts w:hint="eastAsia"/>
          <w:highlight w:val="none"/>
        </w:rPr>
        <w:t>满足《国家医疗健康信息医院信息互联互通标准化成熟度测评方案（2020年版）》“2数据资源标准化建设情况”章节要求的数据资源标准化治理服务和共享文档标准化改造情况。对接HIS、电子病历、手麻、检查、检验、护理、输血、重症、治疗、康复等系统采集共享文档要求的业务数据以生成文档。包括53个共享文档，涵盖17个数据集、58个数据子集。</w:t>
      </w:r>
    </w:p>
    <w:p w14:paraId="282C3A38">
      <w:pPr>
        <w:pStyle w:val="8"/>
        <w:rPr>
          <w:rFonts w:hint="eastAsia"/>
          <w:highlight w:val="none"/>
        </w:rPr>
      </w:pPr>
      <w:bookmarkStart w:id="250" w:name="_Toc99098518"/>
      <w:bookmarkStart w:id="251" w:name="_Toc99098503"/>
      <w:r>
        <w:rPr>
          <w:rFonts w:hint="eastAsia"/>
          <w:highlight w:val="none"/>
          <w:lang w:val="en-US" w:eastAsia="zh-CN"/>
        </w:rPr>
        <w:t xml:space="preserve"> </w:t>
      </w:r>
      <w:r>
        <w:rPr>
          <w:rFonts w:hint="eastAsia"/>
          <w:highlight w:val="none"/>
        </w:rPr>
        <w:t>互联互通标准化测评辅助工具</w:t>
      </w:r>
      <w:bookmarkEnd w:id="250"/>
    </w:p>
    <w:p w14:paraId="1A40824B">
      <w:pPr>
        <w:pStyle w:val="9"/>
        <w:rPr>
          <w:rStyle w:val="40"/>
          <w:rFonts w:hint="eastAsia"/>
          <w:highlight w:val="none"/>
        </w:rPr>
      </w:pPr>
      <w:r>
        <w:rPr>
          <w:highlight w:val="none"/>
        </w:rPr>
        <w:t>标准管理</w:t>
      </w:r>
    </w:p>
    <w:p w14:paraId="41816E81">
      <w:pPr>
        <w:pStyle w:val="12"/>
        <w:shd w:val="clear" w:color="auto" w:fill="auto"/>
        <w:ind w:firstLine="480"/>
        <w:rPr>
          <w:rFonts w:hint="eastAsia"/>
          <w:highlight w:val="none"/>
        </w:rPr>
      </w:pPr>
      <w:r>
        <w:rPr>
          <w:highlight w:val="none"/>
        </w:rPr>
        <w:t>《电子病历共享文档规范》管理：开发专门的管理模块，实现对《电子病历共享文档规范》的有效管理。同时，集成PDF浏览器功能，用户无需下载，即可在系统内在线查看该规范文档，方便快捷地获取规范内容。</w:t>
      </w:r>
    </w:p>
    <w:p w14:paraId="3AC76958">
      <w:pPr>
        <w:pStyle w:val="12"/>
        <w:shd w:val="clear" w:color="auto" w:fill="auto"/>
        <w:ind w:firstLine="480"/>
        <w:rPr>
          <w:rFonts w:hint="eastAsia"/>
          <w:highlight w:val="none"/>
        </w:rPr>
      </w:pPr>
      <w:r>
        <w:rPr>
          <w:highlight w:val="none"/>
        </w:rPr>
        <w:t>《医院信息平台交互规范》管理：搭建对应的管理功能体系，针对《医院信息平台交互规范》进行全面管理。同样配备在线PDF查看功能，保障用户能随时查阅规范详情，满足业务开展对规范参考的需求。</w:t>
      </w:r>
    </w:p>
    <w:p w14:paraId="66756021">
      <w:pPr>
        <w:pStyle w:val="9"/>
        <w:rPr>
          <w:rFonts w:hint="eastAsia"/>
          <w:highlight w:val="none"/>
        </w:rPr>
      </w:pPr>
      <w:r>
        <w:rPr>
          <w:highlight w:val="none"/>
        </w:rPr>
        <w:t>共享文档规则管理</w:t>
      </w:r>
    </w:p>
    <w:p w14:paraId="6961A150">
      <w:pPr>
        <w:pStyle w:val="12"/>
        <w:shd w:val="clear" w:color="auto" w:fill="auto"/>
        <w:ind w:firstLine="480"/>
        <w:rPr>
          <w:rFonts w:hint="eastAsia"/>
          <w:highlight w:val="none"/>
        </w:rPr>
      </w:pPr>
      <w:r>
        <w:rPr>
          <w:highlight w:val="none"/>
        </w:rPr>
        <w:t>提供全面的数据元相关内容编辑和管理功能，严格遵循国家标准定义，具体涵盖以下方面：</w:t>
      </w:r>
    </w:p>
    <w:p w14:paraId="57EF6F66">
      <w:pPr>
        <w:pStyle w:val="12"/>
        <w:shd w:val="clear" w:color="auto" w:fill="auto"/>
        <w:ind w:firstLine="480"/>
        <w:rPr>
          <w:rFonts w:hint="eastAsia"/>
          <w:highlight w:val="none"/>
        </w:rPr>
      </w:pPr>
      <w:r>
        <w:rPr>
          <w:highlight w:val="none"/>
        </w:rPr>
        <w:t>文档元素内部码：支持对文档元素内部码进行精准编辑与管理，确保其唯一性和规范性，方便系统内部对文档元素的识别与处理。</w:t>
      </w:r>
    </w:p>
    <w:p w14:paraId="0D571C16">
      <w:pPr>
        <w:pStyle w:val="12"/>
        <w:shd w:val="clear" w:color="auto" w:fill="auto"/>
        <w:ind w:firstLine="480"/>
        <w:rPr>
          <w:rFonts w:hint="eastAsia"/>
          <w:highlight w:val="none"/>
        </w:rPr>
      </w:pPr>
      <w:r>
        <w:rPr>
          <w:highlight w:val="none"/>
        </w:rPr>
        <w:t>数据元标识符：实现对数据元标识符的有效管理，可进行添加、修改、删除等操作，保证数据元在系统中的准确标识。</w:t>
      </w:r>
    </w:p>
    <w:p w14:paraId="3C49CDA0">
      <w:pPr>
        <w:pStyle w:val="12"/>
        <w:shd w:val="clear" w:color="auto" w:fill="auto"/>
        <w:ind w:firstLine="480"/>
        <w:rPr>
          <w:rFonts w:hint="eastAsia"/>
          <w:highlight w:val="none"/>
        </w:rPr>
      </w:pPr>
      <w:r>
        <w:rPr>
          <w:highlight w:val="none"/>
        </w:rPr>
        <w:t>数据元名称：允许用户对数据元名称进行编辑，确保名称的准确性和一致性，便于业务人员理解和使用。</w:t>
      </w:r>
    </w:p>
    <w:p w14:paraId="32835C79">
      <w:pPr>
        <w:pStyle w:val="12"/>
        <w:shd w:val="clear" w:color="auto" w:fill="auto"/>
        <w:ind w:firstLine="480"/>
        <w:rPr>
          <w:rFonts w:hint="eastAsia"/>
          <w:highlight w:val="none"/>
        </w:rPr>
      </w:pPr>
      <w:r>
        <w:rPr>
          <w:highlight w:val="none"/>
        </w:rPr>
        <w:t>表示格式：对数据元的表示格式进行严格管理，确保数据按照标准格式进行存储和展示，提升数据的规范性。</w:t>
      </w:r>
    </w:p>
    <w:p w14:paraId="00F3EB76">
      <w:pPr>
        <w:pStyle w:val="12"/>
        <w:shd w:val="clear" w:color="auto" w:fill="auto"/>
        <w:ind w:firstLine="480"/>
        <w:rPr>
          <w:rFonts w:hint="eastAsia"/>
          <w:highlight w:val="none"/>
        </w:rPr>
      </w:pPr>
      <w:r>
        <w:rPr>
          <w:highlight w:val="none"/>
        </w:rPr>
        <w:t>数据类型：支持对数据元数据类型的管理，确保数据类型的正确定义，避免数据处理过程中的类型错误。</w:t>
      </w:r>
    </w:p>
    <w:p w14:paraId="05351497">
      <w:pPr>
        <w:pStyle w:val="12"/>
        <w:shd w:val="clear" w:color="auto" w:fill="auto"/>
        <w:ind w:firstLine="480"/>
        <w:rPr>
          <w:rFonts w:hint="eastAsia"/>
          <w:highlight w:val="none"/>
        </w:rPr>
      </w:pPr>
      <w:r>
        <w:rPr>
          <w:highlight w:val="none"/>
        </w:rPr>
        <w:t>数据元允许值：可对数据元允许值进行设定和管理，保证录入数据的合法性和有效性。</w:t>
      </w:r>
    </w:p>
    <w:p w14:paraId="19A586CF">
      <w:pPr>
        <w:pStyle w:val="9"/>
        <w:rPr>
          <w:rFonts w:hint="eastAsia"/>
          <w:highlight w:val="none"/>
        </w:rPr>
      </w:pPr>
      <w:r>
        <w:rPr>
          <w:highlight w:val="none"/>
        </w:rPr>
        <w:t>交互服务规则管理</w:t>
      </w:r>
    </w:p>
    <w:p w14:paraId="49927CFA">
      <w:pPr>
        <w:pStyle w:val="12"/>
        <w:shd w:val="clear" w:color="auto" w:fill="auto"/>
        <w:ind w:firstLine="480"/>
        <w:rPr>
          <w:rFonts w:hint="eastAsia"/>
          <w:highlight w:val="none"/>
        </w:rPr>
      </w:pPr>
      <w:r>
        <w:rPr>
          <w:highlight w:val="none"/>
        </w:rPr>
        <w:t>依据国家标准，对交互服务数据元相关规则进行全面管理：</w:t>
      </w:r>
    </w:p>
    <w:p w14:paraId="4D3EB98E">
      <w:pPr>
        <w:pStyle w:val="12"/>
        <w:shd w:val="clear" w:color="auto" w:fill="auto"/>
        <w:ind w:firstLine="480"/>
        <w:rPr>
          <w:rFonts w:hint="eastAsia"/>
          <w:highlight w:val="none"/>
        </w:rPr>
      </w:pPr>
      <w:r>
        <w:rPr>
          <w:highlight w:val="none"/>
        </w:rPr>
        <w:t>数据元标识符：实现对交互服务数据元标识符的精细化管理，方便系统对数据元的快速定位和识别。</w:t>
      </w:r>
    </w:p>
    <w:p w14:paraId="25C53B78">
      <w:pPr>
        <w:pStyle w:val="12"/>
        <w:shd w:val="clear" w:color="auto" w:fill="auto"/>
        <w:ind w:firstLine="480"/>
        <w:rPr>
          <w:rFonts w:hint="eastAsia"/>
          <w:highlight w:val="none"/>
        </w:rPr>
      </w:pPr>
      <w:r>
        <w:rPr>
          <w:highlight w:val="none"/>
        </w:rPr>
        <w:t>数据元名称：支持对数据元名称的编辑与维护，确保名称清晰准确，符合业务实际需求。</w:t>
      </w:r>
    </w:p>
    <w:p w14:paraId="27C06CB7">
      <w:pPr>
        <w:pStyle w:val="12"/>
        <w:shd w:val="clear" w:color="auto" w:fill="auto"/>
        <w:ind w:firstLine="480"/>
        <w:rPr>
          <w:rFonts w:hint="eastAsia"/>
          <w:highlight w:val="none"/>
        </w:rPr>
      </w:pPr>
      <w:r>
        <w:rPr>
          <w:highlight w:val="none"/>
        </w:rPr>
        <w:t>结果类型：对交互服务数据元的结果类型进行有效管理，明确数据处理后的结果呈现形式。</w:t>
      </w:r>
    </w:p>
    <w:p w14:paraId="518C151A">
      <w:pPr>
        <w:pStyle w:val="12"/>
        <w:shd w:val="clear" w:color="auto" w:fill="auto"/>
        <w:ind w:firstLine="480"/>
        <w:rPr>
          <w:rFonts w:hint="eastAsia"/>
          <w:highlight w:val="none"/>
        </w:rPr>
      </w:pPr>
      <w:r>
        <w:rPr>
          <w:highlight w:val="none"/>
        </w:rPr>
        <w:t>表示格式：严格管理数据元的表示格式，保证数据在交互过程中的一致性和规范性。</w:t>
      </w:r>
    </w:p>
    <w:p w14:paraId="6AF8B8AE">
      <w:pPr>
        <w:pStyle w:val="12"/>
        <w:shd w:val="clear" w:color="auto" w:fill="auto"/>
        <w:ind w:firstLine="480"/>
        <w:rPr>
          <w:rFonts w:hint="eastAsia"/>
          <w:highlight w:val="none"/>
        </w:rPr>
      </w:pPr>
      <w:r>
        <w:rPr>
          <w:highlight w:val="none"/>
        </w:rPr>
        <w:t>XPATH路径：提供对XPATH路径的管理功能，方便在数据处理过程中通过XPATH路径准确获取所需数据。</w:t>
      </w:r>
    </w:p>
    <w:p w14:paraId="60934E92">
      <w:pPr>
        <w:pStyle w:val="12"/>
        <w:shd w:val="clear" w:color="auto" w:fill="auto"/>
        <w:ind w:firstLine="480"/>
        <w:rPr>
          <w:rFonts w:hint="eastAsia"/>
          <w:highlight w:val="none"/>
        </w:rPr>
      </w:pPr>
      <w:r>
        <w:rPr>
          <w:highlight w:val="none"/>
        </w:rPr>
        <w:t>XPATH设置状态：对XPATH设置状态进行实时监控和管理，确保XPATH路径的有效性和正确性。</w:t>
      </w:r>
    </w:p>
    <w:p w14:paraId="605ACF55">
      <w:pPr>
        <w:pStyle w:val="9"/>
        <w:rPr>
          <w:rFonts w:hint="eastAsia"/>
          <w:highlight w:val="none"/>
        </w:rPr>
      </w:pPr>
      <w:r>
        <w:rPr>
          <w:highlight w:val="none"/>
        </w:rPr>
        <w:t>交互服务测评</w:t>
      </w:r>
    </w:p>
    <w:p w14:paraId="1E868E29">
      <w:pPr>
        <w:pStyle w:val="12"/>
        <w:shd w:val="clear" w:color="auto" w:fill="auto"/>
        <w:ind w:firstLine="480"/>
        <w:rPr>
          <w:rFonts w:hint="eastAsia"/>
          <w:highlight w:val="none"/>
        </w:rPr>
      </w:pPr>
      <w:r>
        <w:rPr>
          <w:highlight w:val="none"/>
        </w:rPr>
        <w:t>用例管理：搭建完善的用例管理模块，支持对互联互通三甲、四乙、四甲、五乙的用例模板进行维护和管理。用户可根据实际需求新增、修改、删除用例，确保用例的时效性和准确性。</w:t>
      </w:r>
    </w:p>
    <w:p w14:paraId="14245944">
      <w:pPr>
        <w:pStyle w:val="12"/>
        <w:shd w:val="clear" w:color="auto" w:fill="auto"/>
        <w:ind w:firstLine="480"/>
        <w:rPr>
          <w:rFonts w:hint="eastAsia"/>
          <w:highlight w:val="none"/>
        </w:rPr>
      </w:pPr>
      <w:r>
        <w:rPr>
          <w:highlight w:val="none"/>
        </w:rPr>
        <w:t>数据准备：开发离线被测消息请求模板上传功能，方便用户上传所需模板。同时，提供上传量统计功能，使用户能够清晰了解模板上传情况。</w:t>
      </w:r>
    </w:p>
    <w:p w14:paraId="3A691D6C">
      <w:pPr>
        <w:pStyle w:val="12"/>
        <w:shd w:val="clear" w:color="auto" w:fill="auto"/>
        <w:ind w:firstLine="480"/>
        <w:rPr>
          <w:rFonts w:hint="eastAsia"/>
          <w:highlight w:val="none"/>
        </w:rPr>
      </w:pPr>
      <w:r>
        <w:rPr>
          <w:highlight w:val="none"/>
        </w:rPr>
        <w:t>执行测试：支持手动和批量自动测试选取的用例，满足不同测试场景的需求。在测试过程中，实时监控测试进度，通过进度条等可视化方式展示给用户，方便用户掌握测试动态。</w:t>
      </w:r>
    </w:p>
    <w:p w14:paraId="6E77A4A1">
      <w:pPr>
        <w:pStyle w:val="12"/>
        <w:shd w:val="clear" w:color="auto" w:fill="auto"/>
        <w:ind w:firstLine="480"/>
        <w:rPr>
          <w:rFonts w:hint="eastAsia"/>
          <w:highlight w:val="none"/>
        </w:rPr>
      </w:pPr>
      <w:r>
        <w:rPr>
          <w:highlight w:val="none"/>
        </w:rPr>
        <w:t>结果查看：测试执行结束后，提供详细的校验结果查看功能。同时，将校验结果与标准进行比对，展示具体的校验信息，帮助用户快速定位问题，分析测试结果。</w:t>
      </w:r>
    </w:p>
    <w:p w14:paraId="3E4AD5FB">
      <w:pPr>
        <w:pStyle w:val="9"/>
        <w:rPr>
          <w:rFonts w:hint="eastAsia"/>
          <w:highlight w:val="none"/>
        </w:rPr>
      </w:pPr>
      <w:r>
        <w:rPr>
          <w:highlight w:val="none"/>
        </w:rPr>
        <w:t>共享文档测评</w:t>
      </w:r>
    </w:p>
    <w:p w14:paraId="71471CFC">
      <w:pPr>
        <w:pStyle w:val="12"/>
        <w:shd w:val="clear" w:color="auto" w:fill="auto"/>
        <w:ind w:firstLine="480"/>
        <w:rPr>
          <w:rFonts w:hint="eastAsia"/>
          <w:highlight w:val="none"/>
        </w:rPr>
      </w:pPr>
      <w:r>
        <w:rPr>
          <w:highlight w:val="none"/>
        </w:rPr>
        <w:t>用例管理：建立专门的用例管理系统，支持互联互通三甲、四乙、四甲、五乙的用例模板维护和管理。用户可根据实际业务需求对用例进行灵活管理，确保用例的可用性和针对性。</w:t>
      </w:r>
    </w:p>
    <w:p w14:paraId="0CCFE7B1">
      <w:pPr>
        <w:pStyle w:val="12"/>
        <w:shd w:val="clear" w:color="auto" w:fill="auto"/>
        <w:ind w:firstLine="480"/>
        <w:rPr>
          <w:rFonts w:hint="eastAsia"/>
          <w:highlight w:val="none"/>
        </w:rPr>
      </w:pPr>
      <w:r>
        <w:rPr>
          <w:highlight w:val="none"/>
        </w:rPr>
        <w:t>数据准备：提供离线被测文档的单体和批量上传功能，满足用户不同的上传需求。同时，统计上传量，为用户提供数据上传的量化信息。</w:t>
      </w:r>
    </w:p>
    <w:p w14:paraId="2562525B">
      <w:pPr>
        <w:pStyle w:val="12"/>
        <w:shd w:val="clear" w:color="auto" w:fill="auto"/>
        <w:ind w:firstLine="480"/>
        <w:rPr>
          <w:rFonts w:hint="eastAsia"/>
          <w:highlight w:val="none"/>
        </w:rPr>
      </w:pPr>
      <w:r>
        <w:rPr>
          <w:highlight w:val="none"/>
        </w:rPr>
        <w:t>执行测试：支持手动和批量自动测试选取的用例，在测试过程中实时监控测试进度，通过直观的界面展示测试进度情况，让用户随时了解测试进展。</w:t>
      </w:r>
    </w:p>
    <w:p w14:paraId="7960A8C7">
      <w:pPr>
        <w:pStyle w:val="12"/>
        <w:shd w:val="clear" w:color="auto" w:fill="auto"/>
        <w:ind w:firstLine="480"/>
        <w:rPr>
          <w:rFonts w:hint="eastAsia"/>
          <w:highlight w:val="none"/>
        </w:rPr>
      </w:pPr>
      <w:r>
        <w:rPr>
          <w:highlight w:val="none"/>
        </w:rPr>
        <w:t>结果查看：测试完成后，提供校验结果查看功能，并将校验结果与标准进行比对，展示详细的校验信息。此外，支持校验结果的导出，包括导出全部结果、导出错误结果以及按文档类型导出，方便用户对结果进行进一步分析和处理。</w:t>
      </w:r>
    </w:p>
    <w:p w14:paraId="4ABD9095">
      <w:pPr>
        <w:pStyle w:val="12"/>
        <w:shd w:val="clear" w:color="auto" w:fill="auto"/>
        <w:ind w:firstLine="480"/>
        <w:rPr>
          <w:rFonts w:hint="eastAsia"/>
          <w:highlight w:val="none"/>
        </w:rPr>
      </w:pPr>
      <w:r>
        <w:rPr>
          <w:highlight w:val="none"/>
        </w:rPr>
        <w:t>附加功能：</w:t>
      </w:r>
    </w:p>
    <w:p w14:paraId="4EC05758">
      <w:pPr>
        <w:pStyle w:val="12"/>
        <w:shd w:val="clear" w:color="auto" w:fill="auto"/>
        <w:ind w:firstLine="480"/>
        <w:rPr>
          <w:rFonts w:hint="eastAsia"/>
          <w:highlight w:val="none"/>
        </w:rPr>
      </w:pPr>
      <w:r>
        <w:rPr>
          <w:highlight w:val="none"/>
        </w:rPr>
        <w:t>数据存储与服务提供：基于互联互通电子病历共享文档规范、共享文档标准数据集、医院信息平台交互规范，对临床共享文档（CDA）进行结构化、标准化存储。同时，对外提供标准化交互消息服务、结构化注册接口服务，对内提供微服务化的检索调阅接口，满足不同业务场景的数据交互和调用需求。</w:t>
      </w:r>
    </w:p>
    <w:p w14:paraId="205A4C4C">
      <w:pPr>
        <w:pStyle w:val="12"/>
        <w:shd w:val="clear" w:color="auto" w:fill="auto"/>
        <w:ind w:firstLine="480"/>
        <w:rPr>
          <w:rFonts w:hint="eastAsia"/>
          <w:highlight w:val="none"/>
        </w:rPr>
      </w:pPr>
      <w:r>
        <w:rPr>
          <w:highlight w:val="none"/>
        </w:rPr>
        <w:t>模型与模板管理：通过灵活的配置方式，对标准模型、模板进行有效管理，方便用户根据实际业务需求进行定制和调整。</w:t>
      </w:r>
    </w:p>
    <w:p w14:paraId="660F8CBD">
      <w:pPr>
        <w:pStyle w:val="12"/>
        <w:shd w:val="clear" w:color="auto" w:fill="auto"/>
        <w:ind w:firstLine="480"/>
        <w:rPr>
          <w:rFonts w:hint="eastAsia"/>
          <w:highlight w:val="none"/>
        </w:rPr>
      </w:pPr>
      <w:r>
        <w:rPr>
          <w:highlight w:val="none"/>
        </w:rPr>
        <w:t>检索与统计服务：提供多维度的检索服务和统计服务，满足用户对数据的多样化查询需求。同时，对非结构化段落提供全文检索服务，提升数据检索的全面性和准确性。</w:t>
      </w:r>
    </w:p>
    <w:p w14:paraId="137A3114">
      <w:pPr>
        <w:pStyle w:val="12"/>
        <w:shd w:val="clear" w:color="auto" w:fill="auto"/>
        <w:ind w:firstLine="480"/>
        <w:rPr>
          <w:rFonts w:hint="eastAsia"/>
          <w:highlight w:val="none"/>
        </w:rPr>
      </w:pPr>
      <w:r>
        <w:rPr>
          <w:highlight w:val="none"/>
        </w:rPr>
        <w:t>校验与数据管理：依据互联互通定量测评要求，对文档结构化信息进行实时校验、副本生成、履历管理和批量下载，确保数据的质量和安全性。此外，针对对外共享文档的场景，对临床数据中的敏感信息进行定制化脱敏管理，在保证数据原始性和可读性的前提下，保护患者隐私。</w:t>
      </w:r>
    </w:p>
    <w:p w14:paraId="106E0271">
      <w:pPr>
        <w:pStyle w:val="9"/>
        <w:rPr>
          <w:rFonts w:hint="eastAsia"/>
          <w:highlight w:val="none"/>
        </w:rPr>
      </w:pPr>
      <w:r>
        <w:rPr>
          <w:highlight w:val="none"/>
        </w:rPr>
        <w:t>厂商授权管理</w:t>
      </w:r>
    </w:p>
    <w:p w14:paraId="7EF3247C">
      <w:pPr>
        <w:pStyle w:val="12"/>
        <w:shd w:val="clear" w:color="auto" w:fill="auto"/>
        <w:ind w:firstLine="480"/>
        <w:rPr>
          <w:rFonts w:hint="eastAsia"/>
          <w:highlight w:val="none"/>
        </w:rPr>
      </w:pPr>
      <w:r>
        <w:rPr>
          <w:highlight w:val="none"/>
        </w:rPr>
        <w:t>组织机构代码管理：实现组织机构代码的新增、修改、删除功能，可根据不同组织厂商进行维护。确保组织机构代码的准确性和唯一性，方便对不同厂商进行区分和管理。</w:t>
      </w:r>
    </w:p>
    <w:p w14:paraId="341459A6">
      <w:pPr>
        <w:pStyle w:val="12"/>
        <w:shd w:val="clear" w:color="auto" w:fill="auto"/>
        <w:ind w:firstLine="480"/>
        <w:rPr>
          <w:rFonts w:hint="eastAsia"/>
          <w:highlight w:val="none"/>
        </w:rPr>
      </w:pPr>
      <w:r>
        <w:rPr>
          <w:highlight w:val="none"/>
        </w:rPr>
        <w:t>链接管理：搭建链接管理模块，对不同交互服务测试</w:t>
      </w:r>
      <w:r>
        <w:rPr>
          <w:rFonts w:hint="eastAsia"/>
          <w:highlight w:val="none"/>
        </w:rPr>
        <w:t>链接</w:t>
      </w:r>
      <w:r>
        <w:rPr>
          <w:highlight w:val="none"/>
        </w:rPr>
        <w:t>进行集中管理。用户可方便地添加、修改、删除测试连接，确保测试连接的有效性和可维护性。</w:t>
      </w:r>
    </w:p>
    <w:p w14:paraId="743615BD">
      <w:pPr>
        <w:pStyle w:val="12"/>
        <w:shd w:val="clear" w:color="auto" w:fill="auto"/>
        <w:ind w:firstLine="480"/>
        <w:rPr>
          <w:rFonts w:hint="eastAsia"/>
          <w:highlight w:val="none"/>
        </w:rPr>
      </w:pPr>
      <w:r>
        <w:rPr>
          <w:highlight w:val="none"/>
        </w:rPr>
        <w:t>用户管理：新建用户时可将其挂到相应厂商下，实现多厂商之间的信息隔离，各厂商互相看不到彼此的执行信息，保障数据的安全性和隐私性。</w:t>
      </w:r>
    </w:p>
    <w:p w14:paraId="731ADEB3">
      <w:pPr>
        <w:pStyle w:val="12"/>
        <w:shd w:val="clear" w:color="auto" w:fill="auto"/>
        <w:ind w:firstLine="480"/>
        <w:rPr>
          <w:rFonts w:hint="eastAsia"/>
          <w:highlight w:val="none"/>
        </w:rPr>
      </w:pPr>
      <w:r>
        <w:rPr>
          <w:highlight w:val="none"/>
        </w:rPr>
        <w:t>测评工具管理：开发测评工具，依据不同厂商设定的用例，对文档和交互服务进行按需管理。用户可根据实际需求选择相应的用例进行测试，提高测评的针对性和有效性。</w:t>
      </w:r>
    </w:p>
    <w:p w14:paraId="0C5326EC">
      <w:pPr>
        <w:pStyle w:val="9"/>
        <w:rPr>
          <w:rFonts w:hint="eastAsia"/>
          <w:highlight w:val="none"/>
        </w:rPr>
      </w:pPr>
      <w:r>
        <w:rPr>
          <w:highlight w:val="none"/>
        </w:rPr>
        <w:t>实时在线共享文档校验</w:t>
      </w:r>
    </w:p>
    <w:p w14:paraId="14BCE212">
      <w:pPr>
        <w:pStyle w:val="12"/>
        <w:shd w:val="clear" w:color="auto" w:fill="auto"/>
        <w:ind w:firstLine="480"/>
        <w:rPr>
          <w:rFonts w:hint="eastAsia"/>
          <w:highlight w:val="none"/>
        </w:rPr>
      </w:pPr>
      <w:r>
        <w:rPr>
          <w:highlight w:val="none"/>
        </w:rPr>
        <w:t>校验功能实现：在系统中集成共享文档在线校验功能，根据国家对于共享文档的要求，内置国家标准规则。用户只需一键操作，即可对共享文档进行全面检验。</w:t>
      </w:r>
    </w:p>
    <w:p w14:paraId="68CE7324">
      <w:pPr>
        <w:pStyle w:val="12"/>
        <w:shd w:val="clear" w:color="auto" w:fill="auto"/>
        <w:ind w:firstLine="480"/>
        <w:rPr>
          <w:rFonts w:hint="eastAsia"/>
          <w:highlight w:val="none"/>
        </w:rPr>
      </w:pPr>
      <w:r>
        <w:rPr>
          <w:highlight w:val="none"/>
        </w:rPr>
        <w:t>结果展示：校验结果以列表形式展示，将验证通过和验证未通过的项进行分类展示，方便用户直观查验共享文档不符合规范之处，快速定位问题并进行整改。</w:t>
      </w:r>
    </w:p>
    <w:p w14:paraId="05E79D7A">
      <w:pPr>
        <w:pStyle w:val="7"/>
        <w:rPr>
          <w:rFonts w:hint="eastAsia"/>
          <w:highlight w:val="none"/>
        </w:rPr>
      </w:pPr>
      <w:r>
        <w:rPr>
          <w:rFonts w:hint="eastAsia"/>
          <w:highlight w:val="none"/>
          <w:lang w:val="en-US" w:eastAsia="zh-CN"/>
        </w:rPr>
        <w:t xml:space="preserve"> </w:t>
      </w:r>
      <w:r>
        <w:rPr>
          <w:rFonts w:hint="eastAsia"/>
          <w:highlight w:val="none"/>
        </w:rPr>
        <w:t>互联互通评级四甲定性指标</w:t>
      </w:r>
      <w:bookmarkEnd w:id="251"/>
    </w:p>
    <w:p w14:paraId="33D2209F">
      <w:pPr>
        <w:pStyle w:val="8"/>
        <w:rPr>
          <w:rFonts w:hint="eastAsia"/>
          <w:highlight w:val="none"/>
        </w:rPr>
      </w:pPr>
      <w:bookmarkStart w:id="252" w:name="_Toc99098504"/>
      <w:r>
        <w:rPr>
          <w:rFonts w:hint="eastAsia"/>
          <w:highlight w:val="none"/>
          <w:lang w:val="en-US" w:eastAsia="zh-CN"/>
        </w:rPr>
        <w:t xml:space="preserve"> </w:t>
      </w:r>
      <w:r>
        <w:rPr>
          <w:rFonts w:hint="eastAsia"/>
          <w:highlight w:val="none"/>
        </w:rPr>
        <w:t>共享文档配置与管理</w:t>
      </w:r>
      <w:bookmarkEnd w:id="252"/>
    </w:p>
    <w:p w14:paraId="1A58B045">
      <w:pPr>
        <w:pStyle w:val="12"/>
        <w:shd w:val="clear" w:color="auto" w:fill="auto"/>
        <w:ind w:firstLine="480"/>
        <w:rPr>
          <w:rFonts w:hint="eastAsia"/>
          <w:highlight w:val="none"/>
        </w:rPr>
      </w:pPr>
      <w:r>
        <w:rPr>
          <w:rFonts w:hint="eastAsia"/>
          <w:highlight w:val="none"/>
        </w:rPr>
        <w:t>基于电子病历共享规范，实现临床共享文档（CDA）的结构化、标准化存储与管理，提供内外部标准化接口服务：对外支持HL7标准消息交互与注册，对内提供微服务化检索调阅。系统通过灵活配置管理标准模型与模板，支持多维度检索、统计及全文检索，并实现文档结构化信息的实时校验、副本生成、履历管理与批量下载。依据国家数据集规范，定义涵盖53类文档的结构化采集接口，集成HIS、电子病历等多系统数据，参照17个数据集、58个子集完成文档生成。通过HL7注册接口将结构化数据转化为标准文档并存入存储库，以Base64格式保存文档体及完整结构化包。检索库存储可查信息，支持按患者、门诊/住院号等条件检索与调阅，调阅结果符合共享文档标准并携带base64编码文档。提供总量、类型、时间、系统域等维度的统计功能，支持多患者、多就诊情况上传统计。具备精确检索与文档校验能力，可按标准、值域校验并导出Excel报告。下载功能支持按类型、患者分类打包或全量下载。配置管理支持模板绑定、RIM模型调整、字段级脱敏、默认值设置；模板管理支持XML校验与维护。针对共享场景提供定制化脱敏服务，在保护敏感信息的同时保持数据原始性与可读性。</w:t>
      </w:r>
    </w:p>
    <w:p w14:paraId="7EDEC34B">
      <w:pPr>
        <w:pStyle w:val="8"/>
        <w:rPr>
          <w:rFonts w:hint="eastAsia"/>
          <w:highlight w:val="none"/>
        </w:rPr>
      </w:pPr>
      <w:bookmarkStart w:id="253" w:name="_Toc99098511"/>
      <w:r>
        <w:rPr>
          <w:rFonts w:hint="eastAsia"/>
          <w:highlight w:val="none"/>
          <w:lang w:val="en-US" w:eastAsia="zh-CN"/>
        </w:rPr>
        <w:t xml:space="preserve"> </w:t>
      </w:r>
      <w:r>
        <w:rPr>
          <w:rFonts w:hint="eastAsia"/>
          <w:highlight w:val="none"/>
        </w:rPr>
        <w:t>电子病历匿名化</w:t>
      </w:r>
      <w:bookmarkEnd w:id="253"/>
    </w:p>
    <w:p w14:paraId="35FE5C46">
      <w:pPr>
        <w:pStyle w:val="12"/>
        <w:shd w:val="clear" w:color="auto" w:fill="auto"/>
        <w:ind w:firstLine="480"/>
        <w:rPr>
          <w:rFonts w:hint="eastAsia"/>
          <w:highlight w:val="none"/>
        </w:rPr>
      </w:pPr>
      <w:bookmarkStart w:id="254" w:name="_Hlk99091492"/>
      <w:bookmarkStart w:id="255" w:name="_Hlk157635596"/>
      <w:r>
        <w:rPr>
          <w:rFonts w:hint="eastAsia"/>
          <w:highlight w:val="none"/>
        </w:rPr>
        <w:t>基于对外共享文档的场景，对电子病历共享文档中的患者基本信息进行匿名化处理，同时保留数据的原始性和可读性。支持对共享文档中患者基本信息的匿名化处理</w:t>
      </w:r>
      <w:bookmarkEnd w:id="254"/>
      <w:r>
        <w:rPr>
          <w:rFonts w:hint="eastAsia"/>
          <w:highlight w:val="none"/>
        </w:rPr>
        <w:t>方式进行定制。</w:t>
      </w:r>
      <w:bookmarkEnd w:id="255"/>
    </w:p>
    <w:p w14:paraId="5C97EBFF">
      <w:pPr>
        <w:pStyle w:val="5"/>
        <w:rPr>
          <w:rFonts w:hint="eastAsia"/>
          <w:highlight w:val="none"/>
        </w:rPr>
      </w:pPr>
      <w:r>
        <w:rPr>
          <w:rFonts w:hint="eastAsia"/>
          <w:highlight w:val="none"/>
          <w:lang w:val="en-US" w:eastAsia="zh-CN"/>
        </w:rPr>
        <w:t xml:space="preserve"> </w:t>
      </w:r>
      <w:r>
        <w:rPr>
          <w:rFonts w:hint="eastAsia"/>
          <w:highlight w:val="none"/>
        </w:rPr>
        <w:t>管理决策支持</w:t>
      </w:r>
    </w:p>
    <w:p w14:paraId="7D181F64">
      <w:pPr>
        <w:pStyle w:val="12"/>
        <w:shd w:val="clear" w:color="auto" w:fill="auto"/>
        <w:ind w:firstLine="480"/>
        <w:rPr>
          <w:rFonts w:hint="eastAsia"/>
          <w:highlight w:val="none"/>
        </w:rPr>
      </w:pPr>
      <w:r>
        <w:rPr>
          <w:rFonts w:hint="eastAsia"/>
          <w:highlight w:val="none"/>
        </w:rPr>
        <w:t>管理决策支持系统能够从医院的各个信息系统（如HIS、LIS、PACS、EMR等）中采集数据，并将其整合到统一的数据仓库中，解决信息孤岛问题。系统通过数据挖掘、多维分析等技术，对医院的运营数据、医疗质量、财务状况等进行深入分析，并以直观的图表、报表和仪表盘形式展示。</w:t>
      </w:r>
    </w:p>
    <w:p w14:paraId="5201B2FD">
      <w:pPr>
        <w:pStyle w:val="6"/>
        <w:rPr>
          <w:rFonts w:hint="eastAsia"/>
          <w:highlight w:val="none"/>
        </w:rPr>
      </w:pPr>
      <w:r>
        <w:rPr>
          <w:rFonts w:hint="eastAsia"/>
          <w:highlight w:val="none"/>
          <w:lang w:val="en-US" w:eastAsia="zh-CN"/>
        </w:rPr>
        <w:t xml:space="preserve"> </w:t>
      </w:r>
      <w:r>
        <w:rPr>
          <w:rFonts w:hint="eastAsia"/>
          <w:highlight w:val="none"/>
        </w:rPr>
        <w:t>运营数据中心</w:t>
      </w:r>
    </w:p>
    <w:p w14:paraId="18CA2C89">
      <w:pPr>
        <w:pStyle w:val="12"/>
        <w:shd w:val="clear" w:color="auto" w:fill="auto"/>
        <w:ind w:firstLine="480"/>
        <w:rPr>
          <w:rFonts w:hint="eastAsia"/>
          <w:highlight w:val="none"/>
        </w:rPr>
      </w:pPr>
      <w:r>
        <w:rPr>
          <w:rFonts w:hint="eastAsia"/>
          <w:highlight w:val="none"/>
        </w:rPr>
        <w:t>运营数据中心旨在整合医院多院区、异构系统的数据，构建以患者为中心、管理为主线、后勤为支撑的运营体系，通过多维度、分层级的数据统计与汇总，满足人、财、物管理需求，支撑精细化管理和决策。</w:t>
      </w:r>
    </w:p>
    <w:p w14:paraId="5F6794E1">
      <w:pPr>
        <w:pStyle w:val="12"/>
        <w:shd w:val="clear" w:color="auto" w:fill="auto"/>
        <w:ind w:firstLine="480"/>
        <w:rPr>
          <w:rFonts w:hint="eastAsia"/>
          <w:highlight w:val="none"/>
        </w:rPr>
      </w:pPr>
      <w:r>
        <w:rPr>
          <w:rFonts w:hint="eastAsia"/>
          <w:highlight w:val="none"/>
        </w:rPr>
        <w:t>中心包含多维数据模型、明细数据、汇总数据和维度数据。多维模型支持对数据立方体的旋转、切片、钻取等操作，提供直观分析；明细层按主题域稳定清洗并复制真实数据；汇总层对明细数据聚合，支持主题域分析；维度层提供基础字典，支撑数据处理与统计。</w:t>
      </w:r>
    </w:p>
    <w:p w14:paraId="13AEBFDB">
      <w:pPr>
        <w:pStyle w:val="12"/>
        <w:shd w:val="clear" w:color="auto" w:fill="auto"/>
        <w:ind w:firstLine="480"/>
        <w:rPr>
          <w:rFonts w:hint="eastAsia"/>
          <w:highlight w:val="none"/>
        </w:rPr>
      </w:pPr>
      <w:r>
        <w:rPr>
          <w:rFonts w:hint="eastAsia"/>
          <w:highlight w:val="none"/>
        </w:rPr>
        <w:t>系统涵盖数据仓库及多维模型，包括时间、院区、科室等维度表，门诊、住院、收入宽表模型，费用、效率、医保事实表，以及时间与科室的汇总统计模型。</w:t>
      </w:r>
    </w:p>
    <w:p w14:paraId="7101228B">
      <w:pPr>
        <w:pStyle w:val="6"/>
        <w:rPr>
          <w:rFonts w:hint="eastAsia"/>
          <w:highlight w:val="none"/>
        </w:rPr>
      </w:pPr>
      <w:r>
        <w:rPr>
          <w:rFonts w:hint="eastAsia"/>
          <w:highlight w:val="none"/>
          <w:lang w:val="en-US" w:eastAsia="zh-CN"/>
        </w:rPr>
        <w:t xml:space="preserve"> </w:t>
      </w:r>
      <w:r>
        <w:rPr>
          <w:rFonts w:hint="eastAsia"/>
          <w:highlight w:val="none"/>
        </w:rPr>
        <w:t>管理决策支持系统</w:t>
      </w:r>
    </w:p>
    <w:p w14:paraId="2C8D3B1F">
      <w:pPr>
        <w:pStyle w:val="7"/>
        <w:rPr>
          <w:rFonts w:hint="eastAsia"/>
          <w:highlight w:val="none"/>
        </w:rPr>
      </w:pPr>
      <w:bookmarkStart w:id="256" w:name="_Toc197780513"/>
      <w:r>
        <w:rPr>
          <w:rFonts w:hint="eastAsia"/>
          <w:highlight w:val="none"/>
          <w:lang w:val="en-US" w:eastAsia="zh-CN"/>
        </w:rPr>
        <w:t xml:space="preserve"> </w:t>
      </w:r>
      <w:r>
        <w:rPr>
          <w:rFonts w:hint="eastAsia"/>
          <w:highlight w:val="none"/>
        </w:rPr>
        <w:t>全院数据统计分析</w:t>
      </w:r>
      <w:bookmarkEnd w:id="256"/>
    </w:p>
    <w:p w14:paraId="6C51B944">
      <w:pPr>
        <w:pStyle w:val="12"/>
        <w:shd w:val="clear" w:color="auto" w:fill="auto"/>
        <w:ind w:firstLine="480"/>
        <w:rPr>
          <w:rFonts w:hint="eastAsia"/>
          <w:highlight w:val="none"/>
        </w:rPr>
      </w:pPr>
      <w:r>
        <w:rPr>
          <w:rFonts w:hint="eastAsia"/>
          <w:highlight w:val="none"/>
        </w:rPr>
        <w:t>支持基于运营数据中心的数据做全院数据的统计分析，支持全院各部分重点信息整合展示，包括历史数据的数据概览，运营数据的实时监控，实时监控需要包括门诊、住院、收入、手术四个主要部分。</w:t>
      </w:r>
    </w:p>
    <w:p w14:paraId="5971CC82">
      <w:pPr>
        <w:pStyle w:val="12"/>
        <w:shd w:val="clear" w:color="auto" w:fill="auto"/>
        <w:ind w:firstLine="480"/>
        <w:rPr>
          <w:rFonts w:hint="eastAsia"/>
          <w:highlight w:val="none"/>
        </w:rPr>
      </w:pPr>
      <w:r>
        <w:rPr>
          <w:rFonts w:hint="eastAsia"/>
          <w:highlight w:val="none"/>
        </w:rPr>
        <w:t>历史数据需包含门诊、住院、手术、收入、检查、质量和合理用药相关的统计分析。</w:t>
      </w:r>
    </w:p>
    <w:p w14:paraId="11455B98">
      <w:pPr>
        <w:pStyle w:val="12"/>
        <w:shd w:val="clear" w:color="auto" w:fill="auto"/>
        <w:ind w:firstLine="480"/>
        <w:rPr>
          <w:rFonts w:hint="eastAsia"/>
          <w:highlight w:val="none"/>
        </w:rPr>
      </w:pPr>
      <w:r>
        <w:rPr>
          <w:rFonts w:hint="eastAsia"/>
          <w:highlight w:val="none"/>
        </w:rPr>
        <w:t>门诊运营：对门急诊人次进行多维度、深层次的分析，分别门诊人次、门诊费用、患者分析，按号别统计，深入到科室的各个维度，可以为相关管理人员做出更为及时准确地医院管理、制定计划等提供可靠的数据依据。</w:t>
      </w:r>
    </w:p>
    <w:p w14:paraId="611EA1A4">
      <w:pPr>
        <w:pStyle w:val="12"/>
        <w:shd w:val="clear" w:color="auto" w:fill="auto"/>
        <w:ind w:firstLine="480"/>
        <w:rPr>
          <w:rFonts w:hint="eastAsia"/>
          <w:highlight w:val="none"/>
        </w:rPr>
      </w:pPr>
      <w:r>
        <w:rPr>
          <w:rFonts w:hint="eastAsia"/>
          <w:highlight w:val="none"/>
        </w:rPr>
        <w:t>住院运营：通过对住院床位、科室的工作量进行多角度、深层次的综合分析，使得相关管理人员能够全面、及时地掌握医护人员的工作情况，进而进行更为合理地安排工作计划、更为有效地进行资源调配，从而提高整体运营效率以及提高医疗服务的质量。支持同一场景下多维度数据分析。</w:t>
      </w:r>
    </w:p>
    <w:p w14:paraId="34D168F9">
      <w:pPr>
        <w:pStyle w:val="12"/>
        <w:shd w:val="clear" w:color="auto" w:fill="auto"/>
        <w:ind w:firstLine="480"/>
        <w:rPr>
          <w:rFonts w:hint="eastAsia"/>
          <w:highlight w:val="none"/>
        </w:rPr>
      </w:pPr>
      <w:r>
        <w:rPr>
          <w:rFonts w:hint="eastAsia"/>
          <w:highlight w:val="none"/>
        </w:rPr>
        <w:t>手术分析：汇总展示出院患者的手术情况详情，主要包括出院患者手术患者数，择期手术患者数，微创手术患者数，四级手术患者数和日间手术患者数。手术汇总页面主要以患者的出院时间作为数据统计条件。</w:t>
      </w:r>
    </w:p>
    <w:p w14:paraId="59569198">
      <w:pPr>
        <w:pStyle w:val="12"/>
        <w:shd w:val="clear" w:color="auto" w:fill="auto"/>
        <w:ind w:firstLine="480"/>
        <w:rPr>
          <w:rFonts w:hint="eastAsia"/>
          <w:highlight w:val="none"/>
        </w:rPr>
      </w:pPr>
      <w:r>
        <w:rPr>
          <w:rFonts w:hint="eastAsia"/>
          <w:highlight w:val="none"/>
        </w:rPr>
        <w:t>收入分析：分析医院收入有助于医院更好地控制成本，通过对医院收入结构的分析，可以清晰地了解医院的收入来源，包括医疗服务收入、药品收入、检查检验收入等和的比例变化趋势。这有助于医院管理层判断医院的优势科室和潜力项目，从而制定符合医院实际情况的战略规划，明确未来的发展方向。</w:t>
      </w:r>
    </w:p>
    <w:p w14:paraId="15090628">
      <w:pPr>
        <w:pStyle w:val="12"/>
        <w:shd w:val="clear" w:color="auto" w:fill="auto"/>
        <w:ind w:firstLine="480"/>
        <w:rPr>
          <w:rFonts w:hint="eastAsia"/>
          <w:highlight w:val="none"/>
        </w:rPr>
      </w:pPr>
      <w:r>
        <w:rPr>
          <w:rFonts w:hint="eastAsia"/>
          <w:highlight w:val="none"/>
        </w:rPr>
        <w:t>检查分析：检查结果的分析为医疗研究提供了重要的数据支持，有助于推动医学技术的进步，为医院制定科学的医疗策略和管理方案提供依据。</w:t>
      </w:r>
    </w:p>
    <w:p w14:paraId="5C6272F2">
      <w:pPr>
        <w:pStyle w:val="12"/>
        <w:shd w:val="clear" w:color="auto" w:fill="auto"/>
        <w:ind w:firstLine="480"/>
        <w:rPr>
          <w:rFonts w:hint="eastAsia"/>
          <w:highlight w:val="none"/>
        </w:rPr>
      </w:pPr>
      <w:r>
        <w:rPr>
          <w:rFonts w:hint="eastAsia"/>
          <w:highlight w:val="none"/>
        </w:rPr>
        <w:t>医疗质量：医疗质量是医疗服务的核心要素，直接关系到患者的健康和生命安全，对医院、患者、社会以及整个医疗体系都有着极为重要的意义。</w:t>
      </w:r>
    </w:p>
    <w:p w14:paraId="147C3E3D">
      <w:pPr>
        <w:pStyle w:val="12"/>
        <w:shd w:val="clear" w:color="auto" w:fill="auto"/>
        <w:ind w:firstLine="480"/>
        <w:rPr>
          <w:rFonts w:hint="eastAsia"/>
          <w:highlight w:val="none"/>
        </w:rPr>
      </w:pPr>
      <w:r>
        <w:rPr>
          <w:rFonts w:hint="eastAsia"/>
          <w:highlight w:val="none"/>
        </w:rPr>
        <w:t>合理用药：医院合理用药是医疗服务的重要组成部分，不仅关乎患者的健康和安全，还影响医疗资源的合理利用和医疗体系的可持续发展。</w:t>
      </w:r>
    </w:p>
    <w:p w14:paraId="78C0E868">
      <w:pPr>
        <w:pStyle w:val="7"/>
        <w:rPr>
          <w:rFonts w:hint="eastAsia"/>
          <w:highlight w:val="none"/>
        </w:rPr>
      </w:pPr>
      <w:bookmarkStart w:id="257" w:name="_Toc197780514"/>
      <w:r>
        <w:rPr>
          <w:rFonts w:hint="eastAsia"/>
          <w:highlight w:val="none"/>
          <w:lang w:val="en-US" w:eastAsia="zh-CN"/>
        </w:rPr>
        <w:t xml:space="preserve"> </w:t>
      </w:r>
      <w:r>
        <w:rPr>
          <w:rFonts w:hint="eastAsia"/>
          <w:highlight w:val="none"/>
        </w:rPr>
        <w:t>异常数据消息预警</w:t>
      </w:r>
      <w:bookmarkEnd w:id="257"/>
    </w:p>
    <w:p w14:paraId="74183919">
      <w:pPr>
        <w:pStyle w:val="12"/>
        <w:shd w:val="clear" w:color="auto" w:fill="auto"/>
        <w:ind w:firstLine="480"/>
        <w:rPr>
          <w:rFonts w:hint="eastAsia"/>
          <w:highlight w:val="none"/>
        </w:rPr>
      </w:pPr>
      <w:r>
        <w:rPr>
          <w:rFonts w:hint="eastAsia"/>
          <w:highlight w:val="none"/>
        </w:rPr>
        <w:t>有消息预警功能，对当前门诊看诊情况以及住院床位使用情况，基于大数据判断当前数据的合理性，及时给予预警提醒。</w:t>
      </w:r>
    </w:p>
    <w:p w14:paraId="056BE8C4">
      <w:pPr>
        <w:pStyle w:val="7"/>
        <w:rPr>
          <w:rFonts w:hint="eastAsia"/>
          <w:highlight w:val="none"/>
        </w:rPr>
      </w:pPr>
      <w:bookmarkStart w:id="258" w:name="_Toc197780515"/>
      <w:r>
        <w:rPr>
          <w:rFonts w:hint="eastAsia"/>
          <w:highlight w:val="none"/>
          <w:lang w:val="en-US" w:eastAsia="zh-CN"/>
        </w:rPr>
        <w:t xml:space="preserve"> </w:t>
      </w:r>
      <w:r>
        <w:rPr>
          <w:rFonts w:hint="eastAsia"/>
          <w:highlight w:val="none"/>
        </w:rPr>
        <w:t>统一指标管理与展示</w:t>
      </w:r>
      <w:bookmarkEnd w:id="258"/>
    </w:p>
    <w:p w14:paraId="4389008B">
      <w:pPr>
        <w:pStyle w:val="12"/>
        <w:shd w:val="clear" w:color="auto" w:fill="auto"/>
        <w:ind w:firstLine="480"/>
        <w:rPr>
          <w:rFonts w:hint="eastAsia"/>
          <w:highlight w:val="none"/>
        </w:rPr>
      </w:pPr>
      <w:r>
        <w:rPr>
          <w:rFonts w:hint="eastAsia"/>
          <w:highlight w:val="none"/>
        </w:rPr>
        <w:t>提供统一的指标维护管理功能，主要维护指标的基本信息，包括指标名称、指标定义、计算方法、指标说明、指标意义、指标属性、指标类型、指标导向、采集方式、数据来源等。</w:t>
      </w:r>
    </w:p>
    <w:p w14:paraId="5B77D65D">
      <w:pPr>
        <w:pStyle w:val="12"/>
        <w:shd w:val="clear" w:color="auto" w:fill="auto"/>
        <w:ind w:firstLine="480"/>
        <w:rPr>
          <w:rFonts w:hint="eastAsia"/>
          <w:highlight w:val="none"/>
        </w:rPr>
      </w:pPr>
      <w:r>
        <w:rPr>
          <w:rFonts w:hint="eastAsia"/>
          <w:highlight w:val="none"/>
        </w:rPr>
        <w:t>维护的指标信息联动数据分析，根据分析指标内容统一展示指标相关的说明信息。</w:t>
      </w:r>
    </w:p>
    <w:p w14:paraId="5D2FF72B">
      <w:pPr>
        <w:pStyle w:val="7"/>
        <w:rPr>
          <w:rFonts w:hint="eastAsia"/>
          <w:highlight w:val="none"/>
        </w:rPr>
      </w:pPr>
      <w:bookmarkStart w:id="259" w:name="_Toc197780516"/>
      <w:r>
        <w:rPr>
          <w:rFonts w:hint="eastAsia"/>
          <w:highlight w:val="none"/>
          <w:lang w:val="en-US" w:eastAsia="zh-CN"/>
        </w:rPr>
        <w:t xml:space="preserve"> </w:t>
      </w:r>
      <w:r>
        <w:rPr>
          <w:rFonts w:hint="eastAsia"/>
          <w:highlight w:val="none"/>
        </w:rPr>
        <w:t>开放平台自助分析</w:t>
      </w:r>
      <w:bookmarkEnd w:id="259"/>
    </w:p>
    <w:p w14:paraId="6914CFBB">
      <w:pPr>
        <w:pStyle w:val="12"/>
        <w:shd w:val="clear" w:color="auto" w:fill="auto"/>
        <w:ind w:firstLine="480"/>
        <w:rPr>
          <w:rFonts w:hint="eastAsia"/>
          <w:highlight w:val="none"/>
        </w:rPr>
      </w:pPr>
      <w:r>
        <w:rPr>
          <w:rFonts w:hint="eastAsia"/>
          <w:highlight w:val="none"/>
        </w:rPr>
        <w:t>提供自助数据分析平台，满足医院定制化个性需求，数据分析工具简单易用，提供条形图、折线图、饼图、散点图、标签云、仪表盘等多种分析图表，提供一站式自助分析服务体验，从底层的数据接入到上层的自助分析及交互展现，都可以轻松、高效实现。</w:t>
      </w:r>
    </w:p>
    <w:p w14:paraId="28DF85CA">
      <w:pPr>
        <w:pStyle w:val="7"/>
        <w:rPr>
          <w:rFonts w:hint="eastAsia"/>
          <w:highlight w:val="none"/>
        </w:rPr>
      </w:pPr>
      <w:bookmarkStart w:id="260" w:name="_Toc197780517"/>
      <w:r>
        <w:rPr>
          <w:rFonts w:hint="eastAsia"/>
          <w:highlight w:val="none"/>
          <w:lang w:val="en-US" w:eastAsia="zh-CN"/>
        </w:rPr>
        <w:t xml:space="preserve"> </w:t>
      </w:r>
      <w:r>
        <w:rPr>
          <w:rFonts w:hint="eastAsia"/>
          <w:highlight w:val="none"/>
        </w:rPr>
        <w:t>自助报表工具</w:t>
      </w:r>
      <w:bookmarkEnd w:id="260"/>
    </w:p>
    <w:p w14:paraId="7A917517">
      <w:pPr>
        <w:pStyle w:val="12"/>
        <w:shd w:val="clear" w:color="auto" w:fill="auto"/>
        <w:ind w:firstLine="480"/>
        <w:rPr>
          <w:rFonts w:hint="eastAsia"/>
          <w:highlight w:val="none"/>
        </w:rPr>
      </w:pPr>
      <w:r>
        <w:rPr>
          <w:rFonts w:hint="eastAsia"/>
          <w:highlight w:val="none"/>
        </w:rPr>
        <w:t>提供一个强大、灵活、易用的报表分析工具，帮助用户实现一些复杂报表的功能实现，能够根据业务需求灵活定义和调整报表指标，将数据转化为信息，为用户提供清晰、简洁的数据结果。</w:t>
      </w:r>
    </w:p>
    <w:p w14:paraId="3F5EB304">
      <w:pPr>
        <w:pStyle w:val="7"/>
        <w:rPr>
          <w:rFonts w:hint="eastAsia"/>
          <w:highlight w:val="none"/>
        </w:rPr>
      </w:pPr>
      <w:bookmarkStart w:id="261" w:name="_Toc197780518"/>
      <w:r>
        <w:rPr>
          <w:rFonts w:hint="eastAsia"/>
          <w:highlight w:val="none"/>
          <w:lang w:val="en-US" w:eastAsia="zh-CN"/>
        </w:rPr>
        <w:t xml:space="preserve"> </w:t>
      </w:r>
      <w:r>
        <w:rPr>
          <w:rFonts w:hint="eastAsia"/>
          <w:highlight w:val="none"/>
        </w:rPr>
        <w:t>移动端数据展示</w:t>
      </w:r>
      <w:bookmarkEnd w:id="261"/>
    </w:p>
    <w:p w14:paraId="37BCC19C">
      <w:pPr>
        <w:pStyle w:val="12"/>
        <w:shd w:val="clear" w:color="auto" w:fill="auto"/>
        <w:ind w:firstLine="480"/>
        <w:rPr>
          <w:rFonts w:hint="eastAsia"/>
          <w:highlight w:val="none"/>
        </w:rPr>
      </w:pPr>
      <w:r>
        <w:rPr>
          <w:rFonts w:hint="eastAsia"/>
          <w:highlight w:val="none"/>
        </w:rPr>
        <w:t>支持基于PC端的运营指标系统打造的运营决策移动端，提供重点关注的指标，帮助医院管理者随时随地轻松掌握医院整体运行情况。包括历史数据的数据概览，运营数据的实时监控，实时监控需要包括门诊、住院、收入、手术四个主要部分。历史数据需包含门诊、住院、手术、收入、检查、质量和合理用药相关的统计分析。</w:t>
      </w:r>
    </w:p>
    <w:p w14:paraId="730C77E0">
      <w:pPr>
        <w:pStyle w:val="4"/>
        <w:rPr>
          <w:rFonts w:hint="eastAsia"/>
          <w:highlight w:val="none"/>
        </w:rPr>
      </w:pPr>
      <w:r>
        <w:rPr>
          <w:rFonts w:hint="eastAsia"/>
          <w:highlight w:val="none"/>
          <w:lang w:val="en-US" w:eastAsia="zh-CN"/>
        </w:rPr>
        <w:t xml:space="preserve"> </w:t>
      </w:r>
      <w:r>
        <w:rPr>
          <w:rFonts w:hint="eastAsia"/>
          <w:highlight w:val="none"/>
        </w:rPr>
        <w:t>系统接口</w:t>
      </w:r>
    </w:p>
    <w:p w14:paraId="4129E589">
      <w:pPr>
        <w:pStyle w:val="5"/>
        <w:rPr>
          <w:rFonts w:hint="eastAsia"/>
          <w:highlight w:val="none"/>
        </w:rPr>
      </w:pPr>
      <w:r>
        <w:rPr>
          <w:rFonts w:hint="eastAsia"/>
          <w:highlight w:val="none"/>
          <w:lang w:val="en-US" w:eastAsia="zh-CN"/>
        </w:rPr>
        <w:t xml:space="preserve"> </w:t>
      </w:r>
      <w:r>
        <w:rPr>
          <w:rFonts w:hint="eastAsia"/>
          <w:highlight w:val="none"/>
        </w:rPr>
        <w:t>现有系统的接口</w:t>
      </w:r>
    </w:p>
    <w:p w14:paraId="67B66BA1">
      <w:pPr>
        <w:keepNext w:val="0"/>
        <w:keepLines w:val="0"/>
        <w:widowControl/>
        <w:suppressLineNumbers w:val="0"/>
        <w:ind w:firstLine="480" w:firstLineChars="200"/>
        <w:jc w:val="left"/>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投标人应提供与现有系统</w:t>
      </w:r>
      <w:r>
        <w:rPr>
          <w:rFonts w:hint="eastAsia" w:ascii="宋体" w:hAnsi="宋体" w:cs="宋体"/>
          <w:kern w:val="0"/>
          <w:sz w:val="24"/>
          <w:szCs w:val="24"/>
          <w:highlight w:val="none"/>
          <w:lang w:val="en-US" w:eastAsia="zh-CN" w:bidi="ar"/>
        </w:rPr>
        <w:t>、</w:t>
      </w:r>
      <w:r>
        <w:rPr>
          <w:rFonts w:ascii="宋体" w:hAnsi="宋体" w:eastAsia="宋体" w:cs="宋体"/>
          <w:kern w:val="0"/>
          <w:sz w:val="24"/>
          <w:szCs w:val="24"/>
          <w:highlight w:val="none"/>
          <w:lang w:val="en-US" w:eastAsia="zh-CN" w:bidi="ar"/>
        </w:rPr>
        <w:t>核心业务系统对接服务，确保数据互通、信息一致，并有效支撑跨系统的业务协同与流程联通。</w:t>
      </w:r>
    </w:p>
    <w:p w14:paraId="45ADCB6A">
      <w:pPr>
        <w:pStyle w:val="12"/>
        <w:shd w:val="clear" w:color="auto" w:fill="auto"/>
        <w:ind w:firstLine="480"/>
        <w:rPr>
          <w:rFonts w:hint="eastAsia"/>
          <w:highlight w:val="none"/>
        </w:rPr>
      </w:pPr>
      <w:r>
        <w:rPr>
          <w:rFonts w:hint="eastAsia"/>
          <w:highlight w:val="none"/>
        </w:rPr>
        <w:t>现有系统包括：</w:t>
      </w:r>
      <w:r>
        <w:rPr>
          <w:rFonts w:hint="eastAsia"/>
          <w:highlight w:val="none"/>
        </w:rPr>
        <w:t>护理管理、实验室信息管理系统、医学影像管理系统、电生理信息管理系统、病理信息系统、麻醉与围术期信息系统、重症监护信息管理系统、输血管理系统、康复系统、血液透析系统、治疗系统、介入系统、体检信息管理系统、肺功能系统、静脉配置中心管理系统、合理用药系统、处方点评系统、前置审方系统、自助服务系统、医院门户网站、消毒供应室管理系统、单病种质控上报系统、DRGS/DIP</w:t>
      </w:r>
      <w:r>
        <w:rPr>
          <w:rFonts w:hint="eastAsia"/>
          <w:highlight w:val="none"/>
          <w:lang w:eastAsia="zh-CN"/>
        </w:rPr>
        <w:t>、传染病上报、检验检查互认平台</w:t>
      </w:r>
      <w:r>
        <w:rPr>
          <w:rFonts w:hint="eastAsia"/>
          <w:highlight w:val="none"/>
        </w:rPr>
        <w:t>系统等。</w:t>
      </w:r>
    </w:p>
    <w:p w14:paraId="72A8FC3A">
      <w:pPr>
        <w:pStyle w:val="5"/>
        <w:rPr>
          <w:rFonts w:hint="eastAsia"/>
          <w:highlight w:val="none"/>
        </w:rPr>
      </w:pPr>
      <w:r>
        <w:rPr>
          <w:rFonts w:hint="eastAsia"/>
          <w:highlight w:val="none"/>
          <w:lang w:val="en-US" w:eastAsia="zh-CN"/>
        </w:rPr>
        <w:t xml:space="preserve"> </w:t>
      </w:r>
      <w:r>
        <w:rPr>
          <w:rFonts w:hint="eastAsia"/>
          <w:highlight w:val="none"/>
        </w:rPr>
        <w:t>核心业务服务</w:t>
      </w:r>
    </w:p>
    <w:p w14:paraId="6FD4A91B">
      <w:pPr>
        <w:pStyle w:val="12"/>
        <w:shd w:val="clear" w:color="auto" w:fill="auto"/>
        <w:ind w:firstLine="480"/>
        <w:rPr>
          <w:rFonts w:hint="eastAsia"/>
          <w:highlight w:val="none"/>
        </w:rPr>
      </w:pPr>
      <w:r>
        <w:rPr>
          <w:rFonts w:hint="eastAsia"/>
          <w:highlight w:val="none"/>
        </w:rPr>
        <w:t>支持符合医院核心系统业务需求的标准化外联接口。</w:t>
      </w:r>
    </w:p>
    <w:p w14:paraId="75AB912D">
      <w:pPr>
        <w:pStyle w:val="12"/>
        <w:shd w:val="clear" w:color="auto" w:fill="auto"/>
        <w:ind w:firstLine="480"/>
        <w:rPr>
          <w:rFonts w:hint="eastAsia"/>
          <w:highlight w:val="none"/>
        </w:rPr>
      </w:pPr>
      <w:r>
        <w:rPr>
          <w:rFonts w:hint="eastAsia"/>
          <w:highlight w:val="none"/>
        </w:rPr>
        <w:t>支持包含：医嘱、病历、患者、费用、基础信息五大领域的核心业务服务。</w:t>
      </w:r>
    </w:p>
    <w:p w14:paraId="39E3AC0A">
      <w:pPr>
        <w:pStyle w:val="12"/>
        <w:shd w:val="clear" w:color="auto" w:fill="auto"/>
        <w:ind w:firstLine="480"/>
        <w:rPr>
          <w:rFonts w:hint="eastAsia"/>
          <w:highlight w:val="none"/>
        </w:rPr>
      </w:pPr>
      <w:r>
        <w:rPr>
          <w:rFonts w:hint="eastAsia"/>
          <w:highlight w:val="none"/>
        </w:rPr>
        <w:t>支持提供医嘱服务标准外联服务，包括医嘱、医嘱术语、术语对照、药品库存、医嘱组套、诊疗项目、药品用法、用药频次、医嘱字典、草药、检查检验申请单、检查检验报告、病理报告、微生物报告、手术申请单、手术安排、医嘱执行单信息的查询共享，同时支持医嘱开立、医嘱执行功能。</w:t>
      </w:r>
    </w:p>
    <w:p w14:paraId="24AA98ED">
      <w:pPr>
        <w:pStyle w:val="12"/>
        <w:shd w:val="clear" w:color="auto" w:fill="auto"/>
        <w:ind w:firstLine="480"/>
        <w:rPr>
          <w:rFonts w:hint="eastAsia"/>
          <w:highlight w:val="none"/>
        </w:rPr>
      </w:pPr>
      <w:r>
        <w:rPr>
          <w:rFonts w:hint="eastAsia"/>
          <w:highlight w:val="none"/>
        </w:rPr>
        <w:t>支持病历服务标准接口，内部适用多种业务流程。包括诊断基础信息、患者诊断信息、过敏基础信息、患者过敏信息、病历信息、病历模板信息、病案信息、病史信息、出院信息、体温单信息的查询共享，同时需支持为患者开立诊断、编写病历、保存过敏信息功能。</w:t>
      </w:r>
    </w:p>
    <w:p w14:paraId="5B5865A5">
      <w:pPr>
        <w:pStyle w:val="12"/>
        <w:shd w:val="clear" w:color="auto" w:fill="auto"/>
        <w:ind w:firstLine="480"/>
        <w:rPr>
          <w:rFonts w:hint="eastAsia"/>
          <w:highlight w:val="none"/>
        </w:rPr>
      </w:pPr>
      <w:r>
        <w:rPr>
          <w:rFonts w:hint="eastAsia"/>
          <w:highlight w:val="none"/>
        </w:rPr>
        <w:t>支持提供患者服务标准服务接口，包括患者档案、患者挂号、患者入院登记、患者门诊账户、患者就诊卡、患者预约、患者占号、院内排班科室、排班医生、排班号位、电子发票、住院预约、患者转科信息的查询共享，同时需支持患者建档、患者占号、挂号缴费、急诊挂号、诊间缴费、院内绑卡、院内卡充值、患者住院预约、床位预约、住院登记功能。</w:t>
      </w:r>
    </w:p>
    <w:p w14:paraId="634B4D81">
      <w:pPr>
        <w:pStyle w:val="12"/>
        <w:shd w:val="clear" w:color="auto" w:fill="auto"/>
        <w:ind w:firstLine="480"/>
        <w:rPr>
          <w:rFonts w:hint="eastAsia"/>
          <w:highlight w:val="none"/>
        </w:rPr>
      </w:pPr>
      <w:r>
        <w:rPr>
          <w:rFonts w:hint="eastAsia"/>
          <w:highlight w:val="none"/>
        </w:rPr>
        <w:t>支持提供费用服务标准服务接口，包括门诊费用、门诊支付状态、住院日账单、住院费用汇总、住院费用分类汇总、预交金缴费记录、医嘱可退项目信息的查询共享，同时需支持门诊划价、缴纳住院预交金、门诊申请退费功能。</w:t>
      </w:r>
    </w:p>
    <w:p w14:paraId="62A1BB57">
      <w:pPr>
        <w:pStyle w:val="12"/>
        <w:shd w:val="clear" w:color="auto" w:fill="auto"/>
        <w:ind w:firstLine="480"/>
        <w:rPr>
          <w:rFonts w:hint="eastAsia"/>
          <w:highlight w:val="none"/>
        </w:rPr>
      </w:pPr>
      <w:r>
        <w:rPr>
          <w:rFonts w:hint="eastAsia"/>
          <w:highlight w:val="none"/>
        </w:rPr>
        <w:t>支持提供公共基础外联服务标准服务接口，实现科室、人员、物价、药品、诊疗、医院信息、病床信息、婴儿信息、门诊患者信息、住院患者信息共享，同时包括医生登录权限校验功能。</w:t>
      </w:r>
    </w:p>
    <w:p w14:paraId="0BD67D88">
      <w:pPr>
        <w:pStyle w:val="5"/>
        <w:rPr>
          <w:rFonts w:hint="eastAsia"/>
          <w:highlight w:val="none"/>
        </w:rPr>
      </w:pPr>
      <w:r>
        <w:rPr>
          <w:rFonts w:hint="eastAsia"/>
          <w:highlight w:val="none"/>
          <w:lang w:val="en-US" w:eastAsia="zh-CN"/>
        </w:rPr>
        <w:t xml:space="preserve"> </w:t>
      </w:r>
      <w:r>
        <w:rPr>
          <w:rFonts w:hint="eastAsia"/>
          <w:highlight w:val="none"/>
        </w:rPr>
        <w:t>其他接口</w:t>
      </w:r>
    </w:p>
    <w:p w14:paraId="75CAB1E3">
      <w:pPr>
        <w:pStyle w:val="12"/>
        <w:shd w:val="clear" w:color="auto" w:fill="auto"/>
        <w:ind w:firstLine="480"/>
        <w:rPr>
          <w:rFonts w:hint="eastAsia"/>
          <w:highlight w:val="none"/>
        </w:rPr>
      </w:pPr>
      <w:r>
        <w:rPr>
          <w:rFonts w:hint="eastAsia"/>
          <w:highlight w:val="none"/>
        </w:rPr>
        <w:t>1、LIS接口</w:t>
      </w:r>
    </w:p>
    <w:p w14:paraId="0B2347DB">
      <w:pPr>
        <w:pStyle w:val="12"/>
        <w:shd w:val="clear" w:color="auto" w:fill="auto"/>
        <w:ind w:firstLine="480"/>
        <w:rPr>
          <w:rFonts w:hint="eastAsia"/>
          <w:highlight w:val="none"/>
        </w:rPr>
      </w:pPr>
      <w:r>
        <w:rPr>
          <w:rFonts w:hint="eastAsia"/>
          <w:highlight w:val="none"/>
        </w:rPr>
        <w:t>按照第三方厂商接口规范开发LIS接口，大致功能为提供HIS的相关患者数据，供LIS系统调用。</w:t>
      </w:r>
    </w:p>
    <w:p w14:paraId="16D8C9CB">
      <w:pPr>
        <w:pStyle w:val="12"/>
        <w:shd w:val="clear" w:color="auto" w:fill="auto"/>
        <w:ind w:firstLine="480"/>
        <w:rPr>
          <w:rFonts w:hint="eastAsia"/>
          <w:highlight w:val="none"/>
        </w:rPr>
      </w:pPr>
      <w:r>
        <w:rPr>
          <w:rFonts w:hint="eastAsia"/>
          <w:highlight w:val="none"/>
        </w:rPr>
        <w:t>2、PACS接口</w:t>
      </w:r>
    </w:p>
    <w:p w14:paraId="22CD651F">
      <w:pPr>
        <w:pStyle w:val="12"/>
        <w:shd w:val="clear" w:color="auto" w:fill="auto"/>
        <w:ind w:firstLine="480"/>
        <w:rPr>
          <w:rFonts w:hint="eastAsia"/>
          <w:highlight w:val="none"/>
        </w:rPr>
      </w:pPr>
      <w:r>
        <w:rPr>
          <w:rFonts w:hint="eastAsia"/>
          <w:highlight w:val="none"/>
        </w:rPr>
        <w:t>按照第三方厂商接口规范开发PACS接口，大致功能为提供HIS的相关患者数据，供PACS系统调用。</w:t>
      </w:r>
    </w:p>
    <w:p w14:paraId="78BD2082">
      <w:pPr>
        <w:pStyle w:val="12"/>
        <w:shd w:val="clear" w:color="auto" w:fill="auto"/>
        <w:ind w:firstLine="480"/>
        <w:rPr>
          <w:rFonts w:hint="eastAsia"/>
          <w:highlight w:val="none"/>
        </w:rPr>
      </w:pPr>
      <w:r>
        <w:rPr>
          <w:rFonts w:hint="eastAsia"/>
          <w:highlight w:val="none"/>
        </w:rPr>
        <w:t>3、手术麻醉系统接口</w:t>
      </w:r>
    </w:p>
    <w:p w14:paraId="0F8236C2">
      <w:pPr>
        <w:pStyle w:val="12"/>
        <w:shd w:val="clear" w:color="auto" w:fill="auto"/>
        <w:ind w:firstLine="480"/>
        <w:rPr>
          <w:rFonts w:hint="eastAsia"/>
          <w:highlight w:val="none"/>
        </w:rPr>
      </w:pPr>
      <w:r>
        <w:rPr>
          <w:rFonts w:hint="eastAsia"/>
          <w:highlight w:val="none"/>
        </w:rPr>
        <w:t>为手术麻醉厂商提供系统运行的基本基础数据，按照手麻厂商接口规范开发手术麻醉接口。</w:t>
      </w:r>
    </w:p>
    <w:p w14:paraId="3DEF2727">
      <w:pPr>
        <w:pStyle w:val="12"/>
        <w:shd w:val="clear" w:color="auto" w:fill="auto"/>
        <w:ind w:firstLine="480"/>
        <w:rPr>
          <w:rFonts w:hint="eastAsia"/>
          <w:highlight w:val="none"/>
        </w:rPr>
      </w:pPr>
      <w:r>
        <w:rPr>
          <w:rFonts w:hint="eastAsia"/>
          <w:highlight w:val="none"/>
        </w:rPr>
        <w:t>提供患者信息，医嘱信息，手术申请信息等信息接口，供手麻系统调用。调用手术麻醉系统接口查阅患者相关信息供HIS系统使用。</w:t>
      </w:r>
    </w:p>
    <w:p w14:paraId="5C44B815">
      <w:pPr>
        <w:pStyle w:val="12"/>
        <w:shd w:val="clear" w:color="auto" w:fill="auto"/>
        <w:ind w:firstLine="480"/>
        <w:rPr>
          <w:rFonts w:hint="eastAsia"/>
          <w:highlight w:val="none"/>
        </w:rPr>
      </w:pPr>
      <w:r>
        <w:rPr>
          <w:rFonts w:hint="eastAsia"/>
          <w:highlight w:val="none"/>
        </w:rPr>
        <w:t>4、住院护理执行接口</w:t>
      </w:r>
    </w:p>
    <w:p w14:paraId="10457DA4">
      <w:pPr>
        <w:pStyle w:val="12"/>
        <w:shd w:val="clear" w:color="auto" w:fill="auto"/>
        <w:ind w:firstLine="480"/>
        <w:rPr>
          <w:rFonts w:hint="eastAsia"/>
          <w:highlight w:val="none"/>
        </w:rPr>
      </w:pPr>
      <w:r>
        <w:rPr>
          <w:rFonts w:hint="eastAsia"/>
          <w:highlight w:val="none"/>
        </w:rPr>
        <w:t>为住院护理执行厂商提供系统运行的基本基础数据，按照住院护理执行厂商接口规范开发移动产品接口。</w:t>
      </w:r>
    </w:p>
    <w:p w14:paraId="0807B19E">
      <w:pPr>
        <w:pStyle w:val="12"/>
        <w:shd w:val="clear" w:color="auto" w:fill="auto"/>
        <w:ind w:firstLine="480"/>
        <w:rPr>
          <w:rFonts w:hint="eastAsia"/>
          <w:highlight w:val="none"/>
        </w:rPr>
      </w:pPr>
      <w:r>
        <w:rPr>
          <w:rFonts w:hint="eastAsia"/>
          <w:highlight w:val="none"/>
        </w:rPr>
        <w:t>提供住院患者信息，住院医嘱信息查询、及住院护士执行接口，供移动相关产品调用。</w:t>
      </w:r>
    </w:p>
    <w:p w14:paraId="16210EE0">
      <w:pPr>
        <w:pStyle w:val="12"/>
        <w:shd w:val="clear" w:color="auto" w:fill="auto"/>
        <w:ind w:firstLine="480"/>
        <w:rPr>
          <w:rFonts w:hint="eastAsia"/>
          <w:highlight w:val="none"/>
        </w:rPr>
      </w:pPr>
      <w:r>
        <w:rPr>
          <w:rFonts w:hint="eastAsia"/>
          <w:highlight w:val="none"/>
        </w:rPr>
        <w:t>5、排队叫号接口</w:t>
      </w:r>
    </w:p>
    <w:p w14:paraId="570E8325">
      <w:pPr>
        <w:pStyle w:val="12"/>
        <w:shd w:val="clear" w:color="auto" w:fill="auto"/>
        <w:ind w:firstLine="480"/>
        <w:rPr>
          <w:rFonts w:hint="eastAsia"/>
          <w:highlight w:val="none"/>
        </w:rPr>
      </w:pPr>
      <w:r>
        <w:rPr>
          <w:rFonts w:hint="eastAsia"/>
          <w:highlight w:val="none"/>
        </w:rPr>
        <w:t>该接口服务于门诊医生站。按照第三方厂商接口规范开发排队叫号接口，为门诊医生站提供患者挂号相关数据，供排队叫号系统使用。</w:t>
      </w:r>
    </w:p>
    <w:p w14:paraId="3A8E5DF8">
      <w:pPr>
        <w:pStyle w:val="12"/>
        <w:shd w:val="clear" w:color="auto" w:fill="auto"/>
        <w:ind w:firstLine="480"/>
        <w:rPr>
          <w:rFonts w:hint="eastAsia"/>
          <w:highlight w:val="none"/>
        </w:rPr>
      </w:pPr>
      <w:r>
        <w:rPr>
          <w:rFonts w:hint="eastAsia"/>
          <w:highlight w:val="none"/>
        </w:rPr>
        <w:t>6、预约挂号接口</w:t>
      </w:r>
    </w:p>
    <w:p w14:paraId="58EA94B6">
      <w:pPr>
        <w:pStyle w:val="12"/>
        <w:shd w:val="clear" w:color="auto" w:fill="auto"/>
        <w:ind w:firstLine="480"/>
        <w:rPr>
          <w:rFonts w:hint="eastAsia"/>
          <w:highlight w:val="none"/>
        </w:rPr>
      </w:pPr>
      <w:r>
        <w:rPr>
          <w:rFonts w:hint="eastAsia"/>
          <w:highlight w:val="none"/>
        </w:rPr>
        <w:t>按照第三方厂商接口规范开发预约挂号接口。</w:t>
      </w:r>
    </w:p>
    <w:p w14:paraId="55637E7B">
      <w:pPr>
        <w:pStyle w:val="12"/>
        <w:shd w:val="clear" w:color="auto" w:fill="auto"/>
        <w:ind w:firstLine="480"/>
        <w:rPr>
          <w:rFonts w:hint="eastAsia"/>
          <w:highlight w:val="none"/>
        </w:rPr>
      </w:pPr>
      <w:r>
        <w:rPr>
          <w:rFonts w:hint="eastAsia"/>
          <w:highlight w:val="none"/>
        </w:rPr>
        <w:t>提供医生排班、挂号费、预约挂号保存接口，供预约程序调用。</w:t>
      </w:r>
    </w:p>
    <w:p w14:paraId="4F20AAFE">
      <w:pPr>
        <w:pStyle w:val="12"/>
        <w:shd w:val="clear" w:color="auto" w:fill="auto"/>
        <w:ind w:firstLine="480"/>
        <w:rPr>
          <w:rFonts w:hint="eastAsia"/>
          <w:highlight w:val="none"/>
        </w:rPr>
      </w:pPr>
      <w:r>
        <w:rPr>
          <w:rFonts w:hint="eastAsia"/>
          <w:highlight w:val="none"/>
        </w:rPr>
        <w:t>7、自助机接口</w:t>
      </w:r>
    </w:p>
    <w:p w14:paraId="751DDB33">
      <w:pPr>
        <w:pStyle w:val="12"/>
        <w:shd w:val="clear" w:color="auto" w:fill="auto"/>
        <w:ind w:firstLine="480"/>
        <w:rPr>
          <w:rFonts w:hint="eastAsia"/>
          <w:highlight w:val="none"/>
        </w:rPr>
      </w:pPr>
      <w:r>
        <w:rPr>
          <w:rFonts w:hint="eastAsia"/>
          <w:highlight w:val="none"/>
        </w:rPr>
        <w:t>该接口服务于财务科。提供与自助机的软件接口，为患者实现门诊预约、取号、挂号、缴费、查询统计等业务。</w:t>
      </w:r>
    </w:p>
    <w:p w14:paraId="2DAB2B69">
      <w:pPr>
        <w:pStyle w:val="12"/>
        <w:shd w:val="clear" w:color="auto" w:fill="auto"/>
        <w:ind w:firstLine="480"/>
        <w:rPr>
          <w:rFonts w:hint="eastAsia"/>
          <w:highlight w:val="none"/>
        </w:rPr>
      </w:pPr>
      <w:r>
        <w:rPr>
          <w:rFonts w:hint="eastAsia"/>
          <w:highlight w:val="none"/>
        </w:rPr>
        <w:t>8、医生出诊、物价信息大屏显示接口</w:t>
      </w:r>
    </w:p>
    <w:p w14:paraId="0229FE71">
      <w:pPr>
        <w:pStyle w:val="12"/>
        <w:shd w:val="clear" w:color="auto" w:fill="auto"/>
        <w:ind w:firstLine="480"/>
        <w:rPr>
          <w:rFonts w:hint="eastAsia"/>
          <w:highlight w:val="none"/>
        </w:rPr>
      </w:pPr>
      <w:r>
        <w:rPr>
          <w:rFonts w:hint="eastAsia"/>
          <w:highlight w:val="none"/>
        </w:rPr>
        <w:t>调用公示屏提供的显示信息接口，为大屏提供显示数据。</w:t>
      </w:r>
    </w:p>
    <w:p w14:paraId="20333E38">
      <w:pPr>
        <w:pStyle w:val="12"/>
        <w:shd w:val="clear" w:color="auto" w:fill="auto"/>
        <w:ind w:firstLine="480"/>
        <w:rPr>
          <w:rFonts w:hint="eastAsia"/>
          <w:highlight w:val="none"/>
        </w:rPr>
      </w:pPr>
      <w:r>
        <w:rPr>
          <w:rFonts w:hint="eastAsia"/>
          <w:highlight w:val="none"/>
        </w:rPr>
        <w:t>医院门诊医生出诊信息屏，医院物价公示屏的接口对接，将相关内容展现在大屏幕上。</w:t>
      </w:r>
    </w:p>
    <w:p w14:paraId="108D6256">
      <w:pPr>
        <w:pStyle w:val="12"/>
        <w:shd w:val="clear" w:color="auto" w:fill="auto"/>
        <w:ind w:firstLine="480"/>
        <w:rPr>
          <w:rFonts w:hint="eastAsia"/>
          <w:highlight w:val="none"/>
        </w:rPr>
      </w:pPr>
      <w:r>
        <w:rPr>
          <w:rFonts w:hint="eastAsia"/>
          <w:highlight w:val="none"/>
        </w:rPr>
        <w:t>9、公众号及小程序接口</w:t>
      </w:r>
    </w:p>
    <w:p w14:paraId="1B2D5076">
      <w:pPr>
        <w:pStyle w:val="12"/>
        <w:shd w:val="clear" w:color="auto" w:fill="auto"/>
        <w:ind w:firstLine="480"/>
        <w:rPr>
          <w:rFonts w:hint="eastAsia"/>
          <w:highlight w:val="none"/>
        </w:rPr>
      </w:pPr>
      <w:r>
        <w:rPr>
          <w:rFonts w:hint="eastAsia"/>
          <w:highlight w:val="none"/>
        </w:rPr>
        <w:t>提供与公众号及小程序的软件接口，为患者提供门诊预约号、挂号、缴费、查询统计等业务的接口。</w:t>
      </w:r>
    </w:p>
    <w:p w14:paraId="03B6C8CC">
      <w:pPr>
        <w:pStyle w:val="4"/>
        <w:rPr>
          <w:highlight w:val="none"/>
        </w:rPr>
      </w:pPr>
      <w:r>
        <w:rPr>
          <w:rFonts w:hint="eastAsia"/>
          <w:highlight w:val="none"/>
          <w:lang w:val="en-US" w:eastAsia="zh-CN"/>
        </w:rPr>
        <w:t xml:space="preserve"> </w:t>
      </w:r>
      <w:r>
        <w:rPr>
          <w:rFonts w:hint="eastAsia"/>
          <w:highlight w:val="none"/>
        </w:rPr>
        <w:t>对接医疗集团</w:t>
      </w:r>
    </w:p>
    <w:p w14:paraId="37ACF93C">
      <w:pPr>
        <w:ind w:firstLine="480"/>
        <w:rPr>
          <w:rFonts w:hint="eastAsia"/>
          <w:highlight w:val="none"/>
          <w:lang w:val="en-US" w:eastAsia="zh-CN"/>
        </w:rPr>
      </w:pPr>
      <w:r>
        <w:rPr>
          <w:rFonts w:hint="eastAsia"/>
          <w:highlight w:val="none"/>
        </w:rPr>
        <w:t>投标人需提供全面、稳定且高效的对接紧密型城市医疗集团系统服务</w:t>
      </w:r>
      <w:r>
        <w:rPr>
          <w:rFonts w:hint="eastAsia"/>
          <w:highlight w:val="none"/>
          <w:lang w:eastAsia="zh-CN"/>
        </w:rPr>
        <w:t>，</w:t>
      </w:r>
      <w:r>
        <w:rPr>
          <w:rFonts w:hint="eastAsia"/>
          <w:highlight w:val="none"/>
          <w:lang w:val="en-US" w:eastAsia="zh-CN"/>
        </w:rPr>
        <w:t>紧密服务于城市医疗集团的建设与发展。所提供的服务应充分考虑城市医疗集团业务的复杂性和多样性，确保能够满足医疗集团内各医疗机构在信息共享、业务协调等方面的需求，为提升医疗服务质量、优化资源配置提供坚实的技术支撑。</w:t>
      </w:r>
    </w:p>
    <w:p w14:paraId="087BC02E">
      <w:pPr>
        <w:ind w:firstLine="480"/>
        <w:rPr>
          <w:rFonts w:hint="default"/>
          <w:highlight w:val="none"/>
          <w:lang w:val="en-US" w:eastAsia="zh-CN"/>
        </w:rPr>
      </w:pPr>
      <w:r>
        <w:rPr>
          <w:rFonts w:hint="eastAsia"/>
          <w:highlight w:val="none"/>
          <w:lang w:val="en-US" w:eastAsia="zh-CN"/>
        </w:rPr>
        <w:t>投标人所提供的系统对接服务必须严格遵循国家卫生健康委员会关于紧密型城市医疗集团建设相关技术标准与数据规范，以确保系统对接的规范性和合规性。通过符合国家标准，能够保障城市医疗集团内部信息的准确传递和有效利用，促进医疗业务的顺利开展。</w:t>
      </w:r>
    </w:p>
    <w:p w14:paraId="6EED5FA5">
      <w:pPr>
        <w:ind w:firstLine="480"/>
        <w:rPr>
          <w:rFonts w:hint="eastAsia"/>
          <w:highlight w:val="none"/>
        </w:rPr>
      </w:pPr>
      <w:r>
        <w:rPr>
          <w:rFonts w:hint="eastAsia"/>
          <w:highlight w:val="none"/>
        </w:rPr>
        <w:t>投标人所提供的系统对接服务必须符合国家卫生健康委员会关于紧密型城市医疗集团建设的相关技术标准与数据规范，具备良好的兼容性与可扩展性，能够无缝集成现有区域卫生信息平台、电子病历系统、医保结算系统以及公共卫生管理系统。</w:t>
      </w:r>
    </w:p>
    <w:p w14:paraId="122ADDC2">
      <w:pPr>
        <w:ind w:firstLine="480"/>
        <w:rPr>
          <w:rFonts w:hint="default" w:eastAsia="宋体"/>
          <w:highlight w:val="none"/>
          <w:lang w:val="en-US" w:eastAsia="zh-CN"/>
        </w:rPr>
      </w:pPr>
      <w:r>
        <w:rPr>
          <w:rFonts w:hint="eastAsia"/>
          <w:highlight w:val="none"/>
        </w:rPr>
        <w:t>服务应支持统一身份认证、单点登录、权限分级管理等功能，保障不同层级医疗机构用户在合法授权范围内高效访问所需资源。</w:t>
      </w:r>
      <w:r>
        <w:rPr>
          <w:rFonts w:hint="eastAsia"/>
          <w:highlight w:val="none"/>
          <w:lang w:val="en-US" w:eastAsia="zh-CN"/>
        </w:rPr>
        <w:t>权限分级管理功能更够根据用户的角色和职责，精确控制其对系统资源的访问权限，保障在合法授权范围内高效访问所需资源，确保信息的安全性和保密性。</w:t>
      </w:r>
    </w:p>
    <w:p w14:paraId="2FAA0DE5">
      <w:pPr>
        <w:pStyle w:val="4"/>
        <w:rPr>
          <w:rFonts w:hint="eastAsia"/>
          <w:highlight w:val="none"/>
        </w:rPr>
      </w:pPr>
      <w:r>
        <w:rPr>
          <w:rFonts w:hint="eastAsia"/>
          <w:highlight w:val="none"/>
          <w:lang w:val="en-US" w:eastAsia="zh-CN"/>
        </w:rPr>
        <w:t xml:space="preserve"> </w:t>
      </w:r>
      <w:r>
        <w:rPr>
          <w:rFonts w:hint="eastAsia"/>
          <w:highlight w:val="none"/>
        </w:rPr>
        <w:t>评级服务</w:t>
      </w:r>
    </w:p>
    <w:p w14:paraId="2DC11960">
      <w:pPr>
        <w:pStyle w:val="5"/>
        <w:rPr>
          <w:rFonts w:hint="eastAsia"/>
          <w:highlight w:val="none"/>
        </w:rPr>
      </w:pPr>
      <w:r>
        <w:rPr>
          <w:rFonts w:hint="eastAsia"/>
          <w:highlight w:val="none"/>
          <w:lang w:val="en-US" w:eastAsia="zh-CN"/>
        </w:rPr>
        <w:t xml:space="preserve"> </w:t>
      </w:r>
      <w:r>
        <w:rPr>
          <w:rFonts w:hint="eastAsia"/>
          <w:highlight w:val="none"/>
        </w:rPr>
        <w:t>电子病历评级指导</w:t>
      </w:r>
    </w:p>
    <w:p w14:paraId="6DEE038E">
      <w:pPr>
        <w:pStyle w:val="12"/>
        <w:shd w:val="clear" w:color="auto" w:fill="auto"/>
        <w:ind w:firstLine="480"/>
        <w:rPr>
          <w:rFonts w:hint="eastAsia"/>
          <w:highlight w:val="none"/>
        </w:rPr>
      </w:pPr>
      <w:r>
        <w:rPr>
          <w:rFonts w:hint="eastAsia"/>
          <w:highlight w:val="none"/>
        </w:rPr>
        <w:t>为了保障评级工作有序及规范的开展，结合评级标准及过程的理解、评级优秀项目案例的建设经验，为评级项目提供评级整体的指导服务，包括提供差异分析及建设方案，评审过程指导，上报材料审核，评级启动及迎检培训，模拟评审。</w:t>
      </w:r>
    </w:p>
    <w:p w14:paraId="4F1835CA">
      <w:pPr>
        <w:pStyle w:val="6"/>
        <w:rPr>
          <w:rFonts w:hint="eastAsia"/>
          <w:highlight w:val="none"/>
        </w:rPr>
      </w:pPr>
      <w:bookmarkStart w:id="262" w:name="_Toc197780680"/>
      <w:r>
        <w:rPr>
          <w:rFonts w:hint="eastAsia"/>
          <w:highlight w:val="none"/>
          <w:lang w:val="en-US" w:eastAsia="zh-CN"/>
        </w:rPr>
        <w:t xml:space="preserve"> </w:t>
      </w:r>
      <w:r>
        <w:rPr>
          <w:rFonts w:hint="eastAsia"/>
          <w:highlight w:val="none"/>
        </w:rPr>
        <w:t>差异分析及建设方案</w:t>
      </w:r>
      <w:bookmarkEnd w:id="262"/>
    </w:p>
    <w:p w14:paraId="183D0824">
      <w:pPr>
        <w:pStyle w:val="12"/>
        <w:shd w:val="clear" w:color="auto" w:fill="auto"/>
        <w:ind w:firstLine="480"/>
        <w:rPr>
          <w:rFonts w:hint="eastAsia"/>
          <w:highlight w:val="none"/>
        </w:rPr>
      </w:pPr>
      <w:r>
        <w:rPr>
          <w:rFonts w:hint="eastAsia"/>
          <w:highlight w:val="none"/>
        </w:rPr>
        <w:t>通过调研了解医院现有临床相关信息系统功能及应用情况，针对评级标准的要求和专家考察的内容，进行系统功能、应用情况、数据质量内容的差异分析，对需要建设内容进行梳理，制定评级整体的建设计划。此阶段形成差异报告，建设内容，评级整体的建设计划资产文档。</w:t>
      </w:r>
    </w:p>
    <w:p w14:paraId="249D2C62">
      <w:pPr>
        <w:pStyle w:val="6"/>
        <w:rPr>
          <w:rFonts w:hint="eastAsia"/>
          <w:highlight w:val="none"/>
        </w:rPr>
      </w:pPr>
      <w:bookmarkStart w:id="263" w:name="_Toc197780681"/>
      <w:r>
        <w:rPr>
          <w:rFonts w:hint="eastAsia"/>
          <w:highlight w:val="none"/>
          <w:lang w:val="en-US" w:eastAsia="zh-CN"/>
        </w:rPr>
        <w:t xml:space="preserve"> </w:t>
      </w:r>
      <w:r>
        <w:rPr>
          <w:rFonts w:hint="eastAsia"/>
          <w:highlight w:val="none"/>
        </w:rPr>
        <w:t>评审过程指导</w:t>
      </w:r>
      <w:bookmarkEnd w:id="263"/>
    </w:p>
    <w:p w14:paraId="0C7E79DB">
      <w:pPr>
        <w:pStyle w:val="12"/>
        <w:shd w:val="clear" w:color="auto" w:fill="auto"/>
        <w:ind w:firstLine="480"/>
        <w:rPr>
          <w:rFonts w:hint="eastAsia"/>
          <w:highlight w:val="none"/>
        </w:rPr>
      </w:pPr>
      <w:r>
        <w:rPr>
          <w:rFonts w:hint="eastAsia"/>
          <w:highlight w:val="none"/>
        </w:rPr>
        <w:t>对于评审项目建设内容指导。对建设阶段评级标准的解读及相关问题提供专业的指导；业务流程指导方面，对于主要业务流程提供优秀案例，优化业务流程的系统实现方案；报名指导方面，提供报名的过程指导，保障报名结果和质量；材料准备指导方面，提供材料准备相关的指导文档，指导材料准备过程中的相关工作，确保材料内容准确，详细，规范。实用审核指导方面，指导现场做好迎检前系统和数据的准备工作，包括演示功能，演示数据，演示流程的准备，确保实用审核的展示效果。</w:t>
      </w:r>
    </w:p>
    <w:p w14:paraId="7E9BF882">
      <w:pPr>
        <w:pStyle w:val="6"/>
        <w:rPr>
          <w:rFonts w:hint="eastAsia"/>
          <w:highlight w:val="none"/>
        </w:rPr>
      </w:pPr>
      <w:bookmarkStart w:id="264" w:name="_Toc197780682"/>
      <w:r>
        <w:rPr>
          <w:rFonts w:hint="eastAsia"/>
          <w:highlight w:val="none"/>
          <w:lang w:val="en-US" w:eastAsia="zh-CN"/>
        </w:rPr>
        <w:t xml:space="preserve"> </w:t>
      </w:r>
      <w:r>
        <w:rPr>
          <w:rFonts w:hint="eastAsia"/>
          <w:highlight w:val="none"/>
        </w:rPr>
        <w:t>上报实证材料审核</w:t>
      </w:r>
      <w:bookmarkEnd w:id="264"/>
    </w:p>
    <w:p w14:paraId="40C5F538">
      <w:pPr>
        <w:pStyle w:val="12"/>
        <w:shd w:val="clear" w:color="auto" w:fill="auto"/>
        <w:ind w:firstLine="480"/>
        <w:rPr>
          <w:rFonts w:hint="eastAsia"/>
          <w:highlight w:val="none"/>
        </w:rPr>
      </w:pPr>
      <w:r>
        <w:rPr>
          <w:rFonts w:hint="eastAsia"/>
          <w:highlight w:val="none"/>
        </w:rPr>
        <w:t>为确保评审过程实证材料的质量，开展对报名实证材料、补充实证材料、整改实证材料、申述实证材料共四个阶段的审核工作。上报前给出审核意见，并指导进行实证材料的修改工作。同时对国家专家的审核意见进行分析，并给出修改意见，指导项目组完成材料的补交工作。</w:t>
      </w:r>
    </w:p>
    <w:p w14:paraId="24BD8A6E">
      <w:pPr>
        <w:pStyle w:val="6"/>
        <w:rPr>
          <w:rFonts w:hint="eastAsia"/>
          <w:highlight w:val="none"/>
        </w:rPr>
      </w:pPr>
      <w:bookmarkStart w:id="265" w:name="_Toc197780683"/>
      <w:r>
        <w:rPr>
          <w:rFonts w:hint="eastAsia"/>
          <w:highlight w:val="none"/>
          <w:lang w:val="en-US" w:eastAsia="zh-CN"/>
        </w:rPr>
        <w:t xml:space="preserve"> </w:t>
      </w:r>
      <w:r>
        <w:rPr>
          <w:rFonts w:hint="eastAsia"/>
          <w:highlight w:val="none"/>
        </w:rPr>
        <w:t>评级启动及迎检培训</w:t>
      </w:r>
      <w:bookmarkEnd w:id="265"/>
    </w:p>
    <w:p w14:paraId="4E793C6F">
      <w:pPr>
        <w:pStyle w:val="12"/>
        <w:shd w:val="clear" w:color="auto" w:fill="auto"/>
        <w:ind w:firstLine="480"/>
        <w:rPr>
          <w:rFonts w:hint="eastAsia"/>
          <w:highlight w:val="none"/>
        </w:rPr>
      </w:pPr>
      <w:r>
        <w:rPr>
          <w:rFonts w:hint="eastAsia"/>
          <w:highlight w:val="none"/>
        </w:rPr>
        <w:t>评级项目建设初期，开展评级项目建设的启动会，为参与评级工作的领导和医务人员介绍评级的要求和意义，并使参与评级的人员提高评级工作的认识，有助于系统的改造和应用的推广工作。</w:t>
      </w:r>
    </w:p>
    <w:p w14:paraId="43F8F10E">
      <w:pPr>
        <w:pStyle w:val="12"/>
        <w:shd w:val="clear" w:color="auto" w:fill="auto"/>
        <w:ind w:firstLine="480"/>
        <w:rPr>
          <w:rFonts w:hint="eastAsia"/>
          <w:highlight w:val="none"/>
        </w:rPr>
      </w:pPr>
      <w:r>
        <w:rPr>
          <w:rFonts w:hint="eastAsia"/>
          <w:highlight w:val="none"/>
        </w:rPr>
        <w:t>现场评审阶段，对全员及迎检人员进行动员培训，介绍评审事宜和评审注意事项，指导如何做好现场评审前的准备工作。</w:t>
      </w:r>
    </w:p>
    <w:p w14:paraId="7F33A9E2">
      <w:pPr>
        <w:pStyle w:val="6"/>
        <w:rPr>
          <w:rFonts w:hint="eastAsia"/>
          <w:highlight w:val="none"/>
        </w:rPr>
      </w:pPr>
      <w:bookmarkStart w:id="266" w:name="_Toc197780684"/>
      <w:r>
        <w:rPr>
          <w:rFonts w:hint="eastAsia"/>
          <w:highlight w:val="none"/>
          <w:lang w:val="en-US" w:eastAsia="zh-CN"/>
        </w:rPr>
        <w:t xml:space="preserve"> </w:t>
      </w:r>
      <w:r>
        <w:rPr>
          <w:rFonts w:hint="eastAsia"/>
          <w:highlight w:val="none"/>
        </w:rPr>
        <w:t>现场模拟评审</w:t>
      </w:r>
      <w:bookmarkEnd w:id="266"/>
    </w:p>
    <w:p w14:paraId="11FC5CE7">
      <w:pPr>
        <w:pStyle w:val="12"/>
        <w:shd w:val="clear" w:color="auto" w:fill="auto"/>
        <w:ind w:firstLine="480"/>
        <w:rPr>
          <w:rFonts w:hint="eastAsia"/>
          <w:highlight w:val="none"/>
        </w:rPr>
      </w:pPr>
      <w:r>
        <w:rPr>
          <w:rFonts w:hint="eastAsia"/>
          <w:highlight w:val="none"/>
        </w:rPr>
        <w:t>主要在正式评审前，由评级指导顾问按照实用审核的模式及流程对电子病历建设要求进行模拟评审，使迎检人员熟悉实用审核的评审流程，发现迎检过程中存在的问题，制定相关问题的整改方案和计划，以确保正式评审时的演示效果。</w:t>
      </w:r>
    </w:p>
    <w:p w14:paraId="6705411F">
      <w:pPr>
        <w:pStyle w:val="2"/>
        <w:rPr>
          <w:rFonts w:hint="eastAsia"/>
          <w:highlight w:val="none"/>
        </w:rPr>
      </w:pPr>
      <w:bookmarkStart w:id="267" w:name="_Toc18929698"/>
      <w:r>
        <w:rPr>
          <w:rFonts w:hint="eastAsia"/>
          <w:highlight w:val="none"/>
          <w:lang w:val="en-US" w:eastAsia="zh-CN"/>
        </w:rPr>
        <w:t xml:space="preserve"> </w:t>
      </w:r>
      <w:r>
        <w:rPr>
          <w:rFonts w:hint="eastAsia"/>
          <w:highlight w:val="none"/>
        </w:rPr>
        <w:t>项目管理与实施要求</w:t>
      </w:r>
      <w:bookmarkEnd w:id="267"/>
    </w:p>
    <w:p w14:paraId="7F60EF2D">
      <w:pPr>
        <w:pStyle w:val="3"/>
        <w:rPr>
          <w:rFonts w:hint="eastAsia"/>
          <w:highlight w:val="none"/>
        </w:rPr>
      </w:pPr>
      <w:bookmarkStart w:id="268" w:name="_Toc18929699"/>
      <w:r>
        <w:rPr>
          <w:rFonts w:hint="eastAsia"/>
          <w:highlight w:val="none"/>
          <w:lang w:val="en-US" w:eastAsia="zh-CN"/>
        </w:rPr>
        <w:t xml:space="preserve"> </w:t>
      </w:r>
      <w:r>
        <w:rPr>
          <w:rFonts w:hint="eastAsia"/>
          <w:highlight w:val="none"/>
        </w:rPr>
        <w:t>项目进度要求</w:t>
      </w:r>
      <w:bookmarkEnd w:id="268"/>
    </w:p>
    <w:p w14:paraId="3600C6A9">
      <w:pPr>
        <w:pStyle w:val="12"/>
        <w:shd w:val="clear" w:color="auto" w:fill="auto"/>
        <w:ind w:firstLine="480"/>
        <w:rPr>
          <w:rFonts w:hint="eastAsia"/>
          <w:highlight w:val="none"/>
        </w:rPr>
      </w:pPr>
      <w:r>
        <w:rPr>
          <w:rFonts w:hint="eastAsia"/>
          <w:highlight w:val="none"/>
        </w:rPr>
        <w:t>投标人应在充分理解本采购文件用户需求的基础上，以确保工程质量为前提，制定具体的切实可行的项目详细实施进度计划。</w:t>
      </w:r>
    </w:p>
    <w:p w14:paraId="45D29003">
      <w:pPr>
        <w:pStyle w:val="12"/>
        <w:shd w:val="clear" w:color="auto" w:fill="auto"/>
        <w:ind w:firstLine="480"/>
        <w:rPr>
          <w:rFonts w:hint="eastAsia"/>
          <w:highlight w:val="none"/>
        </w:rPr>
      </w:pPr>
      <w:r>
        <w:rPr>
          <w:rFonts w:hint="eastAsia"/>
          <w:highlight w:val="none"/>
        </w:rPr>
        <w:t>投标人可根据自身成熟经验并结合医院实际情况给出合理的项目建设分期方案，投标人的项目设计和实施方案需专家认证，认证后的最终方案由采购人审定。</w:t>
      </w:r>
    </w:p>
    <w:p w14:paraId="24170AE0">
      <w:pPr>
        <w:pStyle w:val="12"/>
        <w:shd w:val="clear" w:color="auto" w:fill="auto"/>
        <w:ind w:firstLine="480"/>
        <w:rPr>
          <w:rFonts w:hint="eastAsia"/>
          <w:highlight w:val="none"/>
        </w:rPr>
      </w:pPr>
      <w:r>
        <w:rPr>
          <w:rFonts w:hint="eastAsia"/>
          <w:highlight w:val="none"/>
        </w:rPr>
        <w:t>投标人需建立本项目各阶段时间表，用以控制本项目开发、实施、测试、运行等各阶段时间，以确保本项目顺利进行，如期完成。整个项目建设的内容包括：在信息管理系统实施中，主要包括系统调研、客户化修正、系统数据准备、系统培训、试运行、系统推广运行等工作。</w:t>
      </w:r>
    </w:p>
    <w:p w14:paraId="4C87130F">
      <w:pPr>
        <w:pStyle w:val="3"/>
        <w:rPr>
          <w:rFonts w:hint="eastAsia"/>
          <w:highlight w:val="none"/>
        </w:rPr>
      </w:pPr>
      <w:bookmarkStart w:id="269" w:name="_Toc18929700"/>
      <w:r>
        <w:rPr>
          <w:rFonts w:hint="eastAsia"/>
          <w:highlight w:val="none"/>
          <w:lang w:val="en-US" w:eastAsia="zh-CN"/>
        </w:rPr>
        <w:t xml:space="preserve"> </w:t>
      </w:r>
      <w:r>
        <w:rPr>
          <w:rFonts w:hint="eastAsia"/>
          <w:highlight w:val="none"/>
        </w:rPr>
        <w:t>项目进场人员要求</w:t>
      </w:r>
      <w:bookmarkEnd w:id="269"/>
    </w:p>
    <w:p w14:paraId="27178250">
      <w:pPr>
        <w:pStyle w:val="12"/>
        <w:shd w:val="clear" w:color="auto" w:fill="auto"/>
        <w:ind w:firstLine="480"/>
        <w:rPr>
          <w:rFonts w:hint="eastAsia"/>
          <w:highlight w:val="none"/>
        </w:rPr>
      </w:pPr>
      <w:r>
        <w:rPr>
          <w:rFonts w:hint="eastAsia"/>
          <w:highlight w:val="none"/>
        </w:rPr>
        <w:t>投标人承诺进场项目经理人员固定，直至项目验收；项目组核心成员在项目建设中不能撤换。</w:t>
      </w:r>
    </w:p>
    <w:p w14:paraId="5390BFE4">
      <w:pPr>
        <w:pStyle w:val="12"/>
        <w:shd w:val="clear" w:color="auto" w:fill="auto"/>
        <w:ind w:firstLine="480"/>
        <w:rPr>
          <w:rFonts w:hint="eastAsia"/>
          <w:highlight w:val="none"/>
        </w:rPr>
      </w:pPr>
      <w:r>
        <w:rPr>
          <w:rFonts w:hint="eastAsia"/>
          <w:highlight w:val="none"/>
        </w:rPr>
        <w:t>所有进场人员必须签订保密协议。</w:t>
      </w:r>
    </w:p>
    <w:p w14:paraId="6AF040EF">
      <w:pPr>
        <w:pStyle w:val="12"/>
        <w:shd w:val="clear" w:color="auto" w:fill="auto"/>
        <w:ind w:firstLine="480"/>
        <w:rPr>
          <w:rFonts w:hint="eastAsia"/>
          <w:highlight w:val="none"/>
        </w:rPr>
      </w:pPr>
      <w:r>
        <w:rPr>
          <w:rFonts w:hint="eastAsia"/>
          <w:highlight w:val="none"/>
        </w:rPr>
        <w:t>项目经理必须具有同类项目实施经验，并成功验收。</w:t>
      </w:r>
    </w:p>
    <w:p w14:paraId="7F6FACBB">
      <w:pPr>
        <w:pStyle w:val="3"/>
        <w:rPr>
          <w:rFonts w:hint="eastAsia"/>
          <w:highlight w:val="none"/>
        </w:rPr>
      </w:pPr>
      <w:bookmarkStart w:id="270" w:name="_Toc18929701"/>
      <w:r>
        <w:rPr>
          <w:rFonts w:hint="eastAsia"/>
          <w:highlight w:val="none"/>
          <w:lang w:val="en-US" w:eastAsia="zh-CN"/>
        </w:rPr>
        <w:t xml:space="preserve"> </w:t>
      </w:r>
      <w:r>
        <w:rPr>
          <w:rFonts w:hint="eastAsia"/>
          <w:highlight w:val="none"/>
        </w:rPr>
        <w:t>文档资料管理</w:t>
      </w:r>
      <w:bookmarkEnd w:id="270"/>
    </w:p>
    <w:p w14:paraId="73898D29">
      <w:pPr>
        <w:pStyle w:val="12"/>
        <w:shd w:val="clear" w:color="auto" w:fill="auto"/>
        <w:ind w:firstLine="480"/>
        <w:rPr>
          <w:rFonts w:hint="eastAsia"/>
          <w:highlight w:val="none"/>
        </w:rPr>
      </w:pPr>
      <w:r>
        <w:rPr>
          <w:rFonts w:hint="eastAsia"/>
          <w:highlight w:val="none"/>
        </w:rPr>
        <w:t>文档是保证项目的实施连贯性的重要保证，投标人需要提供完善的文档，并对项目进行过程中的文档进行有效的管理，接受用户方对项目各阶段评估分析和监督管理。</w:t>
      </w:r>
    </w:p>
    <w:p w14:paraId="2652B7CD">
      <w:pPr>
        <w:pStyle w:val="12"/>
        <w:shd w:val="clear" w:color="auto" w:fill="auto"/>
        <w:ind w:firstLine="480"/>
        <w:rPr>
          <w:rFonts w:hint="eastAsia"/>
          <w:highlight w:val="none"/>
        </w:rPr>
      </w:pPr>
      <w:r>
        <w:rPr>
          <w:rFonts w:hint="eastAsia"/>
          <w:highlight w:val="none"/>
        </w:rPr>
        <w:t>整个项目的过程包括后期修改维护贯穿ISO9001和CMM的规范，使用国家标准码，提供齐全的项目管理、设计和开发、操作说明等书面文档和电子版。</w:t>
      </w:r>
    </w:p>
    <w:p w14:paraId="404FD5C5">
      <w:pPr>
        <w:pStyle w:val="2"/>
        <w:rPr>
          <w:rFonts w:hint="eastAsia"/>
          <w:highlight w:val="none"/>
        </w:rPr>
      </w:pPr>
      <w:bookmarkStart w:id="271" w:name="_Toc18929702"/>
      <w:r>
        <w:rPr>
          <w:rFonts w:hint="eastAsia"/>
          <w:highlight w:val="none"/>
          <w:lang w:val="en-US" w:eastAsia="zh-CN"/>
        </w:rPr>
        <w:t xml:space="preserve"> </w:t>
      </w:r>
      <w:r>
        <w:rPr>
          <w:rFonts w:hint="eastAsia"/>
          <w:highlight w:val="none"/>
        </w:rPr>
        <w:t>培训要求</w:t>
      </w:r>
      <w:bookmarkEnd w:id="271"/>
    </w:p>
    <w:p w14:paraId="6CBEC7E4">
      <w:pPr>
        <w:pStyle w:val="12"/>
        <w:shd w:val="clear" w:color="auto" w:fill="auto"/>
        <w:ind w:firstLine="480"/>
        <w:rPr>
          <w:rFonts w:hint="eastAsia"/>
          <w:highlight w:val="none"/>
        </w:rPr>
      </w:pPr>
      <w:r>
        <w:rPr>
          <w:rFonts w:hint="eastAsia"/>
          <w:highlight w:val="none"/>
        </w:rPr>
        <w:t>结合医院实际情况，拟定详细的系统实施计划，含客户化修改、测试、试运行、培训及上线计划。承诺保证在合同规定时间内上线及上线系统的基本平稳。</w:t>
      </w:r>
    </w:p>
    <w:p w14:paraId="312C5793">
      <w:pPr>
        <w:pStyle w:val="12"/>
        <w:shd w:val="clear" w:color="auto" w:fill="auto"/>
        <w:ind w:firstLine="480"/>
        <w:rPr>
          <w:rFonts w:hint="eastAsia"/>
          <w:highlight w:val="none"/>
        </w:rPr>
      </w:pPr>
      <w:r>
        <w:rPr>
          <w:rFonts w:hint="eastAsia"/>
          <w:highlight w:val="none"/>
        </w:rPr>
        <w:t>系统上线后，需对医院信息人员进行相关维护培训：培训对象包括系统管理员、管理人员、操作员，系统管理人员培训内容为系统中涉及的相关技术内容；管理人员培训内容为系统流程和相关管理思想；操作员为系统的操作培训。</w:t>
      </w:r>
    </w:p>
    <w:p w14:paraId="69E6EC2D">
      <w:pPr>
        <w:pStyle w:val="12"/>
        <w:shd w:val="clear" w:color="auto" w:fill="auto"/>
        <w:ind w:firstLine="480"/>
        <w:rPr>
          <w:rFonts w:hint="eastAsia"/>
          <w:highlight w:val="none"/>
        </w:rPr>
      </w:pPr>
      <w:r>
        <w:rPr>
          <w:rFonts w:hint="eastAsia"/>
          <w:highlight w:val="none"/>
        </w:rPr>
        <w:t>与培训相关的费用，投标人应当一并计算在投标报价中，在实施完成结束前，医院将不为此支付此类费用。</w:t>
      </w:r>
    </w:p>
    <w:p w14:paraId="4CCAC305">
      <w:pPr>
        <w:pStyle w:val="2"/>
        <w:rPr>
          <w:rFonts w:hint="eastAsia"/>
          <w:highlight w:val="none"/>
        </w:rPr>
      </w:pPr>
      <w:bookmarkStart w:id="272" w:name="_Toc18929703"/>
      <w:r>
        <w:rPr>
          <w:rFonts w:hint="eastAsia"/>
          <w:highlight w:val="none"/>
          <w:lang w:val="en-US" w:eastAsia="zh-CN"/>
        </w:rPr>
        <w:t xml:space="preserve"> </w:t>
      </w:r>
      <w:r>
        <w:rPr>
          <w:rFonts w:hint="eastAsia"/>
          <w:highlight w:val="none"/>
        </w:rPr>
        <w:t>技术支持和服务要求</w:t>
      </w:r>
      <w:bookmarkEnd w:id="272"/>
    </w:p>
    <w:p w14:paraId="1547DDE2">
      <w:pPr>
        <w:pStyle w:val="12"/>
        <w:shd w:val="clear" w:color="auto" w:fill="auto"/>
        <w:ind w:firstLine="480"/>
        <w:rPr>
          <w:rFonts w:hint="eastAsia"/>
          <w:highlight w:val="none"/>
        </w:rPr>
      </w:pPr>
      <w:r>
        <w:rPr>
          <w:rFonts w:hint="eastAsia"/>
          <w:highlight w:val="none"/>
        </w:rPr>
        <w:t>1.投标人应该提供各类技术人员的职责，方便用户与相关人员的沟通，协助制定相关子系统的操作规章制度。</w:t>
      </w:r>
    </w:p>
    <w:p w14:paraId="434F35A5">
      <w:pPr>
        <w:pStyle w:val="12"/>
        <w:shd w:val="clear" w:color="auto" w:fill="auto"/>
        <w:ind w:firstLine="480"/>
        <w:rPr>
          <w:rFonts w:hint="eastAsia"/>
          <w:highlight w:val="none"/>
        </w:rPr>
      </w:pPr>
      <w:r>
        <w:rPr>
          <w:rFonts w:hint="eastAsia"/>
          <w:highlight w:val="none"/>
        </w:rPr>
        <w:t>2.软件产品的技术支持服务免费维护期为两年。免费维护期过后，签订技术售后服务合同，软件售后服务费用按照双方协议价格收取。技术免费维护期自甲、乙双方代表在最终项目验收单上签字之日起计算。</w:t>
      </w:r>
    </w:p>
    <w:p w14:paraId="20566807">
      <w:pPr>
        <w:pStyle w:val="12"/>
        <w:shd w:val="clear" w:color="auto" w:fill="auto"/>
        <w:ind w:firstLine="480"/>
        <w:rPr>
          <w:rFonts w:hint="eastAsia"/>
          <w:highlight w:val="none"/>
        </w:rPr>
      </w:pPr>
      <w:r>
        <w:rPr>
          <w:rFonts w:hint="eastAsia"/>
          <w:highlight w:val="none"/>
        </w:rPr>
        <w:t>3.软件产品免费维护期内，应提供系统扩充、升级方面的技术支持服务。</w:t>
      </w:r>
    </w:p>
    <w:p w14:paraId="30AED809">
      <w:pPr>
        <w:pStyle w:val="12"/>
        <w:shd w:val="clear" w:color="auto" w:fill="auto"/>
        <w:ind w:firstLine="480"/>
        <w:rPr>
          <w:rFonts w:hint="eastAsia"/>
          <w:highlight w:val="none"/>
        </w:rPr>
      </w:pPr>
      <w:r>
        <w:rPr>
          <w:rFonts w:hint="eastAsia"/>
          <w:highlight w:val="none"/>
        </w:rPr>
        <w:t>4.投标人应该在项目的实施过程中提供软件支持的服务，这些服务应该包括：</w:t>
      </w:r>
    </w:p>
    <w:p w14:paraId="48AA3ABC">
      <w:pPr>
        <w:pStyle w:val="12"/>
        <w:shd w:val="clear" w:color="auto" w:fill="auto"/>
        <w:ind w:firstLine="480"/>
        <w:rPr>
          <w:rFonts w:hint="eastAsia"/>
          <w:highlight w:val="none"/>
        </w:rPr>
      </w:pPr>
      <w:r>
        <w:rPr>
          <w:rFonts w:hint="eastAsia"/>
          <w:highlight w:val="none"/>
        </w:rPr>
        <w:t>1)对影响到应用系统平稳作业的问题解答与分析，并提出解决方案；</w:t>
      </w:r>
    </w:p>
    <w:p w14:paraId="33144CDE">
      <w:pPr>
        <w:pStyle w:val="12"/>
        <w:shd w:val="clear" w:color="auto" w:fill="auto"/>
        <w:ind w:firstLine="480"/>
        <w:rPr>
          <w:rFonts w:hint="eastAsia"/>
          <w:highlight w:val="none"/>
        </w:rPr>
      </w:pPr>
      <w:r>
        <w:rPr>
          <w:rFonts w:hint="eastAsia"/>
          <w:highlight w:val="none"/>
        </w:rPr>
        <w:t>2)定期进行程序错误的修改、维护、实施；</w:t>
      </w:r>
    </w:p>
    <w:p w14:paraId="647F98BE">
      <w:pPr>
        <w:pStyle w:val="12"/>
        <w:shd w:val="clear" w:color="auto" w:fill="auto"/>
        <w:ind w:firstLine="480"/>
        <w:rPr>
          <w:rFonts w:hint="eastAsia"/>
          <w:highlight w:val="none"/>
        </w:rPr>
      </w:pPr>
      <w:r>
        <w:rPr>
          <w:rFonts w:hint="eastAsia"/>
          <w:highlight w:val="none"/>
        </w:rPr>
        <w:t>3)信息系统的服务关联到软硬件的各个方面，因此必须对所有相关的变化进行实时的更新；</w:t>
      </w:r>
    </w:p>
    <w:p w14:paraId="4B7B11F7">
      <w:pPr>
        <w:pStyle w:val="12"/>
        <w:shd w:val="clear" w:color="auto" w:fill="auto"/>
        <w:ind w:firstLine="480"/>
        <w:rPr>
          <w:rFonts w:hint="eastAsia"/>
          <w:highlight w:val="none"/>
        </w:rPr>
      </w:pPr>
      <w:r>
        <w:rPr>
          <w:rFonts w:hint="eastAsia"/>
          <w:highlight w:val="none"/>
        </w:rPr>
        <w:t>4)对所有的维护活动进行记录，并形成规范的文档，例如记录时间、地点、原因等，最后还要注明完成的时间和人员；</w:t>
      </w:r>
    </w:p>
    <w:p w14:paraId="3DA33615">
      <w:pPr>
        <w:pStyle w:val="12"/>
        <w:shd w:val="clear" w:color="auto" w:fill="auto"/>
        <w:ind w:firstLine="480"/>
        <w:rPr>
          <w:rFonts w:hint="eastAsia"/>
          <w:highlight w:val="none"/>
        </w:rPr>
      </w:pPr>
      <w:r>
        <w:rPr>
          <w:rFonts w:hint="eastAsia"/>
          <w:highlight w:val="none"/>
        </w:rPr>
        <w:t>5)提供7*24小时的维护和故障解决；</w:t>
      </w:r>
    </w:p>
    <w:p w14:paraId="7327ADB0">
      <w:pPr>
        <w:pStyle w:val="12"/>
        <w:shd w:val="clear" w:color="auto" w:fill="auto"/>
        <w:ind w:firstLine="480"/>
        <w:rPr>
          <w:rFonts w:hint="eastAsia"/>
          <w:highlight w:val="none"/>
        </w:rPr>
      </w:pPr>
      <w:r>
        <w:rPr>
          <w:rFonts w:hint="eastAsia"/>
          <w:highlight w:val="none"/>
        </w:rPr>
        <w:t>5.投标人应提供系统的维护服务，维护服务包含但不局限于以下几点：</w:t>
      </w:r>
    </w:p>
    <w:p w14:paraId="1DE28CD3">
      <w:pPr>
        <w:pStyle w:val="12"/>
        <w:shd w:val="clear" w:color="auto" w:fill="auto"/>
        <w:ind w:firstLine="480"/>
        <w:rPr>
          <w:rFonts w:hint="eastAsia"/>
          <w:highlight w:val="none"/>
        </w:rPr>
      </w:pPr>
      <w:r>
        <w:rPr>
          <w:rFonts w:hint="eastAsia"/>
          <w:highlight w:val="none"/>
        </w:rPr>
        <w:t>1)管理、维护系统以及与其他系统的接口；</w:t>
      </w:r>
    </w:p>
    <w:p w14:paraId="5C50C108">
      <w:pPr>
        <w:pStyle w:val="12"/>
        <w:shd w:val="clear" w:color="auto" w:fill="auto"/>
        <w:ind w:firstLine="480"/>
        <w:rPr>
          <w:rFonts w:hint="eastAsia"/>
          <w:highlight w:val="none"/>
        </w:rPr>
      </w:pPr>
      <w:r>
        <w:rPr>
          <w:rFonts w:hint="eastAsia"/>
          <w:highlight w:val="none"/>
        </w:rPr>
        <w:t>2)问题解答、问题分析、与其他合作方的协作；</w:t>
      </w:r>
    </w:p>
    <w:p w14:paraId="2AC0DB0B">
      <w:pPr>
        <w:pStyle w:val="12"/>
        <w:shd w:val="clear" w:color="auto" w:fill="auto"/>
        <w:ind w:firstLine="480"/>
        <w:rPr>
          <w:rFonts w:hint="eastAsia"/>
          <w:highlight w:val="none"/>
        </w:rPr>
      </w:pPr>
      <w:r>
        <w:rPr>
          <w:rFonts w:hint="eastAsia"/>
          <w:highlight w:val="none"/>
        </w:rPr>
        <w:t>3)修正应用软件的错误；</w:t>
      </w:r>
    </w:p>
    <w:p w14:paraId="752160F1">
      <w:pPr>
        <w:pStyle w:val="12"/>
        <w:shd w:val="clear" w:color="auto" w:fill="auto"/>
        <w:ind w:firstLine="480"/>
        <w:rPr>
          <w:rFonts w:hint="eastAsia"/>
          <w:highlight w:val="none"/>
        </w:rPr>
      </w:pPr>
      <w:r>
        <w:rPr>
          <w:rFonts w:hint="eastAsia"/>
          <w:highlight w:val="none"/>
        </w:rPr>
        <w:t>4)维护和执行的服务必须满足系统的操作；</w:t>
      </w:r>
    </w:p>
    <w:p w14:paraId="10584316">
      <w:pPr>
        <w:pStyle w:val="12"/>
        <w:shd w:val="clear" w:color="auto" w:fill="auto"/>
        <w:ind w:firstLine="480"/>
        <w:rPr>
          <w:rFonts w:hint="eastAsia"/>
          <w:highlight w:val="none"/>
        </w:rPr>
      </w:pPr>
      <w:r>
        <w:rPr>
          <w:rFonts w:hint="eastAsia"/>
          <w:highlight w:val="none"/>
        </w:rPr>
        <w:t>5)信息系统的服务是与整个系统相关的，维护服务必须保证系统的一致性与稳定性；</w:t>
      </w:r>
    </w:p>
    <w:p w14:paraId="34D96160">
      <w:pPr>
        <w:pStyle w:val="12"/>
        <w:shd w:val="clear" w:color="auto" w:fill="auto"/>
        <w:ind w:firstLine="480"/>
        <w:rPr>
          <w:rFonts w:hint="eastAsia"/>
          <w:highlight w:val="none"/>
        </w:rPr>
      </w:pPr>
      <w:r>
        <w:rPr>
          <w:rFonts w:hint="eastAsia"/>
          <w:highlight w:val="none"/>
        </w:rPr>
        <w:t>6)对医院系统的每一次改变或是升级都必须对需求进行检查；</w:t>
      </w:r>
    </w:p>
    <w:p w14:paraId="27C812B5">
      <w:pPr>
        <w:pStyle w:val="12"/>
        <w:shd w:val="clear" w:color="auto" w:fill="auto"/>
        <w:ind w:firstLine="480"/>
        <w:rPr>
          <w:rFonts w:hint="eastAsia"/>
          <w:highlight w:val="none"/>
        </w:rPr>
      </w:pPr>
      <w:r>
        <w:rPr>
          <w:rFonts w:hint="eastAsia"/>
          <w:highlight w:val="none"/>
        </w:rPr>
        <w:t>7)评估并保证建议的解决方案是完全符合目前的操作模式，并对系统的正常运作没有影响，所有的调优或修改建议不能够降低系统操作性能。</w:t>
      </w:r>
      <w:bookmarkEnd w:id="1"/>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44">
      <wne:acd wne:acdName="acd9"/>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BwA" wne:acdName="acd9"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986A">
    <w:pPr>
      <w:ind w:firstLine="480"/>
      <w:jc w:val="center"/>
      <w:rPr>
        <w:rFonts w:hint="eastAsia"/>
      </w:rPr>
    </w:pPr>
    <w:r>
      <w:rPr>
        <w:kern w:val="0"/>
      </w:rPr>
      <w:t xml:space="preserve">- </w:t>
    </w:r>
    <w:r>
      <w:rPr>
        <w:kern w:val="0"/>
      </w:rPr>
      <w:fldChar w:fldCharType="begin"/>
    </w:r>
    <w:r>
      <w:rPr>
        <w:kern w:val="0"/>
      </w:rPr>
      <w:instrText xml:space="preserve"> PAGE </w:instrText>
    </w:r>
    <w:r>
      <w:rPr>
        <w:kern w:val="0"/>
      </w:rPr>
      <w:fldChar w:fldCharType="separate"/>
    </w:r>
    <w:r>
      <w:rPr>
        <w:kern w:val="0"/>
      </w:rPr>
      <w:t>18</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8BDF">
    <w:pPr>
      <w:pStyle w:val="19"/>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502AC">
    <w:pPr>
      <w:ind w:firstLine="48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B82FA">
    <w:pPr>
      <w:pStyle w:val="20"/>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0E5B">
    <w:pPr>
      <w:pStyle w:val="20"/>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09948">
    <w:pPr>
      <w:pStyle w:val="20"/>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C525FE"/>
    <w:multiLevelType w:val="multilevel"/>
    <w:tmpl w:val="3BC525FE"/>
    <w:lvl w:ilvl="0" w:tentative="0">
      <w:start w:val="1"/>
      <w:numFmt w:val="decimal"/>
      <w:pStyle w:val="2"/>
      <w:suff w:val="nothing"/>
      <w:lvlText w:val="%1"/>
      <w:lvlJc w:val="left"/>
      <w:pPr>
        <w:ind w:left="0" w:firstLine="0"/>
      </w:pPr>
      <w:rPr>
        <w:rFonts w:hint="eastAsia"/>
      </w:rPr>
    </w:lvl>
    <w:lvl w:ilvl="1" w:tentative="0">
      <w:start w:val="1"/>
      <w:numFmt w:val="decimal"/>
      <w:pStyle w:val="3"/>
      <w:suff w:val="nothing"/>
      <w:lvlText w:val="%1.%2"/>
      <w:lvlJc w:val="left"/>
      <w:pPr>
        <w:ind w:left="0" w:firstLine="0"/>
      </w:pPr>
      <w:rPr>
        <w:rFonts w:hint="eastAsia"/>
      </w:rPr>
    </w:lvl>
    <w:lvl w:ilvl="2" w:tentative="0">
      <w:start w:val="1"/>
      <w:numFmt w:val="decimal"/>
      <w:pStyle w:val="4"/>
      <w:suff w:val="nothing"/>
      <w:lvlText w:val="%1.%2.%3"/>
      <w:lvlJc w:val="left"/>
      <w:pPr>
        <w:ind w:left="0" w:firstLine="0"/>
      </w:pPr>
      <w:rPr>
        <w:rFonts w:hint="eastAsia"/>
      </w:rPr>
    </w:lvl>
    <w:lvl w:ilvl="3" w:tentative="0">
      <w:start w:val="1"/>
      <w:numFmt w:val="decimal"/>
      <w:pStyle w:val="5"/>
      <w:suff w:val="nothing"/>
      <w:lvlText w:val="%1.%2.%3.%4"/>
      <w:lvlJc w:val="left"/>
      <w:pPr>
        <w:ind w:left="0" w:firstLine="0"/>
      </w:pPr>
      <w:rPr>
        <w:rFonts w:hint="eastAsia"/>
      </w:rPr>
    </w:lvl>
    <w:lvl w:ilvl="4" w:tentative="0">
      <w:start w:val="1"/>
      <w:numFmt w:val="decimal"/>
      <w:pStyle w:val="6"/>
      <w:suff w:val="nothing"/>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pStyle w:val="8"/>
      <w:suff w:val="nothing"/>
      <w:lvlText w:val="%1.%2.%3.%4.%5.%6.%7"/>
      <w:lvlJc w:val="left"/>
      <w:pPr>
        <w:ind w:left="0" w:firstLine="0"/>
      </w:pPr>
      <w:rPr>
        <w:rFonts w:hint="eastAsia"/>
      </w:rPr>
    </w:lvl>
    <w:lvl w:ilvl="7" w:tentative="0">
      <w:start w:val="1"/>
      <w:numFmt w:val="decimal"/>
      <w:pStyle w:val="9"/>
      <w:suff w:val="space"/>
      <w:lvlText w:val="%1.%2.%3.%4.%5.%6.%7.%8"/>
      <w:lvlJc w:val="left"/>
      <w:pPr>
        <w:ind w:left="0" w:firstLine="0"/>
      </w:pPr>
    </w:lvl>
    <w:lvl w:ilvl="8" w:tentative="0">
      <w:start w:val="1"/>
      <w:numFmt w:val="decimal"/>
      <w:pStyle w:val="10"/>
      <w:suff w:val="nothing"/>
      <w:lvlText w:val="%1.%2.%3.%4.%5.%6.%7.%8.%9"/>
      <w:lvlJc w:val="left"/>
      <w:pPr>
        <w:ind w:left="0" w:firstLine="0"/>
      </w:pPr>
      <w:rPr>
        <w:rFonts w:hint="eastAsia"/>
      </w:rPr>
    </w:lvl>
  </w:abstractNum>
  <w:num w:numId="1">
    <w:abstractNumId w:val="0"/>
  </w:num>
  <w:num w:numId="2">
    <w:abstractNumId w:val="0"/>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suff w:val="nothing"/>
        <w:lvlText w:val="%1.%2"/>
        <w:lvlJc w:val="left"/>
        <w:pPr>
          <w:ind w:left="0" w:firstLine="0"/>
        </w:pPr>
        <w:rPr>
          <w:rFonts w:hint="eastAsia"/>
        </w:rPr>
      </w:lvl>
    </w:lvlOverride>
    <w:lvlOverride w:ilvl="2">
      <w:lvl w:ilvl="2" w:tentative="1">
        <w:start w:val="1"/>
        <w:numFmt w:val="decimal"/>
        <w:suff w:val="nothing"/>
        <w:lvlText w:val="%1.%2.%3"/>
        <w:lvlJc w:val="left"/>
        <w:pPr>
          <w:ind w:left="0" w:firstLine="0"/>
        </w:pPr>
        <w:rPr>
          <w:rFonts w:hint="eastAsia"/>
        </w:rPr>
      </w:lvl>
    </w:lvlOverride>
    <w:lvlOverride w:ilvl="3">
      <w:lvl w:ilvl="3" w:tentative="1">
        <w:start w:val="1"/>
        <w:numFmt w:val="decimal"/>
        <w:suff w:val="nothing"/>
        <w:lvlText w:val="%1.%2.%3.%4"/>
        <w:lvlJc w:val="left"/>
        <w:pPr>
          <w:ind w:left="0" w:firstLine="0"/>
        </w:pPr>
        <w:rPr>
          <w:rFonts w:hint="eastAsia"/>
        </w:rPr>
      </w:lvl>
    </w:lvlOverride>
    <w:lvlOverride w:ilvl="4">
      <w:lvl w:ilvl="4" w:tentative="1">
        <w:start w:val="1"/>
        <w:numFmt w:val="decimal"/>
        <w:suff w:val="nothing"/>
        <w:lvlText w:val="%1.%2.%3.%4.%5"/>
        <w:lvlJc w:val="left"/>
        <w:pPr>
          <w:ind w:left="0" w:firstLine="0"/>
        </w:pPr>
        <w:rPr>
          <w:rFonts w:hint="eastAsia"/>
        </w:rPr>
      </w:lvl>
    </w:lvlOverride>
    <w:lvlOverride w:ilvl="5">
      <w:lvl w:ilvl="5" w:tentative="1">
        <w:start w:val="1"/>
        <w:numFmt w:val="decimal"/>
        <w:pStyle w:val="7"/>
        <w:suff w:val="nothing"/>
        <w:lvlText w:val="%1.%2.%3.%4.%5.%6"/>
        <w:lvlJc w:val="left"/>
        <w:pPr>
          <w:ind w:left="0" w:firstLine="0"/>
        </w:pPr>
        <w:rPr>
          <w:rFonts w:hint="eastAsia"/>
        </w:rPr>
      </w:lvl>
    </w:lvlOverride>
    <w:lvlOverride w:ilvl="6">
      <w:lvl w:ilvl="6" w:tentative="1">
        <w:start w:val="1"/>
        <w:numFmt w:val="decimal"/>
        <w:suff w:val="nothing"/>
        <w:lvlText w:val="%1.%2.%3.%4.%5.%6.%7"/>
        <w:lvlJc w:val="left"/>
        <w:pPr>
          <w:ind w:left="0" w:firstLine="0"/>
        </w:pPr>
        <w:rPr>
          <w:rFonts w:hint="eastAsia"/>
        </w:rPr>
      </w:lvl>
    </w:lvlOverride>
    <w:lvlOverride w:ilvl="7">
      <w:lvl w:ilvl="7" w:tentative="1">
        <w:start w:val="1"/>
        <w:numFmt w:val="decimal"/>
        <w:suff w:val="space"/>
        <w:lvlText w:val="%1.%2.%3.%4.%5.%6.%7.%8"/>
        <w:lvlJc w:val="left"/>
        <w:pPr>
          <w:ind w:left="0" w:firstLine="0"/>
        </w:pPr>
        <w:rPr>
          <w:rFonts w:hint="eastAsia"/>
        </w:rPr>
      </w:lvl>
    </w:lvlOverride>
    <w:lvlOverride w:ilvl="8">
      <w:lvl w:ilvl="8" w:tentative="1">
        <w:start w:val="1"/>
        <w:numFmt w:val="decimal"/>
        <w:suff w:val="nothing"/>
        <w:lvlText w:val="%1.%2.%3.%4.%5.%6.%7.%8.%9"/>
        <w:lvlJc w:val="left"/>
        <w:pPr>
          <w:ind w:left="0" w:firstLine="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31A"/>
    <w:rsid w:val="00005537"/>
    <w:rsid w:val="00011164"/>
    <w:rsid w:val="00011661"/>
    <w:rsid w:val="00015A50"/>
    <w:rsid w:val="0002709B"/>
    <w:rsid w:val="00033D82"/>
    <w:rsid w:val="0003442C"/>
    <w:rsid w:val="00042A64"/>
    <w:rsid w:val="000725D3"/>
    <w:rsid w:val="000B768C"/>
    <w:rsid w:val="000C6E94"/>
    <w:rsid w:val="000D26BF"/>
    <w:rsid w:val="000D48B1"/>
    <w:rsid w:val="000D6732"/>
    <w:rsid w:val="000E3BFE"/>
    <w:rsid w:val="000E720F"/>
    <w:rsid w:val="00111967"/>
    <w:rsid w:val="00112BF8"/>
    <w:rsid w:val="00116B95"/>
    <w:rsid w:val="00136C3B"/>
    <w:rsid w:val="00144A96"/>
    <w:rsid w:val="0014542B"/>
    <w:rsid w:val="0015215B"/>
    <w:rsid w:val="001611F3"/>
    <w:rsid w:val="00161285"/>
    <w:rsid w:val="00177E78"/>
    <w:rsid w:val="00182481"/>
    <w:rsid w:val="001A18C2"/>
    <w:rsid w:val="001A78DE"/>
    <w:rsid w:val="001B3893"/>
    <w:rsid w:val="001B4896"/>
    <w:rsid w:val="001D23F1"/>
    <w:rsid w:val="00215251"/>
    <w:rsid w:val="00257A18"/>
    <w:rsid w:val="00273833"/>
    <w:rsid w:val="00284356"/>
    <w:rsid w:val="0029648C"/>
    <w:rsid w:val="002B58F2"/>
    <w:rsid w:val="002C0D42"/>
    <w:rsid w:val="00304B82"/>
    <w:rsid w:val="003100DA"/>
    <w:rsid w:val="00312E1E"/>
    <w:rsid w:val="0031431A"/>
    <w:rsid w:val="00333BB3"/>
    <w:rsid w:val="0034587B"/>
    <w:rsid w:val="00357F82"/>
    <w:rsid w:val="00366A8A"/>
    <w:rsid w:val="003718C7"/>
    <w:rsid w:val="00393842"/>
    <w:rsid w:val="003B0418"/>
    <w:rsid w:val="003B2FD6"/>
    <w:rsid w:val="003E2C41"/>
    <w:rsid w:val="003E45DE"/>
    <w:rsid w:val="003F7428"/>
    <w:rsid w:val="00407977"/>
    <w:rsid w:val="00411CA3"/>
    <w:rsid w:val="00412A4C"/>
    <w:rsid w:val="00416510"/>
    <w:rsid w:val="00420E1C"/>
    <w:rsid w:val="00422971"/>
    <w:rsid w:val="00427E6E"/>
    <w:rsid w:val="004445D1"/>
    <w:rsid w:val="0045653C"/>
    <w:rsid w:val="0046424C"/>
    <w:rsid w:val="0048131A"/>
    <w:rsid w:val="00497FB1"/>
    <w:rsid w:val="004A09BF"/>
    <w:rsid w:val="004C7027"/>
    <w:rsid w:val="004D5012"/>
    <w:rsid w:val="004D51C9"/>
    <w:rsid w:val="004F496B"/>
    <w:rsid w:val="005170EB"/>
    <w:rsid w:val="0052677B"/>
    <w:rsid w:val="005652A5"/>
    <w:rsid w:val="00584598"/>
    <w:rsid w:val="005849AD"/>
    <w:rsid w:val="005A0939"/>
    <w:rsid w:val="005C6FC0"/>
    <w:rsid w:val="005D017F"/>
    <w:rsid w:val="005E4833"/>
    <w:rsid w:val="005E5DDE"/>
    <w:rsid w:val="005F073D"/>
    <w:rsid w:val="0061525C"/>
    <w:rsid w:val="006324FC"/>
    <w:rsid w:val="0063431A"/>
    <w:rsid w:val="00654801"/>
    <w:rsid w:val="0066536F"/>
    <w:rsid w:val="006A173A"/>
    <w:rsid w:val="006D27E1"/>
    <w:rsid w:val="006D4C1C"/>
    <w:rsid w:val="006E1071"/>
    <w:rsid w:val="00700963"/>
    <w:rsid w:val="00702093"/>
    <w:rsid w:val="00713393"/>
    <w:rsid w:val="007158F2"/>
    <w:rsid w:val="0072455C"/>
    <w:rsid w:val="00727CDB"/>
    <w:rsid w:val="00730D11"/>
    <w:rsid w:val="00742044"/>
    <w:rsid w:val="00744449"/>
    <w:rsid w:val="00756CFC"/>
    <w:rsid w:val="00761FFA"/>
    <w:rsid w:val="007722A4"/>
    <w:rsid w:val="007E1FFB"/>
    <w:rsid w:val="007F28AB"/>
    <w:rsid w:val="0080547A"/>
    <w:rsid w:val="00805956"/>
    <w:rsid w:val="008112ED"/>
    <w:rsid w:val="008562A6"/>
    <w:rsid w:val="00864B54"/>
    <w:rsid w:val="008814F3"/>
    <w:rsid w:val="008971A8"/>
    <w:rsid w:val="008A330B"/>
    <w:rsid w:val="008B5178"/>
    <w:rsid w:val="008F3237"/>
    <w:rsid w:val="008F569D"/>
    <w:rsid w:val="008F6209"/>
    <w:rsid w:val="009117BF"/>
    <w:rsid w:val="009119F4"/>
    <w:rsid w:val="00915B6F"/>
    <w:rsid w:val="00921F99"/>
    <w:rsid w:val="009441C2"/>
    <w:rsid w:val="00946647"/>
    <w:rsid w:val="009813ED"/>
    <w:rsid w:val="00986BF6"/>
    <w:rsid w:val="009966E5"/>
    <w:rsid w:val="009A2AD5"/>
    <w:rsid w:val="009D78DD"/>
    <w:rsid w:val="009E6DC4"/>
    <w:rsid w:val="00A02266"/>
    <w:rsid w:val="00A310EE"/>
    <w:rsid w:val="00A34C72"/>
    <w:rsid w:val="00AA7944"/>
    <w:rsid w:val="00AB2CE0"/>
    <w:rsid w:val="00AB7239"/>
    <w:rsid w:val="00AC3D5E"/>
    <w:rsid w:val="00AC5366"/>
    <w:rsid w:val="00AC62CF"/>
    <w:rsid w:val="00AD7506"/>
    <w:rsid w:val="00AE04DD"/>
    <w:rsid w:val="00B00672"/>
    <w:rsid w:val="00B05948"/>
    <w:rsid w:val="00B164AE"/>
    <w:rsid w:val="00B17561"/>
    <w:rsid w:val="00B17686"/>
    <w:rsid w:val="00B61664"/>
    <w:rsid w:val="00B746B5"/>
    <w:rsid w:val="00B75F00"/>
    <w:rsid w:val="00B96568"/>
    <w:rsid w:val="00BB2682"/>
    <w:rsid w:val="00C03F5C"/>
    <w:rsid w:val="00C044CC"/>
    <w:rsid w:val="00C07A0E"/>
    <w:rsid w:val="00C12DE8"/>
    <w:rsid w:val="00C13370"/>
    <w:rsid w:val="00C147B8"/>
    <w:rsid w:val="00C148A6"/>
    <w:rsid w:val="00C17F06"/>
    <w:rsid w:val="00C246CE"/>
    <w:rsid w:val="00C253F4"/>
    <w:rsid w:val="00C3604A"/>
    <w:rsid w:val="00C401C9"/>
    <w:rsid w:val="00C50919"/>
    <w:rsid w:val="00C55F6F"/>
    <w:rsid w:val="00C57E42"/>
    <w:rsid w:val="00C73465"/>
    <w:rsid w:val="00C841E3"/>
    <w:rsid w:val="00C84A44"/>
    <w:rsid w:val="00C86727"/>
    <w:rsid w:val="00C905C7"/>
    <w:rsid w:val="00C96887"/>
    <w:rsid w:val="00CA4DE7"/>
    <w:rsid w:val="00CD08B6"/>
    <w:rsid w:val="00CE24D1"/>
    <w:rsid w:val="00CF1013"/>
    <w:rsid w:val="00CF39D5"/>
    <w:rsid w:val="00CF4D79"/>
    <w:rsid w:val="00CF5257"/>
    <w:rsid w:val="00D12E07"/>
    <w:rsid w:val="00D27E98"/>
    <w:rsid w:val="00D409C5"/>
    <w:rsid w:val="00D43095"/>
    <w:rsid w:val="00D63CD3"/>
    <w:rsid w:val="00D73653"/>
    <w:rsid w:val="00D77680"/>
    <w:rsid w:val="00D77C59"/>
    <w:rsid w:val="00DC3158"/>
    <w:rsid w:val="00DC342D"/>
    <w:rsid w:val="00DD11B0"/>
    <w:rsid w:val="00DD1653"/>
    <w:rsid w:val="00DE3E6B"/>
    <w:rsid w:val="00DF3E9A"/>
    <w:rsid w:val="00E03157"/>
    <w:rsid w:val="00E04E00"/>
    <w:rsid w:val="00E156C8"/>
    <w:rsid w:val="00E42C4C"/>
    <w:rsid w:val="00E51457"/>
    <w:rsid w:val="00E541BF"/>
    <w:rsid w:val="00E7042D"/>
    <w:rsid w:val="00E7540A"/>
    <w:rsid w:val="00EA3305"/>
    <w:rsid w:val="00EC688C"/>
    <w:rsid w:val="00ED1A57"/>
    <w:rsid w:val="00EE4C4A"/>
    <w:rsid w:val="00EE5FA0"/>
    <w:rsid w:val="00EE75E1"/>
    <w:rsid w:val="00F02E53"/>
    <w:rsid w:val="00F10171"/>
    <w:rsid w:val="00F11E3D"/>
    <w:rsid w:val="00F20AA2"/>
    <w:rsid w:val="00F43246"/>
    <w:rsid w:val="00F6267F"/>
    <w:rsid w:val="00F6464A"/>
    <w:rsid w:val="00F82FF8"/>
    <w:rsid w:val="00F92912"/>
    <w:rsid w:val="00FA2218"/>
    <w:rsid w:val="00FB1B78"/>
    <w:rsid w:val="00FB5B7E"/>
    <w:rsid w:val="00FB6B2F"/>
    <w:rsid w:val="00FB7566"/>
    <w:rsid w:val="00FD502B"/>
    <w:rsid w:val="00FE08BC"/>
    <w:rsid w:val="00FE62D5"/>
    <w:rsid w:val="00FF30D7"/>
    <w:rsid w:val="014C21BA"/>
    <w:rsid w:val="016B51BD"/>
    <w:rsid w:val="01A422BE"/>
    <w:rsid w:val="01AF6532"/>
    <w:rsid w:val="01B91719"/>
    <w:rsid w:val="01BB3CD7"/>
    <w:rsid w:val="01E272A3"/>
    <w:rsid w:val="02063662"/>
    <w:rsid w:val="02186A33"/>
    <w:rsid w:val="02225B04"/>
    <w:rsid w:val="02305E9A"/>
    <w:rsid w:val="02786099"/>
    <w:rsid w:val="02CD0EBD"/>
    <w:rsid w:val="03652F5A"/>
    <w:rsid w:val="03670105"/>
    <w:rsid w:val="037C7496"/>
    <w:rsid w:val="03834C59"/>
    <w:rsid w:val="03F4702C"/>
    <w:rsid w:val="046163BD"/>
    <w:rsid w:val="04A71B76"/>
    <w:rsid w:val="05065269"/>
    <w:rsid w:val="054F3ABA"/>
    <w:rsid w:val="05AE5D59"/>
    <w:rsid w:val="05E277B3"/>
    <w:rsid w:val="05E33C6C"/>
    <w:rsid w:val="060321AA"/>
    <w:rsid w:val="061B278F"/>
    <w:rsid w:val="064D6E62"/>
    <w:rsid w:val="0696473A"/>
    <w:rsid w:val="06A034B6"/>
    <w:rsid w:val="06D20FB0"/>
    <w:rsid w:val="071A4FFB"/>
    <w:rsid w:val="077900FA"/>
    <w:rsid w:val="07B74F40"/>
    <w:rsid w:val="082442C2"/>
    <w:rsid w:val="09092088"/>
    <w:rsid w:val="092D54BA"/>
    <w:rsid w:val="09DD541A"/>
    <w:rsid w:val="09E21373"/>
    <w:rsid w:val="0A3D797F"/>
    <w:rsid w:val="0AA15A55"/>
    <w:rsid w:val="0AFA046E"/>
    <w:rsid w:val="0BAA27D3"/>
    <w:rsid w:val="0BD7098D"/>
    <w:rsid w:val="0BE36945"/>
    <w:rsid w:val="0BF13075"/>
    <w:rsid w:val="0C495404"/>
    <w:rsid w:val="0C5A3BCF"/>
    <w:rsid w:val="0C822B95"/>
    <w:rsid w:val="0CCA3020"/>
    <w:rsid w:val="0CE00A95"/>
    <w:rsid w:val="0D3A63F7"/>
    <w:rsid w:val="0D7336B7"/>
    <w:rsid w:val="0DEF2560"/>
    <w:rsid w:val="0E0B38F0"/>
    <w:rsid w:val="0E554C8F"/>
    <w:rsid w:val="0E652EDD"/>
    <w:rsid w:val="0E980061"/>
    <w:rsid w:val="0EBA1173"/>
    <w:rsid w:val="0EFE4EFA"/>
    <w:rsid w:val="0F747D98"/>
    <w:rsid w:val="0F894AE5"/>
    <w:rsid w:val="0F8C278D"/>
    <w:rsid w:val="0F900CBC"/>
    <w:rsid w:val="0F9A4F2B"/>
    <w:rsid w:val="0F9C62AB"/>
    <w:rsid w:val="0FD72C0C"/>
    <w:rsid w:val="0FDF4796"/>
    <w:rsid w:val="0FE60171"/>
    <w:rsid w:val="0FF07438"/>
    <w:rsid w:val="1040267F"/>
    <w:rsid w:val="10525806"/>
    <w:rsid w:val="10A83678"/>
    <w:rsid w:val="110411F6"/>
    <w:rsid w:val="11365A45"/>
    <w:rsid w:val="11CC15E8"/>
    <w:rsid w:val="11E255C3"/>
    <w:rsid w:val="12CA1FCB"/>
    <w:rsid w:val="13087863"/>
    <w:rsid w:val="135F0ADD"/>
    <w:rsid w:val="13B054C9"/>
    <w:rsid w:val="13BA2040"/>
    <w:rsid w:val="13E54630"/>
    <w:rsid w:val="141E2CB3"/>
    <w:rsid w:val="145062EF"/>
    <w:rsid w:val="148B2244"/>
    <w:rsid w:val="1540556C"/>
    <w:rsid w:val="15CA5417"/>
    <w:rsid w:val="15D0546F"/>
    <w:rsid w:val="15F66C34"/>
    <w:rsid w:val="1609580A"/>
    <w:rsid w:val="166C5148"/>
    <w:rsid w:val="16C544F0"/>
    <w:rsid w:val="170576D4"/>
    <w:rsid w:val="171A58A4"/>
    <w:rsid w:val="17346F48"/>
    <w:rsid w:val="17797B1C"/>
    <w:rsid w:val="179D1B21"/>
    <w:rsid w:val="17F02ED1"/>
    <w:rsid w:val="180D67AA"/>
    <w:rsid w:val="18851DD9"/>
    <w:rsid w:val="18AB63FB"/>
    <w:rsid w:val="18AD10E5"/>
    <w:rsid w:val="18F17B89"/>
    <w:rsid w:val="19052A19"/>
    <w:rsid w:val="19502AFF"/>
    <w:rsid w:val="19826BD2"/>
    <w:rsid w:val="19CE6A7A"/>
    <w:rsid w:val="1AC94917"/>
    <w:rsid w:val="1ACD7187"/>
    <w:rsid w:val="1AE45C01"/>
    <w:rsid w:val="1B4419C9"/>
    <w:rsid w:val="1BEC0F34"/>
    <w:rsid w:val="1C00606C"/>
    <w:rsid w:val="1C473E01"/>
    <w:rsid w:val="1C56042C"/>
    <w:rsid w:val="1CAE0268"/>
    <w:rsid w:val="1CB33AD0"/>
    <w:rsid w:val="1CE46FFC"/>
    <w:rsid w:val="1CEE1106"/>
    <w:rsid w:val="1CF245F9"/>
    <w:rsid w:val="1CF454CE"/>
    <w:rsid w:val="1D517B25"/>
    <w:rsid w:val="1D703F17"/>
    <w:rsid w:val="1E8C402A"/>
    <w:rsid w:val="1F0C1276"/>
    <w:rsid w:val="1F187782"/>
    <w:rsid w:val="1F813A12"/>
    <w:rsid w:val="1FED4E93"/>
    <w:rsid w:val="1FFF76D3"/>
    <w:rsid w:val="200C7AD4"/>
    <w:rsid w:val="2010073A"/>
    <w:rsid w:val="208070AE"/>
    <w:rsid w:val="2160284E"/>
    <w:rsid w:val="219D0E63"/>
    <w:rsid w:val="21A377B1"/>
    <w:rsid w:val="21FB3F4F"/>
    <w:rsid w:val="2232642A"/>
    <w:rsid w:val="22342FBD"/>
    <w:rsid w:val="22406F16"/>
    <w:rsid w:val="22507BC3"/>
    <w:rsid w:val="22CE51C0"/>
    <w:rsid w:val="22E20C6B"/>
    <w:rsid w:val="2306419F"/>
    <w:rsid w:val="23111551"/>
    <w:rsid w:val="231A06B3"/>
    <w:rsid w:val="23313F64"/>
    <w:rsid w:val="23D22A8E"/>
    <w:rsid w:val="241A2253"/>
    <w:rsid w:val="24F20F0E"/>
    <w:rsid w:val="24F414B1"/>
    <w:rsid w:val="25050DC2"/>
    <w:rsid w:val="25132F85"/>
    <w:rsid w:val="255F4018"/>
    <w:rsid w:val="25AE6362"/>
    <w:rsid w:val="260A022D"/>
    <w:rsid w:val="265509A9"/>
    <w:rsid w:val="266D2F42"/>
    <w:rsid w:val="26DB434F"/>
    <w:rsid w:val="278542BB"/>
    <w:rsid w:val="27BA30B7"/>
    <w:rsid w:val="28363921"/>
    <w:rsid w:val="284D4DD9"/>
    <w:rsid w:val="287776D3"/>
    <w:rsid w:val="28F05CD3"/>
    <w:rsid w:val="29055773"/>
    <w:rsid w:val="29383A0B"/>
    <w:rsid w:val="2988390E"/>
    <w:rsid w:val="29BF5701"/>
    <w:rsid w:val="29EE6148"/>
    <w:rsid w:val="2A4E6BE6"/>
    <w:rsid w:val="2AA35AC5"/>
    <w:rsid w:val="2AB61532"/>
    <w:rsid w:val="2AC01F46"/>
    <w:rsid w:val="2AE5579D"/>
    <w:rsid w:val="2B25752B"/>
    <w:rsid w:val="2B473DEE"/>
    <w:rsid w:val="2B8441BF"/>
    <w:rsid w:val="2BE96596"/>
    <w:rsid w:val="2CA5304B"/>
    <w:rsid w:val="2CBA0563"/>
    <w:rsid w:val="2CD45AC9"/>
    <w:rsid w:val="2D1756A6"/>
    <w:rsid w:val="2D1B3DE2"/>
    <w:rsid w:val="2D7840D8"/>
    <w:rsid w:val="2D7B4F88"/>
    <w:rsid w:val="2DFD143F"/>
    <w:rsid w:val="2E5B554A"/>
    <w:rsid w:val="2E910978"/>
    <w:rsid w:val="2F0E4B96"/>
    <w:rsid w:val="2F6B1FE9"/>
    <w:rsid w:val="2F854E58"/>
    <w:rsid w:val="2F8D5A84"/>
    <w:rsid w:val="2FB13E9F"/>
    <w:rsid w:val="30075B5E"/>
    <w:rsid w:val="30422009"/>
    <w:rsid w:val="306D597F"/>
    <w:rsid w:val="30B64BB4"/>
    <w:rsid w:val="30F77374"/>
    <w:rsid w:val="31707A72"/>
    <w:rsid w:val="317716B5"/>
    <w:rsid w:val="31956560"/>
    <w:rsid w:val="31BA754C"/>
    <w:rsid w:val="31BE49E9"/>
    <w:rsid w:val="325C66A5"/>
    <w:rsid w:val="32DF0EA8"/>
    <w:rsid w:val="332A1A21"/>
    <w:rsid w:val="33536CAC"/>
    <w:rsid w:val="336B4C5B"/>
    <w:rsid w:val="338E7B26"/>
    <w:rsid w:val="339C1D27"/>
    <w:rsid w:val="341D33E7"/>
    <w:rsid w:val="342522A9"/>
    <w:rsid w:val="34626EAA"/>
    <w:rsid w:val="34EB6ED0"/>
    <w:rsid w:val="35080AA4"/>
    <w:rsid w:val="352855CC"/>
    <w:rsid w:val="352C3F1A"/>
    <w:rsid w:val="358B6243"/>
    <w:rsid w:val="3599165E"/>
    <w:rsid w:val="35D52E6A"/>
    <w:rsid w:val="35E548A3"/>
    <w:rsid w:val="366A6E06"/>
    <w:rsid w:val="367A0699"/>
    <w:rsid w:val="38050D75"/>
    <w:rsid w:val="38C64E59"/>
    <w:rsid w:val="38CD6618"/>
    <w:rsid w:val="38F9032C"/>
    <w:rsid w:val="391D5814"/>
    <w:rsid w:val="39EB4452"/>
    <w:rsid w:val="3A4D0C68"/>
    <w:rsid w:val="3A6A6066"/>
    <w:rsid w:val="3B3D2A8B"/>
    <w:rsid w:val="3BCB453B"/>
    <w:rsid w:val="3BCD609E"/>
    <w:rsid w:val="3C1F4887"/>
    <w:rsid w:val="3CA40261"/>
    <w:rsid w:val="3D2867CC"/>
    <w:rsid w:val="3D61263F"/>
    <w:rsid w:val="3D7D4325"/>
    <w:rsid w:val="3D9410C7"/>
    <w:rsid w:val="3DB77095"/>
    <w:rsid w:val="3E194C24"/>
    <w:rsid w:val="3E43522A"/>
    <w:rsid w:val="3EA42F38"/>
    <w:rsid w:val="3EB2553E"/>
    <w:rsid w:val="3EB86474"/>
    <w:rsid w:val="3ED25BE0"/>
    <w:rsid w:val="3EEC64A8"/>
    <w:rsid w:val="3F2623F8"/>
    <w:rsid w:val="3F584337"/>
    <w:rsid w:val="3F724CCD"/>
    <w:rsid w:val="3F8321C9"/>
    <w:rsid w:val="3FCF2B71"/>
    <w:rsid w:val="405771C1"/>
    <w:rsid w:val="407B73DA"/>
    <w:rsid w:val="40CB4A37"/>
    <w:rsid w:val="40D20119"/>
    <w:rsid w:val="411B6F89"/>
    <w:rsid w:val="41250249"/>
    <w:rsid w:val="418D5DEE"/>
    <w:rsid w:val="41D659E7"/>
    <w:rsid w:val="420A743F"/>
    <w:rsid w:val="424423C9"/>
    <w:rsid w:val="424C202A"/>
    <w:rsid w:val="425B7C9B"/>
    <w:rsid w:val="426F0C79"/>
    <w:rsid w:val="42A31B2D"/>
    <w:rsid w:val="42BD58F1"/>
    <w:rsid w:val="42D9578F"/>
    <w:rsid w:val="438374A9"/>
    <w:rsid w:val="43D82C64"/>
    <w:rsid w:val="43E94AF8"/>
    <w:rsid w:val="44085C68"/>
    <w:rsid w:val="44580936"/>
    <w:rsid w:val="445B21D4"/>
    <w:rsid w:val="447A65E5"/>
    <w:rsid w:val="44D22496"/>
    <w:rsid w:val="44ED4010"/>
    <w:rsid w:val="451E1B7F"/>
    <w:rsid w:val="45505AB1"/>
    <w:rsid w:val="455C25BE"/>
    <w:rsid w:val="45895DB5"/>
    <w:rsid w:val="45AC1B90"/>
    <w:rsid w:val="45B63B66"/>
    <w:rsid w:val="469A077B"/>
    <w:rsid w:val="472A4FBB"/>
    <w:rsid w:val="4735425F"/>
    <w:rsid w:val="47791F40"/>
    <w:rsid w:val="477A41B1"/>
    <w:rsid w:val="47A143A2"/>
    <w:rsid w:val="47A65E5C"/>
    <w:rsid w:val="47D46525"/>
    <w:rsid w:val="48232C81"/>
    <w:rsid w:val="484226D7"/>
    <w:rsid w:val="48A42222"/>
    <w:rsid w:val="48DA576E"/>
    <w:rsid w:val="492A682D"/>
    <w:rsid w:val="49356826"/>
    <w:rsid w:val="494168BE"/>
    <w:rsid w:val="49B82D4B"/>
    <w:rsid w:val="49C600F0"/>
    <w:rsid w:val="49DB6564"/>
    <w:rsid w:val="49EB06AE"/>
    <w:rsid w:val="4A00113E"/>
    <w:rsid w:val="4A3F0CC9"/>
    <w:rsid w:val="4AC9145A"/>
    <w:rsid w:val="4AD01602"/>
    <w:rsid w:val="4AE051E1"/>
    <w:rsid w:val="4AE5545E"/>
    <w:rsid w:val="4AF8077D"/>
    <w:rsid w:val="4B3A6FE7"/>
    <w:rsid w:val="4B720F60"/>
    <w:rsid w:val="4BB27BA1"/>
    <w:rsid w:val="4BBE5DFA"/>
    <w:rsid w:val="4BC62629"/>
    <w:rsid w:val="4BC73324"/>
    <w:rsid w:val="4BEF4EA2"/>
    <w:rsid w:val="4C5A0602"/>
    <w:rsid w:val="4C8B4D21"/>
    <w:rsid w:val="4D1D44CA"/>
    <w:rsid w:val="4E127E9A"/>
    <w:rsid w:val="4E6A0907"/>
    <w:rsid w:val="4E8E31EC"/>
    <w:rsid w:val="4E9D0074"/>
    <w:rsid w:val="4E9F5930"/>
    <w:rsid w:val="4ECC460D"/>
    <w:rsid w:val="4F8D1DDB"/>
    <w:rsid w:val="4FD35C00"/>
    <w:rsid w:val="4FDD28CE"/>
    <w:rsid w:val="4FFA3C5B"/>
    <w:rsid w:val="503201EC"/>
    <w:rsid w:val="505605DA"/>
    <w:rsid w:val="514946EA"/>
    <w:rsid w:val="51F05F5B"/>
    <w:rsid w:val="522C6BEC"/>
    <w:rsid w:val="526C193C"/>
    <w:rsid w:val="52852569"/>
    <w:rsid w:val="529E3361"/>
    <w:rsid w:val="52D548A2"/>
    <w:rsid w:val="52D8149A"/>
    <w:rsid w:val="53097145"/>
    <w:rsid w:val="530D4FE1"/>
    <w:rsid w:val="53152F2C"/>
    <w:rsid w:val="53187C25"/>
    <w:rsid w:val="531F0A6D"/>
    <w:rsid w:val="53262E4E"/>
    <w:rsid w:val="53B90DB2"/>
    <w:rsid w:val="53F34A01"/>
    <w:rsid w:val="54150022"/>
    <w:rsid w:val="543770F8"/>
    <w:rsid w:val="545D78A2"/>
    <w:rsid w:val="54601CE7"/>
    <w:rsid w:val="5463404B"/>
    <w:rsid w:val="54714206"/>
    <w:rsid w:val="54890697"/>
    <w:rsid w:val="55436A98"/>
    <w:rsid w:val="55C367C2"/>
    <w:rsid w:val="55D51354"/>
    <w:rsid w:val="55EA524D"/>
    <w:rsid w:val="56625644"/>
    <w:rsid w:val="5691212F"/>
    <w:rsid w:val="56BD367E"/>
    <w:rsid w:val="56D204A9"/>
    <w:rsid w:val="571C05FD"/>
    <w:rsid w:val="573D5B04"/>
    <w:rsid w:val="574B473F"/>
    <w:rsid w:val="57A31556"/>
    <w:rsid w:val="57DB2E53"/>
    <w:rsid w:val="57E06965"/>
    <w:rsid w:val="58112E7E"/>
    <w:rsid w:val="586E6E66"/>
    <w:rsid w:val="5870229A"/>
    <w:rsid w:val="58734261"/>
    <w:rsid w:val="58C34E93"/>
    <w:rsid w:val="59590F80"/>
    <w:rsid w:val="595D5A9D"/>
    <w:rsid w:val="59A10231"/>
    <w:rsid w:val="59AF294E"/>
    <w:rsid w:val="59B9487E"/>
    <w:rsid w:val="59D9252E"/>
    <w:rsid w:val="59F20A8D"/>
    <w:rsid w:val="5A28320F"/>
    <w:rsid w:val="5A951B44"/>
    <w:rsid w:val="5AE470AA"/>
    <w:rsid w:val="5AF8590C"/>
    <w:rsid w:val="5B8935B6"/>
    <w:rsid w:val="5BD0018F"/>
    <w:rsid w:val="5C0A23C6"/>
    <w:rsid w:val="5C0F3B78"/>
    <w:rsid w:val="5C124EDB"/>
    <w:rsid w:val="5C545824"/>
    <w:rsid w:val="5C817093"/>
    <w:rsid w:val="5C8F1F25"/>
    <w:rsid w:val="5C982A9F"/>
    <w:rsid w:val="5CA93512"/>
    <w:rsid w:val="5CAA0CCB"/>
    <w:rsid w:val="5CB309A7"/>
    <w:rsid w:val="5CCA17CE"/>
    <w:rsid w:val="5D4B5EB1"/>
    <w:rsid w:val="5D9D50A4"/>
    <w:rsid w:val="5DFA1BBA"/>
    <w:rsid w:val="5E231B5D"/>
    <w:rsid w:val="5E4F2952"/>
    <w:rsid w:val="5E8A5738"/>
    <w:rsid w:val="5EE321FC"/>
    <w:rsid w:val="5EFD5F0A"/>
    <w:rsid w:val="5F10721B"/>
    <w:rsid w:val="5F2B57F8"/>
    <w:rsid w:val="5F7408C2"/>
    <w:rsid w:val="5F744410"/>
    <w:rsid w:val="5F9B12E6"/>
    <w:rsid w:val="5FA10C71"/>
    <w:rsid w:val="5FA47E5B"/>
    <w:rsid w:val="5FB418A3"/>
    <w:rsid w:val="5FB7255D"/>
    <w:rsid w:val="6041621C"/>
    <w:rsid w:val="60C6179E"/>
    <w:rsid w:val="60E115FE"/>
    <w:rsid w:val="613F0048"/>
    <w:rsid w:val="6148108C"/>
    <w:rsid w:val="61B95D81"/>
    <w:rsid w:val="62166DC4"/>
    <w:rsid w:val="623950CA"/>
    <w:rsid w:val="62662018"/>
    <w:rsid w:val="6294085A"/>
    <w:rsid w:val="62A61F80"/>
    <w:rsid w:val="62DF24F0"/>
    <w:rsid w:val="63153213"/>
    <w:rsid w:val="635A1B7D"/>
    <w:rsid w:val="639332E1"/>
    <w:rsid w:val="639B16A7"/>
    <w:rsid w:val="63C35974"/>
    <w:rsid w:val="63E003A6"/>
    <w:rsid w:val="63EC65E7"/>
    <w:rsid w:val="640B2E77"/>
    <w:rsid w:val="647729F1"/>
    <w:rsid w:val="650023C2"/>
    <w:rsid w:val="6525440C"/>
    <w:rsid w:val="65827499"/>
    <w:rsid w:val="658904F7"/>
    <w:rsid w:val="658C34A6"/>
    <w:rsid w:val="65F776E6"/>
    <w:rsid w:val="66014D57"/>
    <w:rsid w:val="66292CD3"/>
    <w:rsid w:val="662C23B3"/>
    <w:rsid w:val="663526E8"/>
    <w:rsid w:val="66770C98"/>
    <w:rsid w:val="668A3DA8"/>
    <w:rsid w:val="66AF3F8D"/>
    <w:rsid w:val="67277FC8"/>
    <w:rsid w:val="676B36C2"/>
    <w:rsid w:val="67B53825"/>
    <w:rsid w:val="67E1757F"/>
    <w:rsid w:val="67EC2E8C"/>
    <w:rsid w:val="67EE4F89"/>
    <w:rsid w:val="683623B8"/>
    <w:rsid w:val="68437CA3"/>
    <w:rsid w:val="686142B9"/>
    <w:rsid w:val="68D93544"/>
    <w:rsid w:val="68E93F02"/>
    <w:rsid w:val="690B093D"/>
    <w:rsid w:val="6A11270F"/>
    <w:rsid w:val="6A226815"/>
    <w:rsid w:val="6A3D7B02"/>
    <w:rsid w:val="6ADE3093"/>
    <w:rsid w:val="6AF82EED"/>
    <w:rsid w:val="6B5B2E93"/>
    <w:rsid w:val="6B600412"/>
    <w:rsid w:val="6BD61FBC"/>
    <w:rsid w:val="6BD65AC6"/>
    <w:rsid w:val="6C5E0930"/>
    <w:rsid w:val="6C7C2B64"/>
    <w:rsid w:val="6CC03E6D"/>
    <w:rsid w:val="6D0B3CC0"/>
    <w:rsid w:val="6D251D1D"/>
    <w:rsid w:val="6D2B3C26"/>
    <w:rsid w:val="6D52102F"/>
    <w:rsid w:val="6D7A717E"/>
    <w:rsid w:val="6D920153"/>
    <w:rsid w:val="6D981C1F"/>
    <w:rsid w:val="6E044EBE"/>
    <w:rsid w:val="6E064F01"/>
    <w:rsid w:val="6E0C2F03"/>
    <w:rsid w:val="6E875DA0"/>
    <w:rsid w:val="6EB05D06"/>
    <w:rsid w:val="6EE90351"/>
    <w:rsid w:val="6F2F210F"/>
    <w:rsid w:val="6F7E3097"/>
    <w:rsid w:val="6F8C6E22"/>
    <w:rsid w:val="6F924725"/>
    <w:rsid w:val="707F2C23"/>
    <w:rsid w:val="71203125"/>
    <w:rsid w:val="71264295"/>
    <w:rsid w:val="713236EA"/>
    <w:rsid w:val="71E314C3"/>
    <w:rsid w:val="73560B3C"/>
    <w:rsid w:val="738A622C"/>
    <w:rsid w:val="738B7B30"/>
    <w:rsid w:val="73F77F1F"/>
    <w:rsid w:val="744877CF"/>
    <w:rsid w:val="74883644"/>
    <w:rsid w:val="74E36253"/>
    <w:rsid w:val="74E72327"/>
    <w:rsid w:val="752023CB"/>
    <w:rsid w:val="7525273D"/>
    <w:rsid w:val="7544268D"/>
    <w:rsid w:val="75834F63"/>
    <w:rsid w:val="758E5BD6"/>
    <w:rsid w:val="7591000A"/>
    <w:rsid w:val="76426A7A"/>
    <w:rsid w:val="7643512D"/>
    <w:rsid w:val="76540929"/>
    <w:rsid w:val="766C3C49"/>
    <w:rsid w:val="767174B1"/>
    <w:rsid w:val="76BF24DE"/>
    <w:rsid w:val="76C00BDA"/>
    <w:rsid w:val="76F4374F"/>
    <w:rsid w:val="76F713C0"/>
    <w:rsid w:val="77512E3F"/>
    <w:rsid w:val="77EB104B"/>
    <w:rsid w:val="78372035"/>
    <w:rsid w:val="78956E43"/>
    <w:rsid w:val="78EF0B61"/>
    <w:rsid w:val="792C3B64"/>
    <w:rsid w:val="795F5CE7"/>
    <w:rsid w:val="79921C19"/>
    <w:rsid w:val="7A1C0C73"/>
    <w:rsid w:val="7A85352B"/>
    <w:rsid w:val="7A8F4065"/>
    <w:rsid w:val="7ABC3569"/>
    <w:rsid w:val="7B001E62"/>
    <w:rsid w:val="7B54624E"/>
    <w:rsid w:val="7B7C4426"/>
    <w:rsid w:val="7B897F37"/>
    <w:rsid w:val="7BB765C3"/>
    <w:rsid w:val="7BE6624C"/>
    <w:rsid w:val="7C0B4193"/>
    <w:rsid w:val="7C857813"/>
    <w:rsid w:val="7C9F63FA"/>
    <w:rsid w:val="7CC72DC3"/>
    <w:rsid w:val="7D1F2BEB"/>
    <w:rsid w:val="7DC91981"/>
    <w:rsid w:val="7E0564D2"/>
    <w:rsid w:val="7E3037AE"/>
    <w:rsid w:val="7E3C03A5"/>
    <w:rsid w:val="7E807AE8"/>
    <w:rsid w:val="7F0C32D2"/>
    <w:rsid w:val="7F1F61F1"/>
    <w:rsid w:val="7F6B7E7C"/>
    <w:rsid w:val="7F780DE1"/>
    <w:rsid w:val="7F893BF9"/>
    <w:rsid w:val="7FA60157"/>
    <w:rsid w:val="7FB64F74"/>
    <w:rsid w:val="7FFA0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0" w:name="Body Text First Indent"/>
    <w:lsdException w:uiPriority="99" w:name="Body Text First Indent 2"/>
    <w:lsdException w:uiPriority="99" w:name="Note Heading"/>
    <w:lsdException w:uiPriority="99" w:name="Body Text 2"/>
    <w:lsdException w:uiPriority="99" w:name="Body Text 3"/>
    <w:lsdException w:uiPriority="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微软雅黑" w:hAnsi="微软雅黑" w:eastAsia="宋体" w:cstheme="minorBidi"/>
      <w:kern w:val="2"/>
      <w:sz w:val="24"/>
      <w:szCs w:val="24"/>
      <w:lang w:val="en-US" w:eastAsia="zh-CN" w:bidi="ar-SA"/>
    </w:rPr>
  </w:style>
  <w:style w:type="paragraph" w:styleId="2">
    <w:name w:val="heading 1"/>
    <w:basedOn w:val="1"/>
    <w:next w:val="1"/>
    <w:link w:val="40"/>
    <w:qFormat/>
    <w:uiPriority w:val="9"/>
    <w:pPr>
      <w:keepNext/>
      <w:keepLines/>
      <w:pageBreakBefore/>
      <w:numPr>
        <w:ilvl w:val="0"/>
        <w:numId w:val="1"/>
      </w:numPr>
      <w:ind w:firstLineChars="0"/>
      <w:jc w:val="left"/>
      <w:outlineLvl w:val="0"/>
    </w:pPr>
    <w:rPr>
      <w:rFonts w:ascii="宋体" w:hAnsi="宋体"/>
      <w:b/>
      <w:bCs/>
      <w:kern w:val="44"/>
      <w:sz w:val="28"/>
      <w:szCs w:val="28"/>
    </w:rPr>
  </w:style>
  <w:style w:type="paragraph" w:styleId="3">
    <w:name w:val="heading 2"/>
    <w:basedOn w:val="1"/>
    <w:next w:val="1"/>
    <w:link w:val="41"/>
    <w:unhideWhenUsed/>
    <w:qFormat/>
    <w:uiPriority w:val="9"/>
    <w:pPr>
      <w:keepNext/>
      <w:keepLines/>
      <w:numPr>
        <w:ilvl w:val="1"/>
        <w:numId w:val="1"/>
      </w:numPr>
      <w:ind w:firstLineChars="0"/>
      <w:outlineLvl w:val="1"/>
    </w:pPr>
    <w:rPr>
      <w:rFonts w:ascii="宋体" w:hAnsi="宋体" w:cstheme="majorBidi"/>
      <w:b/>
      <w:bCs/>
      <w:sz w:val="28"/>
      <w:szCs w:val="28"/>
    </w:rPr>
  </w:style>
  <w:style w:type="paragraph" w:styleId="4">
    <w:name w:val="heading 3"/>
    <w:basedOn w:val="1"/>
    <w:next w:val="1"/>
    <w:link w:val="42"/>
    <w:unhideWhenUsed/>
    <w:qFormat/>
    <w:uiPriority w:val="9"/>
    <w:pPr>
      <w:keepNext/>
      <w:keepLines/>
      <w:numPr>
        <w:ilvl w:val="2"/>
        <w:numId w:val="1"/>
      </w:numPr>
      <w:ind w:firstLineChars="0"/>
      <w:outlineLvl w:val="2"/>
    </w:pPr>
    <w:rPr>
      <w:rFonts w:ascii="宋体" w:hAnsi="宋体"/>
      <w:b/>
      <w:sz w:val="28"/>
      <w:szCs w:val="28"/>
    </w:rPr>
  </w:style>
  <w:style w:type="paragraph" w:styleId="5">
    <w:name w:val="heading 4"/>
    <w:basedOn w:val="1"/>
    <w:next w:val="1"/>
    <w:link w:val="43"/>
    <w:unhideWhenUsed/>
    <w:qFormat/>
    <w:uiPriority w:val="9"/>
    <w:pPr>
      <w:keepNext/>
      <w:keepLines/>
      <w:numPr>
        <w:ilvl w:val="3"/>
        <w:numId w:val="1"/>
      </w:numPr>
      <w:tabs>
        <w:tab w:val="left" w:pos="864"/>
      </w:tabs>
      <w:ind w:firstLineChars="0"/>
      <w:outlineLvl w:val="3"/>
    </w:pPr>
    <w:rPr>
      <w:rFonts w:ascii="宋体" w:hAnsi="宋体" w:cstheme="majorBidi"/>
      <w:b/>
      <w:bCs/>
      <w:sz w:val="28"/>
      <w:szCs w:val="28"/>
    </w:rPr>
  </w:style>
  <w:style w:type="paragraph" w:styleId="6">
    <w:name w:val="heading 5"/>
    <w:basedOn w:val="1"/>
    <w:next w:val="1"/>
    <w:link w:val="44"/>
    <w:unhideWhenUsed/>
    <w:qFormat/>
    <w:uiPriority w:val="9"/>
    <w:pPr>
      <w:keepNext/>
      <w:keepLines/>
      <w:numPr>
        <w:ilvl w:val="4"/>
        <w:numId w:val="1"/>
      </w:numPr>
      <w:ind w:firstLineChars="0"/>
      <w:outlineLvl w:val="4"/>
    </w:pPr>
    <w:rPr>
      <w:rFonts w:ascii="宋体" w:hAnsi="宋体"/>
      <w:b/>
      <w:bCs/>
      <w:sz w:val="28"/>
      <w:szCs w:val="28"/>
    </w:rPr>
  </w:style>
  <w:style w:type="paragraph" w:styleId="7">
    <w:name w:val="heading 6"/>
    <w:basedOn w:val="1"/>
    <w:next w:val="1"/>
    <w:link w:val="45"/>
    <w:unhideWhenUsed/>
    <w:qFormat/>
    <w:uiPriority w:val="9"/>
    <w:pPr>
      <w:keepNext/>
      <w:keepLines/>
      <w:numPr>
        <w:ilvl w:val="5"/>
        <w:numId w:val="2"/>
      </w:numPr>
      <w:ind w:firstLineChars="0"/>
      <w:outlineLvl w:val="5"/>
    </w:pPr>
    <w:rPr>
      <w:rFonts w:ascii="宋体" w:hAnsi="宋体" w:cstheme="majorBidi"/>
      <w:b/>
      <w:bCs/>
      <w:sz w:val="28"/>
      <w:szCs w:val="28"/>
    </w:rPr>
  </w:style>
  <w:style w:type="paragraph" w:styleId="8">
    <w:name w:val="heading 7"/>
    <w:basedOn w:val="1"/>
    <w:next w:val="1"/>
    <w:link w:val="46"/>
    <w:unhideWhenUsed/>
    <w:qFormat/>
    <w:uiPriority w:val="9"/>
    <w:pPr>
      <w:keepNext/>
      <w:keepLines/>
      <w:numPr>
        <w:ilvl w:val="6"/>
        <w:numId w:val="1"/>
      </w:numPr>
      <w:ind w:firstLineChars="0"/>
      <w:outlineLvl w:val="6"/>
    </w:pPr>
    <w:rPr>
      <w:rFonts w:ascii="楷体" w:hAnsi="楷体"/>
      <w:b/>
      <w:bCs/>
      <w:sz w:val="28"/>
      <w:szCs w:val="28"/>
    </w:rPr>
  </w:style>
  <w:style w:type="paragraph" w:styleId="9">
    <w:name w:val="heading 8"/>
    <w:basedOn w:val="1"/>
    <w:next w:val="1"/>
    <w:link w:val="47"/>
    <w:unhideWhenUsed/>
    <w:qFormat/>
    <w:uiPriority w:val="9"/>
    <w:pPr>
      <w:keepNext/>
      <w:keepLines/>
      <w:numPr>
        <w:ilvl w:val="7"/>
        <w:numId w:val="1"/>
      </w:numPr>
      <w:ind w:firstLineChars="0"/>
      <w:outlineLvl w:val="7"/>
    </w:pPr>
    <w:rPr>
      <w:rFonts w:ascii="楷体" w:hAnsi="楷体" w:cstheme="majorBidi"/>
      <w:sz w:val="28"/>
      <w:szCs w:val="28"/>
    </w:rPr>
  </w:style>
  <w:style w:type="paragraph" w:styleId="10">
    <w:name w:val="heading 9"/>
    <w:basedOn w:val="1"/>
    <w:next w:val="1"/>
    <w:link w:val="48"/>
    <w:unhideWhenUsed/>
    <w:qFormat/>
    <w:uiPriority w:val="9"/>
    <w:pPr>
      <w:keepNext/>
      <w:keepLines/>
      <w:numPr>
        <w:ilvl w:val="8"/>
        <w:numId w:val="1"/>
      </w:numPr>
      <w:ind w:firstLineChars="0"/>
      <w:outlineLvl w:val="8"/>
    </w:pPr>
    <w:rPr>
      <w:rFonts w:asciiTheme="majorHAnsi" w:hAnsiTheme="majorHAnsi" w:eastAsiaTheme="majorEastAsia" w:cstheme="majorBidi"/>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line="240" w:lineRule="auto"/>
      <w:ind w:left="2520" w:leftChars="1200" w:firstLine="0" w:firstLineChars="0"/>
    </w:pPr>
    <w:rPr>
      <w:rFonts w:asciiTheme="minorHAnsi" w:hAnsiTheme="minorHAnsi" w:eastAsiaTheme="minorEastAsia"/>
      <w:sz w:val="21"/>
      <w:szCs w:val="22"/>
    </w:rPr>
  </w:style>
  <w:style w:type="paragraph" w:styleId="12">
    <w:name w:val="Normal Indent"/>
    <w:basedOn w:val="1"/>
    <w:qFormat/>
    <w:uiPriority w:val="99"/>
    <w:pPr>
      <w:shd w:val="clear" w:color="auto" w:fill="E2EFD9" w:themeFill="accent6" w:themeFillTint="33"/>
      <w:ind w:firstLine="560"/>
    </w:pPr>
    <w:rPr>
      <w:rFonts w:ascii="宋体" w:hAnsi="宋体"/>
    </w:rPr>
  </w:style>
  <w:style w:type="paragraph" w:styleId="13">
    <w:name w:val="caption"/>
    <w:basedOn w:val="1"/>
    <w:next w:val="1"/>
    <w:unhideWhenUsed/>
    <w:qFormat/>
    <w:uiPriority w:val="35"/>
    <w:pPr>
      <w:widowControl/>
      <w:overflowPunct w:val="0"/>
      <w:topLinePunct/>
      <w:spacing w:line="300" w:lineRule="auto"/>
      <w:ind w:firstLine="0" w:firstLineChars="0"/>
      <w:jc w:val="center"/>
    </w:pPr>
    <w:rPr>
      <w:rFonts w:ascii="Times New Roman" w:hAnsi="Times New Roman" w:cstheme="majorBidi"/>
      <w:b/>
      <w:sz w:val="21"/>
      <w:szCs w:val="20"/>
    </w:rPr>
  </w:style>
  <w:style w:type="paragraph" w:styleId="14">
    <w:name w:val="annotation text"/>
    <w:basedOn w:val="1"/>
    <w:link w:val="57"/>
    <w:semiHidden/>
    <w:unhideWhenUsed/>
    <w:qFormat/>
    <w:uiPriority w:val="99"/>
    <w:pPr>
      <w:widowControl/>
      <w:overflowPunct w:val="0"/>
      <w:topLinePunct/>
      <w:ind w:firstLine="0" w:firstLineChars="0"/>
      <w:jc w:val="left"/>
    </w:pPr>
    <w:rPr>
      <w:rFonts w:ascii="Times New Roman" w:hAnsi="Times New Roman" w:cs="Times New Roman"/>
      <w:szCs w:val="22"/>
    </w:rPr>
  </w:style>
  <w:style w:type="paragraph" w:styleId="15">
    <w:name w:val="toc 5"/>
    <w:basedOn w:val="1"/>
    <w:next w:val="1"/>
    <w:unhideWhenUsed/>
    <w:qFormat/>
    <w:uiPriority w:val="39"/>
    <w:pPr>
      <w:spacing w:line="240" w:lineRule="auto"/>
      <w:ind w:left="1680" w:leftChars="800" w:firstLine="0" w:firstLineChars="0"/>
    </w:pPr>
    <w:rPr>
      <w:rFonts w:asciiTheme="minorHAnsi" w:hAnsiTheme="minorHAnsi" w:eastAsiaTheme="minorEastAsia"/>
      <w:sz w:val="21"/>
      <w:szCs w:val="22"/>
    </w:rPr>
  </w:style>
  <w:style w:type="paragraph" w:styleId="16">
    <w:name w:val="toc 3"/>
    <w:basedOn w:val="1"/>
    <w:next w:val="1"/>
    <w:unhideWhenUsed/>
    <w:qFormat/>
    <w:uiPriority w:val="39"/>
    <w:pPr>
      <w:ind w:left="840" w:leftChars="400"/>
    </w:pPr>
  </w:style>
  <w:style w:type="paragraph" w:styleId="17">
    <w:name w:val="toc 8"/>
    <w:basedOn w:val="1"/>
    <w:next w:val="1"/>
    <w:unhideWhenUsed/>
    <w:qFormat/>
    <w:uiPriority w:val="39"/>
    <w:pPr>
      <w:spacing w:line="240" w:lineRule="auto"/>
      <w:ind w:left="2940" w:leftChars="1400" w:firstLine="0" w:firstLineChars="0"/>
    </w:pPr>
    <w:rPr>
      <w:rFonts w:asciiTheme="minorHAnsi" w:hAnsiTheme="minorHAnsi" w:eastAsiaTheme="minorEastAsia"/>
      <w:sz w:val="21"/>
      <w:szCs w:val="22"/>
    </w:rPr>
  </w:style>
  <w:style w:type="paragraph" w:styleId="18">
    <w:name w:val="Balloon Text"/>
    <w:basedOn w:val="1"/>
    <w:link w:val="58"/>
    <w:semiHidden/>
    <w:unhideWhenUsed/>
    <w:qFormat/>
    <w:uiPriority w:val="99"/>
    <w:pPr>
      <w:widowControl/>
      <w:overflowPunct w:val="0"/>
      <w:topLinePunct/>
      <w:spacing w:line="240" w:lineRule="auto"/>
      <w:ind w:firstLine="0" w:firstLineChars="0"/>
    </w:pPr>
    <w:rPr>
      <w:rFonts w:ascii="Times New Roman" w:hAnsi="Times New Roman" w:cs="Times New Roman"/>
      <w:sz w:val="18"/>
      <w:szCs w:val="18"/>
    </w:rPr>
  </w:style>
  <w:style w:type="paragraph" w:styleId="19">
    <w:name w:val="footer"/>
    <w:basedOn w:val="1"/>
    <w:link w:val="51"/>
    <w:unhideWhenUsed/>
    <w:qFormat/>
    <w:uiPriority w:val="99"/>
    <w:pPr>
      <w:tabs>
        <w:tab w:val="center" w:pos="4153"/>
        <w:tab w:val="right" w:pos="8306"/>
      </w:tabs>
      <w:snapToGrid w:val="0"/>
      <w:jc w:val="left"/>
    </w:pPr>
    <w:rPr>
      <w:sz w:val="18"/>
      <w:szCs w:val="18"/>
    </w:rPr>
  </w:style>
  <w:style w:type="paragraph" w:styleId="20">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right" w:leader="dot" w:pos="9736"/>
      </w:tabs>
      <w:snapToGrid w:val="0"/>
      <w:spacing w:before="150" w:beforeLines="150" w:after="50" w:afterLines="50" w:line="240" w:lineRule="auto"/>
      <w:ind w:firstLine="0" w:firstLineChars="0"/>
    </w:pPr>
    <w:rPr>
      <w:rFonts w:eastAsia="楷体"/>
      <w:sz w:val="30"/>
    </w:rPr>
  </w:style>
  <w:style w:type="paragraph" w:styleId="22">
    <w:name w:val="toc 4"/>
    <w:basedOn w:val="1"/>
    <w:next w:val="1"/>
    <w:unhideWhenUsed/>
    <w:qFormat/>
    <w:uiPriority w:val="39"/>
    <w:pPr>
      <w:widowControl/>
      <w:tabs>
        <w:tab w:val="left" w:pos="1701"/>
        <w:tab w:val="right" w:leader="dot" w:pos="8296"/>
      </w:tabs>
      <w:overflowPunct w:val="0"/>
      <w:topLinePunct/>
      <w:ind w:left="720" w:firstLine="0" w:firstLineChars="0"/>
    </w:pPr>
    <w:rPr>
      <w:rFonts w:ascii="宋体" w:hAnsi="宋体" w:cs="Times New Roman"/>
      <w:sz w:val="18"/>
      <w:szCs w:val="18"/>
    </w:rPr>
  </w:style>
  <w:style w:type="paragraph" w:styleId="23">
    <w:name w:val="Subtitle"/>
    <w:basedOn w:val="1"/>
    <w:next w:val="24"/>
    <w:link w:val="55"/>
    <w:qFormat/>
    <w:uiPriority w:val="11"/>
    <w:pPr>
      <w:keepNext/>
      <w:widowControl/>
      <w:overflowPunct w:val="0"/>
      <w:topLinePunct/>
      <w:ind w:firstLine="0" w:firstLineChars="0"/>
      <w:jc w:val="center"/>
    </w:pPr>
    <w:rPr>
      <w:rFonts w:ascii="Times New Roman" w:hAnsi="Times New Roman" w:cs="Times New Roman"/>
      <w:bCs/>
      <w:kern w:val="28"/>
      <w:sz w:val="21"/>
      <w:szCs w:val="32"/>
    </w:rPr>
  </w:style>
  <w:style w:type="paragraph" w:customStyle="1" w:styleId="24">
    <w:name w:val="缩进正文"/>
    <w:basedOn w:val="1"/>
    <w:qFormat/>
    <w:uiPriority w:val="0"/>
    <w:pPr>
      <w:widowControl/>
      <w:overflowPunct w:val="0"/>
      <w:topLinePunct/>
    </w:pPr>
    <w:rPr>
      <w:rFonts w:ascii="Times New Roman" w:hAnsi="Times New Roman" w:cs="Times New Roman"/>
      <w:szCs w:val="22"/>
    </w:rPr>
  </w:style>
  <w:style w:type="paragraph" w:styleId="25">
    <w:name w:val="toc 6"/>
    <w:basedOn w:val="1"/>
    <w:next w:val="1"/>
    <w:unhideWhenUsed/>
    <w:qFormat/>
    <w:uiPriority w:val="39"/>
    <w:pPr>
      <w:spacing w:line="240" w:lineRule="auto"/>
      <w:ind w:left="2100" w:leftChars="1000" w:firstLine="0" w:firstLineChars="0"/>
    </w:pPr>
    <w:rPr>
      <w:rFonts w:asciiTheme="minorHAnsi" w:hAnsiTheme="minorHAnsi" w:eastAsiaTheme="minorEastAsia"/>
      <w:sz w:val="21"/>
      <w:szCs w:val="22"/>
    </w:rPr>
  </w:style>
  <w:style w:type="paragraph" w:styleId="26">
    <w:name w:val="toc 2"/>
    <w:basedOn w:val="1"/>
    <w:next w:val="1"/>
    <w:unhideWhenUsed/>
    <w:qFormat/>
    <w:uiPriority w:val="39"/>
    <w:pPr>
      <w:spacing w:line="288" w:lineRule="auto"/>
      <w:ind w:left="200" w:leftChars="200" w:firstLine="0" w:firstLineChars="0"/>
    </w:pPr>
    <w:rPr>
      <w:rFonts w:eastAsia="楷体"/>
    </w:rPr>
  </w:style>
  <w:style w:type="paragraph" w:styleId="27">
    <w:name w:val="toc 9"/>
    <w:basedOn w:val="1"/>
    <w:next w:val="1"/>
    <w:unhideWhenUsed/>
    <w:qFormat/>
    <w:uiPriority w:val="39"/>
    <w:pPr>
      <w:spacing w:line="240" w:lineRule="auto"/>
      <w:ind w:left="3360" w:leftChars="1600" w:firstLine="0" w:firstLineChars="0"/>
    </w:pPr>
    <w:rPr>
      <w:rFonts w:asciiTheme="minorHAnsi" w:hAnsiTheme="minorHAnsi" w:eastAsiaTheme="minorEastAsia"/>
      <w:sz w:val="21"/>
      <w:szCs w:val="22"/>
    </w:rPr>
  </w:style>
  <w:style w:type="paragraph" w:styleId="28">
    <w:name w:val="HTML Preformatted"/>
    <w:basedOn w:val="1"/>
    <w:link w:val="60"/>
    <w:unhideWhenUsed/>
    <w:qFormat/>
    <w:uiPriority w:val="99"/>
    <w:pPr>
      <w:spacing w:line="240" w:lineRule="auto"/>
      <w:ind w:firstLine="0" w:firstLineChars="0"/>
    </w:pPr>
    <w:rPr>
      <w:rFonts w:ascii="Courier New" w:hAnsi="Courier New" w:eastAsia="微软雅黑" w:cs="Courier New"/>
      <w:sz w:val="20"/>
      <w:szCs w:val="20"/>
    </w:rPr>
  </w:style>
  <w:style w:type="paragraph" w:styleId="29">
    <w:name w:val="Title"/>
    <w:basedOn w:val="1"/>
    <w:next w:val="1"/>
    <w:link w:val="53"/>
    <w:qFormat/>
    <w:uiPriority w:val="10"/>
    <w:pPr>
      <w:spacing w:before="240" w:after="60"/>
      <w:ind w:firstLine="0" w:firstLineChars="0"/>
      <w:jc w:val="center"/>
      <w:outlineLvl w:val="0"/>
    </w:pPr>
    <w:rPr>
      <w:rFonts w:ascii="Palatino Linotype" w:hAnsi="Palatino Linotype" w:eastAsia="楷体" w:cstheme="majorBidi"/>
      <w:b/>
      <w:bCs/>
      <w:sz w:val="84"/>
      <w:szCs w:val="84"/>
    </w:rPr>
  </w:style>
  <w:style w:type="paragraph" w:styleId="30">
    <w:name w:val="annotation subject"/>
    <w:basedOn w:val="14"/>
    <w:next w:val="14"/>
    <w:link w:val="59"/>
    <w:semiHidden/>
    <w:unhideWhenUsed/>
    <w:qFormat/>
    <w:uiPriority w:val="99"/>
    <w:pPr>
      <w:widowControl w:val="0"/>
      <w:overflowPunct/>
      <w:topLinePunct w:val="0"/>
      <w:ind w:firstLine="200" w:firstLineChars="200"/>
    </w:pPr>
    <w:rPr>
      <w:rFonts w:ascii="微软雅黑" w:hAnsi="微软雅黑" w:cstheme="minorBidi"/>
      <w:b/>
      <w:bCs/>
      <w:szCs w:val="24"/>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rFonts w:ascii="宋体" w:eastAsia="宋体"/>
      <w:b/>
      <w:bCs/>
    </w:rPr>
  </w:style>
  <w:style w:type="character" w:styleId="35">
    <w:name w:val="FollowedHyperlink"/>
    <w:basedOn w:val="33"/>
    <w:semiHidden/>
    <w:unhideWhenUsed/>
    <w:qFormat/>
    <w:uiPriority w:val="99"/>
    <w:rPr>
      <w:color w:val="954F72" w:themeColor="followedHyperlink"/>
      <w:u w:val="single"/>
      <w14:textFill>
        <w14:solidFill>
          <w14:schemeClr w14:val="folHlink"/>
        </w14:solidFill>
      </w14:textFill>
    </w:rPr>
  </w:style>
  <w:style w:type="character" w:styleId="36">
    <w:name w:val="Hyperlink"/>
    <w:basedOn w:val="33"/>
    <w:unhideWhenUsed/>
    <w:qFormat/>
    <w:uiPriority w:val="99"/>
    <w:rPr>
      <w:color w:val="0563C1" w:themeColor="hyperlink"/>
      <w:u w:val="single"/>
      <w14:textFill>
        <w14:solidFill>
          <w14:schemeClr w14:val="hlink"/>
        </w14:solidFill>
      </w14:textFill>
    </w:rPr>
  </w:style>
  <w:style w:type="character" w:styleId="37">
    <w:name w:val="annotation reference"/>
    <w:basedOn w:val="33"/>
    <w:semiHidden/>
    <w:unhideWhenUsed/>
    <w:qFormat/>
    <w:uiPriority w:val="99"/>
    <w:rPr>
      <w:sz w:val="21"/>
      <w:szCs w:val="21"/>
    </w:rPr>
  </w:style>
  <w:style w:type="paragraph" w:customStyle="1" w:styleId="38">
    <w:name w:val="表单元格"/>
    <w:basedOn w:val="1"/>
    <w:link w:val="39"/>
    <w:qFormat/>
    <w:uiPriority w:val="0"/>
    <w:pPr>
      <w:ind w:firstLine="0" w:firstLineChars="0"/>
    </w:pPr>
    <w:rPr>
      <w:rFonts w:cs="宋体" w:asciiTheme="minorEastAsia" w:hAnsiTheme="minorEastAsia" w:eastAsiaTheme="minorEastAsia"/>
      <w:szCs w:val="20"/>
    </w:rPr>
  </w:style>
  <w:style w:type="character" w:customStyle="1" w:styleId="39">
    <w:name w:val="表单元格 字符"/>
    <w:basedOn w:val="33"/>
    <w:link w:val="38"/>
    <w:qFormat/>
    <w:uiPriority w:val="0"/>
    <w:rPr>
      <w:rFonts w:cs="宋体" w:asciiTheme="minorEastAsia" w:hAnsiTheme="minorEastAsia" w:eastAsiaTheme="minorEastAsia"/>
      <w:kern w:val="2"/>
      <w:sz w:val="24"/>
    </w:rPr>
  </w:style>
  <w:style w:type="character" w:customStyle="1" w:styleId="40">
    <w:name w:val="标题 1 字符"/>
    <w:basedOn w:val="33"/>
    <w:link w:val="2"/>
    <w:qFormat/>
    <w:uiPriority w:val="9"/>
    <w:rPr>
      <w:rFonts w:ascii="宋体" w:hAnsi="宋体"/>
      <w:b/>
      <w:bCs/>
      <w:kern w:val="44"/>
      <w:sz w:val="28"/>
      <w:szCs w:val="28"/>
    </w:rPr>
  </w:style>
  <w:style w:type="character" w:customStyle="1" w:styleId="41">
    <w:name w:val="标题 2 字符"/>
    <w:basedOn w:val="33"/>
    <w:link w:val="3"/>
    <w:qFormat/>
    <w:uiPriority w:val="9"/>
    <w:rPr>
      <w:rFonts w:ascii="宋体" w:hAnsi="宋体" w:cstheme="majorBidi"/>
      <w:b/>
      <w:bCs/>
      <w:kern w:val="2"/>
      <w:sz w:val="28"/>
      <w:szCs w:val="28"/>
    </w:rPr>
  </w:style>
  <w:style w:type="character" w:customStyle="1" w:styleId="42">
    <w:name w:val="标题 3 字符"/>
    <w:basedOn w:val="33"/>
    <w:link w:val="4"/>
    <w:qFormat/>
    <w:uiPriority w:val="9"/>
    <w:rPr>
      <w:rFonts w:ascii="宋体" w:hAnsi="宋体"/>
      <w:b/>
      <w:kern w:val="2"/>
      <w:sz w:val="28"/>
      <w:szCs w:val="28"/>
    </w:rPr>
  </w:style>
  <w:style w:type="character" w:customStyle="1" w:styleId="43">
    <w:name w:val="标题 4 字符"/>
    <w:basedOn w:val="33"/>
    <w:link w:val="5"/>
    <w:qFormat/>
    <w:uiPriority w:val="9"/>
    <w:rPr>
      <w:rFonts w:ascii="宋体" w:hAnsi="宋体" w:cstheme="majorBidi"/>
      <w:b/>
      <w:bCs/>
      <w:kern w:val="2"/>
      <w:sz w:val="28"/>
      <w:szCs w:val="28"/>
    </w:rPr>
  </w:style>
  <w:style w:type="character" w:customStyle="1" w:styleId="44">
    <w:name w:val="标题 5 字符"/>
    <w:basedOn w:val="33"/>
    <w:link w:val="6"/>
    <w:qFormat/>
    <w:uiPriority w:val="9"/>
    <w:rPr>
      <w:rFonts w:ascii="宋体" w:hAnsi="宋体"/>
      <w:b/>
      <w:bCs/>
      <w:kern w:val="2"/>
      <w:sz w:val="28"/>
      <w:szCs w:val="28"/>
    </w:rPr>
  </w:style>
  <w:style w:type="character" w:customStyle="1" w:styleId="45">
    <w:name w:val="标题 6 字符"/>
    <w:basedOn w:val="33"/>
    <w:link w:val="7"/>
    <w:qFormat/>
    <w:uiPriority w:val="9"/>
    <w:rPr>
      <w:rFonts w:ascii="宋体" w:hAnsi="宋体" w:cstheme="majorBidi"/>
      <w:b/>
      <w:bCs/>
      <w:kern w:val="2"/>
      <w:sz w:val="28"/>
      <w:szCs w:val="28"/>
    </w:rPr>
  </w:style>
  <w:style w:type="character" w:customStyle="1" w:styleId="46">
    <w:name w:val="标题 7 字符"/>
    <w:basedOn w:val="33"/>
    <w:link w:val="8"/>
    <w:qFormat/>
    <w:uiPriority w:val="9"/>
    <w:rPr>
      <w:rFonts w:ascii="楷体" w:hAnsi="楷体"/>
      <w:b/>
      <w:bCs/>
      <w:kern w:val="2"/>
      <w:sz w:val="28"/>
      <w:szCs w:val="28"/>
    </w:rPr>
  </w:style>
  <w:style w:type="character" w:customStyle="1" w:styleId="47">
    <w:name w:val="标题 8 字符"/>
    <w:basedOn w:val="33"/>
    <w:link w:val="9"/>
    <w:qFormat/>
    <w:uiPriority w:val="9"/>
    <w:rPr>
      <w:rFonts w:ascii="楷体" w:hAnsi="楷体" w:cstheme="majorBidi"/>
      <w:kern w:val="2"/>
      <w:sz w:val="28"/>
      <w:szCs w:val="28"/>
    </w:rPr>
  </w:style>
  <w:style w:type="character" w:customStyle="1" w:styleId="48">
    <w:name w:val="标题 9 字符"/>
    <w:basedOn w:val="33"/>
    <w:link w:val="10"/>
    <w:qFormat/>
    <w:uiPriority w:val="9"/>
    <w:rPr>
      <w:rFonts w:asciiTheme="majorHAnsi" w:hAnsiTheme="majorHAnsi" w:eastAsiaTheme="majorEastAsia" w:cstheme="majorBidi"/>
    </w:rPr>
  </w:style>
  <w:style w:type="character" w:customStyle="1" w:styleId="49">
    <w:name w:val="页眉 字符"/>
    <w:basedOn w:val="33"/>
    <w:link w:val="20"/>
    <w:qFormat/>
    <w:uiPriority w:val="99"/>
    <w:rPr>
      <w:rFonts w:eastAsia="宋体"/>
      <w:sz w:val="18"/>
      <w:szCs w:val="18"/>
    </w:rPr>
  </w:style>
  <w:style w:type="paragraph" w:customStyle="1" w:styleId="50">
    <w:name w:val="TOC 标题1"/>
    <w:basedOn w:val="2"/>
    <w:next w:val="1"/>
    <w:unhideWhenUsed/>
    <w:qFormat/>
    <w:uiPriority w:val="39"/>
    <w:pPr>
      <w:widowControl/>
      <w:numPr>
        <w:numId w:val="0"/>
      </w:numPr>
      <w:spacing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1">
    <w:name w:val="页脚 字符"/>
    <w:basedOn w:val="33"/>
    <w:link w:val="19"/>
    <w:qFormat/>
    <w:uiPriority w:val="99"/>
    <w:rPr>
      <w:rFonts w:eastAsia="宋体"/>
      <w:sz w:val="18"/>
      <w:szCs w:val="18"/>
    </w:rPr>
  </w:style>
  <w:style w:type="paragraph" w:customStyle="1" w:styleId="52">
    <w:name w:val="修订1"/>
    <w:hidden/>
    <w:semiHidden/>
    <w:qFormat/>
    <w:uiPriority w:val="99"/>
    <w:rPr>
      <w:rFonts w:ascii="Times New Roman" w:hAnsi="Times New Roman" w:eastAsia="宋体" w:cs="Times New Roman"/>
      <w:kern w:val="2"/>
      <w:sz w:val="24"/>
      <w:szCs w:val="24"/>
      <w:lang w:val="en-US" w:eastAsia="zh-CN" w:bidi="ar-SA"/>
    </w:rPr>
  </w:style>
  <w:style w:type="character" w:customStyle="1" w:styleId="53">
    <w:name w:val="标题 字符"/>
    <w:basedOn w:val="33"/>
    <w:link w:val="29"/>
    <w:qFormat/>
    <w:uiPriority w:val="10"/>
    <w:rPr>
      <w:rFonts w:ascii="Palatino Linotype" w:hAnsi="Palatino Linotype" w:eastAsia="楷体" w:cstheme="majorBidi"/>
      <w:b/>
      <w:bCs/>
      <w:sz w:val="84"/>
      <w:szCs w:val="84"/>
    </w:rPr>
  </w:style>
  <w:style w:type="paragraph" w:styleId="54">
    <w:name w:val="List Paragraph"/>
    <w:basedOn w:val="1"/>
    <w:qFormat/>
    <w:uiPriority w:val="34"/>
    <w:pPr>
      <w:widowControl/>
      <w:overflowPunct w:val="0"/>
      <w:topLinePunct/>
      <w:ind w:firstLine="420" w:firstLineChars="0"/>
    </w:pPr>
    <w:rPr>
      <w:rFonts w:ascii="Times New Roman" w:hAnsi="Times New Roman" w:cs="Times New Roman"/>
      <w:szCs w:val="22"/>
    </w:rPr>
  </w:style>
  <w:style w:type="character" w:customStyle="1" w:styleId="55">
    <w:name w:val="副标题 字符"/>
    <w:basedOn w:val="33"/>
    <w:link w:val="23"/>
    <w:qFormat/>
    <w:uiPriority w:val="11"/>
    <w:rPr>
      <w:rFonts w:ascii="Times New Roman" w:hAnsi="Times New Roman" w:cs="Times New Roman"/>
      <w:bCs/>
      <w:kern w:val="28"/>
      <w:sz w:val="21"/>
      <w:szCs w:val="32"/>
    </w:rPr>
  </w:style>
  <w:style w:type="table" w:customStyle="1" w:styleId="56">
    <w:name w:val="参数表格"/>
    <w:basedOn w:val="31"/>
    <w:qFormat/>
    <w:locked/>
    <w:uiPriority w:val="99"/>
    <w:pPr>
      <w:spacing w:line="300" w:lineRule="auto"/>
    </w:pPr>
    <w:rPr>
      <w:rFonts w:ascii="等线" w:hAnsi="等线" w:cs="Times New Roman"/>
      <w:sz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eastAsia="宋体"/>
        <w:b/>
        <w:sz w:val="22"/>
      </w:rPr>
      <w:tcPr>
        <w:shd w:val="clear" w:color="auto" w:fill="BEBEBE" w:themeFill="background1" w:themeFillShade="BF"/>
      </w:tcPr>
    </w:tblStylePr>
    <w:tblStylePr w:type="lastRow">
      <w:pPr>
        <w:jc w:val="center"/>
      </w:pPr>
      <w:rPr>
        <w:rFonts w:eastAsia="宋体"/>
        <w:b/>
        <w:sz w:val="22"/>
      </w:rPr>
    </w:tblStylePr>
    <w:tblStylePr w:type="firstCol">
      <w:pPr>
        <w:jc w:val="center"/>
      </w:pPr>
      <w:rPr>
        <w:rFonts w:eastAsia="宋体"/>
        <w:b w:val="0"/>
        <w:sz w:val="22"/>
      </w:rPr>
    </w:tblStylePr>
  </w:style>
  <w:style w:type="character" w:customStyle="1" w:styleId="57">
    <w:name w:val="批注文字 字符"/>
    <w:basedOn w:val="33"/>
    <w:link w:val="14"/>
    <w:semiHidden/>
    <w:qFormat/>
    <w:uiPriority w:val="99"/>
    <w:rPr>
      <w:rFonts w:ascii="Times New Roman" w:hAnsi="Times New Roman" w:cs="Times New Roman"/>
      <w:szCs w:val="22"/>
    </w:rPr>
  </w:style>
  <w:style w:type="character" w:customStyle="1" w:styleId="58">
    <w:name w:val="批注框文本 字符"/>
    <w:basedOn w:val="33"/>
    <w:link w:val="18"/>
    <w:semiHidden/>
    <w:qFormat/>
    <w:uiPriority w:val="99"/>
    <w:rPr>
      <w:rFonts w:ascii="Times New Roman" w:hAnsi="Times New Roman" w:cs="Times New Roman"/>
      <w:sz w:val="18"/>
      <w:szCs w:val="18"/>
    </w:rPr>
  </w:style>
  <w:style w:type="character" w:customStyle="1" w:styleId="59">
    <w:name w:val="批注主题 字符"/>
    <w:basedOn w:val="57"/>
    <w:link w:val="30"/>
    <w:semiHidden/>
    <w:qFormat/>
    <w:uiPriority w:val="99"/>
    <w:rPr>
      <w:rFonts w:ascii="Times New Roman" w:hAnsi="Times New Roman" w:cs="Times New Roman"/>
      <w:b/>
      <w:bCs/>
      <w:szCs w:val="22"/>
    </w:rPr>
  </w:style>
  <w:style w:type="character" w:customStyle="1" w:styleId="60">
    <w:name w:val="HTML 预设格式 字符"/>
    <w:basedOn w:val="33"/>
    <w:link w:val="28"/>
    <w:qFormat/>
    <w:uiPriority w:val="99"/>
    <w:rPr>
      <w:rFonts w:ascii="Courier New" w:hAnsi="Courier New" w:eastAsia="微软雅黑" w:cs="Courier New"/>
      <w:sz w:val="20"/>
      <w:szCs w:val="20"/>
    </w:rPr>
  </w:style>
  <w:style w:type="paragraph" w:styleId="61">
    <w:name w:val="No Spacing"/>
    <w:qFormat/>
    <w:uiPriority w:val="1"/>
    <w:pPr>
      <w:widowControl w:val="0"/>
      <w:ind w:firstLine="200" w:firstLineChars="200"/>
    </w:pPr>
    <w:rPr>
      <w:rFonts w:eastAsia="宋体" w:asciiTheme="minorHAnsi" w:hAnsiTheme="minorHAnsi" w:cstheme="minorBidi"/>
      <w:kern w:val="2"/>
      <w:sz w:val="24"/>
      <w:szCs w:val="22"/>
      <w:lang w:val="en-US" w:eastAsia="zh-CN" w:bidi="ar-SA"/>
    </w:rPr>
  </w:style>
  <w:style w:type="character" w:customStyle="1" w:styleId="62">
    <w:name w:val="明显参考1"/>
    <w:basedOn w:val="33"/>
    <w:qFormat/>
    <w:uiPriority w:val="32"/>
    <w:rPr>
      <w:b/>
      <w:bCs/>
      <w:smallCaps/>
      <w:color w:val="5B9BD5" w:themeColor="accent1"/>
      <w:spacing w:val="5"/>
      <w14:textFill>
        <w14:solidFill>
          <w14:schemeClr w14:val="accent1"/>
        </w14:solidFill>
      </w14:textFill>
    </w:rPr>
  </w:style>
  <w:style w:type="paragraph" w:styleId="63">
    <w:name w:val="Intense Quote"/>
    <w:basedOn w:val="1"/>
    <w:next w:val="1"/>
    <w:link w:val="64"/>
    <w:qFormat/>
    <w:uiPriority w:val="30"/>
    <w:pPr>
      <w:pBdr>
        <w:top w:val="single" w:color="5B9BD5" w:themeColor="accent1" w:sz="4" w:space="10"/>
        <w:bottom w:val="single" w:color="5B9BD5" w:themeColor="accent1" w:sz="4" w:space="10"/>
      </w:pBdr>
      <w:wordWrap w:val="0"/>
      <w:spacing w:before="360" w:after="360"/>
      <w:ind w:left="864" w:right="864"/>
      <w:jc w:val="center"/>
    </w:pPr>
    <w:rPr>
      <w:rFonts w:ascii="宋体" w:hAnsi="宋体"/>
      <w:i/>
      <w:iCs/>
      <w:color w:val="5B9BD5" w:themeColor="accent1"/>
      <w:szCs w:val="22"/>
      <w14:textFill>
        <w14:solidFill>
          <w14:schemeClr w14:val="accent1"/>
        </w14:solidFill>
      </w14:textFill>
    </w:rPr>
  </w:style>
  <w:style w:type="character" w:customStyle="1" w:styleId="64">
    <w:name w:val="明显引用 字符"/>
    <w:basedOn w:val="33"/>
    <w:link w:val="63"/>
    <w:qFormat/>
    <w:uiPriority w:val="30"/>
    <w:rPr>
      <w:rFonts w:ascii="宋体" w:hAnsi="宋体"/>
      <w:i/>
      <w:iCs/>
      <w:color w:val="5B9BD5" w:themeColor="accent1"/>
      <w:szCs w:val="22"/>
      <w14:textFill>
        <w14:solidFill>
          <w14:schemeClr w14:val="accent1"/>
        </w14:solidFill>
      </w14:textFill>
    </w:rPr>
  </w:style>
  <w:style w:type="character" w:customStyle="1" w:styleId="65">
    <w:name w:val="明显强调1"/>
    <w:basedOn w:val="33"/>
    <w:qFormat/>
    <w:uiPriority w:val="21"/>
    <w:rPr>
      <w:i/>
      <w:iCs/>
      <w:color w:val="5B9BD5" w:themeColor="accent1"/>
      <w14:textFill>
        <w14:solidFill>
          <w14:schemeClr w14:val="accent1"/>
        </w14:solidFill>
      </w14:textFill>
    </w:rPr>
  </w:style>
  <w:style w:type="paragraph" w:customStyle="1" w:styleId="66">
    <w:name w:val="样式 标题 2 + 非加粗"/>
    <w:basedOn w:val="3"/>
    <w:qFormat/>
    <w:uiPriority w:val="0"/>
    <w:rPr>
      <w:bCs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3343-939C-473C-9609-A051F58CAFCB}">
  <ds:schemaRefs/>
</ds:datastoreItem>
</file>

<file path=docProps/app.xml><?xml version="1.0" encoding="utf-8"?>
<Properties xmlns="http://schemas.openxmlformats.org/officeDocument/2006/extended-properties" xmlns:vt="http://schemas.openxmlformats.org/officeDocument/2006/docPropsVTypes">
  <Template>Normal.dotm</Template>
  <Pages>172</Pages>
  <Words>3177</Words>
  <Characters>3366</Characters>
  <Lines>797</Lines>
  <Paragraphs>224</Paragraphs>
  <TotalTime>896</TotalTime>
  <ScaleCrop>false</ScaleCrop>
  <LinksUpToDate>false</LinksUpToDate>
  <CharactersWithSpaces>3376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2025-09-09T13:43:00Z</dcterms:created>
  <dc:creator>LV</dc:creator>
  <cp:lastModifiedBy>Daria</cp:lastModifiedBy>
  <cp:lastPrinted>2025-11-27T10:05:36Z</cp:lastPrinted>
  <dcterms:modified xsi:type="dcterms:W3CDTF">2025-11-27T10:16:17Z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CFBB9ACAB17B457C8C2D15177ADDA480_13</vt:lpwstr>
  </property>
  <property fmtid="{D5CDD505-2E9C-101B-9397-08002B2CF9AE}" pid="4" name="KSOTemplateDocerSaveRecord">
    <vt:lpwstr>eyJoZGlkIjoiMTFmYTZkYmM2MTc3NDY2YzA5N2QyYjdjODRkZDQ2NjUiLCJ1c2VySWQiOiIyODU5NTM3NjQifQ==</vt:lpwstr>
  </property>
</Properties>
</file>