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7838C8">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黑体" w:hAnsi="黑体" w:eastAsia="黑体" w:cs="黑体"/>
          <w:sz w:val="32"/>
          <w:szCs w:val="32"/>
          <w:lang w:eastAsia="zh-CN"/>
        </w:rPr>
      </w:pPr>
      <w:r>
        <w:rPr>
          <w:rFonts w:hint="eastAsia" w:ascii="黑体" w:hAnsi="黑体" w:eastAsia="黑体" w:cs="黑体"/>
          <w:sz w:val="32"/>
          <w:szCs w:val="32"/>
        </w:rPr>
        <w:t>附件</w:t>
      </w:r>
      <w:r>
        <w:rPr>
          <w:rFonts w:hint="eastAsia" w:ascii="黑体" w:hAnsi="黑体" w:eastAsia="黑体" w:cs="黑体"/>
          <w:sz w:val="32"/>
          <w:szCs w:val="32"/>
          <w:lang w:val="en-US" w:eastAsia="zh-CN"/>
        </w:rPr>
        <w:t>4</w:t>
      </w:r>
    </w:p>
    <w:p w14:paraId="7780583C">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 w:val="0"/>
          <w:bCs w:val="0"/>
          <w:sz w:val="44"/>
          <w:szCs w:val="44"/>
        </w:rPr>
      </w:pPr>
    </w:p>
    <w:p w14:paraId="3AD3CC9C">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环卫保洁作业绩效考核管理办法</w:t>
      </w:r>
    </w:p>
    <w:p w14:paraId="3D362A7A">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仿宋" w:hAnsi="仿宋" w:eastAsia="仿宋" w:cs="仿宋"/>
          <w:sz w:val="32"/>
          <w:szCs w:val="32"/>
        </w:rPr>
      </w:pPr>
    </w:p>
    <w:p w14:paraId="40E5BB2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一、考核机构</w:t>
      </w:r>
    </w:p>
    <w:p w14:paraId="0D54564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由陈巴尔虎旗城市管理综合行政执法局成立</w:t>
      </w:r>
      <w:r>
        <w:rPr>
          <w:rFonts w:hint="eastAsia" w:ascii="仿宋_GB2312" w:hAnsi="仿宋_GB2312" w:eastAsia="仿宋_GB2312" w:cs="仿宋_GB2312"/>
          <w:sz w:val="32"/>
          <w:szCs w:val="32"/>
          <w:lang w:eastAsia="zh-CN"/>
        </w:rPr>
        <w:t>环卫</w:t>
      </w:r>
      <w:r>
        <w:rPr>
          <w:rFonts w:hint="eastAsia" w:ascii="仿宋_GB2312" w:hAnsi="仿宋_GB2312" w:eastAsia="仿宋_GB2312" w:cs="仿宋_GB2312"/>
          <w:sz w:val="32"/>
          <w:szCs w:val="32"/>
        </w:rPr>
        <w:t>考核领导小组，</w:t>
      </w:r>
      <w:r>
        <w:rPr>
          <w:rFonts w:hint="eastAsia" w:ascii="仿宋_GB2312" w:hAnsi="仿宋_GB2312" w:eastAsia="仿宋_GB2312" w:cs="仿宋_GB2312"/>
          <w:sz w:val="32"/>
          <w:szCs w:val="32"/>
          <w:lang w:eastAsia="zh-CN"/>
        </w:rPr>
        <w:t>并下设领导小组办公室，</w:t>
      </w:r>
      <w:r>
        <w:rPr>
          <w:rFonts w:hint="eastAsia" w:ascii="仿宋_GB2312" w:hAnsi="仿宋_GB2312" w:eastAsia="仿宋_GB2312" w:cs="仿宋_GB2312"/>
          <w:sz w:val="32"/>
          <w:szCs w:val="32"/>
        </w:rPr>
        <w:t>领导小组</w:t>
      </w:r>
      <w:r>
        <w:rPr>
          <w:rFonts w:hint="eastAsia" w:ascii="仿宋_GB2312" w:hAnsi="仿宋_GB2312" w:eastAsia="仿宋_GB2312" w:cs="仿宋_GB2312"/>
          <w:sz w:val="32"/>
          <w:szCs w:val="32"/>
          <w:lang w:eastAsia="zh-CN"/>
        </w:rPr>
        <w:t>负责</w:t>
      </w:r>
      <w:r>
        <w:rPr>
          <w:rFonts w:hint="eastAsia" w:ascii="仿宋_GB2312" w:hAnsi="仿宋_GB2312" w:eastAsia="仿宋_GB2312" w:cs="仿宋_GB2312"/>
          <w:sz w:val="32"/>
          <w:szCs w:val="32"/>
        </w:rPr>
        <w:t>视察检查本项目</w:t>
      </w:r>
      <w:r>
        <w:rPr>
          <w:rFonts w:hint="eastAsia" w:ascii="仿宋_GB2312" w:hAnsi="仿宋_GB2312" w:eastAsia="仿宋_GB2312" w:cs="仿宋_GB2312"/>
          <w:sz w:val="32"/>
          <w:szCs w:val="32"/>
          <w:lang w:eastAsia="zh-CN"/>
        </w:rPr>
        <w:t>实施总体</w:t>
      </w:r>
      <w:r>
        <w:rPr>
          <w:rFonts w:hint="eastAsia" w:ascii="仿宋_GB2312" w:hAnsi="仿宋_GB2312" w:eastAsia="仿宋_GB2312" w:cs="仿宋_GB2312"/>
          <w:sz w:val="32"/>
          <w:szCs w:val="32"/>
        </w:rPr>
        <w:t>情况</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日常巡查监督考核和不定期抽查由</w:t>
      </w:r>
      <w:r>
        <w:rPr>
          <w:rFonts w:hint="eastAsia" w:ascii="仿宋_GB2312" w:hAnsi="仿宋_GB2312" w:eastAsia="仿宋_GB2312" w:cs="仿宋_GB2312"/>
          <w:sz w:val="32"/>
          <w:szCs w:val="32"/>
          <w:lang w:eastAsia="zh-CN"/>
        </w:rPr>
        <w:t>领导小组办公室</w:t>
      </w:r>
      <w:r>
        <w:rPr>
          <w:rFonts w:hint="eastAsia" w:ascii="仿宋_GB2312" w:hAnsi="仿宋_GB2312" w:eastAsia="仿宋_GB2312" w:cs="仿宋_GB2312"/>
          <w:sz w:val="32"/>
          <w:szCs w:val="32"/>
        </w:rPr>
        <w:t>负责，并根据考核结果，提出经费拨付意见，落实奖惩措施。</w:t>
      </w:r>
    </w:p>
    <w:p w14:paraId="73F744A6">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二、考核对象</w:t>
      </w:r>
    </w:p>
    <w:p w14:paraId="599C311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公共服务一标段、二标段中标企业。</w:t>
      </w:r>
    </w:p>
    <w:p w14:paraId="4BE16DC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三、考评标准</w:t>
      </w:r>
    </w:p>
    <w:p w14:paraId="37F835E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根据本合作中附件一的评分权重和扣分标准，考核领导小组</w:t>
      </w:r>
      <w:r>
        <w:rPr>
          <w:rFonts w:hint="eastAsia" w:ascii="仿宋_GB2312" w:hAnsi="仿宋_GB2312" w:eastAsia="仿宋_GB2312" w:cs="仿宋_GB2312"/>
          <w:sz w:val="32"/>
          <w:szCs w:val="32"/>
          <w:lang w:eastAsia="zh-CN"/>
        </w:rPr>
        <w:t>办公室</w:t>
      </w:r>
      <w:r>
        <w:rPr>
          <w:rFonts w:hint="eastAsia" w:ascii="仿宋_GB2312" w:hAnsi="仿宋_GB2312" w:eastAsia="仿宋_GB2312" w:cs="仿宋_GB2312"/>
          <w:sz w:val="32"/>
          <w:szCs w:val="32"/>
        </w:rPr>
        <w:t>每次日常巡查和不定期抽查均进行评分，每次评分均实行100分满分的扣分制，每月统计一次月度得分，月度得分为当月所有日常巡查得分和不定期抽查得分的平均值。</w:t>
      </w:r>
    </w:p>
    <w:p w14:paraId="646A2C6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考核领导小组</w:t>
      </w:r>
      <w:r>
        <w:rPr>
          <w:rFonts w:hint="eastAsia" w:ascii="仿宋_GB2312" w:hAnsi="仿宋_GB2312" w:eastAsia="仿宋_GB2312" w:cs="仿宋_GB2312"/>
          <w:sz w:val="32"/>
          <w:szCs w:val="32"/>
          <w:lang w:eastAsia="zh-CN"/>
        </w:rPr>
        <w:t>办公室</w:t>
      </w:r>
      <w:r>
        <w:rPr>
          <w:rFonts w:hint="eastAsia" w:ascii="仿宋_GB2312" w:hAnsi="仿宋_GB2312" w:eastAsia="仿宋_GB2312" w:cs="仿宋_GB2312"/>
          <w:sz w:val="32"/>
          <w:szCs w:val="32"/>
        </w:rPr>
        <w:t>将每个季度的考核情况进行汇总，季度绩效考核得分=当季度各月度得分的平均值，季度考核结果与政府付费相挂钩，每季度按考评成绩向项目公司拨付一次政府付费。</w:t>
      </w:r>
    </w:p>
    <w:p w14:paraId="3220EE9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政府付费按季度支付给项目公司，每季度政府付费基数=该年度政府应付费</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/4,政府付费基数全部(100%)与绩效考核结果挂钩，每季度政府付费=每季度政府付费基数×100%—季度绩效考核扣款，其中季度绩效考核扣款按以下标准执行：</w:t>
      </w:r>
    </w:p>
    <w:p w14:paraId="1AF84B4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季度绩效考核得分区间扣款标准</w:t>
      </w:r>
      <w:r>
        <w:rPr>
          <w:rFonts w:hint="eastAsia" w:ascii="仿宋_GB2312" w:hAnsi="仿宋_GB2312" w:eastAsia="仿宋_GB2312" w:cs="仿宋_GB2312"/>
          <w:sz w:val="32"/>
          <w:szCs w:val="32"/>
          <w:lang w:eastAsia="zh-CN"/>
        </w:rPr>
        <w:t>：</w:t>
      </w:r>
    </w:p>
    <w:p w14:paraId="01DD79A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80分及以上</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80分及以上不扣款。80分即视为合格</w:t>
      </w:r>
      <w:r>
        <w:rPr>
          <w:rFonts w:hint="eastAsia" w:ascii="仿宋_GB2312" w:hAnsi="仿宋_GB2312" w:eastAsia="仿宋_GB2312" w:cs="仿宋_GB2312"/>
          <w:sz w:val="32"/>
          <w:szCs w:val="32"/>
          <w:lang w:eastAsia="zh-CN"/>
        </w:rPr>
        <w:t>。</w:t>
      </w:r>
    </w:p>
    <w:p w14:paraId="1092594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70～80分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每比80分低1分的部分按</w:t>
      </w:r>
      <w:r>
        <w:rPr>
          <w:rFonts w:hint="eastAsia" w:ascii="仿宋_GB2312" w:hAnsi="仿宋_GB2312" w:eastAsia="仿宋_GB2312" w:cs="仿宋_GB2312"/>
          <w:sz w:val="32"/>
          <w:szCs w:val="32"/>
          <w:lang w:val="en-US" w:eastAsia="zh-CN"/>
        </w:rPr>
        <w:t>2000</w:t>
      </w:r>
      <w:r>
        <w:rPr>
          <w:rFonts w:hint="eastAsia" w:ascii="仿宋_GB2312" w:hAnsi="仿宋_GB2312" w:eastAsia="仿宋_GB2312" w:cs="仿宋_GB2312"/>
          <w:sz w:val="32"/>
          <w:szCs w:val="32"/>
        </w:rPr>
        <w:t>元/分计算扣款。</w:t>
      </w:r>
    </w:p>
    <w:p w14:paraId="7B580D5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60～70分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每比70分低1分的部分按</w:t>
      </w:r>
      <w:r>
        <w:rPr>
          <w:rFonts w:hint="eastAsia" w:ascii="仿宋_GB2312" w:hAnsi="仿宋_GB2312" w:eastAsia="仿宋_GB2312" w:cs="仿宋_GB2312"/>
          <w:sz w:val="32"/>
          <w:szCs w:val="32"/>
          <w:lang w:val="en-US" w:eastAsia="zh-CN"/>
        </w:rPr>
        <w:t>4000</w:t>
      </w:r>
      <w:r>
        <w:rPr>
          <w:rFonts w:hint="eastAsia" w:ascii="仿宋_GB2312" w:hAnsi="仿宋_GB2312" w:eastAsia="仿宋_GB2312" w:cs="仿宋_GB2312"/>
          <w:sz w:val="32"/>
          <w:szCs w:val="32"/>
        </w:rPr>
        <w:t>/分计算扣款</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ab/>
      </w:r>
    </w:p>
    <w:p w14:paraId="7741561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50～60分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每比60分低1分的部分按</w:t>
      </w:r>
      <w:r>
        <w:rPr>
          <w:rFonts w:hint="eastAsia" w:ascii="仿宋_GB2312" w:hAnsi="仿宋_GB2312" w:eastAsia="仿宋_GB2312" w:cs="仿宋_GB2312"/>
          <w:sz w:val="32"/>
          <w:szCs w:val="32"/>
          <w:lang w:val="en-US" w:eastAsia="zh-CN"/>
        </w:rPr>
        <w:t>8000</w:t>
      </w:r>
      <w:r>
        <w:rPr>
          <w:rFonts w:hint="eastAsia" w:ascii="仿宋_GB2312" w:hAnsi="仿宋_GB2312" w:eastAsia="仿宋_GB2312" w:cs="仿宋_GB2312"/>
          <w:sz w:val="32"/>
          <w:szCs w:val="32"/>
        </w:rPr>
        <w:t>元/分计算扣款</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lang w:eastAsia="zh-CN"/>
        </w:rPr>
        <w:t>。</w:t>
      </w:r>
    </w:p>
    <w:p w14:paraId="793160B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40～50分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每比50分低1分的部分按1</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万元/分计算扣款</w:t>
      </w:r>
      <w:r>
        <w:rPr>
          <w:rFonts w:hint="eastAsia" w:ascii="仿宋_GB2312" w:hAnsi="仿宋_GB2312" w:eastAsia="仿宋_GB2312" w:cs="仿宋_GB2312"/>
          <w:sz w:val="32"/>
          <w:szCs w:val="32"/>
          <w:lang w:eastAsia="zh-CN"/>
        </w:rPr>
        <w:t>。</w:t>
      </w:r>
    </w:p>
    <w:p w14:paraId="42F9373D">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30～40分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每比40分低1分的部分按</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2万元/分计算扣款</w:t>
      </w:r>
      <w:r>
        <w:rPr>
          <w:rFonts w:hint="eastAsia" w:ascii="仿宋_GB2312" w:hAnsi="仿宋_GB2312" w:eastAsia="仿宋_GB2312" w:cs="仿宋_GB2312"/>
          <w:sz w:val="32"/>
          <w:szCs w:val="32"/>
          <w:lang w:eastAsia="zh-CN"/>
        </w:rPr>
        <w:t>。</w:t>
      </w:r>
    </w:p>
    <w:p w14:paraId="4B4CB65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20～30分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每比40分低1分的部分按</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4万元/分计算扣款</w:t>
      </w:r>
      <w:r>
        <w:rPr>
          <w:rFonts w:hint="eastAsia" w:ascii="仿宋_GB2312" w:hAnsi="仿宋_GB2312" w:eastAsia="仿宋_GB2312" w:cs="仿宋_GB2312"/>
          <w:sz w:val="32"/>
          <w:szCs w:val="32"/>
          <w:lang w:eastAsia="zh-CN"/>
        </w:rPr>
        <w:t>。</w:t>
      </w:r>
    </w:p>
    <w:p w14:paraId="721B8506">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20分以下</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每比20分低1分的部分按</w:t>
      </w:r>
      <w:r>
        <w:rPr>
          <w:rFonts w:hint="eastAsia" w:ascii="仿宋_GB2312" w:hAnsi="仿宋_GB2312" w:eastAsia="仿宋_GB2312" w:cs="仿宋_GB2312"/>
          <w:sz w:val="32"/>
          <w:szCs w:val="32"/>
          <w:lang w:val="en-US" w:eastAsia="zh-CN"/>
        </w:rPr>
        <w:t>12.</w:t>
      </w:r>
      <w:bookmarkStart w:id="0" w:name="_GoBack"/>
      <w:bookmarkEnd w:id="0"/>
      <w:r>
        <w:rPr>
          <w:rFonts w:hint="eastAsia" w:ascii="仿宋_GB2312" w:hAnsi="仿宋_GB2312" w:eastAsia="仿宋_GB2312" w:cs="仿宋_GB2312"/>
          <w:sz w:val="32"/>
          <w:szCs w:val="32"/>
        </w:rPr>
        <w:t>8万元/分计算扣款，扣完为止</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则当季服务费已扣完。</w:t>
      </w:r>
    </w:p>
    <w:p w14:paraId="50A54FB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四、考核方式</w:t>
      </w:r>
    </w:p>
    <w:p w14:paraId="312B3947">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领导小组办公室</w:t>
      </w:r>
      <w:r>
        <w:rPr>
          <w:rFonts w:hint="eastAsia" w:ascii="仿宋_GB2312" w:hAnsi="仿宋_GB2312" w:eastAsia="仿宋_GB2312" w:cs="仿宋_GB2312"/>
          <w:sz w:val="32"/>
          <w:szCs w:val="32"/>
        </w:rPr>
        <w:t>采取日常巡查与不定期随机抽查相结合的方式，不定期随机抽查每月不少于</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考核小组每月不少于</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次考核检查，对承包单位责任路段(域)考核时，考核情况如实填入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考核登记表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，考核组成员和作业管理人员签字后生效。考核登记表一式两份，作业单位和考核小组双方各执1份备查。</w:t>
      </w:r>
    </w:p>
    <w:p w14:paraId="724893D6">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同时，考核小组将不定期对承包方所属环卫工人的基本工资、岗位津贴、福利待遇、安全培训、社会保险等落实情况进行</w:t>
      </w:r>
      <w:r>
        <w:rPr>
          <w:rFonts w:hint="eastAsia" w:ascii="仿宋_GB2312" w:hAnsi="仿宋_GB2312" w:eastAsia="仿宋_GB2312" w:cs="仿宋_GB2312"/>
          <w:sz w:val="32"/>
          <w:szCs w:val="32"/>
          <w:lang w:eastAsia="zh-CN"/>
        </w:rPr>
        <w:t>抽查</w:t>
      </w:r>
      <w:r>
        <w:rPr>
          <w:rFonts w:hint="eastAsia" w:ascii="仿宋_GB2312" w:hAnsi="仿宋_GB2312" w:eastAsia="仿宋_GB2312" w:cs="仿宋_GB2312"/>
          <w:sz w:val="32"/>
          <w:szCs w:val="32"/>
        </w:rPr>
        <w:t>。如需承包公司配合的将提前通知该单位派员参加。</w:t>
      </w:r>
    </w:p>
    <w:p w14:paraId="133ED3B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严格按照合同要求配置机械设备和人员，如乙方以任何方式瞒报、虚报、规避作业情况和人员安排的每次扣5000元。</w:t>
      </w:r>
    </w:p>
    <w:p w14:paraId="338D52B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(一)检查反馈</w:t>
      </w:r>
    </w:p>
    <w:p w14:paraId="739D716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1.检查结束后立即将考核登记表复印反馈给承包单位，立即通知其限时整改。</w:t>
      </w:r>
    </w:p>
    <w:p w14:paraId="5342000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2.在限定时间内整改不到位的，按照考核评分标准的3倍处罚。</w:t>
      </w:r>
    </w:p>
    <w:p w14:paraId="15C943A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3.对督办事项不整改的单位，按照考核评分标准的5倍加重处罚。</w:t>
      </w:r>
    </w:p>
    <w:p w14:paraId="2E7414C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 xml:space="preserve">(二)月底通报  </w:t>
      </w:r>
    </w:p>
    <w:p w14:paraId="62511CA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考核领导小组办公室对本月检查考核情况和上月整改问题按“已整改事项、正在整改事项、整改不到位事项、督办不整改事项”整理汇总以《简报》形式通报本月检查情况，并公布检查扣分和处罚情况。</w:t>
      </w:r>
    </w:p>
    <w:p w14:paraId="4E27481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(三)每月考核分数确定办法</w:t>
      </w:r>
    </w:p>
    <w:p w14:paraId="38163B7D">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按照本表所列考核表格项目打分，由考核领导小组办公室评出分数。(其中，日常监督检查占</w:t>
      </w:r>
      <w:r>
        <w:rPr>
          <w:rFonts w:hint="eastAsia" w:ascii="仿宋_GB2312" w:hAnsi="仿宋_GB2312" w:eastAsia="仿宋_GB2312" w:cs="仿宋_GB2312"/>
          <w:sz w:val="32"/>
          <w:szCs w:val="32"/>
          <w:lang w:val="en-US" w:eastAsia="zh-CN"/>
        </w:rPr>
        <w:t>60</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不定期</w:t>
      </w:r>
      <w:r>
        <w:rPr>
          <w:rFonts w:hint="eastAsia" w:ascii="仿宋_GB2312" w:hAnsi="仿宋_GB2312" w:eastAsia="仿宋_GB2312" w:cs="仿宋_GB2312"/>
          <w:sz w:val="32"/>
          <w:szCs w:val="32"/>
        </w:rPr>
        <w:t>检查占</w:t>
      </w:r>
      <w:r>
        <w:rPr>
          <w:rFonts w:hint="eastAsia" w:ascii="仿宋_GB2312" w:hAnsi="仿宋_GB2312" w:eastAsia="仿宋_GB2312" w:cs="仿宋_GB2312"/>
          <w:sz w:val="32"/>
          <w:szCs w:val="32"/>
          <w:lang w:val="en-US" w:eastAsia="zh-CN"/>
        </w:rPr>
        <w:t>40</w:t>
      </w:r>
      <w:r>
        <w:rPr>
          <w:rFonts w:hint="eastAsia" w:ascii="仿宋_GB2312" w:hAnsi="仿宋_GB2312" w:eastAsia="仿宋_GB2312" w:cs="仿宋_GB2312"/>
          <w:sz w:val="32"/>
          <w:szCs w:val="32"/>
        </w:rPr>
        <w:t>%,并结合</w:t>
      </w:r>
      <w:r>
        <w:rPr>
          <w:rFonts w:hint="eastAsia" w:ascii="仿宋_GB2312" w:hAnsi="仿宋_GB2312" w:eastAsia="仿宋_GB2312" w:cs="仿宋_GB2312"/>
          <w:sz w:val="32"/>
          <w:szCs w:val="32"/>
          <w:lang w:eastAsia="zh-CN"/>
        </w:rPr>
        <w:t>居</w:t>
      </w:r>
      <w:r>
        <w:rPr>
          <w:rFonts w:hint="eastAsia" w:ascii="仿宋_GB2312" w:hAnsi="仿宋_GB2312" w:eastAsia="仿宋_GB2312" w:cs="仿宋_GB2312"/>
          <w:sz w:val="32"/>
          <w:szCs w:val="32"/>
        </w:rPr>
        <w:t>民投诉情况和硬性扣分等综合计算考核结果)。超出考核表格所考核事项和相关标准</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参考《城市道路清扫保洁质量与评价标准》(CJJT126-2008)</w:t>
      </w:r>
      <w:r>
        <w:rPr>
          <w:rFonts w:hint="eastAsia" w:ascii="仿宋_GB2312" w:hAnsi="仿宋_GB2312" w:eastAsia="仿宋_GB2312" w:cs="仿宋_GB2312"/>
          <w:sz w:val="32"/>
          <w:szCs w:val="32"/>
          <w:lang w:eastAsia="zh-CN"/>
        </w:rPr>
        <w:t>和</w:t>
      </w:r>
      <w:r>
        <w:rPr>
          <w:rFonts w:hint="eastAsia" w:ascii="仿宋_GB2312" w:hAnsi="仿宋_GB2312" w:eastAsia="仿宋_GB2312" w:cs="仿宋_GB2312"/>
          <w:sz w:val="32"/>
          <w:szCs w:val="32"/>
        </w:rPr>
        <w:t>双方(政府方与项目公司)协商调整考核内容及标准。</w:t>
      </w:r>
    </w:p>
    <w:p w14:paraId="333060C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本次项目经营期限为</w:t>
      </w: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rPr>
        <w:t>年。全年绩效考核中，每月平均分低于60分达到3次(包含60分)的；或因中标人原因导致发生上访或群体性事件的1次、或者重大保障、迎检出现问题的，出现其中一项两次的，政府方有权终止合同，所有责任和因此所产生的费用损失由项目公司自行承担。(注：合同期间如遇国家、省、市政府政策调整等原因须要终止合同的，则由双方协商解决)。在合同期限内因项目公司管理不善，导致道路管理质量标准达不到规定要求，造成严重影响被上级领导部门和行政主管部门一年内连续两次通报或者累计达到3次的，项目合同予以解除。</w:t>
      </w:r>
    </w:p>
    <w:p w14:paraId="397748A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有下列情形之一，政府方将终止合同，由此所造成的损失由项目公司承担。</w:t>
      </w:r>
    </w:p>
    <w:p w14:paraId="224C6A5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1、工作不到位，造成严重影响被上级领导部门和行政主管部门一年内连续两次通报或者累计达到3次的，项目合同予以解除。</w:t>
      </w:r>
    </w:p>
    <w:p w14:paraId="1EFA650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、全年绩效考核中，每月平均分低于60分(含60分)达到三次的。</w:t>
      </w:r>
    </w:p>
    <w:sectPr>
      <w:footerReference r:id="rId3" w:type="default"/>
      <w:pgSz w:w="11906" w:h="16838"/>
      <w:pgMar w:top="2098" w:right="1474" w:bottom="198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447429">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789305" cy="23114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89305" cy="2311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038528">
                          <w:pPr>
                            <w:pStyle w:val="2"/>
                            <w:jc w:val="center"/>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18.2pt;width:62.15pt;mso-position-horizontal:center;mso-position-horizontal-relative:margin;z-index:251659264;mso-width-relative:page;mso-height-relative:page;" filled="f" stroked="f" coordsize="21600,21600" o:gfxdata="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Wu7Y/1AAAAAQBAAAPAAAAAAAAAAEAIAAAACIAAABkcnMvZG93bnJldi54&#10;bWxQSwECFAAUAAAACACHTuJAVyFCITcCAABhBAAADgAAAAAAAAABACAAAAAjAQAAZHJzL2Uyb0Rv&#10;Yy54bWxQSwUGAAAAAAYABgBZAQAAzAUAAAAA&#10;">
              <v:fill on="f" focussize="0,0"/>
              <v:stroke on="f" weight="0.5pt"/>
              <v:imagedata o:title=""/>
              <o:lock v:ext="edit" aspectratio="f"/>
              <v:textbox inset="0mm,0mm,0mm,0mm">
                <w:txbxContent>
                  <w:p w14:paraId="51038528">
                    <w:pPr>
                      <w:pStyle w:val="2"/>
                      <w:jc w:val="center"/>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EB6797"/>
    <w:rsid w:val="0E39220B"/>
    <w:rsid w:val="0F273608"/>
    <w:rsid w:val="0F977B31"/>
    <w:rsid w:val="18612369"/>
    <w:rsid w:val="1C713C88"/>
    <w:rsid w:val="2A8D625F"/>
    <w:rsid w:val="37F7266B"/>
    <w:rsid w:val="3BF75330"/>
    <w:rsid w:val="3E09759C"/>
    <w:rsid w:val="3EF8EBCF"/>
    <w:rsid w:val="4C6B4F7E"/>
    <w:rsid w:val="4FAB32BC"/>
    <w:rsid w:val="4FF572BC"/>
    <w:rsid w:val="552A00CC"/>
    <w:rsid w:val="5D8B722E"/>
    <w:rsid w:val="6BDB2819"/>
    <w:rsid w:val="6FC36CFC"/>
    <w:rsid w:val="71E511AB"/>
    <w:rsid w:val="729055BB"/>
    <w:rsid w:val="76B32F05"/>
    <w:rsid w:val="7BEB67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1656</Words>
  <Characters>1731</Characters>
  <Lines>0</Lines>
  <Paragraphs>0</Paragraphs>
  <TotalTime>22</TotalTime>
  <ScaleCrop>false</ScaleCrop>
  <LinksUpToDate>false</LinksUpToDate>
  <CharactersWithSpaces>1735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2026-02-05T15:19:00Z</dcterms:created>
  <dc:creator>阿盟</dc:creator>
  <cp:lastModifiedBy>阿盟</cp:lastModifiedBy>
  <cp:lastPrinted>2026-02-27T09:29:00Z</cp:lastPrinted>
  <dcterms:modified xsi:type="dcterms:W3CDTF">2026-03-24T07:30:52Z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E5B52F96A4B84A7C874AAD8581709208_13</vt:lpwstr>
  </property>
  <property fmtid="{D5CDD505-2E9C-101B-9397-08002B2CF9AE}" pid="4" name="KSOTemplateDocerSaveRecord">
    <vt:lpwstr>eyJoZGlkIjoiMzg5NmZiMmRjY2ZjNDU0N2NkZTBhYzBhYTc2NGFkOTQiLCJ1c2VySWQiOiI0MzAwMDE2NzYifQ==</vt:lpwstr>
  </property>
</Properties>
</file>