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4A528">
      <w:pP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val="en-US" w:eastAsia="zh-CN"/>
        </w:rPr>
        <w:t>内蒙古艺术学院新华校区</w:t>
      </w:r>
      <w:r>
        <w:rPr>
          <w:rFonts w:hint="eastAsia" w:asciiTheme="minorEastAsia" w:hAnsiTheme="minorEastAsia" w:eastAsiaTheme="minorEastAsia" w:cstheme="minorEastAsia"/>
          <w:b/>
          <w:bCs/>
          <w:sz w:val="24"/>
          <w:szCs w:val="24"/>
        </w:rPr>
        <w:t>物业服务外包</w:t>
      </w:r>
      <w:r>
        <w:rPr>
          <w:rFonts w:hint="eastAsia" w:asciiTheme="minorEastAsia" w:hAnsiTheme="minorEastAsia" w:cstheme="minorEastAsia"/>
          <w:b/>
          <w:bCs/>
          <w:sz w:val="24"/>
          <w:szCs w:val="24"/>
          <w:lang w:eastAsia="zh-CN"/>
        </w:rPr>
        <w:t>技术参数</w:t>
      </w:r>
      <w:r>
        <w:rPr>
          <w:rFonts w:hint="eastAsia" w:asciiTheme="minorEastAsia" w:hAnsiTheme="minorEastAsia" w:eastAsiaTheme="minorEastAsia" w:cstheme="minorEastAsia"/>
          <w:b/>
          <w:bCs/>
          <w:sz w:val="24"/>
          <w:szCs w:val="24"/>
          <w:lang w:eastAsia="zh-CN"/>
        </w:rPr>
        <w:t>：</w:t>
      </w:r>
    </w:p>
    <w:tbl>
      <w:tblPr>
        <w:tblStyle w:val="7"/>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3"/>
      </w:tblGrid>
      <w:tr w14:paraId="535F9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9167" w:type="dxa"/>
          </w:tcPr>
          <w:p w14:paraId="0D54646C">
            <w:pPr>
              <w:widowControl w:val="0"/>
              <w:numPr>
                <w:ilvl w:val="0"/>
                <w:numId w:val="0"/>
              </w:numPr>
              <w:bidi w:val="0"/>
              <w:spacing w:line="360" w:lineRule="auto"/>
              <w:jc w:val="both"/>
              <w:rPr>
                <w:rFonts w:hint="eastAsia" w:asciiTheme="minorEastAsia" w:hAnsiTheme="minorEastAsia" w:eastAsiaTheme="minorEastAsia" w:cstheme="minorEastAsia"/>
                <w:snapToGrid w:val="0"/>
                <w:color w:val="000000"/>
                <w:spacing w:val="3"/>
                <w:kern w:val="0"/>
                <w:sz w:val="24"/>
                <w:szCs w:val="24"/>
                <w:lang w:val="en-US" w:eastAsia="zh-CN" w:bidi="ar-SA"/>
              </w:rPr>
            </w:pPr>
            <w:r>
              <w:rPr>
                <w:rFonts w:hint="eastAsia" w:asciiTheme="minorEastAsia" w:hAnsiTheme="minorEastAsia" w:eastAsiaTheme="minorEastAsia" w:cstheme="minorEastAsia"/>
                <w:snapToGrid w:val="0"/>
                <w:color w:val="000000"/>
                <w:spacing w:val="3"/>
                <w:kern w:val="0"/>
                <w:sz w:val="24"/>
                <w:szCs w:val="24"/>
                <w:lang w:val="en-US" w:eastAsia="zh-CN" w:bidi="ar-SA"/>
              </w:rPr>
              <w:t>一、项目基本情况</w:t>
            </w:r>
          </w:p>
          <w:p w14:paraId="0A7FB18E">
            <w:pPr>
              <w:pStyle w:val="4"/>
              <w:widowControl w:val="0"/>
              <w:numPr>
                <w:ilvl w:val="0"/>
                <w:numId w:val="0"/>
              </w:numPr>
              <w:spacing w:line="360" w:lineRule="auto"/>
              <w:jc w:val="both"/>
              <w:rPr>
                <w:rFonts w:hint="eastAsia" w:asciiTheme="minorEastAsia" w:hAnsiTheme="minorEastAsia" w:eastAsiaTheme="minorEastAsia" w:cstheme="minorEastAsia"/>
                <w:snapToGrid w:val="0"/>
                <w:color w:val="000000"/>
                <w:spacing w:val="3"/>
                <w:kern w:val="0"/>
                <w:sz w:val="24"/>
                <w:szCs w:val="24"/>
                <w:lang w:val="en-US" w:eastAsia="zh-CN" w:bidi="ar-SA"/>
              </w:rPr>
            </w:pPr>
            <w:r>
              <w:rPr>
                <w:rFonts w:hint="eastAsia" w:asciiTheme="minorEastAsia" w:hAnsiTheme="minorEastAsia" w:eastAsiaTheme="minorEastAsia" w:cstheme="minorEastAsia"/>
                <w:snapToGrid w:val="0"/>
                <w:color w:val="000000"/>
                <w:spacing w:val="3"/>
                <w:kern w:val="0"/>
                <w:sz w:val="24"/>
                <w:szCs w:val="24"/>
                <w:lang w:val="en-US" w:eastAsia="zh-CN" w:bidi="ar-SA"/>
              </w:rPr>
              <w:t>（一）物业情况</w:t>
            </w:r>
          </w:p>
          <w:p w14:paraId="2C69673D">
            <w:pPr>
              <w:widowControl w:val="0"/>
              <w:numPr>
                <w:ilvl w:val="0"/>
                <w:numId w:val="0"/>
              </w:numPr>
              <w:bidi w:val="0"/>
              <w:spacing w:line="360" w:lineRule="auto"/>
              <w:jc w:val="both"/>
              <w:rPr>
                <w:rFonts w:hint="eastAsia" w:asciiTheme="minorEastAsia" w:hAnsiTheme="minorEastAsia" w:eastAsiaTheme="minorEastAsia" w:cstheme="minorEastAsia"/>
                <w:snapToGrid w:val="0"/>
                <w:color w:val="000000"/>
                <w:spacing w:val="3"/>
                <w:kern w:val="0"/>
                <w:sz w:val="24"/>
                <w:szCs w:val="24"/>
                <w:lang w:val="en-US" w:eastAsia="zh-CN" w:bidi="ar-SA"/>
              </w:rPr>
            </w:pPr>
            <w:r>
              <w:rPr>
                <w:rFonts w:hint="eastAsia" w:asciiTheme="minorEastAsia" w:hAnsiTheme="minorEastAsia" w:eastAsiaTheme="minorEastAsia" w:cstheme="minorEastAsia"/>
                <w:snapToGrid w:val="0"/>
                <w:color w:val="000000"/>
                <w:spacing w:val="3"/>
                <w:kern w:val="0"/>
                <w:sz w:val="24"/>
                <w:szCs w:val="24"/>
                <w:lang w:val="en-US" w:eastAsia="zh-CN" w:bidi="ar-SA"/>
              </w:rPr>
              <w:t>项目基本情况</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91"/>
              <w:gridCol w:w="4094"/>
            </w:tblGrid>
            <w:tr w14:paraId="74125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99" w:type="pct"/>
                  <w:vAlign w:val="center"/>
                </w:tcPr>
                <w:p w14:paraId="3ECB5C9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lang w:val="en-US" w:eastAsia="zh-CN" w:bidi="ar-SA"/>
                    </w:rPr>
                  </w:pPr>
                  <w:r>
                    <w:rPr>
                      <w:rFonts w:hint="eastAsia" w:asciiTheme="minorEastAsia" w:hAnsiTheme="minorEastAsia" w:eastAsiaTheme="minorEastAsia" w:cstheme="minorEastAsia"/>
                      <w:snapToGrid w:val="0"/>
                      <w:color w:val="000000"/>
                      <w:spacing w:val="3"/>
                      <w:kern w:val="0"/>
                      <w:sz w:val="24"/>
                      <w:szCs w:val="24"/>
                      <w:lang w:val="en-US" w:eastAsia="zh-CN" w:bidi="ar-SA"/>
                    </w:rPr>
                    <w:t>名称</w:t>
                  </w:r>
                </w:p>
              </w:tc>
              <w:tc>
                <w:tcPr>
                  <w:tcW w:w="2500" w:type="pct"/>
                  <w:vAlign w:val="center"/>
                </w:tcPr>
                <w:p w14:paraId="02C470B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lang w:val="en-US" w:eastAsia="zh-CN" w:bidi="ar-SA"/>
                    </w:rPr>
                  </w:pPr>
                  <w:r>
                    <w:rPr>
                      <w:rFonts w:hint="eastAsia" w:asciiTheme="minorEastAsia" w:hAnsiTheme="minorEastAsia" w:eastAsiaTheme="minorEastAsia" w:cstheme="minorEastAsia"/>
                      <w:snapToGrid w:val="0"/>
                      <w:color w:val="000000"/>
                      <w:spacing w:val="3"/>
                      <w:kern w:val="0"/>
                      <w:sz w:val="24"/>
                      <w:szCs w:val="24"/>
                      <w:lang w:val="en-US" w:eastAsia="zh-CN" w:bidi="ar-SA"/>
                    </w:rPr>
                    <w:t>物业地址</w:t>
                  </w:r>
                </w:p>
              </w:tc>
            </w:tr>
            <w:tr w14:paraId="773F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499" w:type="pct"/>
                  <w:vAlign w:val="center"/>
                </w:tcPr>
                <w:p w14:paraId="1AEDDF1D">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lang w:val="en-US" w:eastAsia="zh-CN" w:bidi="ar-SA"/>
                    </w:rPr>
                  </w:pPr>
                  <w:r>
                    <w:rPr>
                      <w:rFonts w:hint="eastAsia" w:asciiTheme="minorEastAsia" w:hAnsiTheme="minorEastAsia" w:eastAsiaTheme="minorEastAsia" w:cstheme="minorEastAsia"/>
                      <w:snapToGrid w:val="0"/>
                      <w:color w:val="000000"/>
                      <w:spacing w:val="11"/>
                      <w:kern w:val="0"/>
                      <w:sz w:val="24"/>
                      <w:szCs w:val="24"/>
                      <w:lang w:val="en-US" w:eastAsia="zh-CN" w:bidi="ar-SA"/>
                    </w:rPr>
                    <w:t>内蒙古艺术学院新华校区</w:t>
                  </w:r>
                </w:p>
              </w:tc>
              <w:tc>
                <w:tcPr>
                  <w:tcW w:w="2500" w:type="pct"/>
                  <w:vAlign w:val="center"/>
                </w:tcPr>
                <w:p w14:paraId="09994F3D">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lang w:val="en-US" w:eastAsia="zh-CN" w:bidi="ar-SA"/>
                    </w:rPr>
                  </w:pPr>
                  <w:r>
                    <w:rPr>
                      <w:rFonts w:hint="eastAsia" w:asciiTheme="minorEastAsia" w:hAnsiTheme="minorEastAsia" w:eastAsiaTheme="minorEastAsia" w:cstheme="minorEastAsia"/>
                      <w:snapToGrid w:val="0"/>
                      <w:color w:val="000000"/>
                      <w:spacing w:val="3"/>
                      <w:kern w:val="0"/>
                      <w:sz w:val="24"/>
                      <w:szCs w:val="24"/>
                      <w:lang w:val="en-US" w:eastAsia="zh-CN" w:bidi="ar-SA"/>
                    </w:rPr>
                    <w:t>呼和浩特市新城区新华东街101号</w:t>
                  </w:r>
                </w:p>
              </w:tc>
            </w:tr>
          </w:tbl>
          <w:p w14:paraId="591CF95D">
            <w:pPr>
              <w:widowControl w:val="0"/>
              <w:numPr>
                <w:ilvl w:val="0"/>
                <w:numId w:val="0"/>
              </w:numPr>
              <w:bidi w:val="0"/>
              <w:spacing w:line="360" w:lineRule="auto"/>
              <w:jc w:val="both"/>
              <w:rPr>
                <w:rFonts w:hint="eastAsia" w:asciiTheme="minorEastAsia" w:hAnsiTheme="minorEastAsia" w:eastAsiaTheme="minorEastAsia" w:cstheme="minorEastAsia"/>
                <w:b/>
                <w:bCs/>
                <w:snapToGrid w:val="0"/>
                <w:color w:val="000000"/>
                <w:spacing w:val="3"/>
                <w:kern w:val="0"/>
                <w:sz w:val="24"/>
                <w:szCs w:val="24"/>
                <w:lang w:val="en-US" w:eastAsia="zh-CN" w:bidi="ar-SA"/>
              </w:rPr>
            </w:pPr>
            <w:r>
              <w:rPr>
                <w:rFonts w:hint="eastAsia" w:asciiTheme="minorEastAsia" w:hAnsiTheme="minorEastAsia" w:eastAsiaTheme="minorEastAsia" w:cstheme="minorEastAsia"/>
                <w:b/>
                <w:bCs/>
                <w:snapToGrid w:val="0"/>
                <w:color w:val="000000"/>
                <w:spacing w:val="3"/>
                <w:kern w:val="0"/>
                <w:sz w:val="24"/>
                <w:szCs w:val="24"/>
                <w:lang w:val="en-US" w:eastAsia="zh-CN" w:bidi="ar-SA"/>
              </w:rPr>
              <w:t>（二）进一步说明：</w:t>
            </w:r>
          </w:p>
          <w:p w14:paraId="6C83B76F">
            <w:pPr>
              <w:widowControl w:val="0"/>
              <w:numPr>
                <w:ilvl w:val="0"/>
                <w:numId w:val="0"/>
              </w:numPr>
              <w:bidi w:val="0"/>
              <w:spacing w:line="360" w:lineRule="auto"/>
              <w:jc w:val="both"/>
              <w:rPr>
                <w:rFonts w:hint="eastAsia" w:asciiTheme="minorEastAsia" w:hAnsiTheme="minorEastAsia" w:eastAsiaTheme="minorEastAsia" w:cstheme="minorEastAsia"/>
                <w:snapToGrid w:val="0"/>
                <w:color w:val="000000"/>
                <w:spacing w:val="3"/>
                <w:kern w:val="0"/>
                <w:sz w:val="24"/>
                <w:szCs w:val="24"/>
                <w:lang w:val="en-US" w:eastAsia="zh-CN" w:bidi="ar-SA"/>
              </w:rPr>
            </w:pPr>
            <w:r>
              <w:rPr>
                <w:rFonts w:hint="eastAsia" w:asciiTheme="minorEastAsia" w:hAnsiTheme="minorEastAsia" w:eastAsiaTheme="minorEastAsia" w:cstheme="minorEastAsia"/>
                <w:b/>
                <w:bCs/>
                <w:snapToGrid w:val="0"/>
                <w:color w:val="000000"/>
                <w:spacing w:val="3"/>
                <w:kern w:val="0"/>
                <w:sz w:val="24"/>
                <w:szCs w:val="24"/>
                <w:lang w:val="en-US" w:eastAsia="zh-CN" w:bidi="ar-SA"/>
              </w:rPr>
              <w:t>本招标物业服务范围不包括：</w:t>
            </w:r>
            <w:r>
              <w:rPr>
                <w:rFonts w:hint="eastAsia" w:asciiTheme="minorEastAsia" w:hAnsiTheme="minorEastAsia" w:eastAsiaTheme="minorEastAsia" w:cstheme="minorEastAsia"/>
                <w:snapToGrid w:val="0"/>
                <w:color w:val="000000"/>
                <w:spacing w:val="3"/>
                <w:kern w:val="0"/>
                <w:sz w:val="24"/>
                <w:szCs w:val="24"/>
                <w:lang w:val="en-US" w:eastAsia="zh-CN" w:bidi="ar-SA"/>
              </w:rPr>
              <w:t>：</w:t>
            </w:r>
            <w:bookmarkStart w:id="0" w:name="_GoBack"/>
            <w:bookmarkEnd w:id="0"/>
          </w:p>
          <w:p w14:paraId="338769CC">
            <w:pPr>
              <w:widowControl w:val="0"/>
              <w:numPr>
                <w:ilvl w:val="0"/>
                <w:numId w:val="0"/>
              </w:numPr>
              <w:bidi w:val="0"/>
              <w:spacing w:line="360" w:lineRule="auto"/>
              <w:jc w:val="both"/>
              <w:rPr>
                <w:rFonts w:hint="eastAsia" w:asciiTheme="minorEastAsia" w:hAnsiTheme="minorEastAsia" w:eastAsiaTheme="minorEastAsia" w:cstheme="minorEastAsia"/>
                <w:snapToGrid w:val="0"/>
                <w:color w:val="000000"/>
                <w:spacing w:val="3"/>
                <w:kern w:val="0"/>
                <w:sz w:val="24"/>
                <w:szCs w:val="24"/>
                <w:lang w:val="en-US" w:eastAsia="zh-CN" w:bidi="ar-SA"/>
              </w:rPr>
            </w:pPr>
            <w:r>
              <w:rPr>
                <w:rFonts w:hint="eastAsia" w:asciiTheme="minorEastAsia" w:hAnsiTheme="minorEastAsia" w:eastAsiaTheme="minorEastAsia" w:cstheme="minorEastAsia"/>
                <w:snapToGrid w:val="0"/>
                <w:color w:val="000000"/>
                <w:spacing w:val="3"/>
                <w:kern w:val="0"/>
                <w:sz w:val="24"/>
                <w:szCs w:val="24"/>
                <w:lang w:val="en-US" w:eastAsia="zh-CN" w:bidi="ar-SA"/>
              </w:rPr>
              <w:t>1.几处出入口大门、建筑物及校园内的安保巡逻（重点区域24小时巡查、值守）等由保卫处管理，本次物业服务招标不包括。</w:t>
            </w:r>
          </w:p>
          <w:p w14:paraId="23A08997">
            <w:pPr>
              <w:widowControl w:val="0"/>
              <w:numPr>
                <w:ilvl w:val="0"/>
                <w:numId w:val="0"/>
              </w:numPr>
              <w:bidi w:val="0"/>
              <w:spacing w:line="360" w:lineRule="auto"/>
              <w:jc w:val="both"/>
              <w:rPr>
                <w:rFonts w:hint="eastAsia" w:asciiTheme="minorEastAsia" w:hAnsiTheme="minorEastAsia" w:eastAsiaTheme="minorEastAsia" w:cstheme="minorEastAsia"/>
                <w:snapToGrid w:val="0"/>
                <w:color w:val="000000"/>
                <w:spacing w:val="3"/>
                <w:kern w:val="0"/>
                <w:sz w:val="24"/>
                <w:szCs w:val="24"/>
                <w:lang w:val="en-US" w:eastAsia="zh-CN" w:bidi="ar-SA"/>
              </w:rPr>
            </w:pPr>
            <w:r>
              <w:rPr>
                <w:rFonts w:hint="eastAsia" w:asciiTheme="minorEastAsia" w:hAnsiTheme="minorEastAsia" w:eastAsiaTheme="minorEastAsia" w:cstheme="minorEastAsia"/>
                <w:snapToGrid w:val="0"/>
                <w:color w:val="000000"/>
                <w:spacing w:val="3"/>
                <w:kern w:val="0"/>
                <w:sz w:val="24"/>
                <w:szCs w:val="24"/>
                <w:lang w:val="en-US" w:eastAsia="zh-CN" w:bidi="ar-SA"/>
              </w:rPr>
              <w:t>（三）物业服务范围</w:t>
            </w:r>
          </w:p>
          <w:p w14:paraId="34FCE427">
            <w:pPr>
              <w:widowControl w:val="0"/>
              <w:numPr>
                <w:ilvl w:val="0"/>
                <w:numId w:val="0"/>
              </w:numPr>
              <w:bidi w:val="0"/>
              <w:spacing w:line="360" w:lineRule="auto"/>
              <w:jc w:val="both"/>
              <w:rPr>
                <w:rFonts w:hint="eastAsia" w:asciiTheme="minorEastAsia" w:hAnsiTheme="minorEastAsia" w:eastAsiaTheme="minorEastAsia" w:cstheme="minorEastAsia"/>
                <w:snapToGrid w:val="0"/>
                <w:color w:val="000000"/>
                <w:spacing w:val="3"/>
                <w:kern w:val="0"/>
                <w:sz w:val="24"/>
                <w:szCs w:val="24"/>
                <w:lang w:val="en-US" w:eastAsia="zh-CN" w:bidi="ar-SA"/>
              </w:rPr>
            </w:pPr>
            <w:r>
              <w:rPr>
                <w:rFonts w:hint="eastAsia" w:asciiTheme="minorEastAsia" w:hAnsiTheme="minorEastAsia" w:eastAsiaTheme="minorEastAsia" w:cstheme="minorEastAsia"/>
                <w:snapToGrid w:val="0"/>
                <w:color w:val="000000"/>
                <w:spacing w:val="3"/>
                <w:kern w:val="0"/>
                <w:sz w:val="24"/>
                <w:szCs w:val="24"/>
                <w:lang w:val="en-US" w:eastAsia="zh-CN" w:bidi="ar-SA"/>
              </w:rPr>
              <w:t>1.物业管理（建筑物）</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319"/>
              <w:gridCol w:w="3296"/>
              <w:gridCol w:w="1292"/>
            </w:tblGrid>
            <w:tr w14:paraId="4D7D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40" w:type="dxa"/>
                  <w:gridSpan w:val="2"/>
                  <w:vAlign w:val="center"/>
                </w:tcPr>
                <w:p w14:paraId="1F7553D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名称</w:t>
                  </w:r>
                </w:p>
              </w:tc>
              <w:tc>
                <w:tcPr>
                  <w:tcW w:w="3296" w:type="dxa"/>
                  <w:vAlign w:val="center"/>
                </w:tcPr>
                <w:p w14:paraId="158B483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明细</w:t>
                  </w:r>
                </w:p>
              </w:tc>
              <w:tc>
                <w:tcPr>
                  <w:tcW w:w="1292" w:type="dxa"/>
                  <w:vAlign w:val="center"/>
                </w:tcPr>
                <w:p w14:paraId="07B20AA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服务内容及标准</w:t>
                  </w:r>
                </w:p>
              </w:tc>
            </w:tr>
            <w:tr w14:paraId="76EC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40" w:type="dxa"/>
                  <w:gridSpan w:val="2"/>
                  <w:vAlign w:val="center"/>
                </w:tcPr>
                <w:p w14:paraId="0345DD1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建筑1名</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称</w:t>
                  </w:r>
                </w:p>
              </w:tc>
              <w:tc>
                <w:tcPr>
                  <w:tcW w:w="3296" w:type="dxa"/>
                  <w:vAlign w:val="center"/>
                </w:tcPr>
                <w:p w14:paraId="6C1D527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新华音乐楼</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新华教学楼一期、新华教学楼二期、新华行政楼、新华综合楼负一层、新华琴房（一琴房、二琴房）、新华图书馆一期、新华图书馆二期、新华演艺厅、新华学生食堂、新华学生公寓一、二号楼、新华学生公寓三号楼、新华学生公寓四号楼、新华学生公寓五号楼、新华学生公寓六号楼、运动场</w:t>
                  </w:r>
                </w:p>
              </w:tc>
              <w:tc>
                <w:tcPr>
                  <w:tcW w:w="1292" w:type="dxa"/>
                  <w:vAlign w:val="center"/>
                </w:tcPr>
                <w:p w14:paraId="2BF3FD3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7763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0F57F42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总面积</w:t>
                  </w:r>
                </w:p>
              </w:tc>
              <w:tc>
                <w:tcPr>
                  <w:tcW w:w="1319" w:type="dxa"/>
                  <w:vAlign w:val="center"/>
                </w:tcPr>
                <w:p w14:paraId="5FDB981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建筑面积（㎡）</w:t>
                  </w:r>
                </w:p>
              </w:tc>
              <w:tc>
                <w:tcPr>
                  <w:tcW w:w="3296" w:type="dxa"/>
                  <w:vAlign w:val="center"/>
                </w:tcPr>
                <w:p w14:paraId="1DCA048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50491.31</w:t>
                  </w:r>
                </w:p>
              </w:tc>
              <w:tc>
                <w:tcPr>
                  <w:tcW w:w="1292" w:type="dxa"/>
                  <w:vAlign w:val="center"/>
                </w:tcPr>
                <w:p w14:paraId="28BD1EE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、垃圾转清运服务、</w:t>
                  </w:r>
                </w:p>
              </w:tc>
            </w:tr>
            <w:tr w14:paraId="0F50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3C498EF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vAlign w:val="center"/>
                </w:tcPr>
                <w:p w14:paraId="7F61F76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需保洁面积（㎡）</w:t>
                  </w:r>
                </w:p>
              </w:tc>
              <w:tc>
                <w:tcPr>
                  <w:tcW w:w="3296" w:type="dxa"/>
                  <w:vAlign w:val="center"/>
                </w:tcPr>
                <w:p w14:paraId="5FDF2F4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15538.31</w:t>
                  </w:r>
                </w:p>
              </w:tc>
              <w:tc>
                <w:tcPr>
                  <w:tcW w:w="1292" w:type="dxa"/>
                  <w:vAlign w:val="center"/>
                </w:tcPr>
                <w:p w14:paraId="620DFEA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p>
              </w:tc>
            </w:tr>
            <w:tr w14:paraId="2F20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250F112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行政楼</w:t>
                  </w:r>
                </w:p>
              </w:tc>
              <w:tc>
                <w:tcPr>
                  <w:tcW w:w="1319" w:type="dxa"/>
                  <w:vAlign w:val="center"/>
                </w:tcPr>
                <w:p w14:paraId="77039F8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层高</w:t>
                  </w:r>
                </w:p>
              </w:tc>
              <w:tc>
                <w:tcPr>
                  <w:tcW w:w="3296" w:type="dxa"/>
                  <w:vAlign w:val="center"/>
                </w:tcPr>
                <w:p w14:paraId="6B93733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6</w:t>
                  </w:r>
                </w:p>
              </w:tc>
              <w:tc>
                <w:tcPr>
                  <w:tcW w:w="1292" w:type="dxa"/>
                  <w:vMerge w:val="restart"/>
                  <w:vAlign w:val="center"/>
                </w:tcPr>
                <w:p w14:paraId="71DBC3D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、会议服务</w:t>
                  </w:r>
                </w:p>
              </w:tc>
            </w:tr>
            <w:tr w14:paraId="210B5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621" w:type="dxa"/>
                  <w:vMerge w:val="continue"/>
                  <w:vAlign w:val="center"/>
                </w:tcPr>
                <w:p w14:paraId="0124455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vAlign w:val="center"/>
                </w:tcPr>
                <w:p w14:paraId="001BFD1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3296" w:type="dxa"/>
                  <w:vAlign w:val="center"/>
                </w:tcPr>
                <w:p w14:paraId="519977D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12</w:t>
                  </w:r>
                </w:p>
              </w:tc>
              <w:tc>
                <w:tcPr>
                  <w:tcW w:w="1292" w:type="dxa"/>
                  <w:vMerge w:val="continue"/>
                  <w:vAlign w:val="center"/>
                </w:tcPr>
                <w:p w14:paraId="01FB475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5FD40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621" w:type="dxa"/>
                  <w:vMerge w:val="continue"/>
                  <w:vAlign w:val="center"/>
                </w:tcPr>
                <w:p w14:paraId="3C7865D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vAlign w:val="center"/>
                </w:tcPr>
                <w:p w14:paraId="2D3F4D0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会议室</w:t>
                  </w:r>
                </w:p>
              </w:tc>
              <w:tc>
                <w:tcPr>
                  <w:tcW w:w="3296" w:type="dxa"/>
                  <w:vAlign w:val="center"/>
                </w:tcPr>
                <w:p w14:paraId="11DC1F4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2</w:t>
                  </w:r>
                </w:p>
              </w:tc>
              <w:tc>
                <w:tcPr>
                  <w:tcW w:w="1292" w:type="dxa"/>
                  <w:vMerge w:val="continue"/>
                  <w:vAlign w:val="center"/>
                </w:tcPr>
                <w:p w14:paraId="3CC1169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5749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09C1E1C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vAlign w:val="center"/>
                </w:tcPr>
                <w:p w14:paraId="52E4470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3296" w:type="dxa"/>
                  <w:vAlign w:val="center"/>
                </w:tcPr>
                <w:p w14:paraId="765AAF6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4335㎡</w:t>
                  </w:r>
                </w:p>
              </w:tc>
              <w:tc>
                <w:tcPr>
                  <w:tcW w:w="1292" w:type="dxa"/>
                  <w:vMerge w:val="continue"/>
                  <w:vAlign w:val="center"/>
                </w:tcPr>
                <w:p w14:paraId="61C5B1A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2D913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45CB763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教学楼1期</w:t>
                  </w:r>
                </w:p>
              </w:tc>
              <w:tc>
                <w:tcPr>
                  <w:tcW w:w="1319" w:type="dxa"/>
                  <w:vAlign w:val="center"/>
                </w:tcPr>
                <w:p w14:paraId="4CAA7A3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层高</w:t>
                  </w:r>
                </w:p>
              </w:tc>
              <w:tc>
                <w:tcPr>
                  <w:tcW w:w="3296" w:type="dxa"/>
                  <w:vAlign w:val="center"/>
                </w:tcPr>
                <w:p w14:paraId="59A6AD3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5</w:t>
                  </w:r>
                </w:p>
              </w:tc>
              <w:tc>
                <w:tcPr>
                  <w:tcW w:w="1292" w:type="dxa"/>
                  <w:vMerge w:val="restart"/>
                  <w:vAlign w:val="center"/>
                </w:tcPr>
                <w:p w14:paraId="39917E9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372E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68FCA8E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vAlign w:val="center"/>
                </w:tcPr>
                <w:p w14:paraId="7520A1E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3296" w:type="dxa"/>
                  <w:vAlign w:val="center"/>
                </w:tcPr>
                <w:p w14:paraId="6739B27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3115.4㎡</w:t>
                  </w:r>
                </w:p>
              </w:tc>
              <w:tc>
                <w:tcPr>
                  <w:tcW w:w="1292" w:type="dxa"/>
                  <w:vMerge w:val="continue"/>
                  <w:vAlign w:val="center"/>
                </w:tcPr>
                <w:p w14:paraId="7D511FD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09267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43069E4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教学楼2期</w:t>
                  </w:r>
                </w:p>
              </w:tc>
              <w:tc>
                <w:tcPr>
                  <w:tcW w:w="1319" w:type="dxa"/>
                  <w:vAlign w:val="center"/>
                </w:tcPr>
                <w:p w14:paraId="17508EF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层高</w:t>
                  </w:r>
                </w:p>
              </w:tc>
              <w:tc>
                <w:tcPr>
                  <w:tcW w:w="3296" w:type="dxa"/>
                  <w:vAlign w:val="center"/>
                </w:tcPr>
                <w:p w14:paraId="5BA61D4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7</w:t>
                  </w:r>
                </w:p>
              </w:tc>
              <w:tc>
                <w:tcPr>
                  <w:tcW w:w="1292" w:type="dxa"/>
                  <w:vMerge w:val="restart"/>
                  <w:vAlign w:val="center"/>
                </w:tcPr>
                <w:p w14:paraId="383512C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6D3A6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1D934A0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vAlign w:val="center"/>
                </w:tcPr>
                <w:p w14:paraId="6E350D8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3296" w:type="dxa"/>
                  <w:vAlign w:val="center"/>
                </w:tcPr>
                <w:p w14:paraId="2960B90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7143㎡</w:t>
                  </w:r>
                </w:p>
              </w:tc>
              <w:tc>
                <w:tcPr>
                  <w:tcW w:w="1292" w:type="dxa"/>
                  <w:vMerge w:val="continue"/>
                  <w:vAlign w:val="center"/>
                </w:tcPr>
                <w:p w14:paraId="248503B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5A935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Align w:val="center"/>
                </w:tcPr>
                <w:p w14:paraId="7266DA8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教学楼1期、教学楼2期</w:t>
                  </w:r>
                </w:p>
              </w:tc>
              <w:tc>
                <w:tcPr>
                  <w:tcW w:w="1319" w:type="dxa"/>
                  <w:vAlign w:val="center"/>
                </w:tcPr>
                <w:p w14:paraId="4676BAC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3296" w:type="dxa"/>
                  <w:vAlign w:val="center"/>
                </w:tcPr>
                <w:p w14:paraId="644DB64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15</w:t>
                  </w:r>
                </w:p>
              </w:tc>
              <w:tc>
                <w:tcPr>
                  <w:tcW w:w="1292" w:type="dxa"/>
                  <w:vAlign w:val="center"/>
                </w:tcPr>
                <w:p w14:paraId="38FA9E1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1051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53C18E9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食 堂</w:t>
                  </w:r>
                </w:p>
              </w:tc>
              <w:tc>
                <w:tcPr>
                  <w:tcW w:w="1319" w:type="dxa"/>
                  <w:vAlign w:val="center"/>
                </w:tcPr>
                <w:p w14:paraId="14B5C77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层高</w:t>
                  </w:r>
                </w:p>
              </w:tc>
              <w:tc>
                <w:tcPr>
                  <w:tcW w:w="3296" w:type="dxa"/>
                  <w:vAlign w:val="center"/>
                </w:tcPr>
                <w:p w14:paraId="1D04209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2</w:t>
                  </w:r>
                </w:p>
              </w:tc>
              <w:tc>
                <w:tcPr>
                  <w:tcW w:w="1292" w:type="dxa"/>
                  <w:vMerge w:val="restart"/>
                  <w:vAlign w:val="center"/>
                </w:tcPr>
                <w:p w14:paraId="5035F31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餐厅管理服务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49614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1D0DF9F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vAlign w:val="center"/>
                </w:tcPr>
                <w:p w14:paraId="669202C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建筑面积</w:t>
                  </w:r>
                </w:p>
              </w:tc>
              <w:tc>
                <w:tcPr>
                  <w:tcW w:w="3296" w:type="dxa"/>
                  <w:vAlign w:val="center"/>
                </w:tcPr>
                <w:p w14:paraId="1B43E1B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pacing w:val="1"/>
                      <w:sz w:val="24"/>
                      <w:szCs w:val="24"/>
                      <w:highlight w:val="none"/>
                      <w:lang w:val="en-US" w:eastAsia="zh-CN"/>
                    </w:rPr>
                    <w:t>2461</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p>
              </w:tc>
              <w:tc>
                <w:tcPr>
                  <w:tcW w:w="1292" w:type="dxa"/>
                  <w:vMerge w:val="continue"/>
                  <w:vAlign w:val="center"/>
                </w:tcPr>
                <w:p w14:paraId="525F7CE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6BE1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3426942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图书馆1期</w:t>
                  </w:r>
                </w:p>
              </w:tc>
              <w:tc>
                <w:tcPr>
                  <w:tcW w:w="1319" w:type="dxa"/>
                  <w:vAlign w:val="center"/>
                </w:tcPr>
                <w:p w14:paraId="5C7822A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层高</w:t>
                  </w:r>
                </w:p>
              </w:tc>
              <w:tc>
                <w:tcPr>
                  <w:tcW w:w="3296" w:type="dxa"/>
                  <w:vAlign w:val="center"/>
                </w:tcPr>
                <w:p w14:paraId="4281F7C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8</w:t>
                  </w:r>
                </w:p>
              </w:tc>
              <w:tc>
                <w:tcPr>
                  <w:tcW w:w="1292" w:type="dxa"/>
                  <w:vMerge w:val="restart"/>
                  <w:vAlign w:val="center"/>
                </w:tcPr>
                <w:p w14:paraId="1D55931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47576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2F21C7B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shd w:val="clear" w:color="auto" w:fill="auto"/>
                  <w:vAlign w:val="center"/>
                </w:tcPr>
                <w:p w14:paraId="13C9AB2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3296" w:type="dxa"/>
                  <w:shd w:val="clear" w:color="auto" w:fill="auto"/>
                  <w:vAlign w:val="center"/>
                </w:tcPr>
                <w:p w14:paraId="38366D2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12</w:t>
                  </w:r>
                </w:p>
              </w:tc>
              <w:tc>
                <w:tcPr>
                  <w:tcW w:w="1292" w:type="dxa"/>
                  <w:vMerge w:val="continue"/>
                  <w:vAlign w:val="center"/>
                </w:tcPr>
                <w:p w14:paraId="74F5C7E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52711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20CF755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vAlign w:val="center"/>
                </w:tcPr>
                <w:p w14:paraId="3057A4A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3296" w:type="dxa"/>
                  <w:vAlign w:val="center"/>
                </w:tcPr>
                <w:p w14:paraId="3427681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2564.92㎡</w:t>
                  </w:r>
                </w:p>
              </w:tc>
              <w:tc>
                <w:tcPr>
                  <w:tcW w:w="1292" w:type="dxa"/>
                  <w:vMerge w:val="continue"/>
                  <w:vAlign w:val="center"/>
                </w:tcPr>
                <w:p w14:paraId="6A56F1F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0A7C9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67E376A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图书馆2期</w:t>
                  </w:r>
                </w:p>
              </w:tc>
              <w:tc>
                <w:tcPr>
                  <w:tcW w:w="1319" w:type="dxa"/>
                  <w:vAlign w:val="center"/>
                </w:tcPr>
                <w:p w14:paraId="41D5E82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层高</w:t>
                  </w:r>
                </w:p>
              </w:tc>
              <w:tc>
                <w:tcPr>
                  <w:tcW w:w="3296" w:type="dxa"/>
                  <w:vAlign w:val="center"/>
                </w:tcPr>
                <w:p w14:paraId="23FC22A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地上4层</w:t>
                  </w:r>
                </w:p>
                <w:p w14:paraId="1491FE9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地下1层</w:t>
                  </w:r>
                </w:p>
              </w:tc>
              <w:tc>
                <w:tcPr>
                  <w:tcW w:w="1292" w:type="dxa"/>
                  <w:vMerge w:val="restart"/>
                  <w:vAlign w:val="center"/>
                </w:tcPr>
                <w:p w14:paraId="1065CC4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36488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159C139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shd w:val="clear" w:color="auto" w:fill="auto"/>
                  <w:vAlign w:val="center"/>
                </w:tcPr>
                <w:p w14:paraId="22DA464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3296" w:type="dxa"/>
                  <w:shd w:val="clear" w:color="auto" w:fill="auto"/>
                  <w:vAlign w:val="center"/>
                </w:tcPr>
                <w:p w14:paraId="4DAD238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6</w:t>
                  </w:r>
                </w:p>
              </w:tc>
              <w:tc>
                <w:tcPr>
                  <w:tcW w:w="1292" w:type="dxa"/>
                  <w:vMerge w:val="continue"/>
                  <w:vAlign w:val="center"/>
                </w:tcPr>
                <w:p w14:paraId="43E90EE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3D1D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0C4FFA2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vAlign w:val="center"/>
                </w:tcPr>
                <w:p w14:paraId="52164EC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3296" w:type="dxa"/>
                  <w:vAlign w:val="center"/>
                </w:tcPr>
                <w:p w14:paraId="7368403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4650.8㎡</w:t>
                  </w:r>
                </w:p>
              </w:tc>
              <w:tc>
                <w:tcPr>
                  <w:tcW w:w="1292" w:type="dxa"/>
                  <w:vMerge w:val="continue"/>
                  <w:vAlign w:val="center"/>
                </w:tcPr>
                <w:p w14:paraId="4486074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3F20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477DD0F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一琴房</w:t>
                  </w:r>
                </w:p>
              </w:tc>
              <w:tc>
                <w:tcPr>
                  <w:tcW w:w="1319" w:type="dxa"/>
                  <w:vAlign w:val="center"/>
                </w:tcPr>
                <w:p w14:paraId="552E640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层高</w:t>
                  </w:r>
                </w:p>
              </w:tc>
              <w:tc>
                <w:tcPr>
                  <w:tcW w:w="3296" w:type="dxa"/>
                  <w:vAlign w:val="center"/>
                </w:tcPr>
                <w:p w14:paraId="7A9FE7B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4</w:t>
                  </w:r>
                </w:p>
              </w:tc>
              <w:tc>
                <w:tcPr>
                  <w:tcW w:w="1292" w:type="dxa"/>
                  <w:vMerge w:val="restart"/>
                  <w:vAlign w:val="center"/>
                </w:tcPr>
                <w:p w14:paraId="6BA4714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、琴房值班服务</w:t>
                  </w:r>
                </w:p>
              </w:tc>
            </w:tr>
            <w:tr w14:paraId="0238D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3A395E3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shd w:val="clear" w:color="auto" w:fill="auto"/>
                  <w:vAlign w:val="center"/>
                </w:tcPr>
                <w:p w14:paraId="6882166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房间、设施数量</w:t>
                  </w:r>
                </w:p>
              </w:tc>
              <w:tc>
                <w:tcPr>
                  <w:tcW w:w="3296" w:type="dxa"/>
                  <w:vAlign w:val="center"/>
                </w:tcPr>
                <w:p w14:paraId="6638C00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41</w:t>
                  </w:r>
                </w:p>
              </w:tc>
              <w:tc>
                <w:tcPr>
                  <w:tcW w:w="1292" w:type="dxa"/>
                  <w:vMerge w:val="continue"/>
                  <w:vAlign w:val="center"/>
                </w:tcPr>
                <w:p w14:paraId="32D50A5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32D0D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3B02FD1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shd w:val="clear" w:color="auto" w:fill="auto"/>
                  <w:vAlign w:val="center"/>
                </w:tcPr>
                <w:p w14:paraId="1677D84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3296" w:type="dxa"/>
                  <w:shd w:val="clear" w:color="auto" w:fill="auto"/>
                  <w:vAlign w:val="center"/>
                </w:tcPr>
                <w:p w14:paraId="6CC6E52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4</w:t>
                  </w:r>
                </w:p>
              </w:tc>
              <w:tc>
                <w:tcPr>
                  <w:tcW w:w="1292" w:type="dxa"/>
                  <w:vMerge w:val="continue"/>
                  <w:vAlign w:val="center"/>
                </w:tcPr>
                <w:p w14:paraId="09CB07A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21D9D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394A176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shd w:val="clear" w:color="auto" w:fill="auto"/>
                  <w:vAlign w:val="center"/>
                </w:tcPr>
                <w:p w14:paraId="2AFE852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3296" w:type="dxa"/>
                  <w:vAlign w:val="center"/>
                </w:tcPr>
                <w:p w14:paraId="3265A58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1774.42㎡</w:t>
                  </w:r>
                </w:p>
              </w:tc>
              <w:tc>
                <w:tcPr>
                  <w:tcW w:w="1292" w:type="dxa"/>
                  <w:vMerge w:val="continue"/>
                  <w:vAlign w:val="center"/>
                </w:tcPr>
                <w:p w14:paraId="5C77E0E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54D1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21CA6B3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二琴房</w:t>
                  </w:r>
                </w:p>
              </w:tc>
              <w:tc>
                <w:tcPr>
                  <w:tcW w:w="1319" w:type="dxa"/>
                  <w:vAlign w:val="center"/>
                </w:tcPr>
                <w:p w14:paraId="45DE752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层高</w:t>
                  </w:r>
                </w:p>
              </w:tc>
              <w:tc>
                <w:tcPr>
                  <w:tcW w:w="3296" w:type="dxa"/>
                  <w:vAlign w:val="center"/>
                </w:tcPr>
                <w:p w14:paraId="40B4239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4</w:t>
                  </w:r>
                </w:p>
              </w:tc>
              <w:tc>
                <w:tcPr>
                  <w:tcW w:w="1292" w:type="dxa"/>
                  <w:vMerge w:val="restart"/>
                  <w:vAlign w:val="center"/>
                </w:tcPr>
                <w:p w14:paraId="5698736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、琴房值班服务</w:t>
                  </w:r>
                </w:p>
              </w:tc>
            </w:tr>
            <w:tr w14:paraId="4A2C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76B4798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vAlign w:val="center"/>
                </w:tcPr>
                <w:p w14:paraId="71DA096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房间、设施数量</w:t>
                  </w:r>
                </w:p>
              </w:tc>
              <w:tc>
                <w:tcPr>
                  <w:tcW w:w="3296" w:type="dxa"/>
                  <w:vAlign w:val="center"/>
                </w:tcPr>
                <w:p w14:paraId="114EDCC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69</w:t>
                  </w:r>
                </w:p>
              </w:tc>
              <w:tc>
                <w:tcPr>
                  <w:tcW w:w="1292" w:type="dxa"/>
                  <w:vMerge w:val="continue"/>
                  <w:vAlign w:val="center"/>
                </w:tcPr>
                <w:p w14:paraId="6D3C9F2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3B05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7EE0007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shd w:val="clear" w:color="auto" w:fill="auto"/>
                  <w:vAlign w:val="center"/>
                </w:tcPr>
                <w:p w14:paraId="13D9B5D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3296" w:type="dxa"/>
                  <w:shd w:val="clear" w:color="auto" w:fill="auto"/>
                  <w:vAlign w:val="center"/>
                </w:tcPr>
                <w:p w14:paraId="44F024D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4</w:t>
                  </w:r>
                </w:p>
              </w:tc>
              <w:tc>
                <w:tcPr>
                  <w:tcW w:w="1292" w:type="dxa"/>
                  <w:vMerge w:val="continue"/>
                  <w:vAlign w:val="center"/>
                </w:tcPr>
                <w:p w14:paraId="1292B1A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0F1A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071E344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vAlign w:val="center"/>
                </w:tcPr>
                <w:p w14:paraId="2B48633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3296" w:type="dxa"/>
                  <w:vAlign w:val="center"/>
                </w:tcPr>
                <w:p w14:paraId="1347E22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836.8㎡</w:t>
                  </w:r>
                </w:p>
              </w:tc>
              <w:tc>
                <w:tcPr>
                  <w:tcW w:w="1292" w:type="dxa"/>
                  <w:vMerge w:val="continue"/>
                  <w:vAlign w:val="center"/>
                </w:tcPr>
                <w:p w14:paraId="3F65D60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57C59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153FBF0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音乐楼</w:t>
                  </w:r>
                </w:p>
              </w:tc>
              <w:tc>
                <w:tcPr>
                  <w:tcW w:w="1319" w:type="dxa"/>
                  <w:vAlign w:val="center"/>
                </w:tcPr>
                <w:p w14:paraId="07A3B03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层高</w:t>
                  </w:r>
                </w:p>
              </w:tc>
              <w:tc>
                <w:tcPr>
                  <w:tcW w:w="3296" w:type="dxa"/>
                  <w:vAlign w:val="center"/>
                </w:tcPr>
                <w:p w14:paraId="57BA44D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6</w:t>
                  </w:r>
                </w:p>
              </w:tc>
              <w:tc>
                <w:tcPr>
                  <w:tcW w:w="1292" w:type="dxa"/>
                  <w:vMerge w:val="restart"/>
                  <w:vAlign w:val="center"/>
                </w:tcPr>
                <w:p w14:paraId="7955FDD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60C8D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21823C1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shd w:val="clear" w:color="auto" w:fill="auto"/>
                  <w:vAlign w:val="center"/>
                </w:tcPr>
                <w:p w14:paraId="0480A87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3296" w:type="dxa"/>
                  <w:shd w:val="clear" w:color="auto" w:fill="auto"/>
                  <w:vAlign w:val="center"/>
                </w:tcPr>
                <w:p w14:paraId="7F81A41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8</w:t>
                  </w:r>
                </w:p>
              </w:tc>
              <w:tc>
                <w:tcPr>
                  <w:tcW w:w="1292" w:type="dxa"/>
                  <w:vMerge w:val="continue"/>
                  <w:vAlign w:val="center"/>
                </w:tcPr>
                <w:p w14:paraId="03B81B0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10131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14D8EF1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shd w:val="clear" w:color="auto" w:fill="auto"/>
                  <w:vAlign w:val="center"/>
                </w:tcPr>
                <w:p w14:paraId="4378E30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3296" w:type="dxa"/>
                  <w:vAlign w:val="center"/>
                </w:tcPr>
                <w:p w14:paraId="35AFB38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6271.68㎡</w:t>
                  </w:r>
                </w:p>
              </w:tc>
              <w:tc>
                <w:tcPr>
                  <w:tcW w:w="1292" w:type="dxa"/>
                  <w:vMerge w:val="continue"/>
                  <w:vAlign w:val="center"/>
                </w:tcPr>
                <w:p w14:paraId="784FD5C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12A76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58AC7B6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学生公寓1、2号楼</w:t>
                  </w:r>
                </w:p>
              </w:tc>
              <w:tc>
                <w:tcPr>
                  <w:tcW w:w="1319" w:type="dxa"/>
                  <w:vAlign w:val="center"/>
                </w:tcPr>
                <w:p w14:paraId="7154DCC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层高</w:t>
                  </w:r>
                </w:p>
              </w:tc>
              <w:tc>
                <w:tcPr>
                  <w:tcW w:w="3296" w:type="dxa"/>
                  <w:vAlign w:val="center"/>
                </w:tcPr>
                <w:p w14:paraId="1C0889C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6</w:t>
                  </w:r>
                </w:p>
              </w:tc>
              <w:tc>
                <w:tcPr>
                  <w:tcW w:w="1292" w:type="dxa"/>
                  <w:vMerge w:val="restart"/>
                  <w:vAlign w:val="center"/>
                </w:tcPr>
                <w:p w14:paraId="41BAC67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、公寓管理服务</w:t>
                  </w:r>
                </w:p>
              </w:tc>
            </w:tr>
            <w:tr w14:paraId="4420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4DD0D67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shd w:val="clear" w:color="auto" w:fill="auto"/>
                  <w:vAlign w:val="center"/>
                </w:tcPr>
                <w:p w14:paraId="56E8FDF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3296" w:type="dxa"/>
                  <w:vAlign w:val="center"/>
                </w:tcPr>
                <w:p w14:paraId="30BADFB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4935㎡</w:t>
                  </w:r>
                </w:p>
              </w:tc>
              <w:tc>
                <w:tcPr>
                  <w:tcW w:w="1292" w:type="dxa"/>
                  <w:vMerge w:val="continue"/>
                  <w:vAlign w:val="center"/>
                </w:tcPr>
                <w:p w14:paraId="4B2E97D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1070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6F2D7EE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学生公寓3、4号楼</w:t>
                  </w:r>
                </w:p>
              </w:tc>
              <w:tc>
                <w:tcPr>
                  <w:tcW w:w="1319" w:type="dxa"/>
                  <w:vAlign w:val="center"/>
                </w:tcPr>
                <w:p w14:paraId="1AA5329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层高</w:t>
                  </w:r>
                </w:p>
              </w:tc>
              <w:tc>
                <w:tcPr>
                  <w:tcW w:w="3296" w:type="dxa"/>
                  <w:vAlign w:val="center"/>
                </w:tcPr>
                <w:p w14:paraId="1AE6A96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4</w:t>
                  </w:r>
                </w:p>
              </w:tc>
              <w:tc>
                <w:tcPr>
                  <w:tcW w:w="1292" w:type="dxa"/>
                  <w:vMerge w:val="restart"/>
                  <w:vAlign w:val="center"/>
                </w:tcPr>
                <w:p w14:paraId="6A4C6DC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、公寓管理服务</w:t>
                  </w:r>
                </w:p>
              </w:tc>
            </w:tr>
            <w:tr w14:paraId="6D275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44168F5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shd w:val="clear" w:color="auto" w:fill="auto"/>
                  <w:vAlign w:val="center"/>
                </w:tcPr>
                <w:p w14:paraId="53A9B37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3296" w:type="dxa"/>
                  <w:shd w:val="clear" w:color="auto" w:fill="auto"/>
                  <w:vAlign w:val="center"/>
                </w:tcPr>
                <w:p w14:paraId="523C17B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2942㎡</w:t>
                  </w:r>
                </w:p>
              </w:tc>
              <w:tc>
                <w:tcPr>
                  <w:tcW w:w="1292" w:type="dxa"/>
                  <w:vMerge w:val="continue"/>
                  <w:vAlign w:val="center"/>
                </w:tcPr>
                <w:p w14:paraId="6396737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7DB0E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28AB8E0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学生公寓5号楼</w:t>
                  </w:r>
                </w:p>
              </w:tc>
              <w:tc>
                <w:tcPr>
                  <w:tcW w:w="1319" w:type="dxa"/>
                  <w:vAlign w:val="center"/>
                </w:tcPr>
                <w:p w14:paraId="29BF2B6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层高</w:t>
                  </w:r>
                </w:p>
              </w:tc>
              <w:tc>
                <w:tcPr>
                  <w:tcW w:w="3296" w:type="dxa"/>
                  <w:vAlign w:val="center"/>
                </w:tcPr>
                <w:p w14:paraId="47F7751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4</w:t>
                  </w:r>
                </w:p>
              </w:tc>
              <w:tc>
                <w:tcPr>
                  <w:tcW w:w="1292" w:type="dxa"/>
                  <w:vMerge w:val="restart"/>
                  <w:vAlign w:val="center"/>
                </w:tcPr>
                <w:p w14:paraId="524A286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、公寓管理服务</w:t>
                  </w:r>
                </w:p>
              </w:tc>
            </w:tr>
            <w:tr w14:paraId="4B9B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0CD314D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shd w:val="clear" w:color="auto" w:fill="auto"/>
                  <w:vAlign w:val="center"/>
                </w:tcPr>
                <w:p w14:paraId="19E3F7C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建筑面积</w:t>
                  </w:r>
                </w:p>
              </w:tc>
              <w:tc>
                <w:tcPr>
                  <w:tcW w:w="3296" w:type="dxa"/>
                  <w:vAlign w:val="center"/>
                </w:tcPr>
                <w:p w14:paraId="6336603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1611㎡</w:t>
                  </w:r>
                </w:p>
              </w:tc>
              <w:tc>
                <w:tcPr>
                  <w:tcW w:w="1292" w:type="dxa"/>
                  <w:vMerge w:val="continue"/>
                  <w:vAlign w:val="center"/>
                </w:tcPr>
                <w:p w14:paraId="7E9614A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397BF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5BDD118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学生公寓6号楼</w:t>
                  </w:r>
                </w:p>
              </w:tc>
              <w:tc>
                <w:tcPr>
                  <w:tcW w:w="1319" w:type="dxa"/>
                  <w:vAlign w:val="center"/>
                </w:tcPr>
                <w:p w14:paraId="3B182AC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层高</w:t>
                  </w:r>
                </w:p>
              </w:tc>
              <w:tc>
                <w:tcPr>
                  <w:tcW w:w="3296" w:type="dxa"/>
                  <w:vAlign w:val="center"/>
                </w:tcPr>
                <w:p w14:paraId="3B4E93E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6</w:t>
                  </w:r>
                </w:p>
              </w:tc>
              <w:tc>
                <w:tcPr>
                  <w:tcW w:w="1292" w:type="dxa"/>
                  <w:vMerge w:val="restart"/>
                  <w:vAlign w:val="center"/>
                </w:tcPr>
                <w:p w14:paraId="1FA958D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、公寓管理服务</w:t>
                  </w:r>
                </w:p>
              </w:tc>
            </w:tr>
            <w:tr w14:paraId="2608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3D8F9FF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vAlign w:val="center"/>
                </w:tcPr>
                <w:p w14:paraId="7757983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建筑面积</w:t>
                  </w:r>
                </w:p>
              </w:tc>
              <w:tc>
                <w:tcPr>
                  <w:tcW w:w="3296" w:type="dxa"/>
                  <w:vAlign w:val="center"/>
                </w:tcPr>
                <w:p w14:paraId="4B14F37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4471.97㎡</w:t>
                  </w:r>
                </w:p>
              </w:tc>
              <w:tc>
                <w:tcPr>
                  <w:tcW w:w="1292" w:type="dxa"/>
                  <w:vMerge w:val="continue"/>
                  <w:vAlign w:val="center"/>
                </w:tcPr>
                <w:p w14:paraId="7BC1860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1F1BF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restart"/>
                  <w:vAlign w:val="center"/>
                </w:tcPr>
                <w:p w14:paraId="58DB309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演艺厅</w:t>
                  </w:r>
                </w:p>
              </w:tc>
              <w:tc>
                <w:tcPr>
                  <w:tcW w:w="1319" w:type="dxa"/>
                  <w:vAlign w:val="center"/>
                </w:tcPr>
                <w:p w14:paraId="7CD71DF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层高</w:t>
                  </w:r>
                </w:p>
              </w:tc>
              <w:tc>
                <w:tcPr>
                  <w:tcW w:w="3296" w:type="dxa"/>
                  <w:vAlign w:val="center"/>
                </w:tcPr>
                <w:p w14:paraId="4694CC3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2</w:t>
                  </w:r>
                </w:p>
              </w:tc>
              <w:tc>
                <w:tcPr>
                  <w:tcW w:w="1292" w:type="dxa"/>
                  <w:vMerge w:val="restart"/>
                  <w:vAlign w:val="center"/>
                </w:tcPr>
                <w:p w14:paraId="57E87D5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1FC8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2727A4A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shd w:val="clear" w:color="auto" w:fill="auto"/>
                  <w:vAlign w:val="center"/>
                </w:tcPr>
                <w:p w14:paraId="60B02F2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3296" w:type="dxa"/>
                  <w:shd w:val="clear" w:color="auto" w:fill="auto"/>
                  <w:vAlign w:val="center"/>
                </w:tcPr>
                <w:p w14:paraId="64760DB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2</w:t>
                  </w:r>
                </w:p>
              </w:tc>
              <w:tc>
                <w:tcPr>
                  <w:tcW w:w="1292" w:type="dxa"/>
                  <w:vMerge w:val="continue"/>
                  <w:vAlign w:val="center"/>
                </w:tcPr>
                <w:p w14:paraId="29B5EC5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59121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Merge w:val="continue"/>
                  <w:vAlign w:val="center"/>
                </w:tcPr>
                <w:p w14:paraId="486E64F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19" w:type="dxa"/>
                  <w:vAlign w:val="center"/>
                </w:tcPr>
                <w:p w14:paraId="0CD36BE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3296" w:type="dxa"/>
                  <w:vAlign w:val="center"/>
                </w:tcPr>
                <w:p w14:paraId="4B8F9C6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3378.32㎡</w:t>
                  </w:r>
                </w:p>
              </w:tc>
              <w:tc>
                <w:tcPr>
                  <w:tcW w:w="1292" w:type="dxa"/>
                  <w:vMerge w:val="continue"/>
                  <w:vAlign w:val="center"/>
                </w:tcPr>
                <w:p w14:paraId="2EB1537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7F05F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Align w:val="center"/>
                </w:tcPr>
                <w:p w14:paraId="701331A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公共教室</w:t>
                  </w:r>
                </w:p>
              </w:tc>
              <w:tc>
                <w:tcPr>
                  <w:tcW w:w="1319" w:type="dxa"/>
                  <w:vAlign w:val="center"/>
                </w:tcPr>
                <w:p w14:paraId="463DFBC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房间、设施数量</w:t>
                  </w:r>
                </w:p>
              </w:tc>
              <w:tc>
                <w:tcPr>
                  <w:tcW w:w="3296" w:type="dxa"/>
                  <w:vAlign w:val="center"/>
                </w:tcPr>
                <w:p w14:paraId="73CE720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79</w:t>
                  </w:r>
                </w:p>
              </w:tc>
              <w:tc>
                <w:tcPr>
                  <w:tcW w:w="1292" w:type="dxa"/>
                  <w:vAlign w:val="center"/>
                </w:tcPr>
                <w:p w14:paraId="32D5820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1F6D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Align w:val="center"/>
                </w:tcPr>
                <w:p w14:paraId="435FB99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多媒体教室管理</w:t>
                  </w:r>
                </w:p>
              </w:tc>
              <w:tc>
                <w:tcPr>
                  <w:tcW w:w="1319" w:type="dxa"/>
                  <w:vAlign w:val="center"/>
                </w:tcPr>
                <w:p w14:paraId="4B8E686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房间、设施数量</w:t>
                  </w:r>
                </w:p>
              </w:tc>
              <w:tc>
                <w:tcPr>
                  <w:tcW w:w="3296" w:type="dxa"/>
                  <w:vAlign w:val="center"/>
                </w:tcPr>
                <w:p w14:paraId="5689556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5</w:t>
                  </w:r>
                </w:p>
              </w:tc>
              <w:tc>
                <w:tcPr>
                  <w:tcW w:w="1292" w:type="dxa"/>
                  <w:vAlign w:val="center"/>
                </w:tcPr>
                <w:p w14:paraId="2C1147C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多媒体教室管理服务</w:t>
                  </w:r>
                </w:p>
              </w:tc>
            </w:tr>
            <w:tr w14:paraId="3029B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Align w:val="center"/>
                </w:tcPr>
                <w:p w14:paraId="58EF638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电梯系统</w:t>
                  </w:r>
                </w:p>
              </w:tc>
              <w:tc>
                <w:tcPr>
                  <w:tcW w:w="1319" w:type="dxa"/>
                  <w:vAlign w:val="center"/>
                </w:tcPr>
                <w:p w14:paraId="3145801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设备数量</w:t>
                  </w:r>
                </w:p>
              </w:tc>
              <w:tc>
                <w:tcPr>
                  <w:tcW w:w="3296" w:type="dxa"/>
                  <w:vAlign w:val="center"/>
                </w:tcPr>
                <w:p w14:paraId="4958307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2</w:t>
                  </w:r>
                </w:p>
              </w:tc>
              <w:tc>
                <w:tcPr>
                  <w:tcW w:w="1292" w:type="dxa"/>
                  <w:vAlign w:val="center"/>
                </w:tcPr>
                <w:p w14:paraId="7601B4D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18A1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21" w:type="dxa"/>
                  <w:vAlign w:val="center"/>
                </w:tcPr>
                <w:p w14:paraId="410E649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高压维保</w:t>
                  </w:r>
                </w:p>
              </w:tc>
              <w:tc>
                <w:tcPr>
                  <w:tcW w:w="1319" w:type="dxa"/>
                  <w:vAlign w:val="center"/>
                </w:tcPr>
                <w:p w14:paraId="5BDFB1F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房间、设施数量</w:t>
                  </w:r>
                </w:p>
              </w:tc>
              <w:tc>
                <w:tcPr>
                  <w:tcW w:w="3296" w:type="dxa"/>
                  <w:vAlign w:val="center"/>
                </w:tcPr>
                <w:p w14:paraId="3FC60ED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1</w:t>
                  </w:r>
                </w:p>
              </w:tc>
              <w:tc>
                <w:tcPr>
                  <w:tcW w:w="1292" w:type="dxa"/>
                  <w:vAlign w:val="center"/>
                </w:tcPr>
                <w:p w14:paraId="44F4493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137D0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40" w:type="dxa"/>
                  <w:gridSpan w:val="2"/>
                  <w:vAlign w:val="center"/>
                </w:tcPr>
                <w:p w14:paraId="4F0858C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室外面积</w:t>
                  </w:r>
                </w:p>
              </w:tc>
              <w:tc>
                <w:tcPr>
                  <w:tcW w:w="3296" w:type="dxa"/>
                  <w:vAlign w:val="center"/>
                </w:tcPr>
                <w:p w14:paraId="0E73647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23224.6㎡</w:t>
                  </w:r>
                </w:p>
              </w:tc>
              <w:tc>
                <w:tcPr>
                  <w:tcW w:w="1292" w:type="dxa"/>
                  <w:vAlign w:val="center"/>
                </w:tcPr>
                <w:p w14:paraId="7ACD9E5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4F42C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40" w:type="dxa"/>
                  <w:gridSpan w:val="2"/>
                  <w:vAlign w:val="center"/>
                </w:tcPr>
                <w:p w14:paraId="09071E3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绿化</w:t>
                  </w:r>
                </w:p>
              </w:tc>
              <w:tc>
                <w:tcPr>
                  <w:tcW w:w="3296" w:type="dxa"/>
                  <w:vAlign w:val="center"/>
                </w:tcPr>
                <w:p w14:paraId="776427E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6000㎡</w:t>
                  </w:r>
                </w:p>
              </w:tc>
              <w:tc>
                <w:tcPr>
                  <w:tcW w:w="1292" w:type="dxa"/>
                  <w:vAlign w:val="center"/>
                </w:tcPr>
                <w:p w14:paraId="720F302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、绿化服务</w:t>
                  </w:r>
                </w:p>
              </w:tc>
            </w:tr>
            <w:tr w14:paraId="2F5A6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940" w:type="dxa"/>
                  <w:gridSpan w:val="2"/>
                  <w:vAlign w:val="center"/>
                </w:tcPr>
                <w:p w14:paraId="1D821DD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p>
              </w:tc>
              <w:tc>
                <w:tcPr>
                  <w:tcW w:w="3296" w:type="dxa"/>
                  <w:vAlign w:val="center"/>
                </w:tcPr>
                <w:p w14:paraId="244C3D1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292" w:type="dxa"/>
                  <w:vAlign w:val="center"/>
                </w:tcPr>
                <w:p w14:paraId="15B8F39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bl>
          <w:p w14:paraId="0A18EB6D">
            <w:pPr>
              <w:widowControl w:val="0"/>
              <w:numPr>
                <w:ilvl w:val="0"/>
                <w:numId w:val="0"/>
              </w:numPr>
              <w:bidi w:val="0"/>
              <w:spacing w:line="360" w:lineRule="auto"/>
              <w:jc w:val="both"/>
              <w:rPr>
                <w:rFonts w:hint="default" w:asciiTheme="minorEastAsia" w:hAnsiTheme="minorEastAsia" w:eastAsiaTheme="minorEastAsia" w:cstheme="minorEastAsia"/>
                <w:snapToGrid w:val="0"/>
                <w:color w:val="000000"/>
                <w:spacing w:val="3"/>
                <w:kern w:val="0"/>
                <w:sz w:val="24"/>
                <w:szCs w:val="24"/>
                <w:lang w:val="en-US" w:eastAsia="zh-CN" w:bidi="ar-SA"/>
              </w:rPr>
            </w:pPr>
          </w:p>
        </w:tc>
      </w:tr>
      <w:tr w14:paraId="7CF99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9167" w:type="dxa"/>
          </w:tcPr>
          <w:p w14:paraId="15C03E2A">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二、对物业公司的要求</w:t>
            </w:r>
          </w:p>
          <w:p w14:paraId="01A4A5B7">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（一）人员配置要求</w:t>
            </w:r>
          </w:p>
          <w:p w14:paraId="2D879870">
            <w:pPr>
              <w:widowControl w:val="0"/>
              <w:bidi w:val="0"/>
              <w:spacing w:line="360" w:lineRule="auto"/>
              <w:jc w:val="both"/>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lang w:val="en-US" w:eastAsia="zh-CN"/>
              </w:rPr>
              <w:t>根据项目服务相关需求，</w:t>
            </w:r>
            <w:r>
              <w:rPr>
                <w:rFonts w:hint="eastAsia" w:asciiTheme="minorEastAsia" w:hAnsiTheme="minorEastAsia" w:eastAsiaTheme="minorEastAsia" w:cstheme="minorEastAsia"/>
                <w:sz w:val="24"/>
                <w:szCs w:val="24"/>
                <w:highlight w:val="none"/>
                <w:lang w:val="en-US" w:eastAsia="zh-CN"/>
              </w:rPr>
              <w:t>配置人员</w:t>
            </w:r>
            <w:r>
              <w:rPr>
                <w:rFonts w:hint="eastAsia" w:asciiTheme="minorEastAsia" w:hAnsiTheme="minorEastAsia" w:eastAsiaTheme="minorEastAsia" w:cstheme="minorEastAsia"/>
                <w:snapToGrid w:val="0"/>
                <w:color w:val="000000"/>
                <w:spacing w:val="11"/>
                <w:kern w:val="0"/>
                <w:sz w:val="24"/>
                <w:szCs w:val="24"/>
                <w:highlight w:val="none"/>
                <w:lang w:val="en-US" w:eastAsia="zh-CN" w:bidi="ar-SA"/>
              </w:rPr>
              <w:t>内蒙古艺术学院新华校区</w:t>
            </w:r>
            <w:r>
              <w:rPr>
                <w:rFonts w:hint="eastAsia" w:asciiTheme="minorEastAsia" w:hAnsiTheme="minorEastAsia" w:eastAsiaTheme="minorEastAsia" w:cstheme="minorEastAsia"/>
                <w:snapToGrid w:val="0"/>
                <w:color w:val="auto"/>
                <w:spacing w:val="11"/>
                <w:kern w:val="0"/>
                <w:sz w:val="24"/>
                <w:szCs w:val="24"/>
                <w:highlight w:val="none"/>
                <w:lang w:val="en-US" w:eastAsia="zh-CN" w:bidi="ar-SA"/>
              </w:rPr>
              <w:t>46</w:t>
            </w:r>
            <w:r>
              <w:rPr>
                <w:rFonts w:hint="eastAsia" w:asciiTheme="minorEastAsia" w:hAnsiTheme="minorEastAsia" w:eastAsiaTheme="minorEastAsia" w:cstheme="minorEastAsia"/>
                <w:sz w:val="24"/>
                <w:szCs w:val="24"/>
                <w:highlight w:val="none"/>
                <w:lang w:val="en-US" w:eastAsia="zh-CN"/>
              </w:rPr>
              <w:t>人。</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1567"/>
              <w:gridCol w:w="738"/>
              <w:gridCol w:w="3989"/>
            </w:tblGrid>
            <w:tr w14:paraId="7EEFE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232" w:type="dxa"/>
                  <w:vAlign w:val="center"/>
                </w:tcPr>
                <w:p w14:paraId="50951B0F">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部门职能</w:t>
                  </w:r>
                </w:p>
              </w:tc>
              <w:tc>
                <w:tcPr>
                  <w:tcW w:w="1567" w:type="dxa"/>
                  <w:vAlign w:val="center"/>
                </w:tcPr>
                <w:p w14:paraId="2005EC6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岗位</w:t>
                  </w:r>
                </w:p>
              </w:tc>
              <w:tc>
                <w:tcPr>
                  <w:tcW w:w="738" w:type="dxa"/>
                  <w:vAlign w:val="center"/>
                </w:tcPr>
                <w:p w14:paraId="204384D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所需人数</w:t>
                  </w:r>
                </w:p>
              </w:tc>
              <w:tc>
                <w:tcPr>
                  <w:tcW w:w="3989" w:type="dxa"/>
                  <w:vAlign w:val="center"/>
                </w:tcPr>
                <w:p w14:paraId="44B4288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岗位所需服务时长或时段、需具备的上岗资格证、人员学历、工作经验等要求</w:t>
                  </w:r>
                </w:p>
              </w:tc>
            </w:tr>
            <w:tr w14:paraId="4EA5F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1232" w:type="dxa"/>
                  <w:vMerge w:val="restart"/>
                  <w:vAlign w:val="center"/>
                </w:tcPr>
                <w:p w14:paraId="48C86C7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管理</w:t>
                  </w:r>
                </w:p>
              </w:tc>
              <w:tc>
                <w:tcPr>
                  <w:tcW w:w="1567" w:type="dxa"/>
                  <w:vAlign w:val="center"/>
                </w:tcPr>
                <w:p w14:paraId="4BD80C0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w:t>
                  </w:r>
                  <w:r>
                    <w:rPr>
                      <w:rFonts w:hint="eastAsia" w:asciiTheme="minorEastAsia" w:hAnsiTheme="minorEastAsia" w:eastAsiaTheme="minorEastAsia" w:cstheme="minorEastAsia"/>
                      <w:color w:val="auto"/>
                      <w:sz w:val="24"/>
                      <w:szCs w:val="24"/>
                      <w:highlight w:val="none"/>
                      <w:vertAlign w:val="baseline"/>
                      <w:lang w:val="en-US" w:eastAsia="zh-CN"/>
                    </w:rPr>
                    <w:t>项目经理</w:t>
                  </w:r>
                </w:p>
              </w:tc>
              <w:tc>
                <w:tcPr>
                  <w:tcW w:w="738" w:type="dxa"/>
                  <w:vAlign w:val="center"/>
                </w:tcPr>
                <w:p w14:paraId="5812D30F">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color w:val="auto"/>
                      <w:sz w:val="24"/>
                      <w:szCs w:val="24"/>
                      <w:highlight w:val="none"/>
                      <w:vertAlign w:val="baseline"/>
                      <w:lang w:val="en-US" w:eastAsia="zh-CN"/>
                    </w:rPr>
                  </w:pPr>
                  <w:r>
                    <w:rPr>
                      <w:rFonts w:hint="eastAsia" w:asciiTheme="minorEastAsia" w:hAnsiTheme="minorEastAsia" w:eastAsiaTheme="minorEastAsia" w:cstheme="minorEastAsia"/>
                      <w:color w:val="auto"/>
                      <w:sz w:val="24"/>
                      <w:szCs w:val="24"/>
                      <w:highlight w:val="none"/>
                      <w:vertAlign w:val="baseline"/>
                      <w:lang w:val="en-US" w:eastAsia="zh-CN"/>
                    </w:rPr>
                    <w:t>1</w:t>
                  </w:r>
                </w:p>
              </w:tc>
              <w:tc>
                <w:tcPr>
                  <w:tcW w:w="3989" w:type="dxa"/>
                  <w:vAlign w:val="center"/>
                </w:tcPr>
                <w:p w14:paraId="2D1D4B4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color w:val="auto"/>
                      <w:sz w:val="24"/>
                      <w:szCs w:val="24"/>
                      <w:highlight w:val="none"/>
                      <w:vertAlign w:val="baseline"/>
                      <w:lang w:val="en-US" w:eastAsia="zh-CN"/>
                    </w:rPr>
                  </w:pPr>
                  <w:r>
                    <w:rPr>
                      <w:rFonts w:hint="eastAsia" w:asciiTheme="minorEastAsia" w:hAnsiTheme="minorEastAsia" w:eastAsiaTheme="minorEastAsia" w:cstheme="minorEastAsia"/>
                      <w:color w:val="auto"/>
                      <w:sz w:val="24"/>
                      <w:szCs w:val="24"/>
                      <w:highlight w:val="none"/>
                      <w:lang w:val="en-US" w:eastAsia="zh-CN"/>
                    </w:rPr>
                    <w:t>年龄55周岁（含）以下；提供劳动合同；专科及以上文化程度；</w:t>
                  </w:r>
                  <w:r>
                    <w:rPr>
                      <w:rFonts w:hint="eastAsia" w:asciiTheme="minorEastAsia" w:hAnsiTheme="minorEastAsia" w:eastAsiaTheme="minorEastAsia" w:cstheme="minorEastAsia"/>
                      <w:color w:val="auto"/>
                      <w:sz w:val="24"/>
                      <w:szCs w:val="24"/>
                      <w:highlight w:val="none"/>
                      <w:vertAlign w:val="baseline"/>
                      <w:lang w:val="en-US" w:eastAsia="zh-CN"/>
                    </w:rPr>
                    <w:t>具备1年以上高校（</w:t>
                  </w:r>
                  <w:r>
                    <w:rPr>
                      <w:rFonts w:hint="eastAsia" w:asciiTheme="minorEastAsia" w:hAnsiTheme="minorEastAsia" w:eastAsiaTheme="minorEastAsia" w:cstheme="minorEastAsia"/>
                      <w:color w:val="auto"/>
                      <w:spacing w:val="3"/>
                      <w:sz w:val="24"/>
                      <w:szCs w:val="24"/>
                      <w:highlight w:val="none"/>
                      <w:lang w:val="en-US" w:eastAsia="zh-CN"/>
                    </w:rPr>
                    <w:t>普通高等院校、职业院校等高等教育院校</w:t>
                  </w:r>
                  <w:r>
                    <w:rPr>
                      <w:rFonts w:hint="eastAsia" w:asciiTheme="minorEastAsia" w:hAnsiTheme="minorEastAsia" w:eastAsiaTheme="minorEastAsia" w:cstheme="minorEastAsia"/>
                      <w:color w:val="auto"/>
                      <w:sz w:val="24"/>
                      <w:szCs w:val="24"/>
                      <w:highlight w:val="none"/>
                      <w:vertAlign w:val="baseline"/>
                      <w:lang w:val="en-US" w:eastAsia="zh-CN"/>
                    </w:rPr>
                    <w:t>）物业服务经验且</w:t>
                  </w:r>
                  <w:r>
                    <w:rPr>
                      <w:rFonts w:hint="eastAsia" w:asciiTheme="minorEastAsia" w:hAnsiTheme="minorEastAsia" w:eastAsiaTheme="minorEastAsia" w:cstheme="minorEastAsia"/>
                      <w:color w:val="auto"/>
                      <w:spacing w:val="3"/>
                      <w:sz w:val="24"/>
                      <w:szCs w:val="24"/>
                      <w:highlight w:val="none"/>
                      <w:lang w:val="en-US" w:eastAsia="zh-CN"/>
                    </w:rPr>
                    <w:t>提供用户单位出具的服务证明材料（体现项目经理姓名并加盖用户单位公章)</w:t>
                  </w:r>
                  <w:r>
                    <w:rPr>
                      <w:rFonts w:hint="eastAsia" w:asciiTheme="minorEastAsia" w:hAnsiTheme="minorEastAsia" w:eastAsiaTheme="minorEastAsia" w:cstheme="minorEastAsia"/>
                      <w:color w:val="auto"/>
                      <w:sz w:val="24"/>
                      <w:szCs w:val="24"/>
                      <w:highlight w:val="none"/>
                      <w:vertAlign w:val="baseline"/>
                      <w:lang w:val="en-US" w:eastAsia="zh-CN"/>
                    </w:rPr>
                    <w:t>；</w:t>
                  </w:r>
                  <w:r>
                    <w:rPr>
                      <w:rFonts w:hint="eastAsia" w:asciiTheme="minorEastAsia" w:hAnsiTheme="minorEastAsia" w:eastAsiaTheme="minorEastAsia" w:cstheme="minorEastAsia"/>
                      <w:color w:val="auto"/>
                      <w:sz w:val="24"/>
                      <w:szCs w:val="24"/>
                      <w:highlight w:val="none"/>
                      <w:lang w:val="en-US" w:eastAsia="zh-CN"/>
                    </w:rPr>
                    <w:t>提供物业管理项目经理岗位证书。</w:t>
                  </w:r>
                </w:p>
              </w:tc>
            </w:tr>
            <w:tr w14:paraId="12C9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1" w:hRule="atLeast"/>
              </w:trPr>
              <w:tc>
                <w:tcPr>
                  <w:tcW w:w="1232" w:type="dxa"/>
                  <w:vMerge w:val="continue"/>
                  <w:vAlign w:val="center"/>
                </w:tcPr>
                <w:p w14:paraId="6021F521">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67" w:type="dxa"/>
                  <w:vAlign w:val="center"/>
                </w:tcPr>
                <w:p w14:paraId="5186382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项目副经理</w:t>
                  </w:r>
                </w:p>
              </w:tc>
              <w:tc>
                <w:tcPr>
                  <w:tcW w:w="738" w:type="dxa"/>
                  <w:vAlign w:val="center"/>
                </w:tcPr>
                <w:p w14:paraId="7B8B509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w:t>
                  </w:r>
                </w:p>
              </w:tc>
              <w:tc>
                <w:tcPr>
                  <w:tcW w:w="3989" w:type="dxa"/>
                  <w:vAlign w:val="center"/>
                </w:tcPr>
                <w:p w14:paraId="6EA23F5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lang w:val="en-US" w:eastAsia="zh-CN"/>
                    </w:rPr>
                    <w:t>年龄55周岁（含）以下；提供劳动合同，专科及以上文化程度，提供物业管理项目经理岗位证书。</w:t>
                  </w:r>
                </w:p>
              </w:tc>
            </w:tr>
            <w:tr w14:paraId="2E40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1232" w:type="dxa"/>
                  <w:vMerge w:val="restart"/>
                  <w:vAlign w:val="center"/>
                </w:tcPr>
                <w:p w14:paraId="2454AB6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房屋及公共设施设备维护服务</w:t>
                  </w:r>
                </w:p>
              </w:tc>
              <w:tc>
                <w:tcPr>
                  <w:tcW w:w="1567" w:type="dxa"/>
                  <w:vAlign w:val="center"/>
                </w:tcPr>
                <w:p w14:paraId="32C453E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水暖维修工</w:t>
                  </w:r>
                </w:p>
              </w:tc>
              <w:tc>
                <w:tcPr>
                  <w:tcW w:w="738" w:type="dxa"/>
                  <w:vAlign w:val="center"/>
                </w:tcPr>
                <w:p w14:paraId="5A2BC67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3</w:t>
                  </w:r>
                </w:p>
              </w:tc>
              <w:tc>
                <w:tcPr>
                  <w:tcW w:w="3989" w:type="dxa"/>
                  <w:vAlign w:val="center"/>
                </w:tcPr>
                <w:p w14:paraId="673D0DF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年龄55周岁（含）以下，男性，负责五小维修中日常水龙头维修、暖道巡检、暖气片维修、管道防冻维护，配合应急抢修中的暖网更换任务，教室宿舍水暖管道巡检等水暖保障；提供水暖相关技能等级证书上岗</w:t>
                  </w:r>
                </w:p>
              </w:tc>
            </w:tr>
            <w:tr w14:paraId="2FBA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1232" w:type="dxa"/>
                  <w:vMerge w:val="continue"/>
                  <w:vAlign w:val="center"/>
                </w:tcPr>
                <w:p w14:paraId="3B21C2C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67" w:type="dxa"/>
                  <w:vAlign w:val="center"/>
                </w:tcPr>
                <w:p w14:paraId="57E7DAB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color w:val="auto"/>
                      <w:sz w:val="24"/>
                      <w:szCs w:val="24"/>
                      <w:highlight w:val="none"/>
                      <w:vertAlign w:val="baseline"/>
                      <w:lang w:val="en-US" w:eastAsia="zh-CN"/>
                    </w:rPr>
                  </w:pPr>
                  <w:r>
                    <w:rPr>
                      <w:rFonts w:hint="eastAsia" w:asciiTheme="minorEastAsia" w:hAnsiTheme="minorEastAsia" w:eastAsiaTheme="minorEastAsia" w:cstheme="minorEastAsia"/>
                      <w:color w:val="auto"/>
                      <w:sz w:val="24"/>
                      <w:szCs w:val="24"/>
                      <w:highlight w:val="none"/>
                      <w:vertAlign w:val="baseline"/>
                      <w:lang w:val="en-US" w:eastAsia="zh-CN"/>
                    </w:rPr>
                    <w:t>★电工</w:t>
                  </w:r>
                </w:p>
              </w:tc>
              <w:tc>
                <w:tcPr>
                  <w:tcW w:w="738" w:type="dxa"/>
                  <w:vAlign w:val="center"/>
                </w:tcPr>
                <w:p w14:paraId="141876E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color w:val="auto"/>
                      <w:sz w:val="24"/>
                      <w:szCs w:val="24"/>
                      <w:highlight w:val="none"/>
                      <w:vertAlign w:val="baseline"/>
                      <w:lang w:val="en-US" w:eastAsia="zh-CN"/>
                    </w:rPr>
                  </w:pPr>
                  <w:r>
                    <w:rPr>
                      <w:rFonts w:hint="eastAsia" w:asciiTheme="minorEastAsia" w:hAnsiTheme="minorEastAsia" w:eastAsiaTheme="minorEastAsia" w:cstheme="minorEastAsia"/>
                      <w:color w:val="auto"/>
                      <w:sz w:val="24"/>
                      <w:szCs w:val="24"/>
                      <w:highlight w:val="none"/>
                      <w:vertAlign w:val="baseline"/>
                      <w:lang w:val="en-US" w:eastAsia="zh-CN"/>
                    </w:rPr>
                    <w:t>3</w:t>
                  </w:r>
                </w:p>
              </w:tc>
              <w:tc>
                <w:tcPr>
                  <w:tcW w:w="3989" w:type="dxa"/>
                  <w:vAlign w:val="center"/>
                </w:tcPr>
                <w:p w14:paraId="0E05FF5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年龄55周岁（含）以下，男性，负责五小维修中日常校区开关插座更换、高压配电房运维、变压器检修、大型用电设备（如空调、演出灯光）电路保障、教室宿舍电源巡检、小型电路故障处理等零星维修；提供特种作业操作证-高压电工作业或特种作业操作证-低压电工作业上岗</w:t>
                  </w:r>
                </w:p>
              </w:tc>
            </w:tr>
            <w:tr w14:paraId="0ED66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0" w:hRule="atLeast"/>
              </w:trPr>
              <w:tc>
                <w:tcPr>
                  <w:tcW w:w="1232" w:type="dxa"/>
                  <w:vMerge w:val="restart"/>
                  <w:vAlign w:val="center"/>
                </w:tcPr>
                <w:p w14:paraId="075E084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保洁服务</w:t>
                  </w:r>
                </w:p>
              </w:tc>
              <w:tc>
                <w:tcPr>
                  <w:tcW w:w="1567" w:type="dxa"/>
                  <w:shd w:val="clear" w:color="auto" w:fill="auto"/>
                  <w:vAlign w:val="center"/>
                </w:tcPr>
                <w:p w14:paraId="10CAAC6F">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楼内公共区域、公共教室保洁人员</w:t>
                  </w:r>
                </w:p>
              </w:tc>
              <w:tc>
                <w:tcPr>
                  <w:tcW w:w="738" w:type="dxa"/>
                  <w:shd w:val="clear" w:color="auto" w:fill="auto"/>
                  <w:vAlign w:val="center"/>
                </w:tcPr>
                <w:p w14:paraId="545F6E7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18</w:t>
                  </w:r>
                </w:p>
              </w:tc>
              <w:tc>
                <w:tcPr>
                  <w:tcW w:w="3989" w:type="dxa"/>
                  <w:shd w:val="clear" w:color="auto" w:fill="auto"/>
                  <w:vAlign w:val="center"/>
                </w:tcPr>
                <w:p w14:paraId="1CA781D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新华音乐楼3人；新华教学楼一期2人；新华教学楼二期3人；新华行政楼2人；新华综合楼负一层1人；新华琴房2人；新华图书馆一期2人；新华图书馆二期3人；新华学生公寓一、二号楼1人；新华学生公寓三号楼1人；新华学生公寓四号楼1人；新华学生公寓五号楼1人；新华学生公寓六号楼1人；新华演艺厅1人。</w:t>
                  </w:r>
                </w:p>
                <w:p w14:paraId="080233A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保洁服务人员,60周岁（含）以下，掌握保洁基本常识。</w:t>
                  </w:r>
                </w:p>
              </w:tc>
            </w:tr>
            <w:tr w14:paraId="69D2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232" w:type="dxa"/>
                  <w:vMerge w:val="continue"/>
                  <w:vAlign w:val="center"/>
                </w:tcPr>
                <w:p w14:paraId="5054760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67" w:type="dxa"/>
                  <w:shd w:val="clear" w:color="auto" w:fill="auto"/>
                  <w:vAlign w:val="center"/>
                </w:tcPr>
                <w:p w14:paraId="77056BED">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外保洁人员</w:t>
                  </w:r>
                </w:p>
              </w:tc>
              <w:tc>
                <w:tcPr>
                  <w:tcW w:w="738" w:type="dxa"/>
                  <w:shd w:val="clear" w:color="auto" w:fill="auto"/>
                  <w:vAlign w:val="center"/>
                </w:tcPr>
                <w:p w14:paraId="7013D31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w:t>
                  </w:r>
                </w:p>
              </w:tc>
              <w:tc>
                <w:tcPr>
                  <w:tcW w:w="3989" w:type="dxa"/>
                  <w:shd w:val="clear" w:color="auto" w:fill="auto"/>
                  <w:vAlign w:val="center"/>
                </w:tcPr>
                <w:p w14:paraId="6942B5F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男性，60周岁（含）以下，掌握保洁基本常识。</w:t>
                  </w:r>
                </w:p>
              </w:tc>
            </w:tr>
            <w:tr w14:paraId="05EDA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1232" w:type="dxa"/>
                  <w:vMerge w:val="restart"/>
                  <w:vAlign w:val="center"/>
                </w:tcPr>
                <w:p w14:paraId="7176DE5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餐厅管理服务</w:t>
                  </w:r>
                </w:p>
              </w:tc>
              <w:tc>
                <w:tcPr>
                  <w:tcW w:w="1567" w:type="dxa"/>
                  <w:shd w:val="clear" w:color="auto" w:fill="auto"/>
                  <w:vAlign w:val="center"/>
                </w:tcPr>
                <w:p w14:paraId="22BB898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食品安全监管员</w:t>
                  </w:r>
                </w:p>
              </w:tc>
              <w:tc>
                <w:tcPr>
                  <w:tcW w:w="738" w:type="dxa"/>
                  <w:shd w:val="clear" w:color="auto" w:fill="auto"/>
                  <w:vAlign w:val="center"/>
                </w:tcPr>
                <w:p w14:paraId="71CD6DF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w:t>
                  </w:r>
                </w:p>
              </w:tc>
              <w:tc>
                <w:tcPr>
                  <w:tcW w:w="3989" w:type="dxa"/>
                  <w:shd w:val="clear" w:color="auto" w:fill="auto"/>
                  <w:vAlign w:val="center"/>
                </w:tcPr>
                <w:p w14:paraId="6521F6A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55周岁（含）以下，负责审核食材采购资质与质量，监督烹饪加工规范，落实食品留样与溯源；排查食安隐患，处置突发食安事件；组织从业人员培训，完善台账管理，全程保障师生饮食安全合规。提供有效期内健康证。提供具备相应食品安全管理知识和技能的证书。</w:t>
                  </w:r>
                </w:p>
              </w:tc>
            </w:tr>
            <w:tr w14:paraId="7D72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32" w:type="dxa"/>
                  <w:vMerge w:val="continue"/>
                  <w:vAlign w:val="center"/>
                </w:tcPr>
                <w:p w14:paraId="53B3191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67" w:type="dxa"/>
                  <w:shd w:val="clear" w:color="auto" w:fill="auto"/>
                  <w:vAlign w:val="center"/>
                </w:tcPr>
                <w:p w14:paraId="67F4E2A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库管员</w:t>
                  </w:r>
                </w:p>
              </w:tc>
              <w:tc>
                <w:tcPr>
                  <w:tcW w:w="738" w:type="dxa"/>
                  <w:shd w:val="clear" w:color="auto" w:fill="auto"/>
                  <w:vAlign w:val="center"/>
                </w:tcPr>
                <w:p w14:paraId="25D249B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w:t>
                  </w:r>
                </w:p>
              </w:tc>
              <w:tc>
                <w:tcPr>
                  <w:tcW w:w="3989" w:type="dxa"/>
                  <w:shd w:val="clear" w:color="auto" w:fill="auto"/>
                  <w:vAlign w:val="center"/>
                </w:tcPr>
                <w:p w14:paraId="775FB11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55周岁（含）以下，负责食材入库管理：每日对接3-5家供应商，完成米、面、油、蔬菜、肉类等食材验收，核对检疫证明及新鲜度，登记溯源台账，杜绝不合格食材流入后厨。</w:t>
                  </w:r>
                </w:p>
                <w:p w14:paraId="25CE574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库存管控：管理餐厅配套库房，建立食材分类台账，设置最低库存预警（如米面油储备不低于7天用量），每月完成盘点，避免食材积压变质或短缺。</w:t>
                  </w:r>
                </w:p>
                <w:p w14:paraId="657891E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物资发放：根据后厨三餐用料计划，精准发放食材及保洁耗材（洗洁精、消毒液等），记录发放明细，控制食材损耗率。</w:t>
                  </w:r>
                </w:p>
                <w:p w14:paraId="1371E14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仓储维护：负责库房通风、防潮、防虫，定期清理过期物资，保障仓储环境符合食品安全标准。提供有效期内健康证。</w:t>
                  </w:r>
                </w:p>
              </w:tc>
            </w:tr>
            <w:tr w14:paraId="77C4D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32" w:type="dxa"/>
                  <w:vAlign w:val="center"/>
                </w:tcPr>
                <w:p w14:paraId="1EA3C35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67" w:type="dxa"/>
                  <w:shd w:val="clear" w:color="auto" w:fill="auto"/>
                  <w:vAlign w:val="center"/>
                </w:tcPr>
                <w:p w14:paraId="26B5DBEC">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餐具清洁、保洁</w:t>
                  </w:r>
                </w:p>
              </w:tc>
              <w:tc>
                <w:tcPr>
                  <w:tcW w:w="738" w:type="dxa"/>
                  <w:shd w:val="clear" w:color="auto" w:fill="auto"/>
                  <w:vAlign w:val="center"/>
                </w:tcPr>
                <w:p w14:paraId="37457AB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4</w:t>
                  </w:r>
                </w:p>
              </w:tc>
              <w:tc>
                <w:tcPr>
                  <w:tcW w:w="3989" w:type="dxa"/>
                  <w:shd w:val="clear" w:color="auto" w:fill="auto"/>
                  <w:vAlign w:val="center"/>
                </w:tcPr>
                <w:p w14:paraId="3B62D8F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保洁服务人员,60周岁（含）以下，掌握保洁基本常识。</w:t>
                  </w:r>
                </w:p>
              </w:tc>
            </w:tr>
            <w:tr w14:paraId="1628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232" w:type="dxa"/>
                  <w:vAlign w:val="center"/>
                </w:tcPr>
                <w:p w14:paraId="1639AF6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绿化服务</w:t>
                  </w:r>
                </w:p>
              </w:tc>
              <w:tc>
                <w:tcPr>
                  <w:tcW w:w="1567" w:type="dxa"/>
                  <w:shd w:val="clear" w:color="auto" w:fill="auto"/>
                  <w:vAlign w:val="center"/>
                </w:tcPr>
                <w:p w14:paraId="2858663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绿化人员</w:t>
                  </w:r>
                </w:p>
              </w:tc>
              <w:tc>
                <w:tcPr>
                  <w:tcW w:w="738" w:type="dxa"/>
                  <w:shd w:val="clear" w:color="auto" w:fill="auto"/>
                  <w:vAlign w:val="center"/>
                </w:tcPr>
                <w:p w14:paraId="473AB44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color w:val="auto"/>
                      <w:sz w:val="24"/>
                      <w:szCs w:val="24"/>
                      <w:highlight w:val="none"/>
                      <w:vertAlign w:val="baseline"/>
                      <w:lang w:val="en-US" w:eastAsia="zh-CN"/>
                    </w:rPr>
                    <w:t>1</w:t>
                  </w:r>
                </w:p>
              </w:tc>
              <w:tc>
                <w:tcPr>
                  <w:tcW w:w="3989" w:type="dxa"/>
                  <w:vAlign w:val="center"/>
                </w:tcPr>
                <w:p w14:paraId="0402C8F1">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年龄60周岁（含）以下，掌握绿化施工基本常识，具备绿化施工实操经验和能力。</w:t>
                  </w:r>
                </w:p>
              </w:tc>
            </w:tr>
            <w:tr w14:paraId="2E3D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232" w:type="dxa"/>
                  <w:vMerge w:val="restart"/>
                  <w:vAlign w:val="center"/>
                </w:tcPr>
                <w:p w14:paraId="4FAA763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公共区域值守</w:t>
                  </w:r>
                </w:p>
              </w:tc>
              <w:tc>
                <w:tcPr>
                  <w:tcW w:w="1567" w:type="dxa"/>
                  <w:shd w:val="clear" w:color="auto" w:fill="auto"/>
                  <w:vAlign w:val="center"/>
                </w:tcPr>
                <w:p w14:paraId="2C8002C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学生公寓楼值班</w:t>
                  </w:r>
                </w:p>
              </w:tc>
              <w:tc>
                <w:tcPr>
                  <w:tcW w:w="738" w:type="dxa"/>
                  <w:shd w:val="clear" w:color="auto" w:fill="auto"/>
                  <w:vAlign w:val="center"/>
                </w:tcPr>
                <w:p w14:paraId="79D446F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8</w:t>
                  </w:r>
                </w:p>
              </w:tc>
              <w:tc>
                <w:tcPr>
                  <w:tcW w:w="3989" w:type="dxa"/>
                  <w:vAlign w:val="center"/>
                </w:tcPr>
                <w:p w14:paraId="6EC7648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年龄55周岁（含）以下，值班人员必须24小时值班，随叫随到，熟悉值班区域的实际情况。了解学生在楼内的动态情况。具有较强的责任心、服务意识和沟通能力。</w:t>
                  </w:r>
                </w:p>
              </w:tc>
            </w:tr>
            <w:tr w14:paraId="6E69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1232" w:type="dxa"/>
                  <w:vMerge w:val="continue"/>
                  <w:vAlign w:val="center"/>
                </w:tcPr>
                <w:p w14:paraId="43D434F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67" w:type="dxa"/>
                  <w:shd w:val="clear" w:color="auto" w:fill="auto"/>
                  <w:vAlign w:val="center"/>
                </w:tcPr>
                <w:p w14:paraId="1426BD6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多媒体教室管理</w:t>
                  </w:r>
                </w:p>
              </w:tc>
              <w:tc>
                <w:tcPr>
                  <w:tcW w:w="738" w:type="dxa"/>
                  <w:shd w:val="clear" w:color="auto" w:fill="auto"/>
                  <w:vAlign w:val="center"/>
                </w:tcPr>
                <w:p w14:paraId="49E699A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w:t>
                  </w:r>
                </w:p>
              </w:tc>
              <w:tc>
                <w:tcPr>
                  <w:tcW w:w="3989" w:type="dxa"/>
                  <w:vAlign w:val="center"/>
                </w:tcPr>
                <w:p w14:paraId="446AF2F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年龄55周岁（含）以下，原则上应具有本行业工作经验，熟练掌握本行业的安全操作规程，熟悉行业要求、标准及相关法律法规。身体健康，人品端正，作风正派，具备较强的集体主义观念，具有较强的责任心、服务意识和沟通能力。</w:t>
                  </w:r>
                </w:p>
              </w:tc>
            </w:tr>
            <w:tr w14:paraId="06F2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1232" w:type="dxa"/>
                  <w:vMerge w:val="continue"/>
                  <w:vAlign w:val="center"/>
                </w:tcPr>
                <w:p w14:paraId="5621E92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67" w:type="dxa"/>
                  <w:shd w:val="clear" w:color="auto" w:fill="auto"/>
                  <w:vAlign w:val="center"/>
                </w:tcPr>
                <w:p w14:paraId="342CE9F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琴房值班</w:t>
                  </w:r>
                </w:p>
              </w:tc>
              <w:tc>
                <w:tcPr>
                  <w:tcW w:w="738" w:type="dxa"/>
                  <w:shd w:val="clear" w:color="auto" w:fill="auto"/>
                  <w:vAlign w:val="center"/>
                </w:tcPr>
                <w:p w14:paraId="0842566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2</w:t>
                  </w:r>
                </w:p>
              </w:tc>
              <w:tc>
                <w:tcPr>
                  <w:tcW w:w="3989" w:type="dxa"/>
                  <w:vAlign w:val="center"/>
                </w:tcPr>
                <w:p w14:paraId="42B47C5D">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年龄55周岁（含）以下，值班人员必须24小时值班，随叫随到，熟悉值班区域的实际情况。了解师生琴房使用情况。熟悉本行业要求、标准及相关法律法规。具有较强的责任心、服务意识和沟通能力。</w:t>
                  </w:r>
                </w:p>
              </w:tc>
            </w:tr>
            <w:tr w14:paraId="224D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1232" w:type="dxa"/>
                  <w:vMerge w:val="continue"/>
                  <w:vAlign w:val="center"/>
                </w:tcPr>
                <w:p w14:paraId="652012D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67" w:type="dxa"/>
                  <w:shd w:val="clear" w:color="auto" w:fill="auto"/>
                  <w:vAlign w:val="center"/>
                </w:tcPr>
                <w:p w14:paraId="30DBB80D">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演艺厅夜间值班员</w:t>
                  </w:r>
                </w:p>
              </w:tc>
              <w:tc>
                <w:tcPr>
                  <w:tcW w:w="738" w:type="dxa"/>
                  <w:shd w:val="clear" w:color="auto" w:fill="auto"/>
                  <w:vAlign w:val="center"/>
                </w:tcPr>
                <w:p w14:paraId="286B53E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w:t>
                  </w:r>
                </w:p>
              </w:tc>
              <w:tc>
                <w:tcPr>
                  <w:tcW w:w="3989" w:type="dxa"/>
                  <w:vAlign w:val="center"/>
                </w:tcPr>
                <w:p w14:paraId="27AC698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年龄55周岁（含）以下，熟悉本行业要求、标准及相关法律法规。具有较强的责任心、服务意识和沟通能力。</w:t>
                  </w:r>
                </w:p>
              </w:tc>
            </w:tr>
          </w:tbl>
          <w:p w14:paraId="024EE7C6">
            <w:pPr>
              <w:widowControl w:val="0"/>
              <w:bidi w:val="0"/>
              <w:spacing w:line="360" w:lineRule="auto"/>
              <w:jc w:val="both"/>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（二）对人员的基本要求：</w:t>
            </w:r>
          </w:p>
          <w:p w14:paraId="594400D4">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napToGrid w:val="0"/>
                <w:color w:val="000000"/>
                <w:kern w:val="0"/>
                <w:sz w:val="24"/>
                <w:szCs w:val="24"/>
                <w:highlight w:val="none"/>
                <w:lang w:val="en-US" w:eastAsia="zh-CN" w:bidi="ar-SA"/>
              </w:rPr>
              <w:t>1.</w:t>
            </w:r>
            <w:r>
              <w:rPr>
                <w:rFonts w:hint="eastAsia" w:asciiTheme="minorEastAsia" w:hAnsiTheme="minorEastAsia" w:eastAsiaTheme="minorEastAsia" w:cstheme="minorEastAsia"/>
                <w:sz w:val="24"/>
                <w:szCs w:val="24"/>
                <w:highlight w:val="none"/>
                <w:lang w:val="en-US" w:eastAsia="zh-CN"/>
              </w:rPr>
              <w:t>物业公司定期对员工进行岗位培训，不断提</w:t>
            </w:r>
            <w:r>
              <w:rPr>
                <w:rFonts w:hint="eastAsia" w:asciiTheme="minorEastAsia" w:hAnsiTheme="minorEastAsia" w:eastAsiaTheme="minorEastAsia" w:cstheme="minorEastAsia"/>
                <w:sz w:val="24"/>
                <w:szCs w:val="24"/>
                <w:lang w:val="en-US" w:eastAsia="zh-CN"/>
              </w:rPr>
              <w:t>高员工服务技能；人员有较强的服务、责任、保密意识以及稳定性。</w:t>
            </w:r>
          </w:p>
          <w:p w14:paraId="15625284">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2.所有员工均不得从事为学院服务以外的其他工作，无违法犯罪记录和不良嗜好。</w:t>
            </w:r>
          </w:p>
          <w:p w14:paraId="2A8EE588">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3.企业有健全的企业管理制度及完整可行的物业考核办法。</w:t>
            </w:r>
          </w:p>
          <w:p w14:paraId="0E3F41BE">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（三）综合服务要求</w:t>
            </w:r>
          </w:p>
          <w:p w14:paraId="5437AE3E">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1.有团队精神,服从指挥安排,能按时完成学院（甲方）的整改要求和意见，发现工作范围内存在的问题并能及时进行处理与报告。</w:t>
            </w:r>
          </w:p>
          <w:p w14:paraId="2561CD01">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2.做到四个熟知，即熟知重点要害部位、熟知重点特殊人员、熟知重要事项、熟知岗位职责。 </w:t>
            </w:r>
          </w:p>
          <w:p w14:paraId="3A035218">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3.坚守岗位，恪尽职守，不离岗串岗，不闲聊，不做与工作无关的事。</w:t>
            </w:r>
          </w:p>
          <w:p w14:paraId="0860FB4F">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4.明辨是非，保持警惕，遇到复杂问题，多思多想，对周边情况仔细观察。</w:t>
            </w:r>
          </w:p>
          <w:p w14:paraId="2914369D">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5.遵守制度，坚持原则，机智灵活，注意工作方式方法。</w:t>
            </w:r>
          </w:p>
          <w:p w14:paraId="613C648D">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6.仪态端正，着装整洁，精神饱满，态度和气，言语文明，处事公平合理。</w:t>
            </w:r>
          </w:p>
          <w:p w14:paraId="79489E11">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7.树立尊师重教、服务教学科研理念，按照服务对象实际需求提供相应的物业服务。</w:t>
            </w:r>
          </w:p>
          <w:p w14:paraId="0AF18F78">
            <w:pPr>
              <w:widowControl w:val="0"/>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8.极端天气及突发情况下积极配合学院开展相应工作。</w:t>
            </w:r>
          </w:p>
        </w:tc>
      </w:tr>
      <w:tr w14:paraId="6686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9167" w:type="dxa"/>
          </w:tcPr>
          <w:p w14:paraId="2E309FE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三、物业管理服务内容及标准</w:t>
            </w:r>
          </w:p>
          <w:p w14:paraId="0307063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rPr>
              <w:t>物业服务外包</w:t>
            </w:r>
            <w:r>
              <w:rPr>
                <w:rFonts w:hint="eastAsia" w:asciiTheme="minorEastAsia" w:hAnsiTheme="minorEastAsia" w:eastAsiaTheme="minorEastAsia" w:cstheme="minorEastAsia"/>
                <w:sz w:val="24"/>
                <w:szCs w:val="24"/>
                <w:vertAlign w:val="baseline"/>
                <w:lang w:val="en-US" w:eastAsia="zh-CN"/>
              </w:rPr>
              <w:t>包括</w:t>
            </w:r>
            <w:r>
              <w:rPr>
                <w:rFonts w:hint="eastAsia" w:asciiTheme="minorEastAsia" w:hAnsiTheme="minorEastAsia" w:eastAsiaTheme="minorEastAsia" w:cstheme="minorEastAsia"/>
                <w:spacing w:val="1"/>
                <w:sz w:val="24"/>
                <w:szCs w:val="24"/>
                <w:highlight w:val="none"/>
                <w:lang w:val="en-US" w:eastAsia="zh-CN"/>
              </w:rPr>
              <w:t>物业综合服务、房屋及公共设施设备维护服务、绿化服务、保洁服务、餐厅管理服务、公寓管理服务、多媒体教室管理服务、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琴房值班服务</w:t>
            </w:r>
            <w:r>
              <w:rPr>
                <w:rFonts w:hint="eastAsia" w:asciiTheme="minorEastAsia" w:hAnsiTheme="minorEastAsia" w:eastAsiaTheme="minorEastAsia" w:cstheme="minorEastAsia"/>
                <w:spacing w:val="1"/>
                <w:sz w:val="24"/>
                <w:szCs w:val="24"/>
                <w:highlight w:val="none"/>
                <w:lang w:val="en-US" w:eastAsia="zh-CN"/>
              </w:rPr>
              <w:t>等。</w:t>
            </w:r>
          </w:p>
          <w:p w14:paraId="37F07D7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（一）基本服务</w:t>
            </w:r>
          </w:p>
          <w:tbl>
            <w:tblPr>
              <w:tblStyle w:val="7"/>
              <w:tblW w:w="451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
              <w:gridCol w:w="1428"/>
              <w:gridCol w:w="5145"/>
            </w:tblGrid>
            <w:tr w14:paraId="152B2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Align w:val="center"/>
                </w:tcPr>
                <w:p w14:paraId="70D7487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965" w:type="pct"/>
                  <w:vAlign w:val="center"/>
                </w:tcPr>
                <w:p w14:paraId="48F6B53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服务内容</w:t>
                  </w:r>
                </w:p>
              </w:tc>
              <w:tc>
                <w:tcPr>
                  <w:tcW w:w="3478" w:type="pct"/>
                  <w:vAlign w:val="center"/>
                </w:tcPr>
                <w:p w14:paraId="759D047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服务标准</w:t>
                  </w:r>
                </w:p>
              </w:tc>
            </w:tr>
            <w:tr w14:paraId="4F4B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restart"/>
                  <w:vAlign w:val="center"/>
                </w:tcPr>
                <w:p w14:paraId="515D20F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965" w:type="pct"/>
                  <w:vMerge w:val="restart"/>
                  <w:vAlign w:val="center"/>
                </w:tcPr>
                <w:p w14:paraId="15F16D1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目标与责任</w:t>
                  </w:r>
                </w:p>
              </w:tc>
              <w:tc>
                <w:tcPr>
                  <w:tcW w:w="3478" w:type="pct"/>
                  <w:vAlign w:val="center"/>
                </w:tcPr>
                <w:p w14:paraId="2A9677B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（1）结合采购人要求及物业服务实际情况，制定半年度管理目标，明确责任分工，并制定配套实施方案。</w:t>
                  </w:r>
                </w:p>
              </w:tc>
            </w:tr>
            <w:tr w14:paraId="356B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5ABE1D1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5A1F8A0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2D60DFB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（2）严格执行学院的各项规章制度和有关规定</w:t>
                  </w:r>
                </w:p>
              </w:tc>
            </w:tr>
            <w:tr w14:paraId="6982D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6708762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30AFF50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4413BEF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（3）严格按照学院提出的服务标准和要求以及各岗位职责执行。</w:t>
                  </w:r>
                </w:p>
              </w:tc>
            </w:tr>
            <w:tr w14:paraId="74C5F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32D3865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10BAB56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06572A2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（4）建立健全各类应急预案，及时处理各类突发事件。</w:t>
                  </w:r>
                </w:p>
              </w:tc>
            </w:tr>
            <w:tr w14:paraId="797F6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51B5965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50C7231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0A669E1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（5）接受学院师生以及各级主管部门的监督和检查，及时整改存在的问题。</w:t>
                  </w:r>
                </w:p>
              </w:tc>
            </w:tr>
            <w:tr w14:paraId="33F86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2181040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6AD1691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7A3030B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（6）提供优质、高效的物业管理服务，营造安全、绿色、和谐的校园环境，保障教学、科研、师生生活顺利进行。</w:t>
                  </w:r>
                </w:p>
              </w:tc>
            </w:tr>
            <w:tr w14:paraId="734FD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120EC15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2B2C2CF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7427A88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（7）定期对员工进行培训和考核，提高员工的业务水平和服务意识。</w:t>
                  </w:r>
                </w:p>
              </w:tc>
            </w:tr>
            <w:tr w14:paraId="2226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40FB3F7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256CC50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15AEEB9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8）制定节能管理方案，在日常服务保障中须加强管理，降低能源资源消耗,及时关闭不用的电源和设备；严禁保洁员长流水冲洗墩布、便池；绿化用水应采取集约化、定量化、精细化模式，科学合理用水用能，倡导绿色节能校园。</w:t>
                  </w:r>
                </w:p>
              </w:tc>
            </w:tr>
            <w:tr w14:paraId="15C9D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3D2464E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2B9BEFD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0469B60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9）制定安全管理运行方案，按照《中华人民共和国安全生产法》中“三个必须”（管业务必须管安全、管行业必须管安全、管生产经营必须管安全）的相关要求，就消防、环保、疾控以及人员稳定等方面安全事项及责任予以明确。</w:t>
                  </w:r>
                </w:p>
              </w:tc>
            </w:tr>
            <w:tr w14:paraId="3102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4881D5C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21B7F06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256F6B1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（10）严禁将任何商业性的广告、设施、活动引入校园。</w:t>
                  </w:r>
                </w:p>
              </w:tc>
            </w:tr>
            <w:tr w14:paraId="052D2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14A6DF7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18A7FD2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5D39E14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（11）严禁收取学生任何费用。</w:t>
                  </w:r>
                </w:p>
              </w:tc>
            </w:tr>
            <w:tr w14:paraId="5D26D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1DBFDD8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51EE540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5931B7D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12）信息化建设要求：中标人需提供成熟的信息化服务系统或平台，包含：1.综合巡检系统；2.设施设备远程监控管理系统；3.维修维保管理系统；4.学生公寓管理系统；5.房屋设备管理系统；6.餐饮安全管理和财务管理系统；7.库房管理系统实现智能化、信息化管理，须经采购人认可后方可投入使用。</w:t>
                  </w:r>
                </w:p>
              </w:tc>
            </w:tr>
            <w:tr w14:paraId="0B9E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6AB600E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1E4DECB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3E4D57E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（13）寒暑假期间正常提供物业服务。</w:t>
                  </w:r>
                </w:p>
              </w:tc>
            </w:tr>
            <w:tr w14:paraId="2DC1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restart"/>
                  <w:vAlign w:val="center"/>
                </w:tcPr>
                <w:p w14:paraId="2D1FE10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965" w:type="pct"/>
                  <w:vMerge w:val="restart"/>
                  <w:vAlign w:val="center"/>
                </w:tcPr>
                <w:p w14:paraId="750C5BA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服务人员要求</w:t>
                  </w:r>
                </w:p>
              </w:tc>
              <w:tc>
                <w:tcPr>
                  <w:tcW w:w="3478" w:type="pct"/>
                  <w:vAlign w:val="center"/>
                </w:tcPr>
                <w:p w14:paraId="3D8C153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（1）每季度至少开展1次岗位技能、职业素质、服务知识、客户文化、绿色节能环保等教育培训，并进行适当形式的考核。</w:t>
                  </w:r>
                </w:p>
              </w:tc>
            </w:tr>
            <w:tr w14:paraId="5F8C0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0AF4588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3F572D9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4A9F6AD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（2）根据采购人要求对服务人员进行从业资格审查，审查结果向采购人报备。</w:t>
                  </w:r>
                </w:p>
              </w:tc>
            </w:tr>
            <w:tr w14:paraId="26730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3B5E05B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381CA56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5E517F2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服务人员的年龄、学历、工作经验及资格条件应当与所在岗位能力要求相匹配，到岗前应当经过必要的岗前培训以达到岗位能力要求，国家、行业规定应当取得职业资格证书或特种作业证书的，应当按规定持证上岗。</w:t>
                  </w:r>
                </w:p>
              </w:tc>
            </w:tr>
            <w:tr w14:paraId="4FA1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3BFA65A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0029C69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57192FE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如采购人认为服务人员不适应岗位要求或存在其他影响工作的，可要求投标人进行调换。如因投标人原因对服务人员进行调换，应当经采购人同意，更换比例不得超过本项目服务人员总数的20%。本项目服务人员不得在其他项目兼职。</w:t>
                  </w:r>
                </w:p>
              </w:tc>
            </w:tr>
            <w:tr w14:paraId="05E5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2FDABF8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1303366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55C2CA1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（5）着装分类统一，佩戴标识。仪容整洁、姿态端正、举止文明。用语文明礼貌，态度温和耐心。</w:t>
                  </w:r>
                </w:p>
              </w:tc>
            </w:tr>
            <w:tr w14:paraId="45BC7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07E0E98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2FF58C3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2959CE3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（6）所有工作人员须熟悉相关法律法规、无不良记录。具备健康证明，无证不得上岗。</w:t>
                  </w:r>
                </w:p>
              </w:tc>
            </w:tr>
            <w:tr w14:paraId="1028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22A38FA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0FDD48D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132B1C4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7）中标人需在合同签订后确定各岗位工作人员，并将工作人员身份证明等相关信息提交采购人备案。未经采购人同意，不得随意调整人员岗位；如确需变动，须提前15个工作日向采购人提交书面申请，经批准后方可实施。</w:t>
                  </w:r>
                </w:p>
              </w:tc>
            </w:tr>
            <w:tr w14:paraId="6B93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restart"/>
                  <w:vAlign w:val="center"/>
                </w:tcPr>
                <w:p w14:paraId="49D0620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965" w:type="pct"/>
                  <w:vMerge w:val="restart"/>
                  <w:vAlign w:val="center"/>
                </w:tcPr>
                <w:p w14:paraId="613BF8C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思想政治教育</w:t>
                  </w:r>
                </w:p>
              </w:tc>
              <w:tc>
                <w:tcPr>
                  <w:tcW w:w="3478" w:type="pct"/>
                  <w:vAlign w:val="center"/>
                </w:tcPr>
                <w:p w14:paraId="31D8607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（1）建立思想政治教育相关管理制度。</w:t>
                  </w:r>
                </w:p>
              </w:tc>
            </w:tr>
            <w:tr w14:paraId="024C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50A49D3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7E7A57A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678B009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（2）根据采购人要求工作岗位的服务人员签订有效协议。协议应当向采购人报备。</w:t>
                  </w:r>
                </w:p>
              </w:tc>
            </w:tr>
            <w:tr w14:paraId="58BFC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7CDF6AF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59A3A04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2233FEB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（3）每季度至少开展1次对服务人员进行思想政治教育的培训，提高服务人员思想政治意识。新入职员工应当接受思想政治教育培训，进行必要的人员经历审查，合格后签订协议方可上岗。</w:t>
                  </w:r>
                </w:p>
              </w:tc>
            </w:tr>
            <w:tr w14:paraId="74E8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61112E2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45E9FF3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232D51C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（4）发现服务人员违法违规或重大过失，及时报告采购人，并采取必要补救措施。</w:t>
                  </w:r>
                </w:p>
              </w:tc>
            </w:tr>
            <w:tr w14:paraId="7966F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restart"/>
                  <w:vAlign w:val="center"/>
                </w:tcPr>
                <w:p w14:paraId="0BBDB9E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965" w:type="pct"/>
                  <w:vMerge w:val="restart"/>
                  <w:vAlign w:val="center"/>
                </w:tcPr>
                <w:p w14:paraId="79A15AF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档案管理</w:t>
                  </w:r>
                </w:p>
              </w:tc>
              <w:tc>
                <w:tcPr>
                  <w:tcW w:w="3478" w:type="pct"/>
                  <w:vAlign w:val="center"/>
                </w:tcPr>
                <w:p w14:paraId="2BBB061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（1）建立物业信息，准确、及时地对文件资料和服务记录进行归档保存，并确保其物理安全。</w:t>
                  </w:r>
                </w:p>
              </w:tc>
            </w:tr>
            <w:tr w14:paraId="3D16E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36BF14A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6C3712C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6A8F034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档案和记录齐全，包括但不限于：①采购人建议与投诉等。教育培训和考核记录。保密、思想政治教育培训记录。②房屋维护服务：房屋台账、使用说明、房屋装修、维保记录等。③公用设施设备维护服务：设备台账、设备卡、使用说明、维保记录、巡查记录、设施设备安全运行、设施设备定期巡检、维护保养、维修档案等。④保洁服务：工作日志、清洁检查表、用品清单、客户反馈表等。⑤绿化服务：绿化总平面图、清洁整改记录、消杀记录等。⑥其他：客户信息、财务明细、合同协议、信报信息登记、大件物品进出登记等。⑦服务人员档案：中标人提供所有服务人员身份信息、工作情况、签到情况记录（含中期离职人员情况）。</w:t>
                  </w:r>
                </w:p>
              </w:tc>
            </w:tr>
            <w:tr w14:paraId="6AD87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6FFB366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6A0926A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4C8EBFF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（3）遵守采购人的信息、档案资料保密要求，未经许可，不得将建筑物平面图等资料转作其他用途或向其他单位、个人提供。</w:t>
                  </w:r>
                </w:p>
              </w:tc>
            </w:tr>
            <w:tr w14:paraId="2ECB4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671A171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0EE8FAB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09A50E2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（4）履约结束后，相关资料交还采购人，中标人不得擅自留存。采购人按政府采购相关规定存档。</w:t>
                  </w:r>
                </w:p>
              </w:tc>
            </w:tr>
            <w:tr w14:paraId="096C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restart"/>
                  <w:vAlign w:val="center"/>
                </w:tcPr>
                <w:p w14:paraId="3751635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965" w:type="pct"/>
                  <w:vMerge w:val="restart"/>
                  <w:vAlign w:val="center"/>
                </w:tcPr>
                <w:p w14:paraId="201AF5A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服务改进</w:t>
                  </w:r>
                </w:p>
              </w:tc>
              <w:tc>
                <w:tcPr>
                  <w:tcW w:w="3478" w:type="pct"/>
                  <w:vAlign w:val="center"/>
                </w:tcPr>
                <w:p w14:paraId="7D5C2BF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（1）明确负责人，定期对物业服务过程进行自查，结合反馈意见与评价结果采取改进措施，持续提升管理与服务水平。</w:t>
                  </w:r>
                </w:p>
              </w:tc>
            </w:tr>
            <w:tr w14:paraId="167BF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61A7152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0038102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271B1FE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（2）对不合格服务进行控制，对不合格服务的原因进行识别和分析，及时采取纠正措施，消除不合格的原因，防止不合格再发生。</w:t>
                  </w:r>
                </w:p>
              </w:tc>
            </w:tr>
            <w:tr w14:paraId="4023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23FECE5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2EEA64E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2773BC6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（3）需整改问题及时整改完成。</w:t>
                  </w:r>
                </w:p>
              </w:tc>
            </w:tr>
            <w:tr w14:paraId="7F2BA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restart"/>
                  <w:vAlign w:val="center"/>
                </w:tcPr>
                <w:p w14:paraId="1E57B53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w:t>
                  </w:r>
                </w:p>
              </w:tc>
              <w:tc>
                <w:tcPr>
                  <w:tcW w:w="965" w:type="pct"/>
                  <w:vMerge w:val="restart"/>
                  <w:vAlign w:val="center"/>
                </w:tcPr>
                <w:p w14:paraId="33116B7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重大活动后勤保障</w:t>
                  </w:r>
                </w:p>
              </w:tc>
              <w:tc>
                <w:tcPr>
                  <w:tcW w:w="3478" w:type="pct"/>
                  <w:vAlign w:val="center"/>
                </w:tcPr>
                <w:p w14:paraId="11E1F2C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（1）制订流程。配合采购人制订重大活动后勤保障工作流程，需对任务进行详细了解，并根据工作安排制定详细的后勤保障计划。</w:t>
                  </w:r>
                </w:p>
              </w:tc>
            </w:tr>
            <w:tr w14:paraId="5B27F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491E769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3F5C8D4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5BB6FA8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实施保障。按计划在关键区域和重点部位进行部署，确保任务顺利进行，对活动区域进行全面安全检查，发现并排除安全隐患，对车辆进行有序引导和管理，确保交通安全畅通，以礼貌、专业的态度对待来宾，展现良好形象。</w:t>
                  </w:r>
                </w:p>
              </w:tc>
            </w:tr>
            <w:tr w14:paraId="54A77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3ADAD57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57FB347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445D902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（3）收尾工作。对现场进行检查，做好清理工作。</w:t>
                  </w:r>
                </w:p>
              </w:tc>
            </w:tr>
            <w:tr w14:paraId="383B1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restart"/>
                  <w:vAlign w:val="center"/>
                </w:tcPr>
                <w:p w14:paraId="40D21A8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7</w:t>
                  </w:r>
                </w:p>
              </w:tc>
              <w:tc>
                <w:tcPr>
                  <w:tcW w:w="965" w:type="pct"/>
                  <w:vMerge w:val="restart"/>
                  <w:vAlign w:val="center"/>
                </w:tcPr>
                <w:p w14:paraId="4CEB7C8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应急保障预案</w:t>
                  </w:r>
                </w:p>
              </w:tc>
              <w:tc>
                <w:tcPr>
                  <w:tcW w:w="3478" w:type="pct"/>
                  <w:vAlign w:val="center"/>
                </w:tcPr>
                <w:p w14:paraId="5CB18A3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重点区域及安全隐患排查。结合项目的实际情况，对重点部位及危险隐患进行排查，并建立清单/台账；应当对危险隐患进行风险分析，制定相应措施进行控制或整改并定期监控；随着设施设备、服务内容的变化，及时更新清单/台账，使风险隐患始终处于受控状态。</w:t>
                  </w:r>
                </w:p>
              </w:tc>
            </w:tr>
            <w:tr w14:paraId="40C16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090BC02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11B6433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1F5EF25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应急预案的建立。根据办公楼隐患排查的结果和实际情况，制定专项预案，包括但不限于：火情火警紧急处理应急预案、紧急疏散应急预案、停水停电应急预案、有限空间救援应急预案、高空作业救援应急预案、恶劣天气应对应急预案等。</w:t>
                  </w:r>
                </w:p>
              </w:tc>
            </w:tr>
            <w:tr w14:paraId="7FD5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62F1504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1F3FDBC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14E8929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（3）应急预案的培训和演练。应急预案定期培训和演练，组织相关岗位每半年至少开展一次专项应急预案演练；留存培训及演练记录和影像资料，并对预案进行评价，确保与实际情况相结合。</w:t>
                  </w:r>
                </w:p>
              </w:tc>
            </w:tr>
            <w:tr w14:paraId="69528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1BCFEDA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7197383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56BA940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（4）应急物资的管理。根据专项预案中的应对需要、必要的应急物资，建立清单或台账，并由专人定期对应急物资进行检查，如有应急物资不足，及时通知采购人购置齐全，确保能够随时正常使用。</w:t>
                  </w:r>
                </w:p>
              </w:tc>
            </w:tr>
            <w:tr w14:paraId="0FD84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restart"/>
                  <w:vAlign w:val="center"/>
                </w:tcPr>
                <w:p w14:paraId="14877E5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8</w:t>
                  </w:r>
                </w:p>
              </w:tc>
              <w:tc>
                <w:tcPr>
                  <w:tcW w:w="965" w:type="pct"/>
                  <w:vMerge w:val="restart"/>
                  <w:vAlign w:val="center"/>
                </w:tcPr>
                <w:p w14:paraId="6D9ABC9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服务方案及工作制度</w:t>
                  </w:r>
                </w:p>
              </w:tc>
              <w:tc>
                <w:tcPr>
                  <w:tcW w:w="3478" w:type="pct"/>
                  <w:vAlign w:val="center"/>
                </w:tcPr>
                <w:p w14:paraId="1A05F03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（1）制定工作制度，主要包括：人员录用制度、档案管理制度、物业服务管理制度、公用设施设备相关管理制度等。</w:t>
                  </w:r>
                </w:p>
              </w:tc>
            </w:tr>
            <w:tr w14:paraId="3E1CB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3362733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46D7D5E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5695A15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（2）制定项目实施方案，主要包括：交接方案、人员培训方案、人员稳定性方案、保密方案等。</w:t>
                  </w:r>
                </w:p>
              </w:tc>
            </w:tr>
            <w:tr w14:paraId="7FA34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3F3A9EB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420EB66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08E7250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（3）制定物业服务方案，主要包括：</w:t>
                  </w:r>
                  <w:r>
                    <w:rPr>
                      <w:rFonts w:hint="eastAsia" w:asciiTheme="minorEastAsia" w:hAnsiTheme="minorEastAsia" w:eastAsiaTheme="minorEastAsia" w:cstheme="minorEastAsia"/>
                      <w:spacing w:val="1"/>
                      <w:sz w:val="24"/>
                      <w:szCs w:val="24"/>
                      <w:highlight w:val="none"/>
                      <w:lang w:val="en-US" w:eastAsia="zh-CN"/>
                    </w:rPr>
                    <w:t>物业综合服务方案、房屋及公共设施设备维护服务方案、绿化服务方案、保洁服务方案、餐厅管理服务方案、公寓管理服务方案、多媒体教室管理服务方案、</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琴房值班服务</w:t>
                  </w:r>
                  <w:r>
                    <w:rPr>
                      <w:rFonts w:hint="eastAsia" w:asciiTheme="minorEastAsia" w:hAnsiTheme="minorEastAsia" w:eastAsiaTheme="minorEastAsia" w:cstheme="minorEastAsia"/>
                      <w:spacing w:val="1"/>
                      <w:sz w:val="24"/>
                      <w:szCs w:val="24"/>
                      <w:highlight w:val="none"/>
                      <w:lang w:val="en-US" w:eastAsia="zh-CN"/>
                    </w:rPr>
                    <w:t xml:space="preserve">方案等。 </w:t>
                  </w:r>
                </w:p>
              </w:tc>
            </w:tr>
            <w:tr w14:paraId="3AC23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restart"/>
                  <w:vAlign w:val="center"/>
                </w:tcPr>
                <w:p w14:paraId="79F76DD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9</w:t>
                  </w:r>
                </w:p>
              </w:tc>
              <w:tc>
                <w:tcPr>
                  <w:tcW w:w="965" w:type="pct"/>
                  <w:vMerge w:val="restart"/>
                  <w:vAlign w:val="center"/>
                </w:tcPr>
                <w:p w14:paraId="70CD003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服务热线及紧急维修</w:t>
                  </w:r>
                </w:p>
              </w:tc>
              <w:tc>
                <w:tcPr>
                  <w:tcW w:w="3478" w:type="pct"/>
                  <w:vAlign w:val="center"/>
                </w:tcPr>
                <w:p w14:paraId="0B61D0B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（1）设置24小时报修服务热线。</w:t>
                  </w:r>
                </w:p>
              </w:tc>
            </w:tr>
            <w:tr w14:paraId="37B7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55" w:type="pct"/>
                  <w:vMerge w:val="continue"/>
                  <w:vAlign w:val="center"/>
                </w:tcPr>
                <w:p w14:paraId="2838598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65" w:type="pct"/>
                  <w:vMerge w:val="continue"/>
                  <w:vAlign w:val="center"/>
                </w:tcPr>
                <w:p w14:paraId="39D6F72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478" w:type="pct"/>
                  <w:vAlign w:val="center"/>
                </w:tcPr>
                <w:p w14:paraId="0D8BA43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（2）紧急维修应当15分钟内到达现场，不间断维修直至修复。</w:t>
                  </w:r>
                </w:p>
              </w:tc>
            </w:tr>
          </w:tbl>
          <w:p w14:paraId="5B9A0AD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p>
          <w:p w14:paraId="12C0873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（二）物业综合服务</w:t>
            </w:r>
          </w:p>
          <w:tbl>
            <w:tblPr>
              <w:tblStyle w:val="6"/>
              <w:tblW w:w="4618"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08"/>
              <w:gridCol w:w="1407"/>
              <w:gridCol w:w="5347"/>
            </w:tblGrid>
            <w:tr w14:paraId="11BC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67" w:hRule="atLeast"/>
                <w:tblHeader/>
              </w:trPr>
              <w:tc>
                <w:tcPr>
                  <w:tcW w:w="534" w:type="pct"/>
                  <w:shd w:val="clear" w:color="auto" w:fill="F2F3F5"/>
                  <w:tcMar>
                    <w:top w:w="120" w:type="dxa"/>
                    <w:left w:w="120" w:type="dxa"/>
                    <w:bottom w:w="120" w:type="dxa"/>
                    <w:right w:w="120" w:type="dxa"/>
                  </w:tcMar>
                  <w:vAlign w:val="center"/>
                </w:tcPr>
                <w:p w14:paraId="7781FE8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930" w:type="pct"/>
                  <w:shd w:val="clear" w:color="auto" w:fill="F2F3F5"/>
                  <w:tcMar>
                    <w:top w:w="120" w:type="dxa"/>
                    <w:left w:w="120" w:type="dxa"/>
                    <w:bottom w:w="120" w:type="dxa"/>
                    <w:right w:w="120" w:type="dxa"/>
                  </w:tcMar>
                  <w:vAlign w:val="center"/>
                </w:tcPr>
                <w:p w14:paraId="24C2FC9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服务内容</w:t>
                  </w:r>
                </w:p>
              </w:tc>
              <w:tc>
                <w:tcPr>
                  <w:tcW w:w="3534" w:type="pct"/>
                  <w:shd w:val="clear" w:color="auto" w:fill="F2F3F5"/>
                  <w:tcMar>
                    <w:top w:w="120" w:type="dxa"/>
                    <w:left w:w="120" w:type="dxa"/>
                    <w:bottom w:w="120" w:type="dxa"/>
                    <w:right w:w="120" w:type="dxa"/>
                  </w:tcMar>
                  <w:vAlign w:val="center"/>
                </w:tcPr>
                <w:p w14:paraId="1F6811F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服务标准</w:t>
                  </w:r>
                </w:p>
              </w:tc>
            </w:tr>
            <w:tr w14:paraId="0698E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rPr>
              <w:tc>
                <w:tcPr>
                  <w:tcW w:w="534" w:type="pct"/>
                  <w:shd w:val="clear" w:color="auto" w:fill="auto"/>
                  <w:tcMar>
                    <w:top w:w="120" w:type="dxa"/>
                    <w:left w:w="120" w:type="dxa"/>
                    <w:bottom w:w="120" w:type="dxa"/>
                    <w:right w:w="120" w:type="dxa"/>
                  </w:tcMar>
                  <w:vAlign w:val="center"/>
                </w:tcPr>
                <w:p w14:paraId="14CFAF1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930" w:type="pct"/>
                  <w:shd w:val="clear" w:color="auto" w:fill="auto"/>
                  <w:tcMar>
                    <w:top w:w="120" w:type="dxa"/>
                    <w:left w:w="120" w:type="dxa"/>
                    <w:bottom w:w="120" w:type="dxa"/>
                    <w:right w:w="120" w:type="dxa"/>
                  </w:tcMar>
                  <w:vAlign w:val="center"/>
                </w:tcPr>
                <w:p w14:paraId="47D7E72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服务团队组建与管理</w:t>
                  </w:r>
                </w:p>
              </w:tc>
              <w:tc>
                <w:tcPr>
                  <w:tcW w:w="3534" w:type="pct"/>
                  <w:shd w:val="clear" w:color="auto" w:fill="auto"/>
                  <w:tcMar>
                    <w:top w:w="120" w:type="dxa"/>
                    <w:left w:w="120" w:type="dxa"/>
                    <w:bottom w:w="120" w:type="dxa"/>
                    <w:right w:w="120" w:type="dxa"/>
                  </w:tcMar>
                  <w:vAlign w:val="center"/>
                </w:tcPr>
                <w:p w14:paraId="23B9F13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1.设立专属项目经理1名，具备1年及以上高校物业服务经验，持有</w:t>
                  </w:r>
                  <w:r>
                    <w:rPr>
                      <w:rFonts w:hint="eastAsia" w:asciiTheme="minorEastAsia" w:hAnsiTheme="minorEastAsia" w:eastAsiaTheme="minorEastAsia" w:cstheme="minorEastAsia"/>
                      <w:sz w:val="24"/>
                      <w:szCs w:val="24"/>
                      <w:lang w:val="en-US" w:eastAsia="zh-CN"/>
                    </w:rPr>
                    <w:t>物业管理项目经理相关</w:t>
                  </w:r>
                  <w:r>
                    <w:rPr>
                      <w:rFonts w:hint="eastAsia" w:asciiTheme="minorEastAsia" w:hAnsiTheme="minorEastAsia" w:eastAsiaTheme="minorEastAsia" w:cstheme="minorEastAsia"/>
                      <w:sz w:val="24"/>
                      <w:szCs w:val="24"/>
                      <w:vertAlign w:val="baseline"/>
                      <w:lang w:val="en-US" w:eastAsia="zh-CN"/>
                    </w:rPr>
                    <w:t>证书；2.各服务板块配备专职主管，团队人员持证上岗率100%（如电工证、水暖工证等）；3.建立完善的员工培训体系，每月至少开展1次高校物业服务专项培训。</w:t>
                  </w:r>
                </w:p>
              </w:tc>
            </w:tr>
            <w:tr w14:paraId="7B2FE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rPr>
              <w:tc>
                <w:tcPr>
                  <w:tcW w:w="534" w:type="pct"/>
                  <w:shd w:val="clear" w:color="auto" w:fill="auto"/>
                  <w:tcMar>
                    <w:top w:w="120" w:type="dxa"/>
                    <w:left w:w="120" w:type="dxa"/>
                    <w:bottom w:w="120" w:type="dxa"/>
                    <w:right w:w="120" w:type="dxa"/>
                  </w:tcMar>
                  <w:vAlign w:val="center"/>
                </w:tcPr>
                <w:p w14:paraId="19A7745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930" w:type="pct"/>
                  <w:shd w:val="clear" w:color="auto" w:fill="auto"/>
                  <w:tcMar>
                    <w:top w:w="120" w:type="dxa"/>
                    <w:left w:w="120" w:type="dxa"/>
                    <w:bottom w:w="120" w:type="dxa"/>
                    <w:right w:w="120" w:type="dxa"/>
                  </w:tcMar>
                  <w:vAlign w:val="center"/>
                </w:tcPr>
                <w:p w14:paraId="45F9AB0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制度建设与档案管理</w:t>
                  </w:r>
                </w:p>
              </w:tc>
              <w:tc>
                <w:tcPr>
                  <w:tcW w:w="3534" w:type="pct"/>
                  <w:shd w:val="clear" w:color="auto" w:fill="auto"/>
                  <w:tcMar>
                    <w:top w:w="120" w:type="dxa"/>
                    <w:left w:w="120" w:type="dxa"/>
                    <w:bottom w:w="120" w:type="dxa"/>
                    <w:right w:w="120" w:type="dxa"/>
                  </w:tcMar>
                  <w:vAlign w:val="center"/>
                </w:tcPr>
                <w:p w14:paraId="6E7C202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提交完整的服务方案，含岗位责任制、应急预案等20项以上制度；2.建立房屋、设施设备、会议服务等电子及纸质档案，档案完整率100%，更新及时（变更后24小时内）；3.每月向招标人提交服务月报，每半年提交半年度服务总结。</w:t>
                  </w:r>
                </w:p>
              </w:tc>
            </w:tr>
            <w:tr w14:paraId="2DE63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rPr>
              <w:tc>
                <w:tcPr>
                  <w:tcW w:w="534" w:type="pct"/>
                  <w:shd w:val="clear" w:color="auto" w:fill="auto"/>
                  <w:tcMar>
                    <w:top w:w="120" w:type="dxa"/>
                    <w:left w:w="120" w:type="dxa"/>
                    <w:bottom w:w="120" w:type="dxa"/>
                    <w:right w:w="120" w:type="dxa"/>
                  </w:tcMar>
                  <w:vAlign w:val="center"/>
                </w:tcPr>
                <w:p w14:paraId="22B681F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930" w:type="pct"/>
                  <w:shd w:val="clear" w:color="auto" w:fill="auto"/>
                  <w:tcMar>
                    <w:top w:w="120" w:type="dxa"/>
                    <w:left w:w="120" w:type="dxa"/>
                    <w:bottom w:w="120" w:type="dxa"/>
                    <w:right w:w="120" w:type="dxa"/>
                  </w:tcMar>
                  <w:vAlign w:val="center"/>
                </w:tcPr>
                <w:p w14:paraId="3653493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客户服务与沟通协调</w:t>
                  </w:r>
                </w:p>
              </w:tc>
              <w:tc>
                <w:tcPr>
                  <w:tcW w:w="3534" w:type="pct"/>
                  <w:shd w:val="clear" w:color="auto" w:fill="auto"/>
                  <w:tcMar>
                    <w:top w:w="120" w:type="dxa"/>
                    <w:left w:w="120" w:type="dxa"/>
                    <w:bottom w:w="120" w:type="dxa"/>
                    <w:right w:w="120" w:type="dxa"/>
                  </w:tcMar>
                  <w:vAlign w:val="center"/>
                </w:tcPr>
                <w:p w14:paraId="76B7ED4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1.设立24小时服务热线，来电响应时间≤5分钟，一般问题处理反馈时间≤2小时，复杂问题≤24小时并明确解决方案；2.每月组织1次与师生代表的沟通会，及时处理意见建议，处理率100%；3.投诉处理满意率≥95%。</w:t>
                  </w:r>
                </w:p>
              </w:tc>
            </w:tr>
            <w:tr w14:paraId="05614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trPr>
              <w:tc>
                <w:tcPr>
                  <w:tcW w:w="534" w:type="pct"/>
                  <w:shd w:val="clear" w:color="auto" w:fill="auto"/>
                  <w:tcMar>
                    <w:top w:w="120" w:type="dxa"/>
                    <w:left w:w="120" w:type="dxa"/>
                    <w:bottom w:w="120" w:type="dxa"/>
                    <w:right w:w="120" w:type="dxa"/>
                  </w:tcMar>
                  <w:vAlign w:val="center"/>
                </w:tcPr>
                <w:p w14:paraId="69732D8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930" w:type="pct"/>
                  <w:shd w:val="clear" w:color="auto" w:fill="auto"/>
                  <w:tcMar>
                    <w:top w:w="120" w:type="dxa"/>
                    <w:left w:w="120" w:type="dxa"/>
                    <w:bottom w:w="120" w:type="dxa"/>
                    <w:right w:w="120" w:type="dxa"/>
                  </w:tcMar>
                  <w:vAlign w:val="center"/>
                </w:tcPr>
                <w:p w14:paraId="14339B1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应急管理与安全保障</w:t>
                  </w:r>
                </w:p>
              </w:tc>
              <w:tc>
                <w:tcPr>
                  <w:tcW w:w="3534" w:type="pct"/>
                  <w:shd w:val="clear" w:color="auto" w:fill="auto"/>
                  <w:tcMar>
                    <w:top w:w="120" w:type="dxa"/>
                    <w:left w:w="120" w:type="dxa"/>
                    <w:bottom w:w="120" w:type="dxa"/>
                    <w:right w:w="120" w:type="dxa"/>
                  </w:tcMar>
                  <w:vAlign w:val="center"/>
                </w:tcPr>
                <w:p w14:paraId="7B4F8FE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1.制定火灾、防汛、停电、设备故障等10类以上应急预案，每半年组织1次应急演练；2.配合招标人开展安全检查，隐患整改率100%；3.服务期内无重大安全责任事故。</w:t>
                  </w:r>
                </w:p>
              </w:tc>
            </w:tr>
          </w:tbl>
          <w:p w14:paraId="73EFB57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p>
          <w:p w14:paraId="7BF0358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（三）房屋及公共设施设备维护服务</w:t>
            </w:r>
          </w:p>
          <w:tbl>
            <w:tblPr>
              <w:tblStyle w:val="6"/>
              <w:tblW w:w="7599"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23"/>
              <w:gridCol w:w="1396"/>
              <w:gridCol w:w="5380"/>
            </w:tblGrid>
            <w:tr w14:paraId="41A6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454" w:hRule="atLeast"/>
                <w:tblHeader/>
              </w:trPr>
              <w:tc>
                <w:tcPr>
                  <w:tcW w:w="542" w:type="pct"/>
                  <w:shd w:val="clear" w:color="auto" w:fill="F2F3F5"/>
                  <w:tcMar>
                    <w:top w:w="120" w:type="dxa"/>
                    <w:left w:w="120" w:type="dxa"/>
                    <w:bottom w:w="120" w:type="dxa"/>
                    <w:right w:w="120" w:type="dxa"/>
                  </w:tcMar>
                  <w:vAlign w:val="center"/>
                </w:tcPr>
                <w:p w14:paraId="2C0B743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918" w:type="pct"/>
                  <w:shd w:val="clear" w:color="auto" w:fill="F2F3F5"/>
                  <w:tcMar>
                    <w:top w:w="120" w:type="dxa"/>
                    <w:left w:w="120" w:type="dxa"/>
                    <w:bottom w:w="120" w:type="dxa"/>
                    <w:right w:w="120" w:type="dxa"/>
                  </w:tcMar>
                  <w:vAlign w:val="center"/>
                </w:tcPr>
                <w:p w14:paraId="114BC07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服务内容</w:t>
                  </w:r>
                </w:p>
              </w:tc>
              <w:tc>
                <w:tcPr>
                  <w:tcW w:w="3539" w:type="pct"/>
                  <w:shd w:val="clear" w:color="auto" w:fill="F2F3F5"/>
                  <w:tcMar>
                    <w:top w:w="120" w:type="dxa"/>
                    <w:left w:w="120" w:type="dxa"/>
                    <w:bottom w:w="120" w:type="dxa"/>
                    <w:right w:w="120" w:type="dxa"/>
                  </w:tcMar>
                  <w:vAlign w:val="center"/>
                </w:tcPr>
                <w:p w14:paraId="6B697E1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服务标准</w:t>
                  </w:r>
                </w:p>
              </w:tc>
            </w:tr>
            <w:tr w14:paraId="032AE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restart"/>
                  <w:shd w:val="clear" w:color="auto" w:fill="auto"/>
                  <w:tcMar>
                    <w:top w:w="120" w:type="dxa"/>
                    <w:left w:w="120" w:type="dxa"/>
                    <w:bottom w:w="120" w:type="dxa"/>
                    <w:right w:w="120" w:type="dxa"/>
                  </w:tcMar>
                  <w:vAlign w:val="center"/>
                </w:tcPr>
                <w:p w14:paraId="0B5CC28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1、房屋本体维护</w:t>
                  </w:r>
                </w:p>
              </w:tc>
              <w:tc>
                <w:tcPr>
                  <w:tcW w:w="918" w:type="pct"/>
                  <w:shd w:val="clear" w:color="auto" w:fill="auto"/>
                  <w:tcMar>
                    <w:top w:w="120" w:type="dxa"/>
                    <w:left w:w="120" w:type="dxa"/>
                    <w:bottom w:w="120" w:type="dxa"/>
                    <w:right w:w="120" w:type="dxa"/>
                  </w:tcMar>
                  <w:vAlign w:val="center"/>
                </w:tcPr>
                <w:p w14:paraId="35892E7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房屋结构及外观维护</w:t>
                  </w:r>
                </w:p>
              </w:tc>
              <w:tc>
                <w:tcPr>
                  <w:tcW w:w="3539" w:type="pct"/>
                  <w:shd w:val="clear" w:color="auto" w:fill="auto"/>
                  <w:tcMar>
                    <w:top w:w="120" w:type="dxa"/>
                    <w:left w:w="120" w:type="dxa"/>
                    <w:bottom w:w="120" w:type="dxa"/>
                    <w:right w:w="120" w:type="dxa"/>
                  </w:tcMar>
                  <w:vAlign w:val="center"/>
                </w:tcPr>
                <w:p w14:paraId="7CBF772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每周巡查教学楼、公寓等房屋主体结构，每月巡查外立面，记录完整；2.墙面、地面、天花板出现破损、渗漏等问题，一般性维修≤3天完成，大修项目及时报备并制定维修计划；3.房屋公共区域标识清晰、完好，损坏后24小时内更换。4、每季度至少开展1次外墙贴饰面、幕墙玻璃、雨棚、散水、空调室外机支撑构件等检查，发现破损，及时向采购人报告，按采购人要求出具维修方案，待采购人同意后按维修方案实施维修。</w:t>
                  </w:r>
                </w:p>
              </w:tc>
            </w:tr>
            <w:tr w14:paraId="1E6D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5A84907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shd w:val="clear" w:color="auto" w:fill="auto"/>
                  <w:tcMar>
                    <w:top w:w="120" w:type="dxa"/>
                    <w:left w:w="120" w:type="dxa"/>
                    <w:bottom w:w="120" w:type="dxa"/>
                    <w:right w:w="120" w:type="dxa"/>
                  </w:tcMar>
                  <w:vAlign w:val="center"/>
                </w:tcPr>
                <w:p w14:paraId="38C6183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门窗及配件维护</w:t>
                  </w:r>
                </w:p>
              </w:tc>
              <w:tc>
                <w:tcPr>
                  <w:tcW w:w="3539" w:type="pct"/>
                  <w:shd w:val="clear" w:color="auto" w:fill="auto"/>
                  <w:tcMar>
                    <w:top w:w="120" w:type="dxa"/>
                    <w:left w:w="120" w:type="dxa"/>
                    <w:bottom w:w="120" w:type="dxa"/>
                    <w:right w:w="120" w:type="dxa"/>
                  </w:tcMar>
                  <w:vAlign w:val="center"/>
                </w:tcPr>
                <w:p w14:paraId="27196FD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1.每月检查门窗、玻璃、锁具等配件，完好率≥98%；2.故障报修后，紧急情况（如门锁损坏、玻璃破损）≤2小时响应并处理，一般情况≤1个工作日修复；3. 门窗开启灵活，密封良好，无变形、锈蚀。3、通道、楼梯、等设施的完好和正常使用。</w:t>
                  </w:r>
                </w:p>
              </w:tc>
            </w:tr>
            <w:tr w14:paraId="4F19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774C8F3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shd w:val="clear" w:color="auto" w:fill="auto"/>
                  <w:tcMar>
                    <w:top w:w="120" w:type="dxa"/>
                    <w:left w:w="120" w:type="dxa"/>
                    <w:bottom w:w="120" w:type="dxa"/>
                    <w:right w:w="120" w:type="dxa"/>
                  </w:tcMar>
                  <w:vAlign w:val="center"/>
                </w:tcPr>
                <w:p w14:paraId="0A82123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屋面及防水维护</w:t>
                  </w:r>
                </w:p>
              </w:tc>
              <w:tc>
                <w:tcPr>
                  <w:tcW w:w="3539" w:type="pct"/>
                  <w:shd w:val="clear" w:color="auto" w:fill="auto"/>
                  <w:tcMar>
                    <w:top w:w="120" w:type="dxa"/>
                    <w:left w:w="120" w:type="dxa"/>
                    <w:bottom w:w="120" w:type="dxa"/>
                    <w:right w:w="120" w:type="dxa"/>
                  </w:tcMar>
                  <w:vAlign w:val="center"/>
                </w:tcPr>
                <w:p w14:paraId="5E7B7AC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1.每季度检查屋面防水层、排水口，雨季前专项排查；2.发现渗漏问题，24小时内赶赴现场处理，小面积维修≤3天，大面积维修≤7天并做好防护措施；3.排水通畅，无积水现象。</w:t>
                  </w:r>
                </w:p>
              </w:tc>
            </w:tr>
            <w:tr w14:paraId="6AC3F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restart"/>
                  <w:shd w:val="clear" w:color="auto" w:fill="auto"/>
                  <w:tcMar>
                    <w:top w:w="120" w:type="dxa"/>
                    <w:left w:w="120" w:type="dxa"/>
                    <w:bottom w:w="120" w:type="dxa"/>
                    <w:right w:w="120" w:type="dxa"/>
                  </w:tcMar>
                  <w:vAlign w:val="center"/>
                </w:tcPr>
                <w:p w14:paraId="0A33C9A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p w14:paraId="6922F85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其他设施维护</w:t>
                  </w:r>
                </w:p>
              </w:tc>
              <w:tc>
                <w:tcPr>
                  <w:tcW w:w="918" w:type="pct"/>
                  <w:vMerge w:val="restart"/>
                  <w:shd w:val="clear" w:color="auto" w:fill="auto"/>
                  <w:tcMar>
                    <w:top w:w="120" w:type="dxa"/>
                    <w:left w:w="120" w:type="dxa"/>
                    <w:bottom w:w="120" w:type="dxa"/>
                    <w:right w:w="120" w:type="dxa"/>
                  </w:tcMar>
                  <w:vAlign w:val="center"/>
                </w:tcPr>
                <w:p w14:paraId="0D07094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其他设施</w:t>
                  </w:r>
                </w:p>
              </w:tc>
              <w:tc>
                <w:tcPr>
                  <w:tcW w:w="3539" w:type="pct"/>
                  <w:shd w:val="clear" w:color="auto" w:fill="auto"/>
                  <w:tcMar>
                    <w:top w:w="120" w:type="dxa"/>
                    <w:left w:w="120" w:type="dxa"/>
                    <w:bottom w:w="120" w:type="dxa"/>
                    <w:right w:w="120" w:type="dxa"/>
                  </w:tcMar>
                  <w:vAlign w:val="center"/>
                </w:tcPr>
                <w:p w14:paraId="11FE143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每半月至少开展1次大门、围墙、道路、场地、管井、沟渠等巡查，每半月至少检查1次雨污水管井、化粪池等巡查，发现破损，及时向采购人报告，按采购人要求出具维修方案，待采购人同意后按维修方案实施维修。</w:t>
                  </w:r>
                </w:p>
              </w:tc>
            </w:tr>
            <w:tr w14:paraId="02ABC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7E30CF2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vMerge w:val="continue"/>
                  <w:shd w:val="clear" w:color="auto" w:fill="auto"/>
                  <w:tcMar>
                    <w:top w:w="120" w:type="dxa"/>
                    <w:left w:w="120" w:type="dxa"/>
                    <w:bottom w:w="120" w:type="dxa"/>
                    <w:right w:w="120" w:type="dxa"/>
                  </w:tcMar>
                  <w:vAlign w:val="center"/>
                </w:tcPr>
                <w:p w14:paraId="5E6C050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539" w:type="pct"/>
                  <w:shd w:val="clear" w:color="auto" w:fill="auto"/>
                  <w:tcMar>
                    <w:top w:w="120" w:type="dxa"/>
                    <w:left w:w="120" w:type="dxa"/>
                    <w:bottom w:w="120" w:type="dxa"/>
                    <w:right w:w="120" w:type="dxa"/>
                  </w:tcMar>
                  <w:vAlign w:val="center"/>
                </w:tcPr>
                <w:p w14:paraId="24AC0B6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（2）每年至少开展1次防雷装置检测，发现失效，及时向采购人报告，按采购人要求出具维修方案，待采购人同意后按维修方案实施维修。</w:t>
                  </w:r>
                </w:p>
              </w:tc>
            </w:tr>
            <w:tr w14:paraId="101D6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402C84E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vMerge w:val="continue"/>
                  <w:shd w:val="clear" w:color="auto" w:fill="auto"/>
                  <w:tcMar>
                    <w:top w:w="120" w:type="dxa"/>
                    <w:left w:w="120" w:type="dxa"/>
                    <w:bottom w:w="120" w:type="dxa"/>
                    <w:right w:w="120" w:type="dxa"/>
                  </w:tcMar>
                  <w:vAlign w:val="center"/>
                </w:tcPr>
                <w:p w14:paraId="1A61C47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539" w:type="pct"/>
                  <w:shd w:val="clear" w:color="auto" w:fill="auto"/>
                  <w:tcMar>
                    <w:top w:w="120" w:type="dxa"/>
                    <w:left w:w="120" w:type="dxa"/>
                    <w:bottom w:w="120" w:type="dxa"/>
                    <w:right w:w="120" w:type="dxa"/>
                  </w:tcMar>
                  <w:vAlign w:val="center"/>
                </w:tcPr>
                <w:p w14:paraId="598DA32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（3）路面状态良好，地漏及下水管路通畅不堵塞。</w:t>
                  </w:r>
                </w:p>
              </w:tc>
            </w:tr>
            <w:tr w14:paraId="2A127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06B8ACD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vMerge w:val="continue"/>
                  <w:shd w:val="clear" w:color="auto" w:fill="auto"/>
                  <w:tcMar>
                    <w:top w:w="120" w:type="dxa"/>
                    <w:left w:w="120" w:type="dxa"/>
                    <w:bottom w:w="120" w:type="dxa"/>
                    <w:right w:w="120" w:type="dxa"/>
                  </w:tcMar>
                  <w:vAlign w:val="center"/>
                </w:tcPr>
                <w:p w14:paraId="7561CBA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539" w:type="pct"/>
                  <w:shd w:val="clear" w:color="auto" w:fill="auto"/>
                  <w:tcMar>
                    <w:top w:w="120" w:type="dxa"/>
                    <w:left w:w="120" w:type="dxa"/>
                    <w:bottom w:w="120" w:type="dxa"/>
                    <w:right w:w="120" w:type="dxa"/>
                  </w:tcMar>
                  <w:vAlign w:val="center"/>
                </w:tcPr>
                <w:p w14:paraId="2068385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（4）接到采购人家具报修服务后，及时通知家具供货商对保修期内的家具进行维修，及时对保修期外的家具进行维修。</w:t>
                  </w:r>
                </w:p>
              </w:tc>
            </w:tr>
            <w:tr w14:paraId="7FE3B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restart"/>
                  <w:shd w:val="clear" w:color="auto" w:fill="auto"/>
                  <w:tcMar>
                    <w:top w:w="120" w:type="dxa"/>
                    <w:left w:w="120" w:type="dxa"/>
                    <w:bottom w:w="120" w:type="dxa"/>
                    <w:right w:w="120" w:type="dxa"/>
                  </w:tcMar>
                  <w:vAlign w:val="center"/>
                </w:tcPr>
                <w:p w14:paraId="4C18A4F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p w14:paraId="54DAA4C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装饰装修监督管理</w:t>
                  </w:r>
                </w:p>
              </w:tc>
              <w:tc>
                <w:tcPr>
                  <w:tcW w:w="918" w:type="pct"/>
                  <w:vMerge w:val="restart"/>
                  <w:shd w:val="clear" w:color="auto" w:fill="auto"/>
                  <w:tcMar>
                    <w:top w:w="120" w:type="dxa"/>
                    <w:left w:w="120" w:type="dxa"/>
                    <w:bottom w:w="120" w:type="dxa"/>
                    <w:right w:w="120" w:type="dxa"/>
                  </w:tcMar>
                  <w:vAlign w:val="center"/>
                </w:tcPr>
                <w:p w14:paraId="48AB038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装饰装修监督管理</w:t>
                  </w:r>
                </w:p>
              </w:tc>
              <w:tc>
                <w:tcPr>
                  <w:tcW w:w="3539" w:type="pct"/>
                  <w:shd w:val="clear" w:color="auto" w:fill="auto"/>
                  <w:tcMar>
                    <w:top w:w="120" w:type="dxa"/>
                    <w:left w:w="120" w:type="dxa"/>
                    <w:bottom w:w="120" w:type="dxa"/>
                    <w:right w:w="120" w:type="dxa"/>
                  </w:tcMar>
                  <w:vAlign w:val="center"/>
                </w:tcPr>
                <w:p w14:paraId="0B953DD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（1）装饰装修前，投标人应当与采购人或采购人委托的装修企业签订装饰装修管理服务协议，告知装饰装修须知，并对装饰装修过程进行管理服务。</w:t>
                  </w:r>
                </w:p>
              </w:tc>
            </w:tr>
            <w:tr w14:paraId="39CC4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43ED27A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vMerge w:val="continue"/>
                  <w:shd w:val="clear" w:color="auto" w:fill="auto"/>
                  <w:tcMar>
                    <w:top w:w="120" w:type="dxa"/>
                    <w:left w:w="120" w:type="dxa"/>
                    <w:bottom w:w="120" w:type="dxa"/>
                    <w:right w:w="120" w:type="dxa"/>
                  </w:tcMar>
                  <w:vAlign w:val="center"/>
                </w:tcPr>
                <w:p w14:paraId="42718D4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539" w:type="pct"/>
                  <w:shd w:val="clear" w:color="auto" w:fill="auto"/>
                  <w:tcMar>
                    <w:top w:w="120" w:type="dxa"/>
                    <w:left w:w="120" w:type="dxa"/>
                    <w:bottom w:w="120" w:type="dxa"/>
                    <w:right w:w="120" w:type="dxa"/>
                  </w:tcMar>
                  <w:vAlign w:val="center"/>
                </w:tcPr>
                <w:p w14:paraId="2FD0B40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（2）根据协议内容，做好装修垃圾临时堆放、清运等。</w:t>
                  </w:r>
                </w:p>
              </w:tc>
            </w:tr>
            <w:tr w14:paraId="141C5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2C7E087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vMerge w:val="continue"/>
                  <w:shd w:val="clear" w:color="auto" w:fill="auto"/>
                  <w:tcMar>
                    <w:top w:w="120" w:type="dxa"/>
                    <w:left w:w="120" w:type="dxa"/>
                    <w:bottom w:w="120" w:type="dxa"/>
                    <w:right w:w="120" w:type="dxa"/>
                  </w:tcMar>
                  <w:vAlign w:val="center"/>
                </w:tcPr>
                <w:p w14:paraId="0FF86FD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539" w:type="pct"/>
                  <w:shd w:val="clear" w:color="auto" w:fill="auto"/>
                  <w:tcMar>
                    <w:top w:w="120" w:type="dxa"/>
                    <w:left w:w="120" w:type="dxa"/>
                    <w:bottom w:w="120" w:type="dxa"/>
                    <w:right w:w="120" w:type="dxa"/>
                  </w:tcMar>
                  <w:vAlign w:val="center"/>
                </w:tcPr>
                <w:p w14:paraId="2A87C58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（3）受采购人委托对房屋内装修进行严格的监督管理，发现问题及时上报，确保不因装修而危及大楼结构安全、人身安全和影响正常办公秩序。</w:t>
                  </w:r>
                </w:p>
              </w:tc>
            </w:tr>
            <w:tr w14:paraId="15790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restart"/>
                  <w:shd w:val="clear" w:color="auto" w:fill="auto"/>
                  <w:tcMar>
                    <w:top w:w="120" w:type="dxa"/>
                    <w:left w:w="120" w:type="dxa"/>
                    <w:bottom w:w="120" w:type="dxa"/>
                    <w:right w:w="120" w:type="dxa"/>
                  </w:tcMar>
                  <w:vAlign w:val="center"/>
                </w:tcPr>
                <w:p w14:paraId="6315A5A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p w14:paraId="6896420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标识标牌</w:t>
                  </w:r>
                </w:p>
              </w:tc>
              <w:tc>
                <w:tcPr>
                  <w:tcW w:w="918" w:type="pct"/>
                  <w:vMerge w:val="restart"/>
                  <w:shd w:val="clear" w:color="auto" w:fill="auto"/>
                  <w:tcMar>
                    <w:top w:w="120" w:type="dxa"/>
                    <w:left w:w="120" w:type="dxa"/>
                    <w:bottom w:w="120" w:type="dxa"/>
                    <w:right w:w="120" w:type="dxa"/>
                  </w:tcMar>
                  <w:vAlign w:val="center"/>
                </w:tcPr>
                <w:p w14:paraId="5A9336A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标识标牌</w:t>
                  </w:r>
                </w:p>
              </w:tc>
              <w:tc>
                <w:tcPr>
                  <w:tcW w:w="3539" w:type="pct"/>
                  <w:shd w:val="clear" w:color="auto" w:fill="auto"/>
                  <w:tcMar>
                    <w:top w:w="120" w:type="dxa"/>
                    <w:left w:w="120" w:type="dxa"/>
                    <w:bottom w:w="120" w:type="dxa"/>
                    <w:right w:w="120" w:type="dxa"/>
                  </w:tcMar>
                  <w:vAlign w:val="center"/>
                </w:tcPr>
                <w:p w14:paraId="109C689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（1）标识标牌符合《公共信息图形符号 第1部分：通用符号》（GB/T 10001.1）的相关要求，消防安全标识符合《安全标志及其使用导则》、《消防安全标志 第1部分：标志》的相关要求。</w:t>
                  </w:r>
                </w:p>
              </w:tc>
            </w:tr>
            <w:tr w14:paraId="2F282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5E0CF8F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vMerge w:val="continue"/>
                  <w:shd w:val="clear" w:color="auto" w:fill="auto"/>
                  <w:tcMar>
                    <w:top w:w="120" w:type="dxa"/>
                    <w:left w:w="120" w:type="dxa"/>
                    <w:bottom w:w="120" w:type="dxa"/>
                    <w:right w:w="120" w:type="dxa"/>
                  </w:tcMar>
                  <w:vAlign w:val="center"/>
                </w:tcPr>
                <w:p w14:paraId="120C6CC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3539" w:type="pct"/>
                  <w:shd w:val="clear" w:color="auto" w:fill="auto"/>
                  <w:tcMar>
                    <w:top w:w="120" w:type="dxa"/>
                    <w:left w:w="120" w:type="dxa"/>
                    <w:bottom w:w="120" w:type="dxa"/>
                    <w:right w:w="120" w:type="dxa"/>
                  </w:tcMar>
                  <w:vAlign w:val="center"/>
                </w:tcPr>
                <w:p w14:paraId="24381F2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（2）每月至少检查1次标识标牌和消防与安全标识。应当规范清晰、路线指引正确、安装稳固。</w:t>
                  </w:r>
                </w:p>
              </w:tc>
            </w:tr>
            <w:tr w14:paraId="7B017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restart"/>
                  <w:shd w:val="clear" w:color="auto" w:fill="auto"/>
                  <w:tcMar>
                    <w:top w:w="120" w:type="dxa"/>
                    <w:left w:w="120" w:type="dxa"/>
                    <w:bottom w:w="120" w:type="dxa"/>
                    <w:right w:w="120" w:type="dxa"/>
                  </w:tcMar>
                  <w:vAlign w:val="center"/>
                </w:tcPr>
                <w:p w14:paraId="2E8B06B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w:t>
                  </w:r>
                </w:p>
                <w:p w14:paraId="3C87217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公共设施设备维护</w:t>
                  </w:r>
                </w:p>
              </w:tc>
              <w:tc>
                <w:tcPr>
                  <w:tcW w:w="918" w:type="pct"/>
                  <w:shd w:val="clear" w:color="auto" w:fill="auto"/>
                  <w:tcMar>
                    <w:top w:w="120" w:type="dxa"/>
                    <w:left w:w="120" w:type="dxa"/>
                    <w:bottom w:w="120" w:type="dxa"/>
                    <w:right w:w="120" w:type="dxa"/>
                  </w:tcMar>
                  <w:vAlign w:val="center"/>
                </w:tcPr>
                <w:p w14:paraId="03138DC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基本要求</w:t>
                  </w:r>
                </w:p>
              </w:tc>
              <w:tc>
                <w:tcPr>
                  <w:tcW w:w="3539" w:type="pct"/>
                  <w:shd w:val="clear" w:color="auto" w:fill="auto"/>
                  <w:tcMar>
                    <w:top w:w="120" w:type="dxa"/>
                    <w:left w:w="120" w:type="dxa"/>
                    <w:bottom w:w="120" w:type="dxa"/>
                    <w:right w:w="120" w:type="dxa"/>
                  </w:tcMar>
                  <w:vAlign w:val="center"/>
                </w:tcPr>
                <w:p w14:paraId="4CC349D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重大节假日及恶劣天气前后，组织系统巡检1次。2.具备设施设备安全、稳定运行的环境和场所（含有限空间），温湿度、照度、粉尘和烟雾浓度等符合相关安全规范。3.各项维修记录、台账完整、规范。4.每日检查负责区域内门窗、照明工具、开关、插座、水龙头等破损情况，发现及时维修或更换。5.校园内墙皮脱落、台阶、地面塌陷、路面、道牙破损应及时维修。6.接到报修，15分钟内到达现场提供维修服务。</w:t>
                  </w:r>
                </w:p>
              </w:tc>
            </w:tr>
            <w:tr w14:paraId="6CB2B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77E06C4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shd w:val="clear" w:color="auto" w:fill="auto"/>
                  <w:tcMar>
                    <w:top w:w="120" w:type="dxa"/>
                    <w:left w:w="120" w:type="dxa"/>
                    <w:bottom w:w="120" w:type="dxa"/>
                    <w:right w:w="120" w:type="dxa"/>
                  </w:tcMar>
                  <w:vAlign w:val="center"/>
                </w:tcPr>
                <w:p w14:paraId="72A4467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给排水系统维护</w:t>
                  </w:r>
                </w:p>
              </w:tc>
              <w:tc>
                <w:tcPr>
                  <w:tcW w:w="3539" w:type="pct"/>
                  <w:shd w:val="clear" w:color="auto" w:fill="auto"/>
                  <w:tcMar>
                    <w:top w:w="120" w:type="dxa"/>
                    <w:left w:w="120" w:type="dxa"/>
                    <w:bottom w:w="120" w:type="dxa"/>
                    <w:right w:w="120" w:type="dxa"/>
                  </w:tcMar>
                  <w:vAlign w:val="center"/>
                </w:tcPr>
                <w:p w14:paraId="6BCE152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每日巡查水泵房、水箱、管网等，每周记录运行参数；2. 供水压力稳定，水质符合国家标准，管网漏损率≤2%；3. 故障报修后，停水问题≤4小时解决，排水堵塞≤2小时疏通，维修完成率100%。</w:t>
                  </w:r>
                </w:p>
              </w:tc>
            </w:tr>
            <w:tr w14:paraId="750D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09AD4DB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shd w:val="clear" w:color="auto" w:fill="auto"/>
                  <w:tcMar>
                    <w:top w:w="120" w:type="dxa"/>
                    <w:left w:w="120" w:type="dxa"/>
                    <w:bottom w:w="120" w:type="dxa"/>
                    <w:right w:w="120" w:type="dxa"/>
                  </w:tcMar>
                  <w:vAlign w:val="center"/>
                </w:tcPr>
                <w:p w14:paraId="0833133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供电及照明系统维护</w:t>
                  </w:r>
                </w:p>
              </w:tc>
              <w:tc>
                <w:tcPr>
                  <w:tcW w:w="3539" w:type="pct"/>
                  <w:shd w:val="clear" w:color="auto" w:fill="auto"/>
                  <w:tcMar>
                    <w:top w:w="120" w:type="dxa"/>
                    <w:left w:w="120" w:type="dxa"/>
                    <w:bottom w:w="120" w:type="dxa"/>
                    <w:right w:w="120" w:type="dxa"/>
                  </w:tcMar>
                  <w:vAlign w:val="center"/>
                </w:tcPr>
                <w:p w14:paraId="704830E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高压配电房24小时值班，每日巡查，低压配电设施每周巡查，记录完整；2. 公共区域照明灯具完好率≥98%，故障后≤24小时更换；3. 停电前提前48小时通知招标人及师生，应急供电设备（如发电机）可在15分钟内启动。</w:t>
                  </w:r>
                </w:p>
              </w:tc>
            </w:tr>
            <w:tr w14:paraId="74E29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601DB42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shd w:val="clear" w:color="auto" w:fill="auto"/>
                  <w:tcMar>
                    <w:top w:w="120" w:type="dxa"/>
                    <w:left w:w="120" w:type="dxa"/>
                    <w:bottom w:w="120" w:type="dxa"/>
                    <w:right w:w="120" w:type="dxa"/>
                  </w:tcMar>
                  <w:vAlign w:val="center"/>
                </w:tcPr>
                <w:p w14:paraId="6CAA2C6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暖通及空调系统维护</w:t>
                  </w:r>
                </w:p>
              </w:tc>
              <w:tc>
                <w:tcPr>
                  <w:tcW w:w="3539" w:type="pct"/>
                  <w:shd w:val="clear" w:color="auto" w:fill="auto"/>
                  <w:tcMar>
                    <w:top w:w="120" w:type="dxa"/>
                    <w:left w:w="120" w:type="dxa"/>
                    <w:bottom w:w="120" w:type="dxa"/>
                    <w:right w:w="120" w:type="dxa"/>
                  </w:tcMar>
                  <w:vAlign w:val="center"/>
                </w:tcPr>
                <w:p w14:paraId="254EBC6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供暖季前1个月完成系统检修、打压，确保正常供暖；2.空调设备每年清洗、维护2次，运行故障率≤3%；3. 温度控制：冬季室内温度≥18℃，夏季≤26℃，报修后故障处理≤24小时。</w:t>
                  </w:r>
                </w:p>
              </w:tc>
            </w:tr>
            <w:tr w14:paraId="4064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3CC81DE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shd w:val="clear" w:color="auto" w:fill="auto"/>
                  <w:tcMar>
                    <w:top w:w="120" w:type="dxa"/>
                    <w:left w:w="120" w:type="dxa"/>
                    <w:bottom w:w="120" w:type="dxa"/>
                    <w:right w:w="120" w:type="dxa"/>
                  </w:tcMar>
                  <w:vAlign w:val="center"/>
                </w:tcPr>
                <w:p w14:paraId="620EBD6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电梯及其他设施维护</w:t>
                  </w:r>
                </w:p>
              </w:tc>
              <w:tc>
                <w:tcPr>
                  <w:tcW w:w="3539" w:type="pct"/>
                  <w:shd w:val="clear" w:color="auto" w:fill="auto"/>
                  <w:tcMar>
                    <w:top w:w="120" w:type="dxa"/>
                    <w:left w:w="120" w:type="dxa"/>
                    <w:bottom w:w="120" w:type="dxa"/>
                    <w:right w:w="120" w:type="dxa"/>
                  </w:tcMar>
                  <w:vAlign w:val="center"/>
                </w:tcPr>
                <w:p w14:paraId="79C50D4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电梯委托具备资质的专业维保单位维护，按规定检测维保并做好维护记录，按照采购人要求进行公示，年检合格率100%；2. 电梯故障响应时间≤15分钟，困人救援≤30分钟；3. 健身器材、垃圾桶等公共设施每周检查，损坏后≤1个工作日修复或更换。</w:t>
                  </w:r>
                </w:p>
              </w:tc>
            </w:tr>
            <w:tr w14:paraId="0532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332BDE3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shd w:val="clear" w:color="auto" w:fill="auto"/>
                  <w:tcMar>
                    <w:top w:w="120" w:type="dxa"/>
                    <w:left w:w="120" w:type="dxa"/>
                    <w:bottom w:w="120" w:type="dxa"/>
                    <w:right w:w="120" w:type="dxa"/>
                  </w:tcMar>
                  <w:vAlign w:val="center"/>
                </w:tcPr>
                <w:p w14:paraId="3190DD4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消防系统维护</w:t>
                  </w:r>
                </w:p>
              </w:tc>
              <w:tc>
                <w:tcPr>
                  <w:tcW w:w="3539" w:type="pct"/>
                  <w:shd w:val="clear" w:color="auto" w:fill="auto"/>
                  <w:tcMar>
                    <w:top w:w="120" w:type="dxa"/>
                    <w:left w:w="120" w:type="dxa"/>
                    <w:bottom w:w="120" w:type="dxa"/>
                    <w:right w:w="120" w:type="dxa"/>
                  </w:tcMar>
                  <w:vAlign w:val="center"/>
                </w:tcPr>
                <w:p w14:paraId="412AAF8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协助采购人确保消防设施的维修维护管理，工作符合《建筑消防设施的维护管理》相关要求，配合采购人开展合规性自查；2. 协助采购人巡查消火栓箱、防火门、灭火器、应急照明、安全疏散指示标志等设施，重点核查外观完好性、摆放规范性，发现运行异常（如无法正常启用、配件缺失等）第一时间反馈采购人；3. 巡查中发现核心设备启动异常、系统运行故障等情况时，立即反馈采购人，并配合开展应急处置及专业维保衔接工作。</w:t>
                  </w:r>
                </w:p>
              </w:tc>
            </w:tr>
            <w:tr w14:paraId="3DAC2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6BE4804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shd w:val="clear" w:color="auto" w:fill="auto"/>
                  <w:tcMar>
                    <w:top w:w="120" w:type="dxa"/>
                    <w:left w:w="120" w:type="dxa"/>
                    <w:bottom w:w="120" w:type="dxa"/>
                    <w:right w:w="120" w:type="dxa"/>
                  </w:tcMar>
                  <w:vAlign w:val="center"/>
                </w:tcPr>
                <w:p w14:paraId="7987060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弱电系统</w:t>
                  </w:r>
                </w:p>
              </w:tc>
              <w:tc>
                <w:tcPr>
                  <w:tcW w:w="3539" w:type="pct"/>
                  <w:shd w:val="clear" w:color="auto" w:fill="auto"/>
                  <w:tcMar>
                    <w:top w:w="120" w:type="dxa"/>
                    <w:left w:w="120" w:type="dxa"/>
                    <w:bottom w:w="120" w:type="dxa"/>
                    <w:right w:w="120" w:type="dxa"/>
                  </w:tcMar>
                  <w:vAlign w:val="center"/>
                </w:tcPr>
                <w:p w14:paraId="0367B31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1.安全防范系统维护保养符合《安全防范系统维护保养规范》（GA/T 1081）的相关要求。2.保持监控系统、门禁系统、安全防范系统等运行正常，有故障及时排除。</w:t>
                  </w:r>
                </w:p>
              </w:tc>
            </w:tr>
            <w:tr w14:paraId="2E644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4" w:hRule="atLeast"/>
              </w:trPr>
              <w:tc>
                <w:tcPr>
                  <w:tcW w:w="542" w:type="pct"/>
                  <w:vMerge w:val="continue"/>
                  <w:shd w:val="clear" w:color="auto" w:fill="auto"/>
                  <w:tcMar>
                    <w:top w:w="120" w:type="dxa"/>
                    <w:left w:w="120" w:type="dxa"/>
                    <w:bottom w:w="120" w:type="dxa"/>
                    <w:right w:w="120" w:type="dxa"/>
                  </w:tcMar>
                  <w:vAlign w:val="center"/>
                </w:tcPr>
                <w:p w14:paraId="5EDD85F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18" w:type="pct"/>
                  <w:shd w:val="clear" w:color="auto" w:fill="auto"/>
                  <w:tcMar>
                    <w:top w:w="120" w:type="dxa"/>
                    <w:left w:w="120" w:type="dxa"/>
                    <w:bottom w:w="120" w:type="dxa"/>
                    <w:right w:w="120" w:type="dxa"/>
                  </w:tcMar>
                  <w:vAlign w:val="center"/>
                </w:tcPr>
                <w:p w14:paraId="0395F90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照明系统</w:t>
                  </w:r>
                </w:p>
              </w:tc>
              <w:tc>
                <w:tcPr>
                  <w:tcW w:w="3539" w:type="pct"/>
                  <w:shd w:val="clear" w:color="auto" w:fill="auto"/>
                  <w:tcMar>
                    <w:top w:w="120" w:type="dxa"/>
                    <w:left w:w="120" w:type="dxa"/>
                    <w:bottom w:w="120" w:type="dxa"/>
                    <w:right w:w="120" w:type="dxa"/>
                  </w:tcMar>
                  <w:vAlign w:val="center"/>
                </w:tcPr>
                <w:p w14:paraId="574EF1F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1.外观整洁无缺损、无松落。2.更换的照明灯具应当选用节能环保产品，亮度与更换前保持一致。3.每周至少开展1次公共区域照明设备巡视。</w:t>
                  </w:r>
                </w:p>
              </w:tc>
            </w:tr>
          </w:tbl>
          <w:p w14:paraId="7AA0434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（四）绿化服务</w:t>
            </w:r>
          </w:p>
          <w:tbl>
            <w:tblPr>
              <w:tblStyle w:val="6"/>
              <w:tblW w:w="743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10"/>
              <w:gridCol w:w="1420"/>
              <w:gridCol w:w="5200"/>
            </w:tblGrid>
            <w:tr w14:paraId="26B8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blHeader/>
              </w:trPr>
              <w:tc>
                <w:tcPr>
                  <w:tcW w:w="545" w:type="pct"/>
                  <w:shd w:val="clear" w:color="auto" w:fill="F2F3F5"/>
                  <w:tcMar>
                    <w:top w:w="120" w:type="dxa"/>
                    <w:left w:w="120" w:type="dxa"/>
                    <w:bottom w:w="120" w:type="dxa"/>
                    <w:right w:w="120" w:type="dxa"/>
                  </w:tcMar>
                  <w:vAlign w:val="center"/>
                </w:tcPr>
                <w:p w14:paraId="4FABF5C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955" w:type="pct"/>
                  <w:shd w:val="clear" w:color="auto" w:fill="F2F3F5"/>
                  <w:tcMar>
                    <w:top w:w="120" w:type="dxa"/>
                    <w:left w:w="120" w:type="dxa"/>
                    <w:bottom w:w="120" w:type="dxa"/>
                    <w:right w:w="120" w:type="dxa"/>
                  </w:tcMar>
                  <w:vAlign w:val="center"/>
                </w:tcPr>
                <w:p w14:paraId="175E6E0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服务内容</w:t>
                  </w:r>
                </w:p>
              </w:tc>
              <w:tc>
                <w:tcPr>
                  <w:tcW w:w="3498" w:type="pct"/>
                  <w:shd w:val="clear" w:color="auto" w:fill="F2F3F5"/>
                  <w:tcMar>
                    <w:top w:w="120" w:type="dxa"/>
                    <w:left w:w="120" w:type="dxa"/>
                    <w:bottom w:w="120" w:type="dxa"/>
                    <w:right w:w="120" w:type="dxa"/>
                  </w:tcMar>
                  <w:vAlign w:val="center"/>
                </w:tcPr>
                <w:p w14:paraId="64252D5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服务标准</w:t>
                  </w:r>
                </w:p>
              </w:tc>
            </w:tr>
            <w:tr w14:paraId="74DE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545" w:type="pct"/>
                  <w:vMerge w:val="restart"/>
                  <w:shd w:val="clear" w:color="auto" w:fill="auto"/>
                  <w:tcMar>
                    <w:top w:w="120" w:type="dxa"/>
                    <w:left w:w="120" w:type="dxa"/>
                    <w:bottom w:w="120" w:type="dxa"/>
                    <w:right w:w="120" w:type="dxa"/>
                  </w:tcMar>
                  <w:vAlign w:val="center"/>
                </w:tcPr>
                <w:p w14:paraId="52536E8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p w14:paraId="1BC5D2A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日常养护管理</w:t>
                  </w:r>
                </w:p>
              </w:tc>
              <w:tc>
                <w:tcPr>
                  <w:tcW w:w="955" w:type="pct"/>
                  <w:shd w:val="clear" w:color="auto" w:fill="auto"/>
                  <w:tcMar>
                    <w:top w:w="120" w:type="dxa"/>
                    <w:left w:w="120" w:type="dxa"/>
                    <w:bottom w:w="120" w:type="dxa"/>
                    <w:right w:w="120" w:type="dxa"/>
                  </w:tcMar>
                  <w:vAlign w:val="center"/>
                </w:tcPr>
                <w:p w14:paraId="0A6DD48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草坪养护</w:t>
                  </w:r>
                </w:p>
              </w:tc>
              <w:tc>
                <w:tcPr>
                  <w:tcW w:w="3498" w:type="pct"/>
                  <w:shd w:val="clear" w:color="auto" w:fill="auto"/>
                  <w:tcMar>
                    <w:top w:w="120" w:type="dxa"/>
                    <w:left w:w="120" w:type="dxa"/>
                    <w:bottom w:w="120" w:type="dxa"/>
                    <w:right w:w="120" w:type="dxa"/>
                  </w:tcMar>
                  <w:vAlign w:val="center"/>
                </w:tcPr>
                <w:p w14:paraId="26C72FA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春夏季（4-9月）每2周修剪1次，秋冬季（10-3月）每月修剪1次，高度控制在5-8cm；2. 每月浇水2-3次（根据天气调整），保持土壤湿润，无干旱枯萎；3. 杂草清除及时，杂草率≤5%，每年施肥2次，病虫害防治及时，防治率≥95%。</w:t>
                  </w:r>
                </w:p>
              </w:tc>
            </w:tr>
            <w:tr w14:paraId="5B606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545" w:type="pct"/>
                  <w:vMerge w:val="continue"/>
                  <w:shd w:val="clear" w:color="auto" w:fill="auto"/>
                  <w:tcMar>
                    <w:top w:w="120" w:type="dxa"/>
                    <w:left w:w="120" w:type="dxa"/>
                    <w:bottom w:w="120" w:type="dxa"/>
                    <w:right w:w="120" w:type="dxa"/>
                  </w:tcMar>
                  <w:vAlign w:val="center"/>
                </w:tcPr>
                <w:p w14:paraId="4DC797F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55" w:type="pct"/>
                  <w:shd w:val="clear" w:color="auto" w:fill="auto"/>
                  <w:tcMar>
                    <w:top w:w="120" w:type="dxa"/>
                    <w:left w:w="120" w:type="dxa"/>
                    <w:bottom w:w="120" w:type="dxa"/>
                    <w:right w:w="120" w:type="dxa"/>
                  </w:tcMar>
                  <w:vAlign w:val="center"/>
                </w:tcPr>
                <w:p w14:paraId="63E31D7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灌木及花卉养护</w:t>
                  </w:r>
                </w:p>
              </w:tc>
              <w:tc>
                <w:tcPr>
                  <w:tcW w:w="3498" w:type="pct"/>
                  <w:shd w:val="clear" w:color="auto" w:fill="auto"/>
                  <w:tcMar>
                    <w:top w:w="120" w:type="dxa"/>
                    <w:left w:w="120" w:type="dxa"/>
                    <w:bottom w:w="120" w:type="dxa"/>
                    <w:right w:w="120" w:type="dxa"/>
                  </w:tcMar>
                  <w:vAlign w:val="center"/>
                </w:tcPr>
                <w:p w14:paraId="644CA30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每季度修剪1次，保持造型美观，无徒长枝、病弱枝；2. 花期前后各施肥1次，浇水及时，花卉盛开率≥90%；3. 病虫害防治每月1次，发生后24小时内处理，植株完好率≥98%。</w:t>
                  </w:r>
                </w:p>
              </w:tc>
            </w:tr>
            <w:tr w14:paraId="2B4FC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545" w:type="pct"/>
                  <w:vMerge w:val="continue"/>
                  <w:shd w:val="clear" w:color="auto" w:fill="auto"/>
                  <w:tcMar>
                    <w:top w:w="120" w:type="dxa"/>
                    <w:left w:w="120" w:type="dxa"/>
                    <w:bottom w:w="120" w:type="dxa"/>
                    <w:right w:w="120" w:type="dxa"/>
                  </w:tcMar>
                  <w:vAlign w:val="center"/>
                </w:tcPr>
                <w:p w14:paraId="51DD27B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55" w:type="pct"/>
                  <w:shd w:val="clear" w:color="auto" w:fill="auto"/>
                  <w:tcMar>
                    <w:top w:w="120" w:type="dxa"/>
                    <w:left w:w="120" w:type="dxa"/>
                    <w:bottom w:w="120" w:type="dxa"/>
                    <w:right w:w="120" w:type="dxa"/>
                  </w:tcMar>
                  <w:vAlign w:val="center"/>
                </w:tcPr>
                <w:p w14:paraId="6E29374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乔木养护</w:t>
                  </w:r>
                </w:p>
              </w:tc>
              <w:tc>
                <w:tcPr>
                  <w:tcW w:w="3498" w:type="pct"/>
                  <w:shd w:val="clear" w:color="auto" w:fill="auto"/>
                  <w:tcMar>
                    <w:top w:w="120" w:type="dxa"/>
                    <w:left w:w="120" w:type="dxa"/>
                    <w:bottom w:w="120" w:type="dxa"/>
                    <w:right w:w="120" w:type="dxa"/>
                  </w:tcMar>
                  <w:vAlign w:val="center"/>
                </w:tcPr>
                <w:p w14:paraId="0E23404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每年冬季（11月）进行涂白、修剪，春季（4月）清理枯枝；2. 干旱季节每月浇水1次，施肥每年1次；3. 防风固沙，高大乔木设立支撑，无倒伏风险，病虫害防治率≥95%。</w:t>
                  </w:r>
                </w:p>
              </w:tc>
            </w:tr>
            <w:tr w14:paraId="2AEED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545" w:type="pct"/>
                  <w:vMerge w:val="continue"/>
                  <w:shd w:val="clear" w:color="auto" w:fill="auto"/>
                  <w:tcMar>
                    <w:top w:w="120" w:type="dxa"/>
                    <w:left w:w="120" w:type="dxa"/>
                    <w:bottom w:w="120" w:type="dxa"/>
                    <w:right w:w="120" w:type="dxa"/>
                  </w:tcMar>
                  <w:vAlign w:val="center"/>
                </w:tcPr>
                <w:p w14:paraId="6A1890E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55" w:type="pct"/>
                  <w:shd w:val="clear" w:color="auto" w:fill="auto"/>
                  <w:tcMar>
                    <w:top w:w="120" w:type="dxa"/>
                    <w:left w:w="120" w:type="dxa"/>
                    <w:bottom w:w="120" w:type="dxa"/>
                    <w:right w:w="120" w:type="dxa"/>
                  </w:tcMar>
                  <w:vAlign w:val="center"/>
                </w:tcPr>
                <w:p w14:paraId="0E5F69C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绿化设施及环境维护</w:t>
                  </w:r>
                </w:p>
              </w:tc>
              <w:tc>
                <w:tcPr>
                  <w:tcW w:w="3498" w:type="pct"/>
                  <w:shd w:val="clear" w:color="auto" w:fill="auto"/>
                  <w:tcMar>
                    <w:top w:w="120" w:type="dxa"/>
                    <w:left w:w="120" w:type="dxa"/>
                    <w:bottom w:w="120" w:type="dxa"/>
                    <w:right w:w="120" w:type="dxa"/>
                  </w:tcMar>
                  <w:vAlign w:val="center"/>
                </w:tcPr>
                <w:p w14:paraId="47D9B91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绿化区域内围栏、警示牌、灌溉设施完好率≥98%，损坏后24小时内修复；2. 及时清理绿化垃圾，做到“日产日清”，无堆积；3. 雨季及时排涝，避免植被积水烂根。</w:t>
                  </w:r>
                </w:p>
              </w:tc>
            </w:tr>
            <w:tr w14:paraId="21CE0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545" w:type="pct"/>
                  <w:vMerge w:val="restart"/>
                  <w:shd w:val="clear" w:color="auto" w:fill="auto"/>
                  <w:tcMar>
                    <w:top w:w="120" w:type="dxa"/>
                    <w:left w:w="120" w:type="dxa"/>
                    <w:bottom w:w="120" w:type="dxa"/>
                    <w:right w:w="120" w:type="dxa"/>
                  </w:tcMar>
                  <w:vAlign w:val="center"/>
                </w:tcPr>
                <w:p w14:paraId="3B7A1DB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p w14:paraId="0ADA82E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专项养护及应急处理</w:t>
                  </w:r>
                </w:p>
              </w:tc>
              <w:tc>
                <w:tcPr>
                  <w:tcW w:w="955" w:type="pct"/>
                  <w:shd w:val="clear" w:color="auto" w:fill="auto"/>
                  <w:tcMar>
                    <w:top w:w="120" w:type="dxa"/>
                    <w:left w:w="120" w:type="dxa"/>
                    <w:bottom w:w="120" w:type="dxa"/>
                    <w:right w:w="120" w:type="dxa"/>
                  </w:tcMar>
                  <w:vAlign w:val="center"/>
                </w:tcPr>
                <w:p w14:paraId="43EED0E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季节性养护</w:t>
                  </w:r>
                </w:p>
              </w:tc>
              <w:tc>
                <w:tcPr>
                  <w:tcW w:w="3498" w:type="pct"/>
                  <w:shd w:val="clear" w:color="auto" w:fill="auto"/>
                  <w:tcMar>
                    <w:top w:w="120" w:type="dxa"/>
                    <w:left w:w="120" w:type="dxa"/>
                    <w:bottom w:w="120" w:type="dxa"/>
                    <w:right w:w="120" w:type="dxa"/>
                  </w:tcMar>
                  <w:vAlign w:val="center"/>
                </w:tcPr>
                <w:p w14:paraId="3FA338F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冬季（11月-次年3月）对不耐寒植被进行包裹防寒，成活率≥98%；2. 春季（3-4月）完成植被补栽，补栽成活率≥95%；3. 秋季（9-10月）清理落叶，集中处理，无焚烧现象。</w:t>
                  </w:r>
                </w:p>
              </w:tc>
            </w:tr>
            <w:tr w14:paraId="0DE62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545" w:type="pct"/>
                  <w:vMerge w:val="continue"/>
                  <w:shd w:val="clear" w:color="auto" w:fill="auto"/>
                  <w:tcMar>
                    <w:top w:w="120" w:type="dxa"/>
                    <w:left w:w="120" w:type="dxa"/>
                    <w:bottom w:w="120" w:type="dxa"/>
                    <w:right w:w="120" w:type="dxa"/>
                  </w:tcMar>
                  <w:vAlign w:val="center"/>
                </w:tcPr>
                <w:p w14:paraId="2EE74F3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55" w:type="pct"/>
                  <w:shd w:val="clear" w:color="auto" w:fill="auto"/>
                  <w:tcMar>
                    <w:top w:w="120" w:type="dxa"/>
                    <w:left w:w="120" w:type="dxa"/>
                    <w:bottom w:w="120" w:type="dxa"/>
                    <w:right w:w="120" w:type="dxa"/>
                  </w:tcMar>
                  <w:vAlign w:val="center"/>
                </w:tcPr>
                <w:p w14:paraId="472D7C4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应急处理</w:t>
                  </w:r>
                </w:p>
              </w:tc>
              <w:tc>
                <w:tcPr>
                  <w:tcW w:w="3498" w:type="pct"/>
                  <w:shd w:val="clear" w:color="auto" w:fill="auto"/>
                  <w:tcMar>
                    <w:top w:w="120" w:type="dxa"/>
                    <w:left w:w="120" w:type="dxa"/>
                    <w:bottom w:w="120" w:type="dxa"/>
                    <w:right w:w="120" w:type="dxa"/>
                  </w:tcMar>
                  <w:vAlign w:val="center"/>
                </w:tcPr>
                <w:p w14:paraId="25C668A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遭遇大风、暴雨等极端天气后，2小时内赶赴现场清理倒伏植被、修复设施；2. 病虫害大规模爆发时，4小时内制定防治方案并实施，控制扩散。</w:t>
                  </w:r>
                </w:p>
              </w:tc>
            </w:tr>
          </w:tbl>
          <w:p w14:paraId="0661E0F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p>
          <w:p w14:paraId="44C9C43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（五）保洁服务</w:t>
            </w:r>
          </w:p>
          <w:tbl>
            <w:tblPr>
              <w:tblStyle w:val="6"/>
              <w:tblW w:w="4630"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09"/>
              <w:gridCol w:w="1424"/>
              <w:gridCol w:w="5348"/>
            </w:tblGrid>
            <w:tr w14:paraId="686E1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blHeader/>
              </w:trPr>
              <w:tc>
                <w:tcPr>
                  <w:tcW w:w="534" w:type="pct"/>
                  <w:shd w:val="clear" w:color="auto" w:fill="F2F3F5"/>
                  <w:tcMar>
                    <w:top w:w="120" w:type="dxa"/>
                    <w:left w:w="120" w:type="dxa"/>
                    <w:bottom w:w="120" w:type="dxa"/>
                    <w:right w:w="120" w:type="dxa"/>
                  </w:tcMar>
                  <w:vAlign w:val="center"/>
                </w:tcPr>
                <w:p w14:paraId="22B930A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939" w:type="pct"/>
                  <w:shd w:val="clear" w:color="auto" w:fill="F2F3F5"/>
                  <w:tcMar>
                    <w:top w:w="120" w:type="dxa"/>
                    <w:left w:w="120" w:type="dxa"/>
                    <w:bottom w:w="120" w:type="dxa"/>
                    <w:right w:w="120" w:type="dxa"/>
                  </w:tcMar>
                  <w:vAlign w:val="center"/>
                </w:tcPr>
                <w:p w14:paraId="2A34D81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服务内容</w:t>
                  </w:r>
                </w:p>
              </w:tc>
              <w:tc>
                <w:tcPr>
                  <w:tcW w:w="3526" w:type="pct"/>
                  <w:shd w:val="clear" w:color="auto" w:fill="F2F3F5"/>
                  <w:tcMar>
                    <w:top w:w="120" w:type="dxa"/>
                    <w:left w:w="120" w:type="dxa"/>
                    <w:bottom w:w="120" w:type="dxa"/>
                    <w:right w:w="120" w:type="dxa"/>
                  </w:tcMar>
                  <w:vAlign w:val="center"/>
                </w:tcPr>
                <w:p w14:paraId="508F2BB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服务标准</w:t>
                  </w:r>
                </w:p>
              </w:tc>
            </w:tr>
            <w:tr w14:paraId="1353D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534" w:type="pct"/>
                  <w:vMerge w:val="restart"/>
                  <w:shd w:val="clear" w:color="auto" w:fill="auto"/>
                  <w:tcMar>
                    <w:top w:w="120" w:type="dxa"/>
                    <w:left w:w="120" w:type="dxa"/>
                    <w:bottom w:w="120" w:type="dxa"/>
                    <w:right w:w="120" w:type="dxa"/>
                  </w:tcMar>
                  <w:vAlign w:val="center"/>
                </w:tcPr>
                <w:p w14:paraId="304697B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p w14:paraId="4F9E119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公共区域保洁</w:t>
                  </w:r>
                </w:p>
              </w:tc>
              <w:tc>
                <w:tcPr>
                  <w:tcW w:w="939" w:type="pct"/>
                  <w:shd w:val="clear" w:color="auto" w:fill="auto"/>
                  <w:tcMar>
                    <w:top w:w="120" w:type="dxa"/>
                    <w:left w:w="120" w:type="dxa"/>
                    <w:bottom w:w="120" w:type="dxa"/>
                    <w:right w:w="120" w:type="dxa"/>
                  </w:tcMar>
                  <w:vAlign w:val="center"/>
                </w:tcPr>
                <w:p w14:paraId="3C708A2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地面及走廊保洁</w:t>
                  </w:r>
                </w:p>
              </w:tc>
              <w:tc>
                <w:tcPr>
                  <w:tcW w:w="3526" w:type="pct"/>
                  <w:shd w:val="clear" w:color="auto" w:fill="auto"/>
                  <w:tcMar>
                    <w:top w:w="120" w:type="dxa"/>
                    <w:left w:w="120" w:type="dxa"/>
                    <w:bottom w:w="120" w:type="dxa"/>
                    <w:right w:w="120" w:type="dxa"/>
                  </w:tcMar>
                  <w:vAlign w:val="center"/>
                </w:tcPr>
                <w:p w14:paraId="5677DA8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教学楼、办公楼：每日清扫2次，拖拭1次，楼梯扶手每2小时擦拭1次，地面无垃圾、污渍、积水，光洁如新；2. 公共道路：每日清扫1次，重点区域（如校门口、食堂周边）每日清扫2次，果皮箱每2小时清理1次，无垃圾堆积；3. 卫生间：每1小时巡查清洁1次，做到无异味、无污垢、无积水，卫生纸、洗手液及时补充。</w:t>
                  </w:r>
                </w:p>
              </w:tc>
            </w:tr>
            <w:tr w14:paraId="135AB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534" w:type="pct"/>
                  <w:vMerge w:val="continue"/>
                  <w:shd w:val="clear" w:color="auto" w:fill="auto"/>
                  <w:tcMar>
                    <w:top w:w="120" w:type="dxa"/>
                    <w:left w:w="120" w:type="dxa"/>
                    <w:bottom w:w="120" w:type="dxa"/>
                    <w:right w:w="120" w:type="dxa"/>
                  </w:tcMar>
                  <w:vAlign w:val="center"/>
                </w:tcPr>
                <w:p w14:paraId="4B860D0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39" w:type="pct"/>
                  <w:shd w:val="clear" w:color="auto" w:fill="auto"/>
                  <w:tcMar>
                    <w:top w:w="120" w:type="dxa"/>
                    <w:left w:w="120" w:type="dxa"/>
                    <w:bottom w:w="120" w:type="dxa"/>
                    <w:right w:w="120" w:type="dxa"/>
                  </w:tcMar>
                  <w:vAlign w:val="center"/>
                </w:tcPr>
                <w:p w14:paraId="742987A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墙面及公共设施保洁</w:t>
                  </w:r>
                </w:p>
              </w:tc>
              <w:tc>
                <w:tcPr>
                  <w:tcW w:w="3526" w:type="pct"/>
                  <w:shd w:val="clear" w:color="auto" w:fill="auto"/>
                  <w:tcMar>
                    <w:top w:w="120" w:type="dxa"/>
                    <w:left w:w="120" w:type="dxa"/>
                    <w:bottom w:w="120" w:type="dxa"/>
                    <w:right w:w="120" w:type="dxa"/>
                  </w:tcMar>
                  <w:vAlign w:val="center"/>
                </w:tcPr>
                <w:p w14:paraId="76FF46A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墙面、天花板每月除尘1次，无蛛网、污渍，涂鸦、张贴物24小时内清除；2. 电梯轿厢：每日擦拭2次，消毒1次，镜面光亮，按键无污渍；3. 宣传栏、指示牌、座椅等每日擦拭1次，无灰尘、污垢。</w:t>
                  </w:r>
                </w:p>
              </w:tc>
            </w:tr>
            <w:tr w14:paraId="5EFD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534" w:type="pct"/>
                  <w:vMerge w:val="continue"/>
                  <w:shd w:val="clear" w:color="auto" w:fill="auto"/>
                  <w:tcMar>
                    <w:top w:w="120" w:type="dxa"/>
                    <w:left w:w="120" w:type="dxa"/>
                    <w:bottom w:w="120" w:type="dxa"/>
                    <w:right w:w="120" w:type="dxa"/>
                  </w:tcMar>
                  <w:vAlign w:val="center"/>
                </w:tcPr>
                <w:p w14:paraId="13D9442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39" w:type="pct"/>
                  <w:shd w:val="clear" w:color="auto" w:fill="auto"/>
                  <w:tcMar>
                    <w:top w:w="120" w:type="dxa"/>
                    <w:left w:w="120" w:type="dxa"/>
                    <w:bottom w:w="120" w:type="dxa"/>
                    <w:right w:w="120" w:type="dxa"/>
                  </w:tcMar>
                  <w:vAlign w:val="center"/>
                </w:tcPr>
                <w:p w14:paraId="452A84C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垃圾清运及处理</w:t>
                  </w:r>
                </w:p>
              </w:tc>
              <w:tc>
                <w:tcPr>
                  <w:tcW w:w="3526" w:type="pct"/>
                  <w:shd w:val="clear" w:color="auto" w:fill="auto"/>
                  <w:tcMar>
                    <w:top w:w="120" w:type="dxa"/>
                    <w:left w:w="120" w:type="dxa"/>
                    <w:bottom w:w="120" w:type="dxa"/>
                    <w:right w:w="120" w:type="dxa"/>
                  </w:tcMar>
                  <w:vAlign w:val="center"/>
                </w:tcPr>
                <w:p w14:paraId="13AD68D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实行垃圾分类管理，垃圾中转站每日清运2次，做到“日产日清”，无异味、无渗液；2. 垃圾桶、垃圾房每日清洗1次，每周消毒2次；3. 建筑垃圾单独堆放，及时联系清运，堆放时间不超过24小时。</w:t>
                  </w:r>
                </w:p>
              </w:tc>
            </w:tr>
            <w:tr w14:paraId="42419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534" w:type="pct"/>
                  <w:vMerge w:val="continue"/>
                  <w:shd w:val="clear" w:color="auto" w:fill="auto"/>
                  <w:tcMar>
                    <w:top w:w="120" w:type="dxa"/>
                    <w:left w:w="120" w:type="dxa"/>
                    <w:bottom w:w="120" w:type="dxa"/>
                    <w:right w:w="120" w:type="dxa"/>
                  </w:tcMar>
                  <w:vAlign w:val="center"/>
                </w:tcPr>
                <w:p w14:paraId="514DDB3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39" w:type="pct"/>
                  <w:shd w:val="clear" w:color="auto" w:fill="auto"/>
                  <w:tcMar>
                    <w:top w:w="120" w:type="dxa"/>
                    <w:left w:w="120" w:type="dxa"/>
                    <w:bottom w:w="120" w:type="dxa"/>
                    <w:right w:w="120" w:type="dxa"/>
                  </w:tcMar>
                  <w:vAlign w:val="center"/>
                </w:tcPr>
                <w:p w14:paraId="0C6913C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专项清洁</w:t>
                  </w:r>
                </w:p>
              </w:tc>
              <w:tc>
                <w:tcPr>
                  <w:tcW w:w="3526" w:type="pct"/>
                  <w:shd w:val="clear" w:color="auto" w:fill="auto"/>
                  <w:tcMar>
                    <w:top w:w="120" w:type="dxa"/>
                    <w:left w:w="120" w:type="dxa"/>
                    <w:bottom w:w="120" w:type="dxa"/>
                    <w:right w:w="120" w:type="dxa"/>
                  </w:tcMar>
                  <w:vAlign w:val="center"/>
                </w:tcPr>
                <w:p w14:paraId="5D4F3D0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每周进行1次公共区域全面消毒（含教室、会议室、卫生间），疫情等特殊时期按招标人要求增加频次；2. 每月对下水道、排水沟进行1次疏通，避免堵塞；3. 雨雪天气及时清扫道路、楼梯积雪积冰，铺设防滑垫，设立警示标识。</w:t>
                  </w:r>
                </w:p>
              </w:tc>
            </w:tr>
            <w:tr w14:paraId="4AA0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534" w:type="pct"/>
                  <w:vMerge w:val="restart"/>
                  <w:shd w:val="clear" w:color="auto" w:fill="auto"/>
                  <w:tcMar>
                    <w:top w:w="120" w:type="dxa"/>
                    <w:left w:w="120" w:type="dxa"/>
                    <w:bottom w:w="120" w:type="dxa"/>
                    <w:right w:w="120" w:type="dxa"/>
                  </w:tcMar>
                  <w:vAlign w:val="center"/>
                </w:tcPr>
                <w:p w14:paraId="07C1910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p w14:paraId="2982225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特殊区域保洁</w:t>
                  </w:r>
                </w:p>
              </w:tc>
              <w:tc>
                <w:tcPr>
                  <w:tcW w:w="939" w:type="pct"/>
                  <w:shd w:val="clear" w:color="auto" w:fill="auto"/>
                  <w:tcMar>
                    <w:top w:w="120" w:type="dxa"/>
                    <w:left w:w="120" w:type="dxa"/>
                    <w:bottom w:w="120" w:type="dxa"/>
                    <w:right w:w="120" w:type="dxa"/>
                  </w:tcMar>
                  <w:vAlign w:val="center"/>
                </w:tcPr>
                <w:p w14:paraId="6FB074B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教学科研区域保洁</w:t>
                  </w:r>
                </w:p>
              </w:tc>
              <w:tc>
                <w:tcPr>
                  <w:tcW w:w="3526" w:type="pct"/>
                  <w:shd w:val="clear" w:color="auto" w:fill="auto"/>
                  <w:tcMar>
                    <w:top w:w="120" w:type="dxa"/>
                    <w:left w:w="120" w:type="dxa"/>
                    <w:bottom w:w="120" w:type="dxa"/>
                    <w:right w:w="120" w:type="dxa"/>
                  </w:tcMar>
                  <w:vAlign w:val="center"/>
                </w:tcPr>
                <w:p w14:paraId="4A3DFFB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教室：课后30分钟内清理完毕，桌面无杂物、粉笔灰，黑板擦拭干净，座椅摆放整齐；2. 实验室、琴房等特殊场所：按招标人要求进行清洁，避免损坏设备，清洁工具专用，防止交叉污染。</w:t>
                  </w:r>
                </w:p>
              </w:tc>
            </w:tr>
            <w:tr w14:paraId="14CA0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534" w:type="pct"/>
                  <w:vMerge w:val="continue"/>
                  <w:shd w:val="clear" w:color="auto" w:fill="auto"/>
                  <w:tcMar>
                    <w:top w:w="120" w:type="dxa"/>
                    <w:left w:w="120" w:type="dxa"/>
                    <w:bottom w:w="120" w:type="dxa"/>
                    <w:right w:w="120" w:type="dxa"/>
                  </w:tcMar>
                  <w:vAlign w:val="center"/>
                </w:tcPr>
                <w:p w14:paraId="4ED166D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39" w:type="pct"/>
                  <w:shd w:val="clear" w:color="auto" w:fill="auto"/>
                  <w:tcMar>
                    <w:top w:w="120" w:type="dxa"/>
                    <w:left w:w="120" w:type="dxa"/>
                    <w:bottom w:w="120" w:type="dxa"/>
                    <w:right w:w="120" w:type="dxa"/>
                  </w:tcMar>
                  <w:vAlign w:val="center"/>
                </w:tcPr>
                <w:p w14:paraId="44FD40E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公寓及餐厅周边保洁</w:t>
                  </w:r>
                </w:p>
              </w:tc>
              <w:tc>
                <w:tcPr>
                  <w:tcW w:w="3526" w:type="pct"/>
                  <w:shd w:val="clear" w:color="auto" w:fill="auto"/>
                  <w:tcMar>
                    <w:top w:w="120" w:type="dxa"/>
                    <w:left w:w="120" w:type="dxa"/>
                    <w:bottom w:w="120" w:type="dxa"/>
                    <w:right w:w="120" w:type="dxa"/>
                  </w:tcMar>
                  <w:vAlign w:val="center"/>
                </w:tcPr>
                <w:p w14:paraId="12C84E7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学生公寓楼道每日清扫1次，楼梯扶手每日擦拭1次，公共洗衣房、活动室每日清洁1次；2. 餐厅周边：每日清扫3次，餐后1小时内清理完毕，无食物残渣、油污，排水沟每日疏通1次。</w:t>
                  </w:r>
                </w:p>
              </w:tc>
            </w:tr>
            <w:tr w14:paraId="4488A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534" w:type="pct"/>
                  <w:shd w:val="clear" w:color="auto" w:fill="auto"/>
                  <w:tcMar>
                    <w:top w:w="120" w:type="dxa"/>
                    <w:left w:w="120" w:type="dxa"/>
                    <w:bottom w:w="120" w:type="dxa"/>
                    <w:right w:w="120" w:type="dxa"/>
                  </w:tcMar>
                  <w:vAlign w:val="center"/>
                </w:tcPr>
                <w:p w14:paraId="4D84000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p w14:paraId="4E41D5D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楼宇保洁服务</w:t>
                  </w:r>
                </w:p>
              </w:tc>
              <w:tc>
                <w:tcPr>
                  <w:tcW w:w="939" w:type="pct"/>
                  <w:shd w:val="clear" w:color="auto" w:fill="auto"/>
                  <w:tcMar>
                    <w:top w:w="120" w:type="dxa"/>
                    <w:left w:w="120" w:type="dxa"/>
                    <w:bottom w:w="120" w:type="dxa"/>
                    <w:right w:w="120" w:type="dxa"/>
                  </w:tcMar>
                  <w:vAlign w:val="center"/>
                </w:tcPr>
                <w:p w14:paraId="66CC79A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楼宇保洁</w:t>
                  </w:r>
                </w:p>
              </w:tc>
              <w:tc>
                <w:tcPr>
                  <w:tcW w:w="3526" w:type="pct"/>
                  <w:shd w:val="clear" w:color="auto" w:fill="auto"/>
                  <w:tcMar>
                    <w:top w:w="120" w:type="dxa"/>
                    <w:left w:w="120" w:type="dxa"/>
                    <w:bottom w:w="120" w:type="dxa"/>
                    <w:right w:w="120" w:type="dxa"/>
                  </w:tcMar>
                  <w:vAlign w:val="center"/>
                </w:tcPr>
                <w:p w14:paraId="48E5549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负责楼宇内卫生的清扫、垃圾清运，每天至少清扫2次，并全天保持楼宇内卫生整洁、空气清新。2．楼宇大厅、公共区域、学术报告厅、音乐厅、接待室、会议室、篮球馆等场所：（1）地面、桌面（2）学术报告厅和会议室的讲台、黑板，（3）护栏、扶手，（4）墙壁、踢脚线、柱子，（5）垃圾箱、指示牌、安全出口、开关面板，（6）消防设备（含消防栓、灭火器、手动报警装置、火灾显示器、烟感器），（7）玻璃门窗、窗台，（8）木门、防火门、强弱电井门，（9）暖气片、水管，（10）天花板、吊顶，（11）照明灯具等，以上各公共区域必须做到光亮、无尘、无弃物，无污迹、无脱落。3．各楼层步梯间的（1）地面，（2）护栏、扶手，（3）墙壁、踢脚线，（4）指示牌、安全出口、灯具、开关面板，（5）防火门（6）玻璃窗户、窗台，（7）暖气片、水管等，以上公共区域必须做到光亮、无尘、无污迹、洁净、无弃。4．卫生间、开水间、储物间的（1）地面，（2）墙壁，（3）洗手池、台面、水龙头、镜子，（4）厕间隔板、脚踏阀，（5）垃圾桶，（6）玻璃窗户、窗台，（7）暖气片、水管，（8）大便池、小便池、墩布池，（9）木门、金属件，（10）开水器、饮水机，（11）天花板、照明灯具、排风扇等，以上公共区域必须做到无尘、光亮、无弃物、无污迹。5．梯间的（1）电梯轿厢内地面、轿厢壁、门、按键盘、轿厢顶、制度牌、照明灯具（2）电梯轿厢外各层电梯门、按键盘、指示牌、电梯槽，（3）轿厢壁（清洗上不锈钢保护油）1次/月。以上区域必须做到（洁净、光亮、无尘、无污渍）6．地下一层、阳台、楼顶、楼体周围环境卫生：（1）地面、墙面、指示牌，（2）消防设备、管道、设备间，（3）木门、防火门，（4）步梯间、电梯间及走廊，（5）楼体周围环境包括：台阶外1米、洒水外1米、台阶扶手、护栏、采光井玻璃，（6）阳台、楼顶、平台、天井等，以上公共区域必须做到无垃圾，干净，整洁、无污迹、无弃物、无杂草。7．捡拾遗失物品应登记备案、完好交还失主；发现火情、治安事件、嫌疑人员、可疑现象、水暖跑冒、燃气泄漏等紧急情况，应及时上报并协助处理。</w:t>
                  </w:r>
                </w:p>
              </w:tc>
            </w:tr>
            <w:tr w14:paraId="1F6B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534" w:type="pct"/>
                  <w:shd w:val="clear" w:color="auto" w:fill="auto"/>
                  <w:tcMar>
                    <w:top w:w="120" w:type="dxa"/>
                    <w:left w:w="120" w:type="dxa"/>
                    <w:bottom w:w="120" w:type="dxa"/>
                    <w:right w:w="120" w:type="dxa"/>
                  </w:tcMar>
                  <w:vAlign w:val="center"/>
                </w:tcPr>
                <w:p w14:paraId="5FE3728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p w14:paraId="6D05A38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室外保洁服务</w:t>
                  </w:r>
                </w:p>
              </w:tc>
              <w:tc>
                <w:tcPr>
                  <w:tcW w:w="939" w:type="pct"/>
                  <w:shd w:val="clear" w:color="auto" w:fill="auto"/>
                  <w:tcMar>
                    <w:top w:w="120" w:type="dxa"/>
                    <w:left w:w="120" w:type="dxa"/>
                    <w:bottom w:w="120" w:type="dxa"/>
                    <w:right w:w="120" w:type="dxa"/>
                  </w:tcMar>
                  <w:vAlign w:val="center"/>
                </w:tcPr>
                <w:p w14:paraId="6F84A5B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室外保洁</w:t>
                  </w:r>
                </w:p>
              </w:tc>
              <w:tc>
                <w:tcPr>
                  <w:tcW w:w="3526" w:type="pct"/>
                  <w:shd w:val="clear" w:color="auto" w:fill="auto"/>
                  <w:tcMar>
                    <w:top w:w="120" w:type="dxa"/>
                    <w:left w:w="120" w:type="dxa"/>
                    <w:bottom w:w="120" w:type="dxa"/>
                    <w:right w:w="120" w:type="dxa"/>
                  </w:tcMar>
                  <w:vAlign w:val="center"/>
                </w:tcPr>
                <w:p w14:paraId="40DE6A2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负责校园内卫生的清扫、垃圾清运，每天至少清扫2次，并全天保持整洁，楼宇内无老鼠、蟑螂、蚊、虫等。2．地面、路面机械化作业率85%以上，合理安排清扫时间，作业过程中应控制扬尘和噪音污染，对于浮尘污染严重的路面应采取有效措施控制浮尘并进行彻底清扫。3．保证责任区内桌、凳（椅）干净整洁、无污物，宣传广告栏、标识牌等干净整洁。每天必须在规定的时间内将责任区清扫干净，同时还必须坚持日常7小时巡视保洁工作。4．保证责任区内地面干净整洁、人行道无杂草，草坪无垃圾、无白色污染、果皮箱外表整洁、辖区内无小招贴小广告。校园内、各楼内卫生间门帘及公共区域标识醒目、设计优雅、安排合理、质地优良。5．负责校园的文化设施设备的管理，营造良好的校园文化氛围，包含对学校各类校 园文化装饰物、标牌按时进行清洗及维护。6．每学期各楼宇的外墙和玻璃进行一次彻底清洗、深度清洁；楼宇二层以下的外墙玻璃时刻保持洁净。</w:t>
                  </w:r>
                </w:p>
                <w:p w14:paraId="0023692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7．清扫的杂物垃圾必须运到指定的垃圾场，严禁任意乱倒，并负责做好树叶、树枝等堆放场地的消防安全。负责校园内各类杂物的清理、生活垃圾的二次转运。8．及时清扫道路积水；冬季，以雪为令，雪停24小时内完成校园内主干道路、主要人行通道的清扫，并做好台阶坡道的防滑工作。</w:t>
                  </w:r>
                </w:p>
              </w:tc>
            </w:tr>
          </w:tbl>
          <w:p w14:paraId="67F7154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（六）会议服务</w:t>
            </w:r>
          </w:p>
          <w:tbl>
            <w:tblPr>
              <w:tblStyle w:val="6"/>
              <w:tblW w:w="4686"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33"/>
              <w:gridCol w:w="1428"/>
              <w:gridCol w:w="5412"/>
            </w:tblGrid>
            <w:tr w14:paraId="2DB62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blHeader/>
              </w:trPr>
              <w:tc>
                <w:tcPr>
                  <w:tcW w:w="833" w:type="dxa"/>
                  <w:shd w:val="clear" w:color="auto" w:fill="F2F3F5"/>
                  <w:tcMar>
                    <w:top w:w="120" w:type="dxa"/>
                    <w:left w:w="120" w:type="dxa"/>
                    <w:bottom w:w="120" w:type="dxa"/>
                    <w:right w:w="120" w:type="dxa"/>
                  </w:tcMar>
                  <w:vAlign w:val="center"/>
                </w:tcPr>
                <w:p w14:paraId="7DF6898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1428" w:type="dxa"/>
                  <w:shd w:val="clear" w:color="auto" w:fill="F2F3F5"/>
                  <w:tcMar>
                    <w:top w:w="120" w:type="dxa"/>
                    <w:left w:w="120" w:type="dxa"/>
                    <w:bottom w:w="120" w:type="dxa"/>
                    <w:right w:w="120" w:type="dxa"/>
                  </w:tcMar>
                  <w:vAlign w:val="center"/>
                </w:tcPr>
                <w:p w14:paraId="0FB48F0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服务内容</w:t>
                  </w:r>
                </w:p>
              </w:tc>
              <w:tc>
                <w:tcPr>
                  <w:tcW w:w="5413" w:type="dxa"/>
                  <w:shd w:val="clear" w:color="auto" w:fill="F2F3F5"/>
                  <w:tcMar>
                    <w:top w:w="120" w:type="dxa"/>
                    <w:left w:w="120" w:type="dxa"/>
                    <w:bottom w:w="120" w:type="dxa"/>
                    <w:right w:w="120" w:type="dxa"/>
                  </w:tcMar>
                  <w:vAlign w:val="center"/>
                </w:tcPr>
                <w:p w14:paraId="01B8A7F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服务标准</w:t>
                  </w:r>
                </w:p>
              </w:tc>
            </w:tr>
            <w:tr w14:paraId="78A20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833" w:type="dxa"/>
                  <w:vMerge w:val="restart"/>
                  <w:shd w:val="clear" w:color="auto" w:fill="auto"/>
                  <w:tcMar>
                    <w:top w:w="120" w:type="dxa"/>
                    <w:left w:w="120" w:type="dxa"/>
                    <w:bottom w:w="120" w:type="dxa"/>
                    <w:right w:w="120" w:type="dxa"/>
                  </w:tcMar>
                  <w:vAlign w:val="center"/>
                </w:tcPr>
                <w:p w14:paraId="0C03C53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1、会前筹备服务</w:t>
                  </w:r>
                </w:p>
              </w:tc>
              <w:tc>
                <w:tcPr>
                  <w:tcW w:w="1428" w:type="dxa"/>
                  <w:shd w:val="clear" w:color="auto" w:fill="auto"/>
                  <w:tcMar>
                    <w:top w:w="120" w:type="dxa"/>
                    <w:left w:w="120" w:type="dxa"/>
                    <w:bottom w:w="120" w:type="dxa"/>
                    <w:right w:w="120" w:type="dxa"/>
                  </w:tcMar>
                  <w:vAlign w:val="center"/>
                </w:tcPr>
                <w:p w14:paraId="62FF664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会议场地布置</w:t>
                  </w:r>
                </w:p>
              </w:tc>
              <w:tc>
                <w:tcPr>
                  <w:tcW w:w="5413" w:type="dxa"/>
                  <w:shd w:val="clear" w:color="auto" w:fill="auto"/>
                  <w:tcMar>
                    <w:top w:w="120" w:type="dxa"/>
                    <w:left w:w="120" w:type="dxa"/>
                    <w:bottom w:w="120" w:type="dxa"/>
                    <w:right w:w="120" w:type="dxa"/>
                  </w:tcMar>
                  <w:vAlign w:val="center"/>
                </w:tcPr>
                <w:p w14:paraId="1F1CFB4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按会议要求提前2小时完成场地布置，包括桌椅摆放（误差≤2cm）、台签制作摆放（准确无误）、横幅悬挂（平整牢固）；2. 调试音响、投影、灯光等设备，确保音质清晰、画面稳定、灯光适宜；3. 准备纸笔、饮用水、茶歇等物资，摆放整齐，数量充足（比参会人数多10%）。</w:t>
                  </w:r>
                </w:p>
              </w:tc>
            </w:tr>
            <w:tr w14:paraId="6106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833" w:type="dxa"/>
                  <w:vMerge w:val="continue"/>
                  <w:shd w:val="clear" w:color="auto" w:fill="auto"/>
                  <w:tcMar>
                    <w:top w:w="120" w:type="dxa"/>
                    <w:left w:w="120" w:type="dxa"/>
                    <w:bottom w:w="120" w:type="dxa"/>
                    <w:right w:w="120" w:type="dxa"/>
                  </w:tcMar>
                  <w:vAlign w:val="center"/>
                </w:tcPr>
                <w:p w14:paraId="171DF9D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1428" w:type="dxa"/>
                  <w:shd w:val="clear" w:color="auto" w:fill="auto"/>
                  <w:tcMar>
                    <w:top w:w="120" w:type="dxa"/>
                    <w:left w:w="120" w:type="dxa"/>
                    <w:bottom w:w="120" w:type="dxa"/>
                    <w:right w:w="120" w:type="dxa"/>
                  </w:tcMar>
                  <w:vAlign w:val="center"/>
                </w:tcPr>
                <w:p w14:paraId="5131C38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人员接待准备</w:t>
                  </w:r>
                </w:p>
              </w:tc>
              <w:tc>
                <w:tcPr>
                  <w:tcW w:w="5413" w:type="dxa"/>
                  <w:shd w:val="clear" w:color="auto" w:fill="auto"/>
                  <w:tcMar>
                    <w:top w:w="120" w:type="dxa"/>
                    <w:left w:w="120" w:type="dxa"/>
                    <w:bottom w:w="120" w:type="dxa"/>
                    <w:right w:w="120" w:type="dxa"/>
                  </w:tcMar>
                  <w:vAlign w:val="center"/>
                </w:tcPr>
                <w:p w14:paraId="269F7C6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重要会议安排礼仪人员，提前30分钟到岗，熟悉参会人员信息；2. 准备引导标识，明确会议地点、卫生间等位置；3. 协助招标人完成参会人员签到、资料分发工作，资料分发准确率100%。</w:t>
                  </w:r>
                </w:p>
              </w:tc>
            </w:tr>
            <w:tr w14:paraId="338B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833" w:type="dxa"/>
                  <w:vMerge w:val="continue"/>
                  <w:shd w:val="clear" w:color="auto" w:fill="auto"/>
                  <w:tcMar>
                    <w:top w:w="120" w:type="dxa"/>
                    <w:left w:w="120" w:type="dxa"/>
                    <w:bottom w:w="120" w:type="dxa"/>
                    <w:right w:w="120" w:type="dxa"/>
                  </w:tcMar>
                  <w:vAlign w:val="center"/>
                </w:tcPr>
                <w:p w14:paraId="2D3FEE3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1428" w:type="dxa"/>
                  <w:shd w:val="clear" w:color="auto" w:fill="auto"/>
                  <w:tcMar>
                    <w:top w:w="120" w:type="dxa"/>
                    <w:left w:w="120" w:type="dxa"/>
                    <w:bottom w:w="120" w:type="dxa"/>
                    <w:right w:w="120" w:type="dxa"/>
                  </w:tcMar>
                  <w:vAlign w:val="center"/>
                </w:tcPr>
                <w:p w14:paraId="31EF664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应急物资准备</w:t>
                  </w:r>
                </w:p>
              </w:tc>
              <w:tc>
                <w:tcPr>
                  <w:tcW w:w="5413" w:type="dxa"/>
                  <w:shd w:val="clear" w:color="auto" w:fill="auto"/>
                  <w:tcMar>
                    <w:top w:w="120" w:type="dxa"/>
                    <w:left w:w="120" w:type="dxa"/>
                    <w:bottom w:w="120" w:type="dxa"/>
                    <w:right w:w="120" w:type="dxa"/>
                  </w:tcMar>
                  <w:vAlign w:val="center"/>
                </w:tcPr>
                <w:p w14:paraId="6441BA5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配备备用麦克风、电池、投影线缆等设备，以及急救包、纸巾等物资；2. 提前检查消防设施，确保通道畅通，制定设备故障应急预案。</w:t>
                  </w:r>
                </w:p>
              </w:tc>
            </w:tr>
            <w:tr w14:paraId="2E83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833" w:type="dxa"/>
                  <w:vMerge w:val="restart"/>
                  <w:shd w:val="clear" w:color="auto" w:fill="auto"/>
                  <w:tcMar>
                    <w:top w:w="120" w:type="dxa"/>
                    <w:left w:w="120" w:type="dxa"/>
                    <w:bottom w:w="120" w:type="dxa"/>
                    <w:right w:w="120" w:type="dxa"/>
                  </w:tcMar>
                  <w:vAlign w:val="center"/>
                </w:tcPr>
                <w:p w14:paraId="51795F9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2、会中服务</w:t>
                  </w:r>
                </w:p>
              </w:tc>
              <w:tc>
                <w:tcPr>
                  <w:tcW w:w="1428" w:type="dxa"/>
                  <w:shd w:val="clear" w:color="auto" w:fill="auto"/>
                  <w:tcMar>
                    <w:top w:w="120" w:type="dxa"/>
                    <w:left w:w="120" w:type="dxa"/>
                    <w:bottom w:w="120" w:type="dxa"/>
                    <w:right w:w="120" w:type="dxa"/>
                  </w:tcMar>
                  <w:vAlign w:val="center"/>
                </w:tcPr>
                <w:p w14:paraId="57CAA02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现场服务保障</w:t>
                  </w:r>
                </w:p>
              </w:tc>
              <w:tc>
                <w:tcPr>
                  <w:tcW w:w="5413" w:type="dxa"/>
                  <w:shd w:val="clear" w:color="auto" w:fill="auto"/>
                  <w:tcMar>
                    <w:top w:w="120" w:type="dxa"/>
                    <w:left w:w="120" w:type="dxa"/>
                    <w:bottom w:w="120" w:type="dxa"/>
                    <w:right w:w="120" w:type="dxa"/>
                  </w:tcMar>
                  <w:vAlign w:val="center"/>
                </w:tcPr>
                <w:p w14:paraId="6C74277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会议期间安排专人全程值守，随时响应需求，服务人员着装统一、举止得体；2. 每30分钟巡查1次茶歇区，及时补充物资，清理垃圾；3. 设备出现故障时，响应时间≤5分钟，一般故障修复≤10分钟。</w:t>
                  </w:r>
                </w:p>
              </w:tc>
            </w:tr>
            <w:tr w14:paraId="4EC61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833" w:type="dxa"/>
                  <w:vMerge w:val="continue"/>
                  <w:shd w:val="clear" w:color="auto" w:fill="auto"/>
                  <w:tcMar>
                    <w:top w:w="120" w:type="dxa"/>
                    <w:left w:w="120" w:type="dxa"/>
                    <w:bottom w:w="120" w:type="dxa"/>
                    <w:right w:w="120" w:type="dxa"/>
                  </w:tcMar>
                  <w:vAlign w:val="center"/>
                </w:tcPr>
                <w:p w14:paraId="0E928EA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1428" w:type="dxa"/>
                  <w:shd w:val="clear" w:color="auto" w:fill="auto"/>
                  <w:tcMar>
                    <w:top w:w="120" w:type="dxa"/>
                    <w:left w:w="120" w:type="dxa"/>
                    <w:bottom w:w="120" w:type="dxa"/>
                    <w:right w:w="120" w:type="dxa"/>
                  </w:tcMar>
                  <w:vAlign w:val="center"/>
                </w:tcPr>
                <w:p w14:paraId="340850F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临时需求处理</w:t>
                  </w:r>
                </w:p>
              </w:tc>
              <w:tc>
                <w:tcPr>
                  <w:tcW w:w="5413" w:type="dxa"/>
                  <w:shd w:val="clear" w:color="auto" w:fill="auto"/>
                  <w:tcMar>
                    <w:top w:w="120" w:type="dxa"/>
                    <w:left w:w="120" w:type="dxa"/>
                    <w:bottom w:w="120" w:type="dxa"/>
                    <w:right w:w="120" w:type="dxa"/>
                  </w:tcMar>
                  <w:vAlign w:val="center"/>
                </w:tcPr>
                <w:p w14:paraId="41B423E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及时处理参会人员提出的临时需求（如增加座椅、调整温度等），处理响应时间≤3分钟；2. 协助做好会议记录、拍照等辅助工作（按招标人要求）。</w:t>
                  </w:r>
                </w:p>
              </w:tc>
            </w:tr>
            <w:tr w14:paraId="6532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833" w:type="dxa"/>
                  <w:vMerge w:val="restart"/>
                  <w:shd w:val="clear" w:color="auto" w:fill="auto"/>
                  <w:tcMar>
                    <w:top w:w="120" w:type="dxa"/>
                    <w:left w:w="120" w:type="dxa"/>
                    <w:bottom w:w="120" w:type="dxa"/>
                    <w:right w:w="120" w:type="dxa"/>
                  </w:tcMar>
                  <w:vAlign w:val="center"/>
                </w:tcPr>
                <w:p w14:paraId="5D1C529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3、会后服务</w:t>
                  </w:r>
                </w:p>
              </w:tc>
              <w:tc>
                <w:tcPr>
                  <w:tcW w:w="1428" w:type="dxa"/>
                  <w:shd w:val="clear" w:color="auto" w:fill="auto"/>
                  <w:tcMar>
                    <w:top w:w="120" w:type="dxa"/>
                    <w:left w:w="120" w:type="dxa"/>
                    <w:bottom w:w="120" w:type="dxa"/>
                    <w:right w:w="120" w:type="dxa"/>
                  </w:tcMar>
                  <w:vAlign w:val="center"/>
                </w:tcPr>
                <w:p w14:paraId="65EF0DF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场地清理与物资回收</w:t>
                  </w:r>
                </w:p>
              </w:tc>
              <w:tc>
                <w:tcPr>
                  <w:tcW w:w="5413" w:type="dxa"/>
                  <w:shd w:val="clear" w:color="auto" w:fill="auto"/>
                  <w:tcMar>
                    <w:top w:w="120" w:type="dxa"/>
                    <w:left w:w="120" w:type="dxa"/>
                    <w:bottom w:w="120" w:type="dxa"/>
                    <w:right w:w="120" w:type="dxa"/>
                  </w:tcMar>
                  <w:vAlign w:val="center"/>
                </w:tcPr>
                <w:p w14:paraId="4D52366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会议结束后30分钟内完成场地清理，桌椅归位，垃圾清运，地面、桌面无杂物；2. 回收剩余物资、设备，分类整理，妥善保管，丢失损坏率为0；3. 关闭设备电源、门窗，做好安全检查。</w:t>
                  </w:r>
                </w:p>
              </w:tc>
            </w:tr>
            <w:tr w14:paraId="74BFE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4" w:hRule="atLeast"/>
              </w:trPr>
              <w:tc>
                <w:tcPr>
                  <w:tcW w:w="833" w:type="dxa"/>
                  <w:vMerge w:val="continue"/>
                  <w:shd w:val="clear" w:color="auto" w:fill="auto"/>
                  <w:tcMar>
                    <w:top w:w="120" w:type="dxa"/>
                    <w:left w:w="120" w:type="dxa"/>
                    <w:bottom w:w="120" w:type="dxa"/>
                    <w:right w:w="120" w:type="dxa"/>
                  </w:tcMar>
                  <w:vAlign w:val="center"/>
                </w:tcPr>
                <w:p w14:paraId="4017D6F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1428" w:type="dxa"/>
                  <w:shd w:val="clear" w:color="auto" w:fill="auto"/>
                  <w:tcMar>
                    <w:top w:w="120" w:type="dxa"/>
                    <w:left w:w="120" w:type="dxa"/>
                    <w:bottom w:w="120" w:type="dxa"/>
                    <w:right w:w="120" w:type="dxa"/>
                  </w:tcMar>
                  <w:vAlign w:val="center"/>
                </w:tcPr>
                <w:p w14:paraId="417D0D9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服务总结与反馈</w:t>
                  </w:r>
                </w:p>
              </w:tc>
              <w:tc>
                <w:tcPr>
                  <w:tcW w:w="5413" w:type="dxa"/>
                  <w:shd w:val="clear" w:color="auto" w:fill="auto"/>
                  <w:tcMar>
                    <w:top w:w="120" w:type="dxa"/>
                    <w:left w:w="120" w:type="dxa"/>
                    <w:bottom w:w="120" w:type="dxa"/>
                    <w:right w:w="120" w:type="dxa"/>
                  </w:tcMar>
                  <w:vAlign w:val="center"/>
                </w:tcPr>
                <w:p w14:paraId="067518D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每次会议后提交服务总结，记录会议基本情况、服务过程及问题处理情况；2. 收集参会人员及招标人意见，及时改进服务。</w:t>
                  </w:r>
                </w:p>
              </w:tc>
            </w:tr>
          </w:tbl>
          <w:p w14:paraId="6327324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（七）餐厅管理服务</w:t>
            </w:r>
          </w:p>
          <w:tbl>
            <w:tblPr>
              <w:tblStyle w:val="6"/>
              <w:tblW w:w="44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55"/>
              <w:gridCol w:w="1413"/>
              <w:gridCol w:w="4938"/>
            </w:tblGrid>
            <w:tr w14:paraId="3E00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blHeader/>
              </w:trPr>
              <w:tc>
                <w:tcPr>
                  <w:tcW w:w="593" w:type="pct"/>
                  <w:shd w:val="clear" w:color="auto" w:fill="F2F3F5"/>
                  <w:tcMar>
                    <w:top w:w="120" w:type="dxa"/>
                    <w:left w:w="120" w:type="dxa"/>
                    <w:bottom w:w="120" w:type="dxa"/>
                    <w:right w:w="120" w:type="dxa"/>
                  </w:tcMar>
                  <w:vAlign w:val="center"/>
                </w:tcPr>
                <w:p w14:paraId="7897CC2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980" w:type="pct"/>
                  <w:shd w:val="clear" w:color="auto" w:fill="F2F3F5"/>
                  <w:tcMar>
                    <w:top w:w="120" w:type="dxa"/>
                    <w:left w:w="120" w:type="dxa"/>
                    <w:bottom w:w="120" w:type="dxa"/>
                    <w:right w:w="120" w:type="dxa"/>
                  </w:tcMar>
                  <w:vAlign w:val="center"/>
                </w:tcPr>
                <w:p w14:paraId="2FBC2B4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服务内容</w:t>
                  </w:r>
                </w:p>
              </w:tc>
              <w:tc>
                <w:tcPr>
                  <w:tcW w:w="3426" w:type="pct"/>
                  <w:shd w:val="clear" w:color="auto" w:fill="F2F3F5"/>
                  <w:tcMar>
                    <w:top w:w="120" w:type="dxa"/>
                    <w:left w:w="120" w:type="dxa"/>
                    <w:bottom w:w="120" w:type="dxa"/>
                    <w:right w:w="120" w:type="dxa"/>
                  </w:tcMar>
                  <w:vAlign w:val="center"/>
                </w:tcPr>
                <w:p w14:paraId="78DB21C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服务标准</w:t>
                  </w:r>
                </w:p>
              </w:tc>
            </w:tr>
            <w:tr w14:paraId="34F3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593" w:type="pct"/>
                  <w:vMerge w:val="restart"/>
                  <w:shd w:val="clear" w:color="auto" w:fill="auto"/>
                  <w:tcMar>
                    <w:top w:w="120" w:type="dxa"/>
                    <w:left w:w="120" w:type="dxa"/>
                    <w:bottom w:w="120" w:type="dxa"/>
                    <w:right w:w="120" w:type="dxa"/>
                  </w:tcMar>
                  <w:vAlign w:val="center"/>
                </w:tcPr>
                <w:p w14:paraId="3C03401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1、食品安全管理</w:t>
                  </w:r>
                </w:p>
              </w:tc>
              <w:tc>
                <w:tcPr>
                  <w:tcW w:w="980" w:type="pct"/>
                  <w:shd w:val="clear" w:color="auto" w:fill="auto"/>
                  <w:tcMar>
                    <w:top w:w="120" w:type="dxa"/>
                    <w:left w:w="120" w:type="dxa"/>
                    <w:bottom w:w="120" w:type="dxa"/>
                    <w:right w:w="120" w:type="dxa"/>
                  </w:tcMar>
                  <w:vAlign w:val="center"/>
                </w:tcPr>
                <w:p w14:paraId="1AED203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食材采购与储存</w:t>
                  </w:r>
                </w:p>
              </w:tc>
              <w:tc>
                <w:tcPr>
                  <w:tcW w:w="3426" w:type="pct"/>
                  <w:shd w:val="clear" w:color="auto" w:fill="auto"/>
                  <w:tcMar>
                    <w:top w:w="120" w:type="dxa"/>
                    <w:left w:w="120" w:type="dxa"/>
                    <w:bottom w:w="120" w:type="dxa"/>
                    <w:right w:w="120" w:type="dxa"/>
                  </w:tcMar>
                  <w:vAlign w:val="center"/>
                </w:tcPr>
                <w:p w14:paraId="577C4EB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严把进货渠道关。不得采购来路不明的食品，采购员必须采购通过学校招标的中标单位食材，可以从多家中标单位中任意选购，并建立进货登记制度。食材供应商具备合法资质，建立采购台账，索证索票齐全，采购记录保存≥6个月；2. 食材新鲜，符合食品安全标准，无过期、变质、假冒伪劣产品；3. 食材分类储存，生熟分开，冷藏冷冻温度达标（冷藏0-4℃，冷冻≤-18℃），储存环境整洁。</w:t>
                  </w:r>
                </w:p>
              </w:tc>
            </w:tr>
            <w:tr w14:paraId="1BF59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593" w:type="pct"/>
                  <w:vMerge w:val="continue"/>
                  <w:shd w:val="clear" w:color="auto" w:fill="auto"/>
                  <w:tcMar>
                    <w:top w:w="120" w:type="dxa"/>
                    <w:left w:w="120" w:type="dxa"/>
                    <w:bottom w:w="120" w:type="dxa"/>
                    <w:right w:w="120" w:type="dxa"/>
                  </w:tcMar>
                  <w:vAlign w:val="center"/>
                </w:tcPr>
                <w:p w14:paraId="725F3D3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80" w:type="pct"/>
                  <w:shd w:val="clear" w:color="auto" w:fill="auto"/>
                  <w:tcMar>
                    <w:top w:w="120" w:type="dxa"/>
                    <w:left w:w="120" w:type="dxa"/>
                    <w:bottom w:w="120" w:type="dxa"/>
                    <w:right w:w="120" w:type="dxa"/>
                  </w:tcMar>
                  <w:vAlign w:val="center"/>
                </w:tcPr>
                <w:p w14:paraId="0C8A701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加工制作管理</w:t>
                  </w:r>
                </w:p>
              </w:tc>
              <w:tc>
                <w:tcPr>
                  <w:tcW w:w="3426" w:type="pct"/>
                  <w:shd w:val="clear" w:color="auto" w:fill="auto"/>
                  <w:tcMar>
                    <w:top w:w="120" w:type="dxa"/>
                    <w:left w:w="120" w:type="dxa"/>
                    <w:bottom w:w="120" w:type="dxa"/>
                    <w:right w:w="120" w:type="dxa"/>
                  </w:tcMar>
                  <w:vAlign w:val="center"/>
                </w:tcPr>
                <w:p w14:paraId="3838413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从业人员持有效健康证上岗，每年体检1次，着装统一、整洁，操作时戴口罩、手套；2. 食品加工做到生熟分开、荤素分开，加工工具专用，每餐对工具进行消毒；3. 菜品烹饪熟透，中心温度≥70℃，剩余饭菜冷藏保存≤24小时，加热时中心温度≥70℃。</w:t>
                  </w:r>
                </w:p>
              </w:tc>
            </w:tr>
            <w:tr w14:paraId="751C5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593" w:type="pct"/>
                  <w:vMerge w:val="continue"/>
                  <w:shd w:val="clear" w:color="auto" w:fill="auto"/>
                  <w:tcMar>
                    <w:top w:w="120" w:type="dxa"/>
                    <w:left w:w="120" w:type="dxa"/>
                    <w:bottom w:w="120" w:type="dxa"/>
                    <w:right w:w="120" w:type="dxa"/>
                  </w:tcMar>
                  <w:vAlign w:val="center"/>
                </w:tcPr>
                <w:p w14:paraId="1B9FF49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80" w:type="pct"/>
                  <w:shd w:val="clear" w:color="auto" w:fill="auto"/>
                  <w:tcMar>
                    <w:top w:w="120" w:type="dxa"/>
                    <w:left w:w="120" w:type="dxa"/>
                    <w:bottom w:w="120" w:type="dxa"/>
                    <w:right w:w="120" w:type="dxa"/>
                  </w:tcMar>
                  <w:vAlign w:val="center"/>
                </w:tcPr>
                <w:p w14:paraId="652A6C8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餐具消毒与环境卫生</w:t>
                  </w:r>
                </w:p>
              </w:tc>
              <w:tc>
                <w:tcPr>
                  <w:tcW w:w="3426" w:type="pct"/>
                  <w:shd w:val="clear" w:color="auto" w:fill="auto"/>
                  <w:tcMar>
                    <w:top w:w="120" w:type="dxa"/>
                    <w:left w:w="120" w:type="dxa"/>
                    <w:bottom w:w="120" w:type="dxa"/>
                    <w:right w:w="120" w:type="dxa"/>
                  </w:tcMar>
                  <w:vAlign w:val="center"/>
                </w:tcPr>
                <w:p w14:paraId="2E507D6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餐具清洗消毒流程规范，采用“一刮、二洗、三冲、四消毒、五保洁”，消毒合格率100%；2. 餐厅前厅、后厨每日清洁2次，每周大扫除1次，地面、墙面、灶台无油污、垃圾；3. 每日对餐厅进行消毒，通风良好，无异味，蝇虫防治措施到位。</w:t>
                  </w:r>
                </w:p>
              </w:tc>
            </w:tr>
            <w:tr w14:paraId="276CB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593" w:type="pct"/>
                  <w:vMerge w:val="restart"/>
                  <w:shd w:val="clear" w:color="auto" w:fill="auto"/>
                  <w:tcMar>
                    <w:top w:w="120" w:type="dxa"/>
                    <w:left w:w="120" w:type="dxa"/>
                    <w:bottom w:w="120" w:type="dxa"/>
                    <w:right w:w="120" w:type="dxa"/>
                  </w:tcMar>
                  <w:vAlign w:val="center"/>
                </w:tcPr>
                <w:p w14:paraId="3519AB3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p w14:paraId="51A3E97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餐饮服务管理</w:t>
                  </w:r>
                </w:p>
              </w:tc>
              <w:tc>
                <w:tcPr>
                  <w:tcW w:w="980" w:type="pct"/>
                  <w:shd w:val="clear" w:color="auto" w:fill="auto"/>
                  <w:tcMar>
                    <w:top w:w="120" w:type="dxa"/>
                    <w:left w:w="120" w:type="dxa"/>
                    <w:bottom w:w="120" w:type="dxa"/>
                    <w:right w:w="120" w:type="dxa"/>
                  </w:tcMar>
                  <w:vAlign w:val="center"/>
                </w:tcPr>
                <w:p w14:paraId="4CE30AB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菜品供应与质量</w:t>
                  </w:r>
                </w:p>
              </w:tc>
              <w:tc>
                <w:tcPr>
                  <w:tcW w:w="3426" w:type="pct"/>
                  <w:shd w:val="clear" w:color="auto" w:fill="auto"/>
                  <w:tcMar>
                    <w:top w:w="120" w:type="dxa"/>
                    <w:left w:w="120" w:type="dxa"/>
                    <w:bottom w:w="120" w:type="dxa"/>
                    <w:right w:w="120" w:type="dxa"/>
                  </w:tcMar>
                  <w:vAlign w:val="center"/>
                </w:tcPr>
                <w:p w14:paraId="6998FA8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1.食堂供应的膳食应注意营养搭配，保持食材新鲜，营养均衡。严禁给师生供应腐烂、变质、过期食品；新鲜的瓜果蔬菜必须要认真清洗；严防食物中毒。2、 菜品分量充足，口味稳定，温度适宜（热菜≥60℃，凉菜≤10℃）；3. 明码标价，价格合理，无哄抬物价现象。</w:t>
                  </w:r>
                </w:p>
              </w:tc>
            </w:tr>
            <w:tr w14:paraId="0F12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593" w:type="pct"/>
                  <w:vMerge w:val="continue"/>
                  <w:shd w:val="clear" w:color="auto" w:fill="auto"/>
                  <w:tcMar>
                    <w:top w:w="120" w:type="dxa"/>
                    <w:left w:w="120" w:type="dxa"/>
                    <w:bottom w:w="120" w:type="dxa"/>
                    <w:right w:w="120" w:type="dxa"/>
                  </w:tcMar>
                  <w:vAlign w:val="center"/>
                </w:tcPr>
                <w:p w14:paraId="73D7A30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80" w:type="pct"/>
                  <w:shd w:val="clear" w:color="auto" w:fill="auto"/>
                  <w:tcMar>
                    <w:top w:w="120" w:type="dxa"/>
                    <w:left w:w="120" w:type="dxa"/>
                    <w:bottom w:w="120" w:type="dxa"/>
                    <w:right w:w="120" w:type="dxa"/>
                  </w:tcMar>
                  <w:vAlign w:val="center"/>
                </w:tcPr>
                <w:p w14:paraId="33DD478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服务接待</w:t>
                  </w:r>
                </w:p>
              </w:tc>
              <w:tc>
                <w:tcPr>
                  <w:tcW w:w="3426" w:type="pct"/>
                  <w:shd w:val="clear" w:color="auto" w:fill="auto"/>
                  <w:tcMar>
                    <w:top w:w="120" w:type="dxa"/>
                    <w:left w:w="120" w:type="dxa"/>
                    <w:bottom w:w="120" w:type="dxa"/>
                    <w:right w:w="120" w:type="dxa"/>
                  </w:tcMar>
                  <w:vAlign w:val="center"/>
                </w:tcPr>
                <w:p w14:paraId="305D86E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服务人员着装统一，态度热情，文明用语，主动解答师生咨询；2. 就餐高峰期增派人手，减少排队时间，单次排队时间≤15分钟；3. 及时处理就餐投诉，响应时间≤5分钟，处理满意率≥95%。3、按照食品监督要求，制定各项管理制度，确保学生和教职工的食品安全和就餐需求</w:t>
                  </w:r>
                </w:p>
              </w:tc>
            </w:tr>
            <w:tr w14:paraId="28D26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593" w:type="pct"/>
                  <w:vMerge w:val="continue"/>
                  <w:shd w:val="clear" w:color="auto" w:fill="auto"/>
                  <w:tcMar>
                    <w:top w:w="120" w:type="dxa"/>
                    <w:left w:w="120" w:type="dxa"/>
                    <w:bottom w:w="120" w:type="dxa"/>
                    <w:right w:w="120" w:type="dxa"/>
                  </w:tcMar>
                  <w:vAlign w:val="center"/>
                </w:tcPr>
                <w:p w14:paraId="0580C89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80" w:type="pct"/>
                  <w:shd w:val="clear" w:color="auto" w:fill="auto"/>
                  <w:tcMar>
                    <w:top w:w="120" w:type="dxa"/>
                    <w:left w:w="120" w:type="dxa"/>
                    <w:bottom w:w="120" w:type="dxa"/>
                    <w:right w:w="120" w:type="dxa"/>
                  </w:tcMar>
                  <w:vAlign w:val="center"/>
                </w:tcPr>
                <w:p w14:paraId="0677E54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成本与物价监管</w:t>
                  </w:r>
                </w:p>
              </w:tc>
              <w:tc>
                <w:tcPr>
                  <w:tcW w:w="3426" w:type="pct"/>
                  <w:shd w:val="clear" w:color="auto" w:fill="auto"/>
                  <w:tcMar>
                    <w:top w:w="120" w:type="dxa"/>
                    <w:left w:w="120" w:type="dxa"/>
                    <w:bottom w:w="120" w:type="dxa"/>
                    <w:right w:w="120" w:type="dxa"/>
                  </w:tcMar>
                  <w:vAlign w:val="center"/>
                </w:tcPr>
                <w:p w14:paraId="6D2726F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建立完善的成本核算体系，每月向招标人提交经营报表；2. 收费系统准确无误，每日对账，账款相符；3. 接受招标人财务监管，配合审计工作。</w:t>
                  </w:r>
                </w:p>
              </w:tc>
            </w:tr>
            <w:tr w14:paraId="42407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593" w:type="pct"/>
                  <w:vMerge w:val="restart"/>
                  <w:shd w:val="clear" w:color="auto" w:fill="auto"/>
                  <w:tcMar>
                    <w:top w:w="120" w:type="dxa"/>
                    <w:left w:w="120" w:type="dxa"/>
                    <w:bottom w:w="120" w:type="dxa"/>
                    <w:right w:w="120" w:type="dxa"/>
                  </w:tcMar>
                  <w:vAlign w:val="center"/>
                </w:tcPr>
                <w:p w14:paraId="5EA60B8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p w14:paraId="1818AAD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专项服务</w:t>
                  </w:r>
                </w:p>
              </w:tc>
              <w:tc>
                <w:tcPr>
                  <w:tcW w:w="980" w:type="pct"/>
                  <w:shd w:val="clear" w:color="auto" w:fill="auto"/>
                  <w:tcMar>
                    <w:top w:w="120" w:type="dxa"/>
                    <w:left w:w="120" w:type="dxa"/>
                    <w:bottom w:w="120" w:type="dxa"/>
                    <w:right w:w="120" w:type="dxa"/>
                  </w:tcMar>
                  <w:vAlign w:val="center"/>
                </w:tcPr>
                <w:p w14:paraId="6A8EE32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特殊餐饮服务</w:t>
                  </w:r>
                </w:p>
              </w:tc>
              <w:tc>
                <w:tcPr>
                  <w:tcW w:w="3426" w:type="pct"/>
                  <w:shd w:val="clear" w:color="auto" w:fill="auto"/>
                  <w:tcMar>
                    <w:top w:w="120" w:type="dxa"/>
                    <w:left w:w="120" w:type="dxa"/>
                    <w:bottom w:w="120" w:type="dxa"/>
                    <w:right w:w="120" w:type="dxa"/>
                  </w:tcMar>
                  <w:vAlign w:val="center"/>
                </w:tcPr>
                <w:p w14:paraId="1965B7A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为少数民族师生提供符合其饮食习惯的菜品，设立专门窗口；2. 可提供会议餐、活动餐等定制服务，提前24小时接受预订，按时送达，质量达标。</w:t>
                  </w:r>
                </w:p>
              </w:tc>
            </w:tr>
            <w:tr w14:paraId="1C0A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24" w:hRule="atLeast"/>
              </w:trPr>
              <w:tc>
                <w:tcPr>
                  <w:tcW w:w="593" w:type="pct"/>
                  <w:vMerge w:val="continue"/>
                  <w:shd w:val="clear" w:color="auto" w:fill="auto"/>
                  <w:tcMar>
                    <w:top w:w="120" w:type="dxa"/>
                    <w:left w:w="120" w:type="dxa"/>
                    <w:bottom w:w="120" w:type="dxa"/>
                    <w:right w:w="120" w:type="dxa"/>
                  </w:tcMar>
                  <w:vAlign w:val="center"/>
                </w:tcPr>
                <w:p w14:paraId="1FE3A98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80" w:type="pct"/>
                  <w:shd w:val="clear" w:color="auto" w:fill="auto"/>
                  <w:tcMar>
                    <w:top w:w="120" w:type="dxa"/>
                    <w:left w:w="120" w:type="dxa"/>
                    <w:bottom w:w="120" w:type="dxa"/>
                    <w:right w:w="120" w:type="dxa"/>
                  </w:tcMar>
                  <w:vAlign w:val="center"/>
                </w:tcPr>
                <w:p w14:paraId="3748775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从业人员管理</w:t>
                  </w:r>
                </w:p>
              </w:tc>
              <w:tc>
                <w:tcPr>
                  <w:tcW w:w="3426" w:type="pct"/>
                  <w:shd w:val="clear" w:color="auto" w:fill="auto"/>
                  <w:tcMar>
                    <w:top w:w="120" w:type="dxa"/>
                    <w:left w:w="120" w:type="dxa"/>
                    <w:bottom w:w="120" w:type="dxa"/>
                    <w:right w:w="120" w:type="dxa"/>
                  </w:tcMar>
                  <w:vAlign w:val="center"/>
                </w:tcPr>
                <w:p w14:paraId="2C8A5CE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1.定期开展食品安全、服务礼仪培训，每月至少1次；2. 建立从业人员档案，记录基本信息、培训情况、健康状况等。3、按照《食品卫生法》做好食品安全管理工作，依据市场监督管理局要求，申领《食品卫生许可证》，并每年进行一次年审。4、食品安全监管员组织拟定食品安全管理制度，督促落实食品安全责任制，从业人员健康管理、供货者管理、进货查验、生产经营过程控制、安全自查、食品安全信息追溯建设、投诉举报处理等食品安全方面的责任要求。5、库管员负责食材入库管理食材验收、登记溯源台账、管理餐厅配套库房，建立食材分类台账、物资发放记录发放明细、仓储维护保障仓储环境符合食品安全标准。6、物价监管员负责档口价格核算：每月完成餐厅档口成本核算（食材成本、人力成本、能耗成本等），制定指导价格，限定档口利润率；票据管理：负责发票开具、保管，采购合同、付款凭证等财务资料的整理归档。</w:t>
                  </w:r>
                </w:p>
              </w:tc>
            </w:tr>
          </w:tbl>
          <w:p w14:paraId="676B62F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（八）公寓管理服务</w:t>
            </w:r>
          </w:p>
          <w:tbl>
            <w:tblPr>
              <w:tblStyle w:val="6"/>
              <w:tblW w:w="44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52"/>
              <w:gridCol w:w="1425"/>
              <w:gridCol w:w="4967"/>
            </w:tblGrid>
            <w:tr w14:paraId="3E0A2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588" w:type="pct"/>
                  <w:shd w:val="clear" w:color="auto" w:fill="F2F3F5"/>
                  <w:tcMar>
                    <w:top w:w="120" w:type="dxa"/>
                    <w:left w:w="120" w:type="dxa"/>
                    <w:bottom w:w="120" w:type="dxa"/>
                    <w:right w:w="120" w:type="dxa"/>
                  </w:tcMar>
                  <w:vAlign w:val="center"/>
                </w:tcPr>
                <w:p w14:paraId="5CADB09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983" w:type="pct"/>
                  <w:shd w:val="clear" w:color="auto" w:fill="F2F3F5"/>
                  <w:tcMar>
                    <w:top w:w="120" w:type="dxa"/>
                    <w:left w:w="120" w:type="dxa"/>
                    <w:bottom w:w="120" w:type="dxa"/>
                    <w:right w:w="120" w:type="dxa"/>
                  </w:tcMar>
                  <w:vAlign w:val="center"/>
                </w:tcPr>
                <w:p w14:paraId="4D62777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服务内容</w:t>
                  </w:r>
                </w:p>
              </w:tc>
              <w:tc>
                <w:tcPr>
                  <w:tcW w:w="3427" w:type="pct"/>
                  <w:shd w:val="clear" w:color="auto" w:fill="F2F3F5"/>
                  <w:tcMar>
                    <w:top w:w="120" w:type="dxa"/>
                    <w:left w:w="120" w:type="dxa"/>
                    <w:bottom w:w="120" w:type="dxa"/>
                    <w:right w:w="120" w:type="dxa"/>
                  </w:tcMar>
                  <w:vAlign w:val="center"/>
                </w:tcPr>
                <w:p w14:paraId="39580B6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服务标准</w:t>
                  </w:r>
                </w:p>
              </w:tc>
            </w:tr>
            <w:tr w14:paraId="10BC8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8" w:type="pct"/>
                  <w:vMerge w:val="restart"/>
                  <w:shd w:val="clear" w:color="auto" w:fill="auto"/>
                  <w:tcMar>
                    <w:top w:w="120" w:type="dxa"/>
                    <w:left w:w="120" w:type="dxa"/>
                    <w:bottom w:w="120" w:type="dxa"/>
                    <w:right w:w="120" w:type="dxa"/>
                  </w:tcMar>
                  <w:vAlign w:val="center"/>
                </w:tcPr>
                <w:p w14:paraId="7C7DCAE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p w14:paraId="449B1DD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安全管理服务</w:t>
                  </w:r>
                </w:p>
              </w:tc>
              <w:tc>
                <w:tcPr>
                  <w:tcW w:w="983" w:type="pct"/>
                  <w:shd w:val="clear" w:color="auto" w:fill="auto"/>
                  <w:tcMar>
                    <w:top w:w="120" w:type="dxa"/>
                    <w:left w:w="120" w:type="dxa"/>
                    <w:bottom w:w="120" w:type="dxa"/>
                    <w:right w:w="120" w:type="dxa"/>
                  </w:tcMar>
                  <w:vAlign w:val="center"/>
                </w:tcPr>
                <w:p w14:paraId="6115D16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出入管理</w:t>
                  </w:r>
                </w:p>
              </w:tc>
              <w:tc>
                <w:tcPr>
                  <w:tcW w:w="3427" w:type="pct"/>
                  <w:shd w:val="clear" w:color="auto" w:fill="auto"/>
                  <w:tcMar>
                    <w:top w:w="120" w:type="dxa"/>
                    <w:left w:w="120" w:type="dxa"/>
                    <w:bottom w:w="120" w:type="dxa"/>
                    <w:right w:w="120" w:type="dxa"/>
                  </w:tcMar>
                  <w:vAlign w:val="center"/>
                </w:tcPr>
                <w:p w14:paraId="3FA6F03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公寓楼实行24小时值班制度，新华校区值班员工作时间两班倒，上一天休一天（上24小时休24小时）无节假日等特殊情况，寒暑假正常上班，值班期间不脱岗、不迟到不早退、不做与本职工作无关的事情，值班人员做好出入登记，外来人员进入需经住宿师生确认并登记，禁止无关人员进入；2. 每晚23:00至次日6:00实行宵禁管理，晚归学生登记备案，及时联系辅导员；3. 禁止携带易燃易爆、管制刀具等危险品进入公寓，每日巡查排查。</w:t>
                  </w:r>
                </w:p>
              </w:tc>
            </w:tr>
            <w:tr w14:paraId="45505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88" w:type="pct"/>
                  <w:vMerge w:val="continue"/>
                  <w:shd w:val="clear" w:color="auto" w:fill="auto"/>
                  <w:tcMar>
                    <w:top w:w="120" w:type="dxa"/>
                    <w:left w:w="120" w:type="dxa"/>
                    <w:bottom w:w="120" w:type="dxa"/>
                    <w:right w:w="120" w:type="dxa"/>
                  </w:tcMar>
                  <w:vAlign w:val="center"/>
                </w:tcPr>
                <w:p w14:paraId="1A5D57A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83" w:type="pct"/>
                  <w:shd w:val="clear" w:color="auto" w:fill="auto"/>
                  <w:tcMar>
                    <w:top w:w="120" w:type="dxa"/>
                    <w:left w:w="120" w:type="dxa"/>
                    <w:bottom w:w="120" w:type="dxa"/>
                    <w:right w:w="120" w:type="dxa"/>
                  </w:tcMar>
                  <w:vAlign w:val="center"/>
                </w:tcPr>
                <w:p w14:paraId="09DCE99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消防安全管理</w:t>
                  </w:r>
                </w:p>
              </w:tc>
              <w:tc>
                <w:tcPr>
                  <w:tcW w:w="3427" w:type="pct"/>
                  <w:shd w:val="clear" w:color="auto" w:fill="auto"/>
                  <w:tcMar>
                    <w:top w:w="120" w:type="dxa"/>
                    <w:left w:w="120" w:type="dxa"/>
                    <w:bottom w:w="120" w:type="dxa"/>
                    <w:right w:w="120" w:type="dxa"/>
                  </w:tcMar>
                  <w:vAlign w:val="center"/>
                </w:tcPr>
                <w:p w14:paraId="089E3C2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每周检查消防设施（灭火器、消防栓等），确保完好有效，记录完整；2. 保持疏散通道畅通，无杂物堆放，禁止私拉乱接电线、使用违规电器，发现后立即处理并登记。</w:t>
                  </w:r>
                </w:p>
              </w:tc>
            </w:tr>
            <w:tr w14:paraId="45BFA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88" w:type="pct"/>
                  <w:vMerge w:val="continue"/>
                  <w:shd w:val="clear" w:color="auto" w:fill="auto"/>
                  <w:tcMar>
                    <w:top w:w="120" w:type="dxa"/>
                    <w:left w:w="120" w:type="dxa"/>
                    <w:bottom w:w="120" w:type="dxa"/>
                    <w:right w:w="120" w:type="dxa"/>
                  </w:tcMar>
                  <w:vAlign w:val="center"/>
                </w:tcPr>
                <w:p w14:paraId="7C7E3D0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83" w:type="pct"/>
                  <w:shd w:val="clear" w:color="auto" w:fill="auto"/>
                  <w:tcMar>
                    <w:top w:w="120" w:type="dxa"/>
                    <w:left w:w="120" w:type="dxa"/>
                    <w:bottom w:w="120" w:type="dxa"/>
                    <w:right w:w="120" w:type="dxa"/>
                  </w:tcMar>
                  <w:vAlign w:val="center"/>
                </w:tcPr>
                <w:p w14:paraId="235DBA8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财产安全管理</w:t>
                  </w:r>
                </w:p>
              </w:tc>
              <w:tc>
                <w:tcPr>
                  <w:tcW w:w="3427" w:type="pct"/>
                  <w:shd w:val="clear" w:color="auto" w:fill="auto"/>
                  <w:tcMar>
                    <w:top w:w="120" w:type="dxa"/>
                    <w:left w:w="120" w:type="dxa"/>
                    <w:bottom w:w="120" w:type="dxa"/>
                    <w:right w:w="120" w:type="dxa"/>
                  </w:tcMar>
                  <w:vAlign w:val="center"/>
                </w:tcPr>
                <w:p w14:paraId="438893D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每日巡查公寓楼公共区域，及时发现安全隐患并处理；2. 接到师生财产安全求助时，响应时间≤5分钟，协助联系保卫部门，做好记录；3. 服务期内公寓楼无重大财产安全责任事故。</w:t>
                  </w:r>
                </w:p>
              </w:tc>
            </w:tr>
            <w:tr w14:paraId="5586A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88" w:type="pct"/>
                  <w:vMerge w:val="restart"/>
                  <w:shd w:val="clear" w:color="auto" w:fill="auto"/>
                  <w:tcMar>
                    <w:top w:w="120" w:type="dxa"/>
                    <w:left w:w="120" w:type="dxa"/>
                    <w:bottom w:w="120" w:type="dxa"/>
                    <w:right w:w="120" w:type="dxa"/>
                  </w:tcMar>
                  <w:vAlign w:val="center"/>
                </w:tcPr>
                <w:p w14:paraId="0774D00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p w14:paraId="7A00106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日常管理服务</w:t>
                  </w:r>
                </w:p>
              </w:tc>
              <w:tc>
                <w:tcPr>
                  <w:tcW w:w="983" w:type="pct"/>
                  <w:shd w:val="clear" w:color="auto" w:fill="auto"/>
                  <w:tcMar>
                    <w:top w:w="120" w:type="dxa"/>
                    <w:left w:w="120" w:type="dxa"/>
                    <w:bottom w:w="120" w:type="dxa"/>
                    <w:right w:w="120" w:type="dxa"/>
                  </w:tcMar>
                  <w:vAlign w:val="center"/>
                </w:tcPr>
                <w:p w14:paraId="709F54B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住宿管理</w:t>
                  </w:r>
                </w:p>
              </w:tc>
              <w:tc>
                <w:tcPr>
                  <w:tcW w:w="3427" w:type="pct"/>
                  <w:shd w:val="clear" w:color="auto" w:fill="auto"/>
                  <w:tcMar>
                    <w:top w:w="120" w:type="dxa"/>
                    <w:left w:w="120" w:type="dxa"/>
                    <w:bottom w:w="120" w:type="dxa"/>
                    <w:right w:w="120" w:type="dxa"/>
                  </w:tcMar>
                  <w:vAlign w:val="center"/>
                </w:tcPr>
                <w:p w14:paraId="28D8661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协助招标人完成学生入住、退宿手续办理，建立住宿档案，档案完整率100%；2. 每月检查住宿情况，规范作息，制止违规行为，处理率100%；3. 及时调解住宿矛盾，调解成功率≥95%。</w:t>
                  </w:r>
                </w:p>
              </w:tc>
            </w:tr>
            <w:tr w14:paraId="0004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8" w:type="pct"/>
                  <w:vMerge w:val="continue"/>
                  <w:shd w:val="clear" w:color="auto" w:fill="auto"/>
                  <w:tcMar>
                    <w:top w:w="120" w:type="dxa"/>
                    <w:left w:w="120" w:type="dxa"/>
                    <w:bottom w:w="120" w:type="dxa"/>
                    <w:right w:w="120" w:type="dxa"/>
                  </w:tcMar>
                  <w:vAlign w:val="center"/>
                </w:tcPr>
                <w:p w14:paraId="3E76B95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83" w:type="pct"/>
                  <w:shd w:val="clear" w:color="auto" w:fill="auto"/>
                  <w:tcMar>
                    <w:top w:w="120" w:type="dxa"/>
                    <w:left w:w="120" w:type="dxa"/>
                    <w:bottom w:w="120" w:type="dxa"/>
                    <w:right w:w="120" w:type="dxa"/>
                  </w:tcMar>
                  <w:vAlign w:val="center"/>
                </w:tcPr>
                <w:p w14:paraId="5F3FC75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设施维护与报修</w:t>
                  </w:r>
                </w:p>
              </w:tc>
              <w:tc>
                <w:tcPr>
                  <w:tcW w:w="3427" w:type="pct"/>
                  <w:shd w:val="clear" w:color="auto" w:fill="auto"/>
                  <w:tcMar>
                    <w:top w:w="120" w:type="dxa"/>
                    <w:left w:w="120" w:type="dxa"/>
                    <w:bottom w:w="120" w:type="dxa"/>
                    <w:right w:w="120" w:type="dxa"/>
                  </w:tcMar>
                  <w:vAlign w:val="center"/>
                </w:tcPr>
                <w:p w14:paraId="4B1D7B8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每周检查公寓内家具、门窗、水电设施等，记录完好情况；2. 师生报修后，响应时间≤30分钟，一般性维修≤1个工作日完成，复杂维修≤3个工作日并告知进度；3. 维修合格率100%，师生满意度≥95%。</w:t>
                  </w:r>
                </w:p>
              </w:tc>
            </w:tr>
            <w:tr w14:paraId="2C71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88" w:type="pct"/>
                  <w:vMerge w:val="continue"/>
                  <w:shd w:val="clear" w:color="auto" w:fill="auto"/>
                  <w:tcMar>
                    <w:top w:w="120" w:type="dxa"/>
                    <w:left w:w="120" w:type="dxa"/>
                    <w:bottom w:w="120" w:type="dxa"/>
                    <w:right w:w="120" w:type="dxa"/>
                  </w:tcMar>
                  <w:vAlign w:val="center"/>
                </w:tcPr>
                <w:p w14:paraId="78CCF2F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83" w:type="pct"/>
                  <w:shd w:val="clear" w:color="auto" w:fill="auto"/>
                  <w:tcMar>
                    <w:top w:w="120" w:type="dxa"/>
                    <w:left w:w="120" w:type="dxa"/>
                    <w:bottom w:w="120" w:type="dxa"/>
                    <w:right w:w="120" w:type="dxa"/>
                  </w:tcMar>
                  <w:vAlign w:val="center"/>
                </w:tcPr>
                <w:p w14:paraId="72EFEBF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环境卫生管理</w:t>
                  </w:r>
                </w:p>
              </w:tc>
              <w:tc>
                <w:tcPr>
                  <w:tcW w:w="3427" w:type="pct"/>
                  <w:shd w:val="clear" w:color="auto" w:fill="auto"/>
                  <w:tcMar>
                    <w:top w:w="120" w:type="dxa"/>
                    <w:left w:w="120" w:type="dxa"/>
                    <w:bottom w:w="120" w:type="dxa"/>
                    <w:right w:w="120" w:type="dxa"/>
                  </w:tcMar>
                  <w:vAlign w:val="center"/>
                </w:tcPr>
                <w:p w14:paraId="2B6C863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公寓楼道、楼梯、公共卫生间每日清扫2次，拖拭1次，无垃圾、污渍、异味；2. 垃圾桶每日清运2次，每周消毒1次；3. 每月对公寓公共区域进行1次全面消毒，疫情等特殊时期按要求增加频次。</w:t>
                  </w:r>
                </w:p>
              </w:tc>
            </w:tr>
            <w:tr w14:paraId="5C00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88" w:type="pct"/>
                  <w:vMerge w:val="restart"/>
                  <w:shd w:val="clear" w:color="auto" w:fill="auto"/>
                  <w:tcMar>
                    <w:top w:w="120" w:type="dxa"/>
                    <w:left w:w="120" w:type="dxa"/>
                    <w:bottom w:w="120" w:type="dxa"/>
                    <w:right w:w="120" w:type="dxa"/>
                  </w:tcMar>
                  <w:vAlign w:val="center"/>
                </w:tcPr>
                <w:p w14:paraId="32E0DB0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p w14:paraId="1DBAC4A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专项服务</w:t>
                  </w:r>
                </w:p>
              </w:tc>
              <w:tc>
                <w:tcPr>
                  <w:tcW w:w="983" w:type="pct"/>
                  <w:shd w:val="clear" w:color="auto" w:fill="auto"/>
                  <w:tcMar>
                    <w:top w:w="120" w:type="dxa"/>
                    <w:left w:w="120" w:type="dxa"/>
                    <w:bottom w:w="120" w:type="dxa"/>
                    <w:right w:w="120" w:type="dxa"/>
                  </w:tcMar>
                  <w:vAlign w:val="center"/>
                </w:tcPr>
                <w:p w14:paraId="2081434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生活服务保障</w:t>
                  </w:r>
                </w:p>
              </w:tc>
              <w:tc>
                <w:tcPr>
                  <w:tcW w:w="3427" w:type="pct"/>
                  <w:shd w:val="clear" w:color="auto" w:fill="auto"/>
                  <w:tcMar>
                    <w:top w:w="120" w:type="dxa"/>
                    <w:left w:w="120" w:type="dxa"/>
                    <w:bottom w:w="120" w:type="dxa"/>
                    <w:right w:w="120" w:type="dxa"/>
                  </w:tcMar>
                  <w:vAlign w:val="center"/>
                </w:tcPr>
                <w:p w14:paraId="653A90A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设立服务台，提供针线包、应急药品、雨伞等便民物资；2. 协助代收快递、信件，及时通知师生领取，错发漏发率为0；3. 关注特殊学生（如生病、残疾学生）需求，提供必要帮助。</w:t>
                  </w:r>
                </w:p>
              </w:tc>
            </w:tr>
            <w:tr w14:paraId="0E68A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88" w:type="pct"/>
                  <w:vMerge w:val="continue"/>
                  <w:shd w:val="clear" w:color="auto" w:fill="auto"/>
                  <w:tcMar>
                    <w:top w:w="120" w:type="dxa"/>
                    <w:left w:w="120" w:type="dxa"/>
                    <w:bottom w:w="120" w:type="dxa"/>
                    <w:right w:w="120" w:type="dxa"/>
                  </w:tcMar>
                  <w:vAlign w:val="center"/>
                </w:tcPr>
                <w:p w14:paraId="325D87A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983" w:type="pct"/>
                  <w:shd w:val="clear" w:color="auto" w:fill="auto"/>
                  <w:tcMar>
                    <w:top w:w="120" w:type="dxa"/>
                    <w:left w:w="120" w:type="dxa"/>
                    <w:bottom w:w="120" w:type="dxa"/>
                    <w:right w:w="120" w:type="dxa"/>
                  </w:tcMar>
                  <w:vAlign w:val="center"/>
                </w:tcPr>
                <w:p w14:paraId="3DFB1C5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文化建设服务</w:t>
                  </w:r>
                </w:p>
              </w:tc>
              <w:tc>
                <w:tcPr>
                  <w:tcW w:w="3427" w:type="pct"/>
                  <w:shd w:val="clear" w:color="auto" w:fill="auto"/>
                  <w:tcMar>
                    <w:top w:w="120" w:type="dxa"/>
                    <w:left w:w="120" w:type="dxa"/>
                    <w:bottom w:w="120" w:type="dxa"/>
                    <w:right w:w="120" w:type="dxa"/>
                  </w:tcMar>
                  <w:vAlign w:val="center"/>
                </w:tcPr>
                <w:p w14:paraId="607BD75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配合招标人开展公寓文化活动，如“文明宿舍”评比等；2. 维护公寓公共区域文化宣传栏，每月更新1次内容；3. 营造整洁、和谐、文明的住宿氛围。</w:t>
                  </w:r>
                </w:p>
              </w:tc>
            </w:tr>
          </w:tbl>
          <w:p w14:paraId="0ED73CD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p>
          <w:p w14:paraId="3F85379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（九）垃圾清运服务</w:t>
            </w:r>
          </w:p>
          <w:p w14:paraId="20829B4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p>
          <w:tbl>
            <w:tblPr>
              <w:tblStyle w:val="6"/>
              <w:tblW w:w="4480"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51"/>
              <w:gridCol w:w="1427"/>
              <w:gridCol w:w="5058"/>
            </w:tblGrid>
            <w:tr w14:paraId="320F9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580" w:type="pct"/>
                  <w:shd w:val="clear" w:color="auto" w:fill="F2F3F5"/>
                  <w:tcMar>
                    <w:top w:w="120" w:type="dxa"/>
                    <w:left w:w="120" w:type="dxa"/>
                    <w:bottom w:w="120" w:type="dxa"/>
                    <w:right w:w="120" w:type="dxa"/>
                  </w:tcMar>
                  <w:vAlign w:val="center"/>
                </w:tcPr>
                <w:p w14:paraId="3B2F646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972" w:type="pct"/>
                  <w:shd w:val="clear" w:color="auto" w:fill="F2F3F5"/>
                  <w:tcMar>
                    <w:top w:w="120" w:type="dxa"/>
                    <w:left w:w="120" w:type="dxa"/>
                    <w:bottom w:w="120" w:type="dxa"/>
                    <w:right w:w="120" w:type="dxa"/>
                  </w:tcMar>
                  <w:vAlign w:val="center"/>
                </w:tcPr>
                <w:p w14:paraId="634A085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服务内容</w:t>
                  </w:r>
                </w:p>
              </w:tc>
              <w:tc>
                <w:tcPr>
                  <w:tcW w:w="3446" w:type="pct"/>
                  <w:shd w:val="clear" w:color="auto" w:fill="F2F3F5"/>
                  <w:tcMar>
                    <w:top w:w="120" w:type="dxa"/>
                    <w:left w:w="120" w:type="dxa"/>
                    <w:bottom w:w="120" w:type="dxa"/>
                    <w:right w:w="120" w:type="dxa"/>
                  </w:tcMar>
                  <w:vAlign w:val="center"/>
                </w:tcPr>
                <w:p w14:paraId="7A8325E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服务标准</w:t>
                  </w:r>
                </w:p>
              </w:tc>
            </w:tr>
            <w:tr w14:paraId="52B1C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80" w:type="pct"/>
                  <w:shd w:val="clear" w:color="auto" w:fill="auto"/>
                  <w:tcMar>
                    <w:top w:w="120" w:type="dxa"/>
                    <w:left w:w="120" w:type="dxa"/>
                    <w:bottom w:w="120" w:type="dxa"/>
                    <w:right w:w="120" w:type="dxa"/>
                  </w:tcMar>
                  <w:vAlign w:val="center"/>
                </w:tcPr>
                <w:p w14:paraId="18449C1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972" w:type="pct"/>
                  <w:shd w:val="clear" w:color="auto" w:fill="auto"/>
                  <w:tcMar>
                    <w:top w:w="120" w:type="dxa"/>
                    <w:left w:w="120" w:type="dxa"/>
                    <w:bottom w:w="120" w:type="dxa"/>
                    <w:right w:w="120" w:type="dxa"/>
                  </w:tcMar>
                  <w:vAlign w:val="center"/>
                </w:tcPr>
                <w:p w14:paraId="1DC0B9E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垃圾清运服务</w:t>
                  </w:r>
                </w:p>
              </w:tc>
              <w:tc>
                <w:tcPr>
                  <w:tcW w:w="3446" w:type="pct"/>
                  <w:shd w:val="clear" w:color="auto" w:fill="auto"/>
                  <w:tcMar>
                    <w:top w:w="120" w:type="dxa"/>
                    <w:left w:w="120" w:type="dxa"/>
                    <w:bottom w:w="120" w:type="dxa"/>
                    <w:right w:w="120" w:type="dxa"/>
                  </w:tcMar>
                  <w:vAlign w:val="center"/>
                </w:tcPr>
                <w:p w14:paraId="527B5AE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楼宇门前垃圾桶实行袋装化，保洁人员每天定时将垃圾袋装好后运送至指定垃圾排放点，并负责校区垃圾外运工作，务必做到校区内生活垃圾日产日清。2．楼宇门前收集垃圾时要做到车走场清、地面洁净。3．垃圾桶及周边要保持整洁、卫生，无污水、无散落垃圾、无老鼠苍蝇蚊虫、无异常气味等。</w:t>
                  </w:r>
                </w:p>
              </w:tc>
            </w:tr>
          </w:tbl>
          <w:p w14:paraId="1F4B45D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p>
          <w:p w14:paraId="1908604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（十）琴房管理服务</w:t>
            </w:r>
          </w:p>
          <w:tbl>
            <w:tblPr>
              <w:tblStyle w:val="6"/>
              <w:tblW w:w="4583"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51"/>
              <w:gridCol w:w="1426"/>
              <w:gridCol w:w="5227"/>
            </w:tblGrid>
            <w:tr w14:paraId="3EEBA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blHeader/>
              </w:trPr>
              <w:tc>
                <w:tcPr>
                  <w:tcW w:w="567" w:type="pct"/>
                  <w:shd w:val="clear" w:color="auto" w:fill="F2F3F5"/>
                  <w:tcMar>
                    <w:top w:w="120" w:type="dxa"/>
                    <w:left w:w="120" w:type="dxa"/>
                    <w:bottom w:w="120" w:type="dxa"/>
                    <w:right w:w="120" w:type="dxa"/>
                  </w:tcMar>
                  <w:vAlign w:val="center"/>
                </w:tcPr>
                <w:p w14:paraId="2935359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950" w:type="pct"/>
                  <w:shd w:val="clear" w:color="auto" w:fill="F2F3F5"/>
                  <w:tcMar>
                    <w:top w:w="120" w:type="dxa"/>
                    <w:left w:w="120" w:type="dxa"/>
                    <w:bottom w:w="120" w:type="dxa"/>
                    <w:right w:w="120" w:type="dxa"/>
                  </w:tcMar>
                  <w:vAlign w:val="center"/>
                </w:tcPr>
                <w:p w14:paraId="0C60023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服务内容</w:t>
                  </w:r>
                </w:p>
              </w:tc>
              <w:tc>
                <w:tcPr>
                  <w:tcW w:w="3481" w:type="pct"/>
                  <w:shd w:val="clear" w:color="auto" w:fill="F2F3F5"/>
                  <w:tcMar>
                    <w:top w:w="120" w:type="dxa"/>
                    <w:left w:w="120" w:type="dxa"/>
                    <w:bottom w:w="120" w:type="dxa"/>
                    <w:right w:w="120" w:type="dxa"/>
                  </w:tcMar>
                  <w:vAlign w:val="center"/>
                </w:tcPr>
                <w:p w14:paraId="6BCCA76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服务标准</w:t>
                  </w:r>
                </w:p>
              </w:tc>
            </w:tr>
            <w:tr w14:paraId="1081B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7" w:type="pct"/>
                  <w:shd w:val="clear" w:color="auto" w:fill="auto"/>
                  <w:tcMar>
                    <w:top w:w="120" w:type="dxa"/>
                    <w:left w:w="120" w:type="dxa"/>
                    <w:bottom w:w="120" w:type="dxa"/>
                    <w:right w:w="120" w:type="dxa"/>
                  </w:tcMar>
                  <w:vAlign w:val="center"/>
                </w:tcPr>
                <w:p w14:paraId="67C30F8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950" w:type="pct"/>
                  <w:shd w:val="clear" w:color="auto" w:fill="auto"/>
                  <w:tcMar>
                    <w:top w:w="120" w:type="dxa"/>
                    <w:left w:w="120" w:type="dxa"/>
                    <w:bottom w:w="120" w:type="dxa"/>
                    <w:right w:w="120" w:type="dxa"/>
                  </w:tcMar>
                  <w:vAlign w:val="center"/>
                </w:tcPr>
                <w:p w14:paraId="556B5D1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琴房管理</w:t>
                  </w:r>
                </w:p>
              </w:tc>
              <w:tc>
                <w:tcPr>
                  <w:tcW w:w="3481" w:type="pct"/>
                  <w:shd w:val="clear" w:color="auto" w:fill="auto"/>
                  <w:tcMar>
                    <w:top w:w="120" w:type="dxa"/>
                    <w:left w:w="120" w:type="dxa"/>
                    <w:bottom w:w="120" w:type="dxa"/>
                    <w:right w:w="120" w:type="dxa"/>
                  </w:tcMar>
                  <w:vAlign w:val="center"/>
                </w:tcPr>
                <w:p w14:paraId="0B9D266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1.按规定时间开放琴房门，不得迟到早退。</w:t>
                  </w:r>
                </w:p>
                <w:p w14:paraId="2DF3318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2.认真做好值班记录，处理突发事件。</w:t>
                  </w:r>
                </w:p>
                <w:p w14:paraId="42F6F5A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3.严格按照各琴房定员名单用琴房卡，检查和制止学生乱串琴房。</w:t>
                  </w:r>
                </w:p>
                <w:p w14:paraId="46B8ADD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4.按照琴房管理制度，无琴卡者不准进入琴房。上课和练琴时不准会客。</w:t>
                  </w:r>
                </w:p>
                <w:p w14:paraId="1B03537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5.负责琴房系统的简单维护与保养，检查琴房系统的日常运行情况及记录，平时教师和学生琴房卡的补录工作。</w:t>
                  </w:r>
                </w:p>
                <w:p w14:paraId="428BA3C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6.上班时间：7：30-12：00，下午：14：20-21：30，夜间：21：30-22：30。制止外来人员进入琴房。</w:t>
                  </w:r>
                </w:p>
                <w:p w14:paraId="0B1C7DF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7.负责开关照明电闸，并对琴房物品和设施进行维护和登记。</w:t>
                  </w:r>
                </w:p>
                <w:p w14:paraId="45F6516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8.琴房关闭时，要认真检查门窗，关水、关电、锁门。注意防火、防盗，并认真如实填写当日值班记录。定期检查安全消防设施，做好琴房的安防保卫工作。</w:t>
                  </w:r>
                </w:p>
                <w:p w14:paraId="6C5D03D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9.保证琴房的正常秩序，对违反琴房使用规定的行为要及时予以纠正。</w:t>
                  </w:r>
                </w:p>
              </w:tc>
            </w:tr>
          </w:tbl>
          <w:p w14:paraId="076D42B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p>
          <w:p w14:paraId="7E640F3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（十</w:t>
            </w:r>
            <w:r>
              <w:rPr>
                <w:rFonts w:hint="eastAsia" w:asciiTheme="minorEastAsia" w:hAnsiTheme="minorEastAsia" w:cstheme="minorEastAsia"/>
                <w:sz w:val="24"/>
                <w:szCs w:val="24"/>
                <w:vertAlign w:val="baseline"/>
                <w:lang w:val="en-US" w:eastAsia="zh-CN"/>
              </w:rPr>
              <w:t>一</w:t>
            </w:r>
            <w:r>
              <w:rPr>
                <w:rFonts w:hint="eastAsia" w:asciiTheme="minorEastAsia" w:hAnsiTheme="minorEastAsia" w:eastAsiaTheme="minorEastAsia" w:cstheme="minorEastAsia"/>
                <w:sz w:val="24"/>
                <w:szCs w:val="24"/>
                <w:vertAlign w:val="baseline"/>
                <w:lang w:val="en-US" w:eastAsia="zh-CN"/>
              </w:rPr>
              <w:t>）多媒体教室管理服务</w:t>
            </w:r>
          </w:p>
          <w:tbl>
            <w:tblPr>
              <w:tblStyle w:val="6"/>
              <w:tblW w:w="4561"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51"/>
              <w:gridCol w:w="1427"/>
              <w:gridCol w:w="5190"/>
            </w:tblGrid>
            <w:tr w14:paraId="6D8D8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570" w:type="pct"/>
                  <w:shd w:val="clear" w:color="auto" w:fill="F2F3F5"/>
                  <w:tcMar>
                    <w:top w:w="120" w:type="dxa"/>
                    <w:left w:w="120" w:type="dxa"/>
                    <w:bottom w:w="120" w:type="dxa"/>
                    <w:right w:w="120" w:type="dxa"/>
                  </w:tcMar>
                  <w:vAlign w:val="center"/>
                </w:tcPr>
                <w:p w14:paraId="11A82FC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955" w:type="pct"/>
                  <w:shd w:val="clear" w:color="auto" w:fill="F2F3F5"/>
                  <w:tcMar>
                    <w:top w:w="120" w:type="dxa"/>
                    <w:left w:w="120" w:type="dxa"/>
                    <w:bottom w:w="120" w:type="dxa"/>
                    <w:right w:w="120" w:type="dxa"/>
                  </w:tcMar>
                  <w:vAlign w:val="center"/>
                </w:tcPr>
                <w:p w14:paraId="52D5408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服务内容</w:t>
                  </w:r>
                </w:p>
              </w:tc>
              <w:tc>
                <w:tcPr>
                  <w:tcW w:w="3474" w:type="pct"/>
                  <w:shd w:val="clear" w:color="auto" w:fill="F2F3F5"/>
                  <w:tcMar>
                    <w:top w:w="120" w:type="dxa"/>
                    <w:left w:w="120" w:type="dxa"/>
                    <w:bottom w:w="120" w:type="dxa"/>
                    <w:right w:w="120" w:type="dxa"/>
                  </w:tcMar>
                  <w:vAlign w:val="center"/>
                </w:tcPr>
                <w:p w14:paraId="3941A1F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服务标准</w:t>
                  </w:r>
                </w:p>
              </w:tc>
            </w:tr>
            <w:tr w14:paraId="2D61A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70" w:type="pct"/>
                  <w:shd w:val="clear" w:color="auto" w:fill="auto"/>
                  <w:tcMar>
                    <w:top w:w="120" w:type="dxa"/>
                    <w:left w:w="120" w:type="dxa"/>
                    <w:bottom w:w="120" w:type="dxa"/>
                    <w:right w:w="120" w:type="dxa"/>
                  </w:tcMar>
                  <w:vAlign w:val="center"/>
                </w:tcPr>
                <w:p w14:paraId="6E35CDA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955" w:type="pct"/>
                  <w:shd w:val="clear" w:color="auto" w:fill="auto"/>
                  <w:tcMar>
                    <w:top w:w="120" w:type="dxa"/>
                    <w:left w:w="120" w:type="dxa"/>
                    <w:bottom w:w="120" w:type="dxa"/>
                    <w:right w:w="120" w:type="dxa"/>
                  </w:tcMar>
                  <w:vAlign w:val="center"/>
                </w:tcPr>
                <w:p w14:paraId="5F7D4D8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多媒体教室管理</w:t>
                  </w:r>
                </w:p>
              </w:tc>
              <w:tc>
                <w:tcPr>
                  <w:tcW w:w="3474" w:type="pct"/>
                  <w:shd w:val="clear" w:color="auto" w:fill="auto"/>
                  <w:tcMar>
                    <w:top w:w="120" w:type="dxa"/>
                    <w:left w:w="120" w:type="dxa"/>
                    <w:bottom w:w="120" w:type="dxa"/>
                    <w:right w:w="120" w:type="dxa"/>
                  </w:tcMar>
                  <w:vAlign w:val="center"/>
                </w:tcPr>
                <w:p w14:paraId="250BBB8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1.要有高度的责任心，保证教学活动正常进行，认真做好多媒体教室的使用记录，每月向教务处统计报告一次。</w:t>
                  </w:r>
                </w:p>
                <w:p w14:paraId="13DA27B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2.积极配合各教学单位开展多媒体教学，并提供多媒体技术服务，以优化教学手段，提高教学质量。树立服务意识，积极热情接待广大多媒体教室使用教师，做到既方便教师，又做好管理。</w:t>
                  </w:r>
                </w:p>
                <w:p w14:paraId="5AEBE6F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上班时间：上午8:00-12:15，下午13:15-18:15。晚上如有各种讲座及学生活动，按照申请单位安排的时间做好值班保障；周六、日有课上班，保证日常教学正常进行。上课前30分钟必须到岗，上课前10分钟必须做好所有多媒体教室的准备工作，能够指导教师正确地使用多媒体设备，防止因操作不当造成设备损坏，及时处理教师使用多媒体教室过程中出现的故障。</w:t>
                  </w:r>
                </w:p>
                <w:p w14:paraId="716DA8A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4.负责多媒体教室及监控室的监控和管理，以及软、硬件维护。下课后认真检查设备，保证设备正常完好。定期检查和维护设备，发现故障立即排除或上报教务处，保证设备正常运行。</w:t>
                  </w:r>
                </w:p>
                <w:p w14:paraId="2C1F653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5.定期检查安全消防设施，做好多媒体教室的安防保卫工作。</w:t>
                  </w:r>
                </w:p>
              </w:tc>
            </w:tr>
          </w:tbl>
          <w:p w14:paraId="08639E7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7020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9167" w:type="dxa"/>
          </w:tcPr>
          <w:p w14:paraId="3963C25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四、验收标准与要求</w:t>
            </w:r>
          </w:p>
          <w:p w14:paraId="76D6D05A">
            <w:pPr>
              <w:widowControl w:val="0"/>
              <w:spacing w:line="36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1.考核办法</w:t>
            </w:r>
          </w:p>
          <w:p w14:paraId="35CF5B45">
            <w:pPr>
              <w:widowControl w:val="0"/>
              <w:spacing w:line="360" w:lineRule="auto"/>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color w:val="auto"/>
                <w:sz w:val="24"/>
                <w:szCs w:val="24"/>
                <w:lang w:val="en-US" w:eastAsia="zh-CN"/>
              </w:rPr>
              <w:t>年度（12个月）考核：每月考核得分平均值</w:t>
            </w:r>
          </w:p>
          <w:p w14:paraId="41808AC2">
            <w:pPr>
              <w:widowControl w:val="0"/>
              <w:spacing w:line="360" w:lineRule="auto"/>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（二）每月考核结果作为当月物业服务费支付的重要依据，五项考核中有两项低于70分即为总体考核不合格。</w:t>
            </w:r>
          </w:p>
          <w:p w14:paraId="2541FF67">
            <w:pPr>
              <w:widowControl w:val="0"/>
              <w:spacing w:line="360" w:lineRule="auto"/>
              <w:jc w:val="both"/>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（三）年度（12个月）最终考核结果作为是否签订下一半年度合同的重要依据，若年度（12个月）考核综合评分低于85分，将不再续签下一半年度服务合同。</w:t>
            </w:r>
          </w:p>
          <w:p w14:paraId="7D3B9E7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lang w:val="en-US" w:eastAsia="zh-CN"/>
              </w:rPr>
              <w:t>（四）服务质量分为优、良、差三个等级。考核分数≥85分为优；</w:t>
            </w:r>
            <w:r>
              <w:rPr>
                <w:rFonts w:hint="eastAsia" w:asciiTheme="minorEastAsia" w:hAnsiTheme="minorEastAsia" w:eastAsiaTheme="minorEastAsia" w:cstheme="minorEastAsia"/>
                <w:sz w:val="24"/>
                <w:szCs w:val="24"/>
                <w:highlight w:val="none"/>
                <w:lang w:val="en-US" w:eastAsia="zh-CN"/>
              </w:rPr>
              <w:t>70分</w:t>
            </w:r>
            <w:r>
              <w:rPr>
                <w:rFonts w:hint="eastAsia" w:asciiTheme="minorEastAsia" w:hAnsiTheme="minorEastAsia" w:eastAsiaTheme="minorEastAsia" w:cstheme="minorEastAsia"/>
                <w:sz w:val="24"/>
                <w:szCs w:val="24"/>
                <w:lang w:val="en-US" w:eastAsia="zh-CN"/>
              </w:rPr>
              <w:t>≤考核分数＜85分为良；考</w:t>
            </w:r>
            <w:r>
              <w:rPr>
                <w:rFonts w:hint="eastAsia" w:asciiTheme="minorEastAsia" w:hAnsiTheme="minorEastAsia" w:eastAsiaTheme="minorEastAsia" w:cstheme="minorEastAsia"/>
                <w:sz w:val="24"/>
                <w:szCs w:val="24"/>
                <w:highlight w:val="none"/>
                <w:lang w:val="en-US" w:eastAsia="zh-CN"/>
              </w:rPr>
              <w:t>核分数＜70分为差。五项月</w:t>
            </w:r>
            <w:r>
              <w:rPr>
                <w:rFonts w:hint="eastAsia" w:asciiTheme="minorEastAsia" w:hAnsiTheme="minorEastAsia" w:eastAsiaTheme="minorEastAsia" w:cstheme="minorEastAsia"/>
                <w:sz w:val="24"/>
                <w:szCs w:val="24"/>
                <w:lang w:val="en-US" w:eastAsia="zh-CN"/>
              </w:rPr>
              <w:t>度考核结果全部为优，全额支付本月物业服务费用；五项月度考核结果中有两项为良，扣减当月物业管理服务费的5%；五项月度考核结果中有两项为差，扣减当月物业管理服务费的10%。若连续两个月度考核评价为差，则扣减当月物业管理费的20%并解除合同。</w:t>
            </w:r>
          </w:p>
          <w:p w14:paraId="23DDE75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2.验收标准</w:t>
            </w:r>
          </w:p>
          <w:tbl>
            <w:tblPr>
              <w:tblStyle w:val="6"/>
              <w:tblW w:w="45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855"/>
              <w:gridCol w:w="4055"/>
              <w:gridCol w:w="847"/>
              <w:gridCol w:w="862"/>
            </w:tblGrid>
            <w:tr w14:paraId="3AB0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568" w:type="pct"/>
                  <w:vAlign w:val="center"/>
                </w:tcPr>
                <w:p w14:paraId="68DBD32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考核项目</w:t>
                  </w:r>
                </w:p>
              </w:tc>
              <w:tc>
                <w:tcPr>
                  <w:tcW w:w="572" w:type="pct"/>
                  <w:vAlign w:val="center"/>
                </w:tcPr>
                <w:p w14:paraId="4EF00BA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2713" w:type="pct"/>
                  <w:vAlign w:val="center"/>
                </w:tcPr>
                <w:p w14:paraId="3E1B961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验收内容及评分标准</w:t>
                  </w:r>
                </w:p>
              </w:tc>
              <w:tc>
                <w:tcPr>
                  <w:tcW w:w="567" w:type="pct"/>
                  <w:vAlign w:val="center"/>
                </w:tcPr>
                <w:p w14:paraId="14D6A24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分值</w:t>
                  </w:r>
                </w:p>
              </w:tc>
              <w:tc>
                <w:tcPr>
                  <w:tcW w:w="577" w:type="pct"/>
                  <w:vAlign w:val="center"/>
                </w:tcPr>
                <w:p w14:paraId="3BFF549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考核得分</w:t>
                  </w:r>
                </w:p>
              </w:tc>
            </w:tr>
            <w:tr w14:paraId="5CE0A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 w:type="pct"/>
                  <w:vMerge w:val="restart"/>
                  <w:vAlign w:val="center"/>
                </w:tcPr>
                <w:p w14:paraId="41DA40E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室内保洁</w:t>
                  </w:r>
                </w:p>
              </w:tc>
              <w:tc>
                <w:tcPr>
                  <w:tcW w:w="572" w:type="pct"/>
                  <w:vAlign w:val="center"/>
                </w:tcPr>
                <w:p w14:paraId="35EA354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2713" w:type="pct"/>
                  <w:vAlign w:val="top"/>
                </w:tcPr>
                <w:p w14:paraId="43F9E14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楼内走廊、楼梯等公共区域保持干净、光亮、整洁、无杂物。一处不达标扣0.5分。</w:t>
                  </w:r>
                </w:p>
              </w:tc>
              <w:tc>
                <w:tcPr>
                  <w:tcW w:w="567" w:type="pct"/>
                  <w:vAlign w:val="center"/>
                </w:tcPr>
                <w:p w14:paraId="73E06F2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577" w:type="pct"/>
                  <w:vAlign w:val="center"/>
                </w:tcPr>
                <w:p w14:paraId="4FAC5EE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49F9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 w:type="pct"/>
                  <w:vMerge w:val="continue"/>
                </w:tcPr>
                <w:p w14:paraId="131126D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572" w:type="pct"/>
                  <w:vAlign w:val="center"/>
                </w:tcPr>
                <w:p w14:paraId="5999F71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2713" w:type="pct"/>
                  <w:vAlign w:val="top"/>
                </w:tcPr>
                <w:p w14:paraId="573C3E1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楼内公共区域玻璃、门窗、窗台保持干净、无尘土。一处不达标扣0.5分。</w:t>
                  </w:r>
                </w:p>
              </w:tc>
              <w:tc>
                <w:tcPr>
                  <w:tcW w:w="567" w:type="pct"/>
                  <w:vAlign w:val="center"/>
                </w:tcPr>
                <w:p w14:paraId="674628E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577" w:type="pct"/>
                </w:tcPr>
                <w:p w14:paraId="32FC749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7B1F6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 w:type="pct"/>
                  <w:vMerge w:val="continue"/>
                </w:tcPr>
                <w:p w14:paraId="1948F00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572" w:type="pct"/>
                  <w:vAlign w:val="center"/>
                </w:tcPr>
                <w:p w14:paraId="464F887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2713" w:type="pct"/>
                  <w:vAlign w:val="top"/>
                </w:tcPr>
                <w:p w14:paraId="4516C87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楼内卫生间、开水间、储物间、洗衣间、洗漱间、晾衣间：空气清新，大小便池无烟头、杂物，厕纸篓及时倾倒，墙壁、地面、门窗、窗台、玻璃、镜子保持干净、整洁。一处不达标扣0.5分。</w:t>
                  </w:r>
                </w:p>
              </w:tc>
              <w:tc>
                <w:tcPr>
                  <w:tcW w:w="567" w:type="pct"/>
                  <w:vAlign w:val="center"/>
                </w:tcPr>
                <w:p w14:paraId="2BC1286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577" w:type="pct"/>
                </w:tcPr>
                <w:p w14:paraId="388048A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586ED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 w:type="pct"/>
                  <w:vMerge w:val="continue"/>
                </w:tcPr>
                <w:p w14:paraId="11F453F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572" w:type="pct"/>
                  <w:vAlign w:val="center"/>
                </w:tcPr>
                <w:p w14:paraId="0F58C01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2713" w:type="pct"/>
                  <w:vAlign w:val="top"/>
                </w:tcPr>
                <w:p w14:paraId="5D34208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楼内大厅等公共区域地面、墙裙、宣传栏、垃圾箱保持干净、整洁。一处不达标扣0.5分。</w:t>
                  </w:r>
                </w:p>
              </w:tc>
              <w:tc>
                <w:tcPr>
                  <w:tcW w:w="567" w:type="pct"/>
                  <w:vAlign w:val="center"/>
                </w:tcPr>
                <w:p w14:paraId="043A98D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577" w:type="pct"/>
                </w:tcPr>
                <w:p w14:paraId="52F39A4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13636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 w:type="pct"/>
                  <w:vMerge w:val="continue"/>
                </w:tcPr>
                <w:p w14:paraId="7935FF2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572" w:type="pct"/>
                  <w:vAlign w:val="center"/>
                </w:tcPr>
                <w:p w14:paraId="78848EF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2713" w:type="pct"/>
                  <w:vAlign w:val="top"/>
                </w:tcPr>
                <w:p w14:paraId="62A32AB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保持楼内公共区域地面无垃圾、无废弃物。一处不达标扣0.5分。</w:t>
                  </w:r>
                </w:p>
              </w:tc>
              <w:tc>
                <w:tcPr>
                  <w:tcW w:w="567" w:type="pct"/>
                  <w:vAlign w:val="center"/>
                </w:tcPr>
                <w:p w14:paraId="05B8A7E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577" w:type="pct"/>
                </w:tcPr>
                <w:p w14:paraId="5102DB5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3628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 w:type="pct"/>
                  <w:vMerge w:val="continue"/>
                </w:tcPr>
                <w:p w14:paraId="6159CE2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572" w:type="pct"/>
                  <w:vAlign w:val="center"/>
                </w:tcPr>
                <w:p w14:paraId="7DB81A9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w:t>
                  </w:r>
                </w:p>
              </w:tc>
              <w:tc>
                <w:tcPr>
                  <w:tcW w:w="2713" w:type="pct"/>
                  <w:vAlign w:val="top"/>
                </w:tcPr>
                <w:p w14:paraId="1A66406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清洁用具摆放整齐有序，清洁车、洗地车等设备按指定地点存放保管。一处不达标扣0.5分。</w:t>
                  </w:r>
                </w:p>
              </w:tc>
              <w:tc>
                <w:tcPr>
                  <w:tcW w:w="567" w:type="pct"/>
                  <w:vAlign w:val="center"/>
                </w:tcPr>
                <w:p w14:paraId="479E09A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577" w:type="pct"/>
                </w:tcPr>
                <w:p w14:paraId="3734A21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291C6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568" w:type="pct"/>
                  <w:vMerge w:val="continue"/>
                </w:tcPr>
                <w:p w14:paraId="2BF216B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572" w:type="pct"/>
                  <w:vAlign w:val="center"/>
                </w:tcPr>
                <w:p w14:paraId="51728CF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7</w:t>
                  </w:r>
                </w:p>
              </w:tc>
              <w:tc>
                <w:tcPr>
                  <w:tcW w:w="2713" w:type="pct"/>
                  <w:vAlign w:val="top"/>
                </w:tcPr>
                <w:p w14:paraId="7EA3A52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楼内垃圾做到日产日清，垃圾桶光亮整洁、无异味。一处不达标扣0.5分。</w:t>
                  </w:r>
                </w:p>
              </w:tc>
              <w:tc>
                <w:tcPr>
                  <w:tcW w:w="567" w:type="pct"/>
                  <w:vAlign w:val="center"/>
                </w:tcPr>
                <w:p w14:paraId="7883043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577" w:type="pct"/>
                </w:tcPr>
                <w:p w14:paraId="2E3582C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205B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 w:type="pct"/>
                  <w:vMerge w:val="restart"/>
                  <w:vAlign w:val="center"/>
                </w:tcPr>
                <w:p w14:paraId="7BB7E77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室外与绿化带保洁</w:t>
                  </w:r>
                </w:p>
              </w:tc>
              <w:tc>
                <w:tcPr>
                  <w:tcW w:w="572" w:type="pct"/>
                  <w:vAlign w:val="center"/>
                </w:tcPr>
                <w:p w14:paraId="24B6706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8</w:t>
                  </w:r>
                </w:p>
              </w:tc>
              <w:tc>
                <w:tcPr>
                  <w:tcW w:w="2713" w:type="pct"/>
                  <w:vAlign w:val="top"/>
                </w:tcPr>
                <w:p w14:paraId="142783D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室外公共区域地面干净整洁、无废弃物、白色垃圾，遇雨雪天气及时清扫，辖区内无小广告。校园内标识标牌、文化设施、休闲设施（桌、椅）等干净整洁，无污渍。一处不达标扣0.5分。</w:t>
                  </w:r>
                </w:p>
              </w:tc>
              <w:tc>
                <w:tcPr>
                  <w:tcW w:w="567" w:type="pct"/>
                  <w:vAlign w:val="center"/>
                </w:tcPr>
                <w:p w14:paraId="06FE73D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577" w:type="pct"/>
                </w:tcPr>
                <w:p w14:paraId="14138EC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580C7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 w:type="pct"/>
                  <w:vMerge w:val="continue"/>
                </w:tcPr>
                <w:p w14:paraId="264C28C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572" w:type="pct"/>
                  <w:vAlign w:val="center"/>
                </w:tcPr>
                <w:p w14:paraId="5F10124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9</w:t>
                  </w:r>
                </w:p>
              </w:tc>
              <w:tc>
                <w:tcPr>
                  <w:tcW w:w="2713" w:type="pct"/>
                  <w:vAlign w:val="top"/>
                </w:tcPr>
                <w:p w14:paraId="5133F1D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垃圾袋装化，做到日产日清。垃圾桶外表光亮、无外溢，垃圾桶周边干净、无污渍。一处不达标扣0.5分。</w:t>
                  </w:r>
                </w:p>
              </w:tc>
              <w:tc>
                <w:tcPr>
                  <w:tcW w:w="567" w:type="pct"/>
                  <w:vAlign w:val="center"/>
                </w:tcPr>
                <w:p w14:paraId="737EA16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577" w:type="pct"/>
                </w:tcPr>
                <w:p w14:paraId="5AB4FDB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39171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8" w:type="pct"/>
                  <w:vMerge w:val="continue"/>
                </w:tcPr>
                <w:p w14:paraId="647728E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572" w:type="pct"/>
                  <w:vAlign w:val="center"/>
                </w:tcPr>
                <w:p w14:paraId="72AE3F8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2713" w:type="pct"/>
                  <w:vAlign w:val="top"/>
                </w:tcPr>
                <w:p w14:paraId="0A493E6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做好相关服务区域的绿化养护工作，不得出现枯萎、荒漠、虫害现象。草坪、树坑、绿化带内无垃圾、废纸，产生的死树、落叶、树枝、草屑等杂物及时倾倒。一处不达标扣0.5分。</w:t>
                  </w:r>
                </w:p>
              </w:tc>
              <w:tc>
                <w:tcPr>
                  <w:tcW w:w="567" w:type="pct"/>
                  <w:vAlign w:val="center"/>
                </w:tcPr>
                <w:p w14:paraId="1F2CE93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577" w:type="pct"/>
                </w:tcPr>
                <w:p w14:paraId="36FC154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3A8A1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3854" w:type="pct"/>
                  <w:gridSpan w:val="3"/>
                  <w:vAlign w:val="center"/>
                </w:tcPr>
                <w:p w14:paraId="7B375E6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合计</w:t>
                  </w:r>
                </w:p>
              </w:tc>
              <w:tc>
                <w:tcPr>
                  <w:tcW w:w="567" w:type="pct"/>
                  <w:vAlign w:val="center"/>
                </w:tcPr>
                <w:p w14:paraId="0161664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100</w:t>
                  </w:r>
                </w:p>
              </w:tc>
              <w:tc>
                <w:tcPr>
                  <w:tcW w:w="577" w:type="pct"/>
                  <w:vAlign w:val="center"/>
                </w:tcPr>
                <w:p w14:paraId="2AF9C64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bl>
          <w:p w14:paraId="49D8056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p>
          <w:tbl>
            <w:tblPr>
              <w:tblStyle w:val="6"/>
              <w:tblW w:w="468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890"/>
              <w:gridCol w:w="4038"/>
              <w:gridCol w:w="845"/>
              <w:gridCol w:w="1087"/>
            </w:tblGrid>
            <w:tr w14:paraId="1D5B5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14:paraId="4DAA009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考核项目</w:t>
                  </w:r>
                </w:p>
              </w:tc>
              <w:tc>
                <w:tcPr>
                  <w:tcW w:w="890" w:type="dxa"/>
                  <w:vAlign w:val="center"/>
                </w:tcPr>
                <w:p w14:paraId="3F51DBA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4039" w:type="dxa"/>
                  <w:vAlign w:val="center"/>
                </w:tcPr>
                <w:p w14:paraId="52003CE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验收内容及评分标准</w:t>
                  </w:r>
                </w:p>
              </w:tc>
              <w:tc>
                <w:tcPr>
                  <w:tcW w:w="845" w:type="dxa"/>
                  <w:vAlign w:val="center"/>
                </w:tcPr>
                <w:p w14:paraId="39BE3CA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分值</w:t>
                  </w:r>
                </w:p>
              </w:tc>
              <w:tc>
                <w:tcPr>
                  <w:tcW w:w="1087" w:type="dxa"/>
                  <w:vAlign w:val="center"/>
                </w:tcPr>
                <w:p w14:paraId="7A321A5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考核得分</w:t>
                  </w:r>
                </w:p>
              </w:tc>
            </w:tr>
            <w:tr w14:paraId="25C3E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restart"/>
                  <w:vAlign w:val="center"/>
                </w:tcPr>
                <w:p w14:paraId="34DDEA4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餐饮服务</w:t>
                  </w:r>
                </w:p>
              </w:tc>
              <w:tc>
                <w:tcPr>
                  <w:tcW w:w="890" w:type="dxa"/>
                  <w:shd w:val="clear" w:color="auto" w:fill="auto"/>
                  <w:vAlign w:val="center"/>
                </w:tcPr>
                <w:p w14:paraId="14B9951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4039" w:type="dxa"/>
                  <w:shd w:val="clear" w:color="auto" w:fill="auto"/>
                  <w:vAlign w:val="center"/>
                </w:tcPr>
                <w:p w14:paraId="5B3AA44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依据市场监督管理局要求，申领《食品卫生许可证》，并每年进行一次年</w:t>
                  </w:r>
                </w:p>
                <w:p w14:paraId="5B2F2BB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审，一处不达标扣1分。</w:t>
                  </w:r>
                </w:p>
              </w:tc>
              <w:tc>
                <w:tcPr>
                  <w:tcW w:w="845" w:type="dxa"/>
                  <w:shd w:val="clear" w:color="auto" w:fill="auto"/>
                  <w:vAlign w:val="center"/>
                </w:tcPr>
                <w:p w14:paraId="4046BDD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1087" w:type="dxa"/>
                  <w:vAlign w:val="center"/>
                </w:tcPr>
                <w:p w14:paraId="3412B0F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4E335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14:paraId="5C5B978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05C0C14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4039" w:type="dxa"/>
                  <w:shd w:val="clear" w:color="auto" w:fill="auto"/>
                  <w:vAlign w:val="center"/>
                </w:tcPr>
                <w:p w14:paraId="08CF998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监督所有从业人员必须持证上岗（健康证、技术等级证），并且在上班期间按规定穿工衣，佩戴工帽、口罩。一处不达标扣1分。</w:t>
                  </w:r>
                </w:p>
              </w:tc>
              <w:tc>
                <w:tcPr>
                  <w:tcW w:w="845" w:type="dxa"/>
                  <w:shd w:val="clear" w:color="auto" w:fill="auto"/>
                  <w:vAlign w:val="center"/>
                </w:tcPr>
                <w:p w14:paraId="27DCC0D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1087" w:type="dxa"/>
                  <w:vAlign w:val="center"/>
                </w:tcPr>
                <w:p w14:paraId="01A2FF9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221A2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14:paraId="629A161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20C1E55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3</w:t>
                  </w:r>
                </w:p>
              </w:tc>
              <w:tc>
                <w:tcPr>
                  <w:tcW w:w="4039" w:type="dxa"/>
                  <w:shd w:val="clear" w:color="auto" w:fill="auto"/>
                  <w:vAlign w:val="center"/>
                </w:tcPr>
                <w:p w14:paraId="67A1318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严把进货渠道，不得采购来路不明的食品，库管员必须确保食材采购为学校中标单位食材，并完成当日登记台账，一处不达标扣2分。</w:t>
                  </w:r>
                </w:p>
              </w:tc>
              <w:tc>
                <w:tcPr>
                  <w:tcW w:w="845" w:type="dxa"/>
                  <w:shd w:val="clear" w:color="auto" w:fill="auto"/>
                  <w:vAlign w:val="center"/>
                </w:tcPr>
                <w:p w14:paraId="474C44E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1087" w:type="dxa"/>
                  <w:vAlign w:val="center"/>
                </w:tcPr>
                <w:p w14:paraId="0DAA3A3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4B74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14:paraId="2C166B1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2796B62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4039" w:type="dxa"/>
                  <w:shd w:val="clear" w:color="auto" w:fill="auto"/>
                  <w:vAlign w:val="center"/>
                </w:tcPr>
                <w:p w14:paraId="3D7F221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严禁给师生提供腐烂、变质、过期食品，新鲜瓜果蔬菜认真清洗干净，一处不达标扣2分。</w:t>
                  </w:r>
                </w:p>
              </w:tc>
              <w:tc>
                <w:tcPr>
                  <w:tcW w:w="845" w:type="dxa"/>
                  <w:shd w:val="clear" w:color="auto" w:fill="auto"/>
                  <w:vAlign w:val="center"/>
                </w:tcPr>
                <w:p w14:paraId="7D45781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8</w:t>
                  </w:r>
                </w:p>
              </w:tc>
              <w:tc>
                <w:tcPr>
                  <w:tcW w:w="1087" w:type="dxa"/>
                  <w:vAlign w:val="center"/>
                </w:tcPr>
                <w:p w14:paraId="7B6FE75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6FFF0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14:paraId="6053A58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0154021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4039" w:type="dxa"/>
                  <w:shd w:val="clear" w:color="auto" w:fill="auto"/>
                  <w:vAlign w:val="center"/>
                </w:tcPr>
                <w:p w14:paraId="4FF0430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保持食堂内外环境卫生干净整洁，采取“三防”“四定 ”办法，一处不达标扣1分。</w:t>
                  </w:r>
                </w:p>
              </w:tc>
              <w:tc>
                <w:tcPr>
                  <w:tcW w:w="845" w:type="dxa"/>
                  <w:shd w:val="clear" w:color="auto" w:fill="auto"/>
                  <w:vAlign w:val="center"/>
                </w:tcPr>
                <w:p w14:paraId="66D1F4B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7</w:t>
                  </w:r>
                </w:p>
              </w:tc>
              <w:tc>
                <w:tcPr>
                  <w:tcW w:w="1087" w:type="dxa"/>
                  <w:vAlign w:val="center"/>
                </w:tcPr>
                <w:p w14:paraId="7C01A20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047B6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14:paraId="142E39B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58DA53A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w:t>
                  </w:r>
                </w:p>
              </w:tc>
              <w:tc>
                <w:tcPr>
                  <w:tcW w:w="4039" w:type="dxa"/>
                  <w:shd w:val="clear" w:color="auto" w:fill="auto"/>
                  <w:vAlign w:val="center"/>
                </w:tcPr>
                <w:p w14:paraId="123BB9F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每餐必须对餐具进行清洗消毒，食品用具、餐具实行“ 四过关”，即：一洗、二刷、三冲、四消毒，一处不达标扣1分。</w:t>
                  </w:r>
                </w:p>
              </w:tc>
              <w:tc>
                <w:tcPr>
                  <w:tcW w:w="845" w:type="dxa"/>
                  <w:shd w:val="clear" w:color="auto" w:fill="auto"/>
                  <w:vAlign w:val="center"/>
                </w:tcPr>
                <w:p w14:paraId="32A5887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1087" w:type="dxa"/>
                  <w:vAlign w:val="center"/>
                </w:tcPr>
                <w:p w14:paraId="1448C85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70BA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14:paraId="2BBD516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04DFD48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7</w:t>
                  </w:r>
                </w:p>
              </w:tc>
              <w:tc>
                <w:tcPr>
                  <w:tcW w:w="4039" w:type="dxa"/>
                  <w:shd w:val="clear" w:color="auto" w:fill="auto"/>
                  <w:vAlign w:val="center"/>
                </w:tcPr>
                <w:p w14:paraId="6E27D0C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操作间、餐厅做到每天清洗、擦扫；每周大扫除，油烟机、操作台、墙壁、地面保持清洁、无污垢，一处不达标扣1分。</w:t>
                  </w:r>
                </w:p>
              </w:tc>
              <w:tc>
                <w:tcPr>
                  <w:tcW w:w="845" w:type="dxa"/>
                  <w:shd w:val="clear" w:color="auto" w:fill="auto"/>
                  <w:vAlign w:val="center"/>
                </w:tcPr>
                <w:p w14:paraId="116C82F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8</w:t>
                  </w:r>
                </w:p>
              </w:tc>
              <w:tc>
                <w:tcPr>
                  <w:tcW w:w="1087" w:type="dxa"/>
                  <w:vAlign w:val="center"/>
                </w:tcPr>
                <w:p w14:paraId="57DF852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1DA41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14:paraId="6624BEB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594D0D7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8</w:t>
                  </w:r>
                </w:p>
              </w:tc>
              <w:tc>
                <w:tcPr>
                  <w:tcW w:w="4039" w:type="dxa"/>
                  <w:shd w:val="clear" w:color="auto" w:fill="auto"/>
                  <w:vAlign w:val="center"/>
                </w:tcPr>
                <w:p w14:paraId="3B375FD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库房内存放的食品要分类，隔墙离地，专人保管，负责人定时检查，一处不达标扣1分。</w:t>
                  </w:r>
                </w:p>
              </w:tc>
              <w:tc>
                <w:tcPr>
                  <w:tcW w:w="845" w:type="dxa"/>
                  <w:shd w:val="clear" w:color="auto" w:fill="auto"/>
                  <w:vAlign w:val="center"/>
                </w:tcPr>
                <w:p w14:paraId="111BF87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1087" w:type="dxa"/>
                  <w:vAlign w:val="center"/>
                </w:tcPr>
                <w:p w14:paraId="658D44D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7825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14:paraId="45DD21B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2DA104D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9</w:t>
                  </w:r>
                </w:p>
              </w:tc>
              <w:tc>
                <w:tcPr>
                  <w:tcW w:w="4039" w:type="dxa"/>
                  <w:shd w:val="clear" w:color="auto" w:fill="auto"/>
                  <w:vAlign w:val="center"/>
                </w:tcPr>
                <w:p w14:paraId="3BB6519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库房应当干燥、通风，采取消除苍蝇、老鼠、蟑螂和其他有害昆虫及其孳生条件的措施，贮存食品的容器必须安全、无害，一处不达标扣2分。</w:t>
                  </w:r>
                </w:p>
              </w:tc>
              <w:tc>
                <w:tcPr>
                  <w:tcW w:w="845" w:type="dxa"/>
                  <w:shd w:val="clear" w:color="auto" w:fill="auto"/>
                  <w:vAlign w:val="center"/>
                </w:tcPr>
                <w:p w14:paraId="54728AD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16</w:t>
                  </w:r>
                </w:p>
              </w:tc>
              <w:tc>
                <w:tcPr>
                  <w:tcW w:w="1087" w:type="dxa"/>
                  <w:vAlign w:val="center"/>
                </w:tcPr>
                <w:p w14:paraId="794C6DF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49A64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14:paraId="475332F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791FE0E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4039" w:type="dxa"/>
                  <w:shd w:val="clear" w:color="auto" w:fill="auto"/>
                  <w:vAlign w:val="center"/>
                </w:tcPr>
                <w:p w14:paraId="1B6068E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建立健全食品安全管理档案，督促相关从业人员做好食品原料进货台账、餐饮器具消毒记录、餐厨废弃物处理记录、食品添加剂使用记录、食品留样记录、员工晨检记录、员工培训记录，日常收尾记录，一处不达标扣2分。</w:t>
                  </w:r>
                </w:p>
              </w:tc>
              <w:tc>
                <w:tcPr>
                  <w:tcW w:w="845" w:type="dxa"/>
                  <w:shd w:val="clear" w:color="auto" w:fill="auto"/>
                  <w:vAlign w:val="center"/>
                </w:tcPr>
                <w:p w14:paraId="3286EB0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16</w:t>
                  </w:r>
                </w:p>
              </w:tc>
              <w:tc>
                <w:tcPr>
                  <w:tcW w:w="1087" w:type="dxa"/>
                  <w:vAlign w:val="center"/>
                </w:tcPr>
                <w:p w14:paraId="7CB4136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5D454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14:paraId="5B12504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746B823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11</w:t>
                  </w:r>
                </w:p>
              </w:tc>
              <w:tc>
                <w:tcPr>
                  <w:tcW w:w="4039" w:type="dxa"/>
                  <w:shd w:val="clear" w:color="auto" w:fill="auto"/>
                  <w:vAlign w:val="center"/>
                </w:tcPr>
                <w:p w14:paraId="09E33EF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工作人员要认真做好防盗、防火、防毒、用电、用气安全，不准撕拉、乱接电源；开油锅人员不得随便离开， 电器、制冷设备应有专人管理，一处不达标扣1分。</w:t>
                  </w:r>
                </w:p>
              </w:tc>
              <w:tc>
                <w:tcPr>
                  <w:tcW w:w="845" w:type="dxa"/>
                  <w:shd w:val="clear" w:color="auto" w:fill="auto"/>
                  <w:vAlign w:val="center"/>
                </w:tcPr>
                <w:p w14:paraId="0BE1035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1087" w:type="dxa"/>
                  <w:vAlign w:val="center"/>
                </w:tcPr>
                <w:p w14:paraId="52C3E47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39B0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14:paraId="28DF3B5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45E5217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12</w:t>
                  </w:r>
                </w:p>
              </w:tc>
              <w:tc>
                <w:tcPr>
                  <w:tcW w:w="4039" w:type="dxa"/>
                  <w:shd w:val="clear" w:color="auto" w:fill="auto"/>
                  <w:vAlign w:val="center"/>
                </w:tcPr>
                <w:p w14:paraId="2E58E9F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操作间内炊事人员工衣整洁、统一，操作期间佩戴口罩、手套、发网，一处不达标扣1分。</w:t>
                  </w:r>
                </w:p>
              </w:tc>
              <w:tc>
                <w:tcPr>
                  <w:tcW w:w="845" w:type="dxa"/>
                  <w:shd w:val="clear" w:color="auto" w:fill="auto"/>
                  <w:vAlign w:val="center"/>
                </w:tcPr>
                <w:p w14:paraId="2CD8E7A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1087" w:type="dxa"/>
                  <w:vAlign w:val="center"/>
                </w:tcPr>
                <w:p w14:paraId="45AF054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43B0C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14:paraId="3462C94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28F4684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13</w:t>
                  </w:r>
                </w:p>
              </w:tc>
              <w:tc>
                <w:tcPr>
                  <w:tcW w:w="4039" w:type="dxa"/>
                  <w:shd w:val="clear" w:color="auto" w:fill="auto"/>
                  <w:vAlign w:val="center"/>
                </w:tcPr>
                <w:p w14:paraId="01A2BCB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所售饭菜必须在规定时间内按要求明码标价，一处不达标扣2分。</w:t>
                  </w:r>
                </w:p>
              </w:tc>
              <w:tc>
                <w:tcPr>
                  <w:tcW w:w="845" w:type="dxa"/>
                  <w:shd w:val="clear" w:color="auto" w:fill="auto"/>
                  <w:vAlign w:val="center"/>
                </w:tcPr>
                <w:p w14:paraId="024DF33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1087" w:type="dxa"/>
                  <w:vAlign w:val="center"/>
                </w:tcPr>
                <w:p w14:paraId="7287517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70378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Merge w:val="continue"/>
                  <w:vAlign w:val="center"/>
                </w:tcPr>
                <w:p w14:paraId="28D9D9E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105BA70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14</w:t>
                  </w:r>
                </w:p>
              </w:tc>
              <w:tc>
                <w:tcPr>
                  <w:tcW w:w="4039" w:type="dxa"/>
                  <w:shd w:val="clear" w:color="auto" w:fill="auto"/>
                  <w:vAlign w:val="center"/>
                </w:tcPr>
                <w:p w14:paraId="632AEC6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操作间内，严格按照“四化问题”和“6T管理”制度执行，一处不达标扣1</w:t>
                  </w:r>
                </w:p>
                <w:p w14:paraId="1F997E2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分</w:t>
                  </w:r>
                </w:p>
              </w:tc>
              <w:tc>
                <w:tcPr>
                  <w:tcW w:w="845" w:type="dxa"/>
                  <w:shd w:val="clear" w:color="auto" w:fill="auto"/>
                  <w:vAlign w:val="center"/>
                </w:tcPr>
                <w:p w14:paraId="1DFAC1E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1087" w:type="dxa"/>
                  <w:vAlign w:val="center"/>
                </w:tcPr>
                <w:p w14:paraId="3ED7A53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153D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744" w:type="dxa"/>
                  <w:gridSpan w:val="3"/>
                  <w:vAlign w:val="center"/>
                </w:tcPr>
                <w:p w14:paraId="17E7857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合计</w:t>
                  </w:r>
                </w:p>
              </w:tc>
              <w:tc>
                <w:tcPr>
                  <w:tcW w:w="845" w:type="dxa"/>
                  <w:vAlign w:val="center"/>
                </w:tcPr>
                <w:p w14:paraId="5068468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1087" w:type="dxa"/>
                  <w:shd w:val="clear" w:color="auto" w:fill="auto"/>
                  <w:vAlign w:val="center"/>
                </w:tcPr>
                <w:p w14:paraId="00D59FF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100</w:t>
                  </w:r>
                </w:p>
              </w:tc>
            </w:tr>
          </w:tbl>
          <w:p w14:paraId="4D4F68D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p>
          <w:tbl>
            <w:tblPr>
              <w:tblStyle w:val="6"/>
              <w:tblW w:w="45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903"/>
              <w:gridCol w:w="4062"/>
              <w:gridCol w:w="930"/>
              <w:gridCol w:w="823"/>
            </w:tblGrid>
            <w:tr w14:paraId="44585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pct"/>
                  <w:vAlign w:val="center"/>
                </w:tcPr>
                <w:p w14:paraId="755E424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考核项目</w:t>
                  </w:r>
                </w:p>
              </w:tc>
              <w:tc>
                <w:tcPr>
                  <w:tcW w:w="600" w:type="pct"/>
                  <w:vAlign w:val="center"/>
                </w:tcPr>
                <w:p w14:paraId="110A5BE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2705" w:type="pct"/>
                  <w:vAlign w:val="center"/>
                </w:tcPr>
                <w:p w14:paraId="0AD505B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验收内容及评分标准</w:t>
                  </w:r>
                </w:p>
              </w:tc>
              <w:tc>
                <w:tcPr>
                  <w:tcW w:w="619" w:type="pct"/>
                  <w:vAlign w:val="center"/>
                </w:tcPr>
                <w:p w14:paraId="3982C74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分值</w:t>
                  </w:r>
                </w:p>
              </w:tc>
              <w:tc>
                <w:tcPr>
                  <w:tcW w:w="548" w:type="pct"/>
                  <w:vAlign w:val="center"/>
                </w:tcPr>
                <w:p w14:paraId="40DA846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考核得分</w:t>
                  </w:r>
                </w:p>
              </w:tc>
            </w:tr>
            <w:tr w14:paraId="1DAEB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pct"/>
                  <w:vMerge w:val="restart"/>
                  <w:vAlign w:val="center"/>
                </w:tcPr>
                <w:p w14:paraId="450992F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维修服务</w:t>
                  </w:r>
                </w:p>
              </w:tc>
              <w:tc>
                <w:tcPr>
                  <w:tcW w:w="600" w:type="pct"/>
                  <w:shd w:val="clear" w:color="auto" w:fill="auto"/>
                  <w:vAlign w:val="center"/>
                </w:tcPr>
                <w:p w14:paraId="22F848A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2705" w:type="pct"/>
                  <w:shd w:val="clear" w:color="auto" w:fill="auto"/>
                  <w:vAlign w:val="top"/>
                </w:tcPr>
                <w:p w14:paraId="6CCA027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墙面破损，室内及屋顶漏水，瓷砖空鼓、破损等要及时进行维修，保障其使用功能。保持校园内路面的平整，无坑洼、无破损，发现问题及时修复。每项不达标扣1分。</w:t>
                  </w:r>
                </w:p>
              </w:tc>
              <w:tc>
                <w:tcPr>
                  <w:tcW w:w="619" w:type="pct"/>
                  <w:shd w:val="clear" w:color="auto" w:fill="auto"/>
                  <w:vAlign w:val="center"/>
                </w:tcPr>
                <w:p w14:paraId="673C589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548" w:type="pct"/>
                </w:tcPr>
                <w:p w14:paraId="23DAE18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156C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pct"/>
                  <w:vMerge w:val="continue"/>
                  <w:vAlign w:val="center"/>
                </w:tcPr>
                <w:p w14:paraId="286158D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600" w:type="pct"/>
                  <w:shd w:val="clear" w:color="auto" w:fill="auto"/>
                  <w:vAlign w:val="center"/>
                </w:tcPr>
                <w:p w14:paraId="4C039DB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2</w:t>
                  </w:r>
                </w:p>
              </w:tc>
              <w:tc>
                <w:tcPr>
                  <w:tcW w:w="2705" w:type="pct"/>
                  <w:shd w:val="clear" w:color="auto" w:fill="auto"/>
                  <w:vAlign w:val="top"/>
                </w:tcPr>
                <w:p w14:paraId="68F91DB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ascii="宋体" w:hAnsi="宋体" w:eastAsia="宋体" w:cs="宋体"/>
                      <w:sz w:val="24"/>
                      <w:szCs w:val="24"/>
                      <w:highlight w:val="none"/>
                    </w:rPr>
                    <w:t>电工、水暖工需按规定足额配置，严格执行值班制度，违反其中任意一项，本项不得分。</w:t>
                  </w:r>
                </w:p>
              </w:tc>
              <w:tc>
                <w:tcPr>
                  <w:tcW w:w="619" w:type="pct"/>
                  <w:shd w:val="clear" w:color="auto" w:fill="auto"/>
                  <w:vAlign w:val="center"/>
                </w:tcPr>
                <w:p w14:paraId="3601B74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548" w:type="pct"/>
                </w:tcPr>
                <w:p w14:paraId="316C8AA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6AC41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pct"/>
                  <w:vMerge w:val="continue"/>
                  <w:vAlign w:val="center"/>
                </w:tcPr>
                <w:p w14:paraId="1E984F0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600" w:type="pct"/>
                  <w:shd w:val="clear" w:color="auto" w:fill="auto"/>
                  <w:vAlign w:val="center"/>
                </w:tcPr>
                <w:p w14:paraId="736D8B9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2705" w:type="pct"/>
                  <w:shd w:val="clear" w:color="auto" w:fill="auto"/>
                  <w:vAlign w:val="top"/>
                </w:tcPr>
                <w:p w14:paraId="0763311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定期检查上下水管道，及时清掏污水井、化粪池、隔油池、雨水井等，避免堵、漏、跑、冒现象发生。每项不达标扣1分。</w:t>
                  </w:r>
                </w:p>
              </w:tc>
              <w:tc>
                <w:tcPr>
                  <w:tcW w:w="619" w:type="pct"/>
                  <w:shd w:val="clear" w:color="auto" w:fill="auto"/>
                  <w:vAlign w:val="center"/>
                </w:tcPr>
                <w:p w14:paraId="0AC0903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w:t>
                  </w:r>
                </w:p>
              </w:tc>
              <w:tc>
                <w:tcPr>
                  <w:tcW w:w="548" w:type="pct"/>
                </w:tcPr>
                <w:p w14:paraId="5DF7A27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1978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pct"/>
                  <w:vMerge w:val="continue"/>
                  <w:vAlign w:val="center"/>
                </w:tcPr>
                <w:p w14:paraId="7B32654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600" w:type="pct"/>
                  <w:shd w:val="clear" w:color="auto" w:fill="auto"/>
                  <w:vAlign w:val="center"/>
                </w:tcPr>
                <w:p w14:paraId="041EC36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2705" w:type="pct"/>
                  <w:shd w:val="clear" w:color="auto" w:fill="auto"/>
                  <w:vAlign w:val="top"/>
                </w:tcPr>
                <w:p w14:paraId="46C4287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巡查物业服务区域内灭火器材、消防管道等消防设施设备，对每日巡检结果进行记录，发现消防隐患及时上报相关负责人。每项不达标扣1分。</w:t>
                  </w:r>
                </w:p>
              </w:tc>
              <w:tc>
                <w:tcPr>
                  <w:tcW w:w="619" w:type="pct"/>
                  <w:shd w:val="clear" w:color="auto" w:fill="auto"/>
                  <w:vAlign w:val="center"/>
                </w:tcPr>
                <w:p w14:paraId="6679779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w:t>
                  </w:r>
                </w:p>
              </w:tc>
              <w:tc>
                <w:tcPr>
                  <w:tcW w:w="548" w:type="pct"/>
                </w:tcPr>
                <w:p w14:paraId="51108D0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5C32F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pct"/>
                  <w:vMerge w:val="continue"/>
                  <w:vAlign w:val="center"/>
                </w:tcPr>
                <w:p w14:paraId="4351036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600" w:type="pct"/>
                  <w:shd w:val="clear" w:color="auto" w:fill="auto"/>
                  <w:vAlign w:val="center"/>
                </w:tcPr>
                <w:p w14:paraId="2A20AD9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2705" w:type="pct"/>
                  <w:shd w:val="clear" w:color="auto" w:fill="auto"/>
                  <w:vAlign w:val="top"/>
                </w:tcPr>
                <w:p w14:paraId="7A45A71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做好变压器和电梯维保、检测，及时排除故障，确保正常运行。每项不达标扣1分。及时检查配电箱、变压器及其它配电设施设备的运行情况。保障室外照明，配电设施设备的安全平稳运行。每项不达标扣1分。</w:t>
                  </w:r>
                </w:p>
              </w:tc>
              <w:tc>
                <w:tcPr>
                  <w:tcW w:w="619" w:type="pct"/>
                  <w:shd w:val="clear" w:color="auto" w:fill="auto"/>
                  <w:vAlign w:val="center"/>
                </w:tcPr>
                <w:p w14:paraId="0AD1202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548" w:type="pct"/>
                </w:tcPr>
                <w:p w14:paraId="223F2CD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62F01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pct"/>
                  <w:vMerge w:val="continue"/>
                  <w:vAlign w:val="center"/>
                </w:tcPr>
                <w:p w14:paraId="7E98780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600" w:type="pct"/>
                  <w:vAlign w:val="center"/>
                </w:tcPr>
                <w:p w14:paraId="7315470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w:t>
                  </w:r>
                </w:p>
              </w:tc>
              <w:tc>
                <w:tcPr>
                  <w:tcW w:w="2705" w:type="pct"/>
                  <w:shd w:val="clear" w:color="auto" w:fill="auto"/>
                  <w:vAlign w:val="top"/>
                </w:tcPr>
                <w:p w14:paraId="10C7788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遇突发紧急性维修项目（如：下水堵塞、供水系统维修、暖气漏水、室内线路故障等）接到保修10分钟内到达现场进行维修，小型维修项目立即完成，不过夜。每项不达标扣1分。</w:t>
                  </w:r>
                </w:p>
              </w:tc>
              <w:tc>
                <w:tcPr>
                  <w:tcW w:w="619" w:type="pct"/>
                  <w:shd w:val="clear" w:color="auto" w:fill="auto"/>
                  <w:vAlign w:val="center"/>
                </w:tcPr>
                <w:p w14:paraId="4A07EC6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548" w:type="pct"/>
                  <w:vAlign w:val="top"/>
                </w:tcPr>
                <w:p w14:paraId="0080FCD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1926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126" w:type="pct"/>
                  <w:gridSpan w:val="2"/>
                  <w:vAlign w:val="center"/>
                </w:tcPr>
                <w:p w14:paraId="1615D6C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合计</w:t>
                  </w:r>
                </w:p>
              </w:tc>
              <w:tc>
                <w:tcPr>
                  <w:tcW w:w="2705" w:type="pct"/>
                  <w:vAlign w:val="center"/>
                </w:tcPr>
                <w:p w14:paraId="7FE3183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619" w:type="pct"/>
                  <w:vAlign w:val="center"/>
                </w:tcPr>
                <w:p w14:paraId="7857DF1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548" w:type="pct"/>
                  <w:shd w:val="clear" w:color="auto" w:fill="auto"/>
                  <w:vAlign w:val="center"/>
                </w:tcPr>
                <w:p w14:paraId="566E9C2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100</w:t>
                  </w:r>
                </w:p>
              </w:tc>
            </w:tr>
          </w:tbl>
          <w:p w14:paraId="0E5FF5E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p>
          <w:tbl>
            <w:tblPr>
              <w:tblStyle w:val="6"/>
              <w:tblW w:w="45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90"/>
              <w:gridCol w:w="4054"/>
              <w:gridCol w:w="922"/>
              <w:gridCol w:w="844"/>
            </w:tblGrid>
            <w:tr w14:paraId="4E253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817" w:type="dxa"/>
                  <w:vAlign w:val="center"/>
                </w:tcPr>
                <w:p w14:paraId="2D40914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考核项目</w:t>
                  </w:r>
                </w:p>
              </w:tc>
              <w:tc>
                <w:tcPr>
                  <w:tcW w:w="890" w:type="dxa"/>
                  <w:vAlign w:val="center"/>
                </w:tcPr>
                <w:p w14:paraId="7058EC7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4055" w:type="dxa"/>
                  <w:vAlign w:val="center"/>
                </w:tcPr>
                <w:p w14:paraId="0A11A9E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验收内容及评分标准</w:t>
                  </w:r>
                </w:p>
              </w:tc>
              <w:tc>
                <w:tcPr>
                  <w:tcW w:w="922" w:type="dxa"/>
                  <w:vAlign w:val="center"/>
                </w:tcPr>
                <w:p w14:paraId="2A02E72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分值</w:t>
                  </w:r>
                </w:p>
              </w:tc>
              <w:tc>
                <w:tcPr>
                  <w:tcW w:w="844" w:type="dxa"/>
                  <w:vAlign w:val="center"/>
                </w:tcPr>
                <w:p w14:paraId="1F6CC57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考核得分</w:t>
                  </w:r>
                </w:p>
              </w:tc>
            </w:tr>
            <w:tr w14:paraId="38CB0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vAlign w:val="center"/>
                </w:tcPr>
                <w:p w14:paraId="5101942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公寓值班服务</w:t>
                  </w:r>
                </w:p>
              </w:tc>
              <w:tc>
                <w:tcPr>
                  <w:tcW w:w="890" w:type="dxa"/>
                  <w:shd w:val="clear" w:color="auto" w:fill="auto"/>
                  <w:vAlign w:val="center"/>
                </w:tcPr>
                <w:p w14:paraId="7A5714F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4055" w:type="dxa"/>
                  <w:shd w:val="clear" w:color="auto" w:fill="auto"/>
                  <w:vAlign w:val="top"/>
                </w:tcPr>
                <w:p w14:paraId="3ECA10D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人员配置必须达到规定人数，严格执行值班规定。</w:t>
                  </w:r>
                </w:p>
              </w:tc>
              <w:tc>
                <w:tcPr>
                  <w:tcW w:w="922" w:type="dxa"/>
                  <w:shd w:val="clear" w:color="auto" w:fill="auto"/>
                  <w:vAlign w:val="center"/>
                </w:tcPr>
                <w:p w14:paraId="5BB9DFA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844" w:type="dxa"/>
                </w:tcPr>
                <w:p w14:paraId="7266E0F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3F4A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70935DC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0A97E60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4055" w:type="dxa"/>
                  <w:shd w:val="clear" w:color="auto" w:fill="auto"/>
                  <w:vAlign w:val="top"/>
                </w:tcPr>
                <w:p w14:paraId="404B3F2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做好学生公寓楼内的值班工作，值班期间不脱岗、不迟到、不早退、不做与本职工作无关的事情。一项不达标扣1分。做好值班记录和交接班工作，按时交接班，若因有事外出，与负责人请假。一项不达标扣1分。</w:t>
                  </w:r>
                </w:p>
              </w:tc>
              <w:tc>
                <w:tcPr>
                  <w:tcW w:w="922" w:type="dxa"/>
                  <w:shd w:val="clear" w:color="auto" w:fill="auto"/>
                  <w:vAlign w:val="center"/>
                </w:tcPr>
                <w:p w14:paraId="6942E9D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844" w:type="dxa"/>
                </w:tcPr>
                <w:p w14:paraId="6FF6CD4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60304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4E94A78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6E2387E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4055" w:type="dxa"/>
                  <w:shd w:val="clear" w:color="auto" w:fill="auto"/>
                  <w:vAlign w:val="top"/>
                </w:tcPr>
                <w:p w14:paraId="331CF3B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大件物品出楼要登记核实，闲杂人员不得进入学生公寓，对来访人员办理登记手续。一项不达标扣1分。</w:t>
                  </w:r>
                </w:p>
              </w:tc>
              <w:tc>
                <w:tcPr>
                  <w:tcW w:w="922" w:type="dxa"/>
                  <w:shd w:val="clear" w:color="auto" w:fill="auto"/>
                  <w:vAlign w:val="center"/>
                </w:tcPr>
                <w:p w14:paraId="0FC8C8C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844" w:type="dxa"/>
                </w:tcPr>
                <w:p w14:paraId="07DE90D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6CA1B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6F29D53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7A92C34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4055" w:type="dxa"/>
                  <w:shd w:val="clear" w:color="auto" w:fill="auto"/>
                  <w:vAlign w:val="top"/>
                </w:tcPr>
                <w:p w14:paraId="16A39BE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做好学生公寓防火工作。严查学生在宿舍内使用电热毯及电炉等违禁电器情况，发现不安全因素迅速处理及时上报。一项不达标扣1分。</w:t>
                  </w:r>
                </w:p>
              </w:tc>
              <w:tc>
                <w:tcPr>
                  <w:tcW w:w="922" w:type="dxa"/>
                  <w:shd w:val="clear" w:color="auto" w:fill="auto"/>
                  <w:vAlign w:val="center"/>
                </w:tcPr>
                <w:p w14:paraId="6BF49E0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w:t>
                  </w:r>
                </w:p>
              </w:tc>
              <w:tc>
                <w:tcPr>
                  <w:tcW w:w="844" w:type="dxa"/>
                </w:tcPr>
                <w:p w14:paraId="71552F5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31FE0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1475A72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39CBABB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4055" w:type="dxa"/>
                  <w:shd w:val="clear" w:color="auto" w:fill="auto"/>
                  <w:vAlign w:val="top"/>
                </w:tcPr>
                <w:p w14:paraId="0F56A76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负责学生公寓楼内水、电、暖、通讯、网络及其他设施设备的报修工作。一项不达标扣1分。</w:t>
                  </w:r>
                </w:p>
              </w:tc>
              <w:tc>
                <w:tcPr>
                  <w:tcW w:w="922" w:type="dxa"/>
                  <w:shd w:val="clear" w:color="auto" w:fill="auto"/>
                  <w:vAlign w:val="center"/>
                </w:tcPr>
                <w:p w14:paraId="40D6CBB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w:t>
                  </w:r>
                </w:p>
              </w:tc>
              <w:tc>
                <w:tcPr>
                  <w:tcW w:w="844" w:type="dxa"/>
                </w:tcPr>
                <w:p w14:paraId="0811F8F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5CF48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6245BDF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0" w:type="dxa"/>
                  <w:shd w:val="clear" w:color="auto" w:fill="auto"/>
                  <w:vAlign w:val="center"/>
                </w:tcPr>
                <w:p w14:paraId="4979B8A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w:t>
                  </w:r>
                </w:p>
              </w:tc>
              <w:tc>
                <w:tcPr>
                  <w:tcW w:w="4055" w:type="dxa"/>
                  <w:shd w:val="clear" w:color="auto" w:fill="auto"/>
                  <w:vAlign w:val="top"/>
                </w:tcPr>
                <w:p w14:paraId="6D0E7BF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文明服务、不得与学生发生正面冲突。一项不达标扣1分。</w:t>
                  </w:r>
                </w:p>
              </w:tc>
              <w:tc>
                <w:tcPr>
                  <w:tcW w:w="922" w:type="dxa"/>
                  <w:shd w:val="clear" w:color="auto" w:fill="auto"/>
                  <w:vAlign w:val="center"/>
                </w:tcPr>
                <w:p w14:paraId="278B647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w:t>
                  </w:r>
                </w:p>
              </w:tc>
              <w:tc>
                <w:tcPr>
                  <w:tcW w:w="844" w:type="dxa"/>
                </w:tcPr>
                <w:p w14:paraId="2448429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5099D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762" w:type="dxa"/>
                  <w:gridSpan w:val="3"/>
                  <w:vAlign w:val="center"/>
                </w:tcPr>
                <w:p w14:paraId="58FF60D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合计</w:t>
                  </w:r>
                </w:p>
              </w:tc>
              <w:tc>
                <w:tcPr>
                  <w:tcW w:w="922" w:type="dxa"/>
                  <w:shd w:val="clear" w:color="auto" w:fill="auto"/>
                  <w:vAlign w:val="center"/>
                </w:tcPr>
                <w:p w14:paraId="1D61F53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100</w:t>
                  </w:r>
                </w:p>
              </w:tc>
              <w:tc>
                <w:tcPr>
                  <w:tcW w:w="844" w:type="dxa"/>
                  <w:vAlign w:val="center"/>
                </w:tcPr>
                <w:p w14:paraId="04ED611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bl>
          <w:p w14:paraId="30168DD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p>
          <w:tbl>
            <w:tblPr>
              <w:tblStyle w:val="6"/>
              <w:tblW w:w="46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897"/>
              <w:gridCol w:w="4055"/>
              <w:gridCol w:w="828"/>
              <w:gridCol w:w="975"/>
            </w:tblGrid>
            <w:tr w14:paraId="50999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14:paraId="524B935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考核项目</w:t>
                  </w:r>
                </w:p>
              </w:tc>
              <w:tc>
                <w:tcPr>
                  <w:tcW w:w="897" w:type="dxa"/>
                  <w:vAlign w:val="center"/>
                </w:tcPr>
                <w:p w14:paraId="1F84825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4055" w:type="dxa"/>
                  <w:vAlign w:val="center"/>
                </w:tcPr>
                <w:p w14:paraId="558BFFA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验收内容及评分标准</w:t>
                  </w:r>
                </w:p>
              </w:tc>
              <w:tc>
                <w:tcPr>
                  <w:tcW w:w="828" w:type="dxa"/>
                  <w:vAlign w:val="center"/>
                </w:tcPr>
                <w:p w14:paraId="4769E3A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分值</w:t>
                  </w:r>
                </w:p>
              </w:tc>
              <w:tc>
                <w:tcPr>
                  <w:tcW w:w="975" w:type="dxa"/>
                  <w:vAlign w:val="center"/>
                </w:tcPr>
                <w:p w14:paraId="7C9914A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考核得分</w:t>
                  </w:r>
                </w:p>
              </w:tc>
            </w:tr>
            <w:tr w14:paraId="4E0D2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restart"/>
                  <w:vAlign w:val="center"/>
                </w:tcPr>
                <w:p w14:paraId="2F9FD01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琴房管理</w:t>
                  </w:r>
                </w:p>
              </w:tc>
              <w:tc>
                <w:tcPr>
                  <w:tcW w:w="897" w:type="dxa"/>
                  <w:vAlign w:val="center"/>
                </w:tcPr>
                <w:p w14:paraId="46E76EA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4055" w:type="dxa"/>
                </w:tcPr>
                <w:p w14:paraId="11C496C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按规定时间开放琴房门，不得迟到早退，认真做好值班记录。如遇突发事件及时处理。一处不达标扣1分。</w:t>
                  </w:r>
                </w:p>
              </w:tc>
              <w:tc>
                <w:tcPr>
                  <w:tcW w:w="828" w:type="dxa"/>
                  <w:vAlign w:val="center"/>
                </w:tcPr>
                <w:p w14:paraId="5C8CE3B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975" w:type="dxa"/>
                </w:tcPr>
                <w:p w14:paraId="05CA0BC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78EE0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vAlign w:val="center"/>
                </w:tcPr>
                <w:p w14:paraId="334B873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7" w:type="dxa"/>
                  <w:vAlign w:val="center"/>
                </w:tcPr>
                <w:p w14:paraId="1491575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4055" w:type="dxa"/>
                </w:tcPr>
                <w:p w14:paraId="6B2B1ED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严格按照琴房定员名单使用琴房卡，按照琴房管理制度，无琴卡者不准进入琴房，检查和制止学生乱窜琴房现象，上课和练琴时不准会客。保证琴房的正常秩序，对违反琴房规定的行为要及时予以纠正。一处不达标扣1分。</w:t>
                  </w:r>
                </w:p>
              </w:tc>
              <w:tc>
                <w:tcPr>
                  <w:tcW w:w="828" w:type="dxa"/>
                  <w:vAlign w:val="center"/>
                </w:tcPr>
                <w:p w14:paraId="7E2A613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975" w:type="dxa"/>
                </w:tcPr>
                <w:p w14:paraId="697A6D6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23CE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vAlign w:val="center"/>
                </w:tcPr>
                <w:p w14:paraId="6EFC96C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7" w:type="dxa"/>
                  <w:vAlign w:val="center"/>
                </w:tcPr>
                <w:p w14:paraId="720B388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4055" w:type="dxa"/>
                </w:tcPr>
                <w:p w14:paraId="53CDE8A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负责琴房系统的简单维护与保养，检查琴房系统的日常运行情况并做好记录，负责平时教师和学生琴房卡的补录工作。一处不达标扣1分。</w:t>
                  </w:r>
                </w:p>
              </w:tc>
              <w:tc>
                <w:tcPr>
                  <w:tcW w:w="828" w:type="dxa"/>
                  <w:vAlign w:val="center"/>
                </w:tcPr>
                <w:p w14:paraId="592E783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975" w:type="dxa"/>
                </w:tcPr>
                <w:p w14:paraId="2F2B2F1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15347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vAlign w:val="center"/>
                </w:tcPr>
                <w:p w14:paraId="7F58AF9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7" w:type="dxa"/>
                  <w:vAlign w:val="center"/>
                </w:tcPr>
                <w:p w14:paraId="13F9679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4055" w:type="dxa"/>
                </w:tcPr>
                <w:p w14:paraId="5B1BA3E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负责开关照明电闸，并对琴房物品和设施进行检查登记。琴房关闭时，要认真检查门窗，关水、关电、锁门。注意防火、防盗。定期检查安全消防设施，做好琴房的安防工作。一处不达标扣1分。</w:t>
                  </w:r>
                </w:p>
              </w:tc>
              <w:tc>
                <w:tcPr>
                  <w:tcW w:w="828" w:type="dxa"/>
                  <w:vAlign w:val="center"/>
                </w:tcPr>
                <w:p w14:paraId="0EACF51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975" w:type="dxa"/>
                </w:tcPr>
                <w:p w14:paraId="6ED4860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20903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10" w:type="dxa"/>
                  <w:vMerge w:val="restart"/>
                  <w:vAlign w:val="center"/>
                </w:tcPr>
                <w:p w14:paraId="41E31B5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多媒体教室管理</w:t>
                  </w:r>
                </w:p>
              </w:tc>
              <w:tc>
                <w:tcPr>
                  <w:tcW w:w="897" w:type="dxa"/>
                  <w:vAlign w:val="center"/>
                </w:tcPr>
                <w:p w14:paraId="3467880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4055" w:type="dxa"/>
                </w:tcPr>
                <w:p w14:paraId="787C29D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做好多媒体教室的使用记录，积极配合各教学单位开展多媒体教学，每月向教务处统计报告一次。一处不达标扣1分。</w:t>
                  </w:r>
                </w:p>
              </w:tc>
              <w:tc>
                <w:tcPr>
                  <w:tcW w:w="828" w:type="dxa"/>
                  <w:vAlign w:val="center"/>
                </w:tcPr>
                <w:p w14:paraId="4321A8F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975" w:type="dxa"/>
                </w:tcPr>
                <w:p w14:paraId="39B4A06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03D30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10" w:type="dxa"/>
                  <w:vMerge w:val="continue"/>
                  <w:vAlign w:val="center"/>
                </w:tcPr>
                <w:p w14:paraId="43E4354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7" w:type="dxa"/>
                  <w:vAlign w:val="center"/>
                </w:tcPr>
                <w:p w14:paraId="2DC2101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w:t>
                  </w:r>
                </w:p>
              </w:tc>
              <w:tc>
                <w:tcPr>
                  <w:tcW w:w="4055" w:type="dxa"/>
                </w:tcPr>
                <w:p w14:paraId="692EA0B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上课前30分钟必须到岗，上课前10分钟必须做好所有多媒体教室的准备工作，能够指导教师正确使用多媒体设备，及时处理使用多媒体设备过程中出现的故障。如晚上有各种讲座及学生活动或周六、日有课，按照申请单位安排的时间做好值班保障，保证日常教学正常进行。一处不达标扣1分。</w:t>
                  </w:r>
                </w:p>
              </w:tc>
              <w:tc>
                <w:tcPr>
                  <w:tcW w:w="828" w:type="dxa"/>
                  <w:vAlign w:val="center"/>
                </w:tcPr>
                <w:p w14:paraId="448189D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975" w:type="dxa"/>
                </w:tcPr>
                <w:p w14:paraId="5EE2287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7F8B1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10" w:type="dxa"/>
                  <w:vMerge w:val="continue"/>
                  <w:vAlign w:val="center"/>
                </w:tcPr>
                <w:p w14:paraId="0338AAB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c>
                <w:tcPr>
                  <w:tcW w:w="897" w:type="dxa"/>
                  <w:vAlign w:val="center"/>
                </w:tcPr>
                <w:p w14:paraId="5413B2D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7</w:t>
                  </w:r>
                </w:p>
              </w:tc>
              <w:tc>
                <w:tcPr>
                  <w:tcW w:w="4055" w:type="dxa"/>
                </w:tcPr>
                <w:p w14:paraId="473B929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负责多媒体教室及监控室的监控和管理，下课后认真检查设备，保证设备正常完好。定期检查和维护设备，发现故障立即排除或上报教务处，保证设备正常运行。一处不达标扣1分。</w:t>
                  </w:r>
                </w:p>
              </w:tc>
              <w:tc>
                <w:tcPr>
                  <w:tcW w:w="828" w:type="dxa"/>
                  <w:vAlign w:val="center"/>
                </w:tcPr>
                <w:p w14:paraId="3E82556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975" w:type="dxa"/>
                </w:tcPr>
                <w:p w14:paraId="19590D9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5558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762" w:type="dxa"/>
                  <w:gridSpan w:val="3"/>
                  <w:vAlign w:val="center"/>
                </w:tcPr>
                <w:p w14:paraId="24E9B91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合计</w:t>
                  </w:r>
                </w:p>
              </w:tc>
              <w:tc>
                <w:tcPr>
                  <w:tcW w:w="828" w:type="dxa"/>
                </w:tcPr>
                <w:p w14:paraId="2D9187C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100</w:t>
                  </w:r>
                </w:p>
              </w:tc>
              <w:tc>
                <w:tcPr>
                  <w:tcW w:w="975" w:type="dxa"/>
                </w:tcPr>
                <w:p w14:paraId="470C277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bl>
          <w:p w14:paraId="4634CDA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p>
        </w:tc>
      </w:tr>
      <w:tr w14:paraId="6B7FC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9167" w:type="dxa"/>
          </w:tcPr>
          <w:p w14:paraId="05A2DC79">
            <w:pPr>
              <w:widowControl w:val="0"/>
              <w:numPr>
                <w:ilvl w:val="0"/>
                <w:numId w:val="0"/>
              </w:numPr>
              <w:spacing w:line="480" w:lineRule="auto"/>
              <w:jc w:val="both"/>
              <w:rPr>
                <w:rFonts w:hint="eastAsia" w:ascii="宋体" w:hAnsi="宋体" w:eastAsia="Arial" w:cs="宋体"/>
                <w:sz w:val="24"/>
                <w:szCs w:val="24"/>
                <w:highlight w:val="none"/>
                <w:lang w:val="en-US" w:eastAsia="zh-CN"/>
              </w:rPr>
            </w:pPr>
            <w:r>
              <w:rPr>
                <w:rFonts w:hint="eastAsia" w:ascii="宋体" w:hAnsi="宋体" w:eastAsia="Arial" w:cs="宋体"/>
                <w:snapToGrid w:val="0"/>
                <w:color w:val="000000"/>
                <w:kern w:val="0"/>
                <w:sz w:val="24"/>
                <w:szCs w:val="24"/>
                <w:highlight w:val="none"/>
                <w:lang w:val="en-US" w:eastAsia="zh-CN" w:bidi="ar-SA"/>
              </w:rPr>
              <w:t>四、</w:t>
            </w:r>
            <w:r>
              <w:rPr>
                <w:rFonts w:hint="eastAsia" w:ascii="宋体" w:hAnsi="宋体" w:eastAsia="Arial" w:cs="宋体"/>
                <w:sz w:val="24"/>
                <w:szCs w:val="24"/>
                <w:highlight w:val="none"/>
                <w:lang w:val="en-US" w:eastAsia="zh-CN"/>
              </w:rPr>
              <w:t>下列费用均由物业公司承担，需包含在投标报价内。</w:t>
            </w:r>
          </w:p>
          <w:p w14:paraId="63856B1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Arial" w:cs="宋体"/>
                <w:sz w:val="24"/>
                <w:szCs w:val="24"/>
                <w:lang w:val="en-US" w:eastAsia="zh-CN"/>
              </w:rPr>
            </w:pPr>
            <w:r>
              <w:rPr>
                <w:rFonts w:hint="eastAsia" w:ascii="宋体" w:hAnsi="宋体" w:eastAsia="Arial" w:cs="宋体"/>
                <w:sz w:val="24"/>
                <w:szCs w:val="24"/>
                <w:lang w:val="en-US" w:eastAsia="zh-CN"/>
              </w:rPr>
              <w:t>本项目为固定总价包干模式，投标人报价应包含完成本招标文件所有服务内容及标准所需的全部费用，招标人不再另行支付任何费用。供应商需承担的费用具体如下，所有费用均需符合国家及内蒙古自治区相关收费标准及财务规定：</w:t>
            </w:r>
          </w:p>
          <w:p w14:paraId="730289EF">
            <w:pPr>
              <w:widowControl w:val="0"/>
              <w:spacing w:line="480" w:lineRule="auto"/>
              <w:jc w:val="both"/>
              <w:rPr>
                <w:rFonts w:hint="eastAsia" w:ascii="宋体" w:hAnsi="宋体" w:eastAsia="Arial" w:cs="宋体"/>
                <w:sz w:val="24"/>
                <w:szCs w:val="24"/>
                <w:highlight w:val="none"/>
                <w:lang w:val="en-US" w:eastAsia="zh-CN"/>
              </w:rPr>
            </w:pPr>
            <w:r>
              <w:rPr>
                <w:rFonts w:hint="eastAsia" w:ascii="宋体" w:hAnsi="宋体" w:eastAsia="Arial" w:cs="宋体"/>
                <w:sz w:val="24"/>
                <w:szCs w:val="24"/>
                <w:highlight w:val="none"/>
                <w:lang w:val="en-US" w:eastAsia="zh-CN"/>
              </w:rPr>
              <w:t>1.固定支出费用包含以下内容：</w:t>
            </w:r>
          </w:p>
          <w:p w14:paraId="797E6C88">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default" w:ascii="宋体" w:hAnsi="宋体" w:eastAsia="Arial" w:cs="宋体"/>
                <w:sz w:val="24"/>
                <w:szCs w:val="24"/>
                <w:highlight w:val="none"/>
                <w:lang w:val="en-US" w:eastAsia="zh-CN"/>
              </w:rPr>
            </w:pPr>
            <w:r>
              <w:rPr>
                <w:rFonts w:hint="eastAsia" w:ascii="宋体" w:hAnsi="宋体" w:eastAsia="Arial" w:cs="宋体"/>
                <w:sz w:val="24"/>
                <w:szCs w:val="24"/>
                <w:highlight w:val="none"/>
                <w:lang w:val="en-US" w:eastAsia="zh-CN"/>
              </w:rPr>
              <w:t>（1）工作人员的人员工资、社会保险费、</w:t>
            </w:r>
            <w:r>
              <w:rPr>
                <w:rFonts w:hint="eastAsia" w:ascii="宋体" w:hAnsi="宋体" w:cs="宋体"/>
                <w:sz w:val="24"/>
                <w:szCs w:val="24"/>
                <w:highlight w:val="none"/>
                <w:lang w:val="en-US" w:eastAsia="zh-CN"/>
              </w:rPr>
              <w:t>公积金、</w:t>
            </w:r>
            <w:r>
              <w:rPr>
                <w:rFonts w:hint="eastAsia" w:ascii="宋体" w:hAnsi="宋体" w:eastAsia="Arial" w:cs="宋体"/>
                <w:sz w:val="24"/>
                <w:szCs w:val="24"/>
                <w:highlight w:val="none"/>
                <w:lang w:val="en-US" w:eastAsia="zh-CN"/>
              </w:rPr>
              <w:t>加班费用、工作服及劳保用品、福利费用、员工体检费等。</w:t>
            </w:r>
          </w:p>
          <w:p w14:paraId="7C3F7C53">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default" w:ascii="宋体" w:hAnsi="宋体" w:eastAsia="Arial" w:cs="宋体"/>
                <w:color w:val="auto"/>
                <w:sz w:val="24"/>
                <w:szCs w:val="24"/>
                <w:highlight w:val="none"/>
                <w:lang w:val="en-US" w:eastAsia="zh-CN"/>
              </w:rPr>
            </w:pPr>
            <w:r>
              <w:rPr>
                <w:rFonts w:hint="eastAsia" w:ascii="宋体" w:hAnsi="宋体" w:eastAsia="Arial" w:cs="宋体"/>
                <w:color w:val="auto"/>
                <w:sz w:val="24"/>
                <w:szCs w:val="24"/>
                <w:highlight w:val="none"/>
                <w:lang w:val="en-US" w:eastAsia="zh-CN"/>
              </w:rPr>
              <w:t>（2）特种设备维保费用：电梯年检维保费用、高压配电设施维修费用</w:t>
            </w:r>
            <w:r>
              <w:rPr>
                <w:rFonts w:hint="eastAsia" w:asciiTheme="minorEastAsia" w:hAnsiTheme="minorEastAsia" w:eastAsiaTheme="minorEastAsia" w:cstheme="minorEastAsia"/>
                <w:color w:val="auto"/>
                <w:sz w:val="24"/>
                <w:szCs w:val="24"/>
                <w:vertAlign w:val="baseline"/>
                <w:lang w:val="en-US" w:eastAsia="zh-CN"/>
              </w:rPr>
              <w:t>。</w:t>
            </w:r>
          </w:p>
          <w:p w14:paraId="08B598E8">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Arial" w:cs="宋体"/>
                <w:color w:val="auto"/>
                <w:sz w:val="24"/>
                <w:szCs w:val="24"/>
                <w:highlight w:val="none"/>
                <w:lang w:val="en-US" w:eastAsia="zh-CN"/>
              </w:rPr>
            </w:pPr>
            <w:r>
              <w:rPr>
                <w:rFonts w:hint="eastAsia" w:ascii="宋体" w:hAnsi="宋体" w:eastAsia="Arial" w:cs="宋体"/>
                <w:color w:val="auto"/>
                <w:sz w:val="24"/>
                <w:szCs w:val="24"/>
                <w:highlight w:val="none"/>
                <w:lang w:val="en-US" w:eastAsia="zh-CN"/>
              </w:rPr>
              <w:t>（3）工具设备费用：维修工具费</w:t>
            </w:r>
            <w:r>
              <w:rPr>
                <w:rFonts w:hint="eastAsia" w:ascii="宋体" w:hAnsi="宋体" w:cs="宋体"/>
                <w:color w:val="auto"/>
                <w:sz w:val="24"/>
                <w:szCs w:val="24"/>
                <w:highlight w:val="none"/>
                <w:lang w:val="en-US" w:eastAsia="zh-CN"/>
              </w:rPr>
              <w:t>；</w:t>
            </w:r>
            <w:r>
              <w:rPr>
                <w:rFonts w:hint="eastAsia" w:ascii="宋体" w:hAnsi="宋体" w:eastAsia="Arial" w:cs="宋体"/>
                <w:color w:val="auto"/>
                <w:sz w:val="24"/>
                <w:szCs w:val="24"/>
                <w:highlight w:val="none"/>
                <w:lang w:val="en-US" w:eastAsia="zh-CN"/>
              </w:rPr>
              <w:t>绿化设备购置及维护费用、保洁工具费；投标人为完成服务配置的各类设备（如扫雪车、修剪机等）费用</w:t>
            </w:r>
            <w:r>
              <w:rPr>
                <w:rFonts w:hint="eastAsia" w:ascii="宋体" w:hAnsi="宋体" w:cs="宋体"/>
                <w:color w:val="auto"/>
                <w:sz w:val="24"/>
                <w:szCs w:val="24"/>
                <w:highlight w:val="none"/>
                <w:lang w:val="en-US" w:eastAsia="zh-CN"/>
              </w:rPr>
              <w:t>。</w:t>
            </w:r>
          </w:p>
          <w:p w14:paraId="6AD1FD1F">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Arial" w:cs="宋体"/>
                <w:sz w:val="24"/>
                <w:szCs w:val="24"/>
                <w:highlight w:val="none"/>
                <w:lang w:val="en-US" w:eastAsia="zh-CN"/>
              </w:rPr>
            </w:pPr>
            <w:r>
              <w:rPr>
                <w:rFonts w:hint="eastAsia" w:ascii="宋体" w:hAnsi="宋体" w:eastAsia="Arial" w:cs="宋体"/>
                <w:sz w:val="24"/>
                <w:szCs w:val="24"/>
                <w:highlight w:val="none"/>
                <w:lang w:val="en-US" w:eastAsia="zh-CN"/>
              </w:rPr>
              <w:t>（4）物料及耗材费用：维修物料费：房屋及公共设施设备维修所需材料</w:t>
            </w:r>
            <w:r>
              <w:rPr>
                <w:rFonts w:hint="eastAsia" w:ascii="宋体" w:hAnsi="宋体" w:cs="宋体"/>
                <w:b/>
                <w:bCs/>
                <w:sz w:val="24"/>
                <w:szCs w:val="24"/>
                <w:highlight w:val="none"/>
                <w:u w:val="single"/>
                <w:lang w:val="en-US" w:eastAsia="zh-CN"/>
              </w:rPr>
              <w:t>500</w:t>
            </w:r>
            <w:r>
              <w:rPr>
                <w:rFonts w:hint="eastAsia" w:ascii="宋体" w:hAnsi="宋体" w:eastAsia="Arial" w:cs="宋体"/>
                <w:sz w:val="24"/>
                <w:szCs w:val="24"/>
                <w:highlight w:val="none"/>
                <w:lang w:val="en-US" w:eastAsia="zh-CN"/>
              </w:rPr>
              <w:t>元以下（含）/次费用；保洁物料费：保洁用清洁剂、消毒剂、垃圾袋等耗材费用；办公用品费用：服务过程中所需办公文具、打印耗材等费用。</w:t>
            </w:r>
          </w:p>
          <w:p w14:paraId="2988066D">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Arial" w:cs="宋体"/>
                <w:sz w:val="24"/>
                <w:szCs w:val="24"/>
                <w:highlight w:val="none"/>
                <w:lang w:val="en-US" w:eastAsia="zh-CN"/>
              </w:rPr>
            </w:pPr>
            <w:r>
              <w:rPr>
                <w:rFonts w:hint="eastAsia" w:ascii="宋体" w:hAnsi="宋体" w:eastAsia="Arial" w:cs="宋体"/>
                <w:sz w:val="24"/>
                <w:szCs w:val="24"/>
                <w:highlight w:val="none"/>
                <w:lang w:val="en-US" w:eastAsia="zh-CN"/>
              </w:rPr>
              <w:t>（5）专项服务及检测费用：1.环境检测费用：给排水系统水质检测费用（每</w:t>
            </w:r>
            <w:r>
              <w:rPr>
                <w:rFonts w:hint="eastAsia" w:ascii="宋体" w:hAnsi="宋体" w:cs="宋体"/>
                <w:sz w:val="24"/>
                <w:szCs w:val="24"/>
                <w:highlight w:val="none"/>
                <w:lang w:val="en-US" w:eastAsia="zh-CN"/>
              </w:rPr>
              <w:t>半</w:t>
            </w:r>
            <w:r>
              <w:rPr>
                <w:rFonts w:hint="eastAsia" w:ascii="宋体" w:hAnsi="宋体" w:eastAsia="Arial" w:cs="宋体"/>
                <w:sz w:val="24"/>
                <w:szCs w:val="24"/>
                <w:highlight w:val="none"/>
                <w:lang w:val="en-US" w:eastAsia="zh-CN"/>
              </w:rPr>
              <w:t>年度2次，包括自来水、所有电热水器）；2.保洁专项费用：垃圾转清运费用</w:t>
            </w:r>
            <w:r>
              <w:rPr>
                <w:rFonts w:hint="eastAsia" w:ascii="宋体" w:hAnsi="宋体" w:cs="宋体"/>
                <w:sz w:val="24"/>
                <w:szCs w:val="24"/>
                <w:highlight w:val="none"/>
                <w:lang w:val="en-US" w:eastAsia="zh-CN"/>
              </w:rPr>
              <w:t>（含6万元新城区统一收取城镇垃圾处理费、建筑垃圾处理费13000元/年）</w:t>
            </w:r>
            <w:r>
              <w:rPr>
                <w:rFonts w:hint="eastAsia" w:ascii="宋体" w:hAnsi="宋体" w:eastAsia="Arial" w:cs="宋体"/>
                <w:sz w:val="24"/>
                <w:szCs w:val="24"/>
                <w:highlight w:val="none"/>
                <w:lang w:val="en-US" w:eastAsia="zh-CN"/>
              </w:rPr>
              <w:t>、外围玻璃清擦费用、污水井清理费用；3. 其他专项费用：绿化养护所需苗木、肥料、药剂等物料费用；</w:t>
            </w:r>
          </w:p>
          <w:p w14:paraId="30B13E43">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default" w:ascii="宋体" w:hAnsi="宋体" w:eastAsia="Arial" w:cs="宋体"/>
                <w:sz w:val="24"/>
                <w:szCs w:val="24"/>
                <w:lang w:val="en-US" w:eastAsia="zh-CN"/>
              </w:rPr>
            </w:pPr>
            <w:r>
              <w:rPr>
                <w:rFonts w:hint="eastAsia" w:ascii="宋体" w:hAnsi="宋体" w:eastAsia="Arial" w:cs="宋体"/>
                <w:sz w:val="24"/>
                <w:szCs w:val="24"/>
                <w:highlight w:val="none"/>
                <w:lang w:val="en-US" w:eastAsia="zh-CN"/>
              </w:rPr>
              <w:t>（</w:t>
            </w:r>
            <w:r>
              <w:rPr>
                <w:rFonts w:hint="eastAsia" w:ascii="宋体" w:hAnsi="宋体" w:cs="宋体"/>
                <w:sz w:val="24"/>
                <w:szCs w:val="24"/>
                <w:highlight w:val="none"/>
                <w:lang w:val="en-US" w:eastAsia="zh-CN"/>
              </w:rPr>
              <w:t>6</w:t>
            </w:r>
            <w:r>
              <w:rPr>
                <w:rFonts w:hint="eastAsia" w:ascii="宋体" w:hAnsi="宋体" w:eastAsia="Arial" w:cs="宋体"/>
                <w:sz w:val="24"/>
                <w:szCs w:val="24"/>
                <w:highlight w:val="none"/>
                <w:lang w:val="en-US" w:eastAsia="zh-CN"/>
              </w:rPr>
              <w:t>）运营管理费、</w:t>
            </w:r>
            <w:r>
              <w:rPr>
                <w:rFonts w:hint="eastAsia" w:ascii="宋体" w:hAnsi="宋体" w:cs="宋体"/>
                <w:sz w:val="24"/>
                <w:szCs w:val="24"/>
                <w:highlight w:val="none"/>
                <w:lang w:val="en-US" w:eastAsia="zh-CN"/>
              </w:rPr>
              <w:t>按规定提取的三项经费、</w:t>
            </w:r>
            <w:r>
              <w:rPr>
                <w:rFonts w:hint="eastAsia" w:ascii="宋体" w:hAnsi="宋体" w:eastAsia="Arial" w:cs="宋体"/>
                <w:sz w:val="24"/>
                <w:szCs w:val="24"/>
                <w:highlight w:val="none"/>
                <w:lang w:val="en-US" w:eastAsia="zh-CN"/>
              </w:rPr>
              <w:t>法定税金。</w:t>
            </w:r>
          </w:p>
        </w:tc>
      </w:tr>
      <w:tr w14:paraId="0E97B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9167" w:type="dxa"/>
          </w:tcPr>
          <w:p w14:paraId="08FBE13B">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Arial" w:cs="宋体"/>
                <w:sz w:val="24"/>
                <w:szCs w:val="24"/>
                <w:lang w:val="en-US" w:eastAsia="zh-CN"/>
              </w:rPr>
            </w:pPr>
            <w:r>
              <w:rPr>
                <w:rFonts w:hint="eastAsia" w:ascii="宋体" w:hAnsi="宋体" w:eastAsia="宋体" w:cs="宋体"/>
                <w:sz w:val="24"/>
                <w:szCs w:val="24"/>
                <w:lang w:val="en-US" w:eastAsia="zh-CN"/>
              </w:rPr>
              <w:t>★</w:t>
            </w:r>
            <w:r>
              <w:rPr>
                <w:rFonts w:hint="eastAsia" w:ascii="宋体" w:hAnsi="宋体" w:eastAsia="Arial" w:cs="宋体"/>
                <w:sz w:val="24"/>
                <w:szCs w:val="24"/>
                <w:lang w:val="en-US" w:eastAsia="zh-CN"/>
              </w:rPr>
              <w:t>五、中标人需提供除投标客户端以外的分项报价表，分项报价表包含但不限于以下内容：（1）人员工资:根据《内蒙古自治区人民政府办公厅关于调整自治区最低工资标准的通知》内政办发202</w:t>
            </w:r>
            <w:r>
              <w:rPr>
                <w:rFonts w:hint="eastAsia" w:ascii="宋体" w:hAnsi="宋体" w:cs="宋体"/>
                <w:sz w:val="24"/>
                <w:szCs w:val="24"/>
                <w:lang w:val="en-US" w:eastAsia="zh-CN"/>
              </w:rPr>
              <w:t>5</w:t>
            </w:r>
            <w:r>
              <w:rPr>
                <w:rFonts w:hint="eastAsia" w:ascii="宋体" w:hAnsi="宋体" w:eastAsia="Arial" w:cs="宋体"/>
                <w:sz w:val="24"/>
                <w:szCs w:val="24"/>
                <w:lang w:val="en-US" w:eastAsia="zh-CN"/>
              </w:rPr>
              <w:t>)</w:t>
            </w:r>
            <w:r>
              <w:rPr>
                <w:rFonts w:hint="eastAsia" w:ascii="宋体" w:hAnsi="宋体" w:cs="宋体"/>
                <w:sz w:val="24"/>
                <w:szCs w:val="24"/>
                <w:lang w:val="en-US" w:eastAsia="zh-CN"/>
              </w:rPr>
              <w:t>40</w:t>
            </w:r>
            <w:r>
              <w:rPr>
                <w:rFonts w:hint="eastAsia" w:ascii="宋体" w:hAnsi="宋体" w:eastAsia="Arial" w:cs="宋体"/>
                <w:sz w:val="24"/>
                <w:szCs w:val="24"/>
                <w:lang w:val="en-US" w:eastAsia="zh-CN"/>
              </w:rPr>
              <w:t>号)文件规定的，人员工资不低于呼和浩特市一类地区月最低标准</w:t>
            </w:r>
            <w:r>
              <w:rPr>
                <w:rFonts w:hint="eastAsia" w:ascii="宋体" w:hAnsi="宋体" w:cs="宋体"/>
                <w:sz w:val="24"/>
                <w:szCs w:val="24"/>
                <w:lang w:val="en-US" w:eastAsia="zh-CN"/>
              </w:rPr>
              <w:t>2380</w:t>
            </w:r>
            <w:r>
              <w:rPr>
                <w:rFonts w:hint="eastAsia" w:ascii="宋体" w:hAnsi="宋体" w:eastAsia="Arial" w:cs="宋体"/>
                <w:sz w:val="24"/>
                <w:szCs w:val="24"/>
                <w:lang w:val="en-US" w:eastAsia="zh-CN"/>
              </w:rPr>
              <w:t>元/人</w:t>
            </w:r>
            <w:r>
              <w:rPr>
                <w:rFonts w:hint="eastAsia" w:ascii="宋体" w:hAnsi="宋体" w:cs="宋体"/>
                <w:sz w:val="24"/>
                <w:szCs w:val="24"/>
                <w:lang w:val="en-US" w:eastAsia="zh-CN"/>
              </w:rPr>
              <w:t>/</w:t>
            </w:r>
            <w:r>
              <w:rPr>
                <w:rFonts w:hint="eastAsia" w:ascii="宋体" w:hAnsi="宋体" w:eastAsia="Arial" w:cs="宋体"/>
                <w:sz w:val="24"/>
                <w:szCs w:val="24"/>
                <w:lang w:val="en-US" w:eastAsia="zh-CN"/>
              </w:rPr>
              <w:t>月)。</w:t>
            </w:r>
          </w:p>
          <w:p w14:paraId="61E50C41">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Arial" w:cs="宋体"/>
                <w:sz w:val="24"/>
                <w:szCs w:val="24"/>
                <w:lang w:val="en-US" w:eastAsia="zh-CN"/>
              </w:rPr>
            </w:pPr>
            <w:r>
              <w:rPr>
                <w:rFonts w:hint="eastAsia" w:ascii="宋体" w:hAnsi="宋体" w:eastAsia="Arial" w:cs="宋体"/>
                <w:sz w:val="24"/>
                <w:szCs w:val="24"/>
                <w:lang w:val="en-US" w:eastAsia="zh-CN"/>
              </w:rPr>
              <w:t>（2）社会保险费：中标人必须严格按照《中华人民共和国劳动法》《中华人民共和国劳动合同法》相关条款，为全体服务人员按内蒙古自治区呼和浩特市最新社保缴费基数购买社会保险。</w:t>
            </w:r>
          </w:p>
          <w:p w14:paraId="5E7380AB">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default" w:ascii="宋体" w:hAnsi="宋体" w:eastAsia="Arial" w:cs="宋体"/>
                <w:sz w:val="24"/>
                <w:szCs w:val="24"/>
                <w:lang w:val="en-US" w:eastAsia="zh-CN"/>
              </w:rPr>
            </w:pPr>
            <w:r>
              <w:rPr>
                <w:rFonts w:hint="eastAsia" w:ascii="宋体" w:hAnsi="宋体" w:eastAsia="Arial" w:cs="宋体"/>
                <w:sz w:val="24"/>
                <w:szCs w:val="24"/>
                <w:lang w:val="en-US" w:eastAsia="zh-CN"/>
              </w:rPr>
              <w:t>（3）固定支出费用：</w:t>
            </w:r>
            <w:r>
              <w:rPr>
                <w:rFonts w:hint="eastAsia" w:ascii="宋体" w:hAnsi="宋体" w:eastAsia="Arial" w:cs="宋体"/>
                <w:sz w:val="24"/>
                <w:szCs w:val="24"/>
                <w:highlight w:val="none"/>
                <w:lang w:val="en-US" w:eastAsia="zh-CN"/>
              </w:rPr>
              <w:t>电梯年检维保费用、高压配电设施维修费用</w:t>
            </w:r>
            <w:r>
              <w:rPr>
                <w:rFonts w:hint="eastAsia" w:ascii="宋体" w:hAnsi="宋体" w:cs="宋体"/>
                <w:sz w:val="24"/>
                <w:szCs w:val="24"/>
                <w:highlight w:val="none"/>
                <w:lang w:val="en-US" w:eastAsia="zh-CN"/>
              </w:rPr>
              <w:t>、</w:t>
            </w:r>
            <w:r>
              <w:rPr>
                <w:rFonts w:hint="eastAsia" w:ascii="宋体" w:hAnsi="宋体" w:eastAsia="Arial" w:cs="宋体"/>
                <w:sz w:val="24"/>
                <w:szCs w:val="24"/>
                <w:highlight w:val="none"/>
                <w:lang w:val="en-US" w:eastAsia="zh-CN"/>
              </w:rPr>
              <w:t>水质检测费用</w:t>
            </w:r>
            <w:r>
              <w:rPr>
                <w:rFonts w:hint="eastAsia" w:ascii="宋体" w:hAnsi="宋体" w:cs="宋体"/>
                <w:sz w:val="24"/>
                <w:szCs w:val="24"/>
                <w:highlight w:val="none"/>
                <w:lang w:val="en-US" w:eastAsia="zh-CN"/>
              </w:rPr>
              <w:t>、</w:t>
            </w:r>
            <w:r>
              <w:rPr>
                <w:rFonts w:hint="eastAsia" w:ascii="宋体" w:hAnsi="宋体" w:eastAsia="Arial" w:cs="宋体"/>
                <w:sz w:val="24"/>
                <w:szCs w:val="24"/>
                <w:highlight w:val="none"/>
                <w:lang w:val="en-US" w:eastAsia="zh-CN"/>
              </w:rPr>
              <w:t>垃圾转清运费用</w:t>
            </w:r>
            <w:r>
              <w:rPr>
                <w:rFonts w:hint="eastAsia" w:ascii="宋体" w:hAnsi="宋体" w:cs="宋体"/>
                <w:sz w:val="24"/>
                <w:szCs w:val="24"/>
                <w:highlight w:val="none"/>
                <w:lang w:val="en-US" w:eastAsia="zh-CN"/>
              </w:rPr>
              <w:t>（含6万元新城区统一收取城镇垃圾处理费、建筑垃圾处理费13000元/年）、</w:t>
            </w:r>
            <w:r>
              <w:rPr>
                <w:rFonts w:hint="eastAsia" w:ascii="宋体" w:hAnsi="宋体" w:eastAsia="Arial" w:cs="宋体"/>
                <w:sz w:val="24"/>
                <w:szCs w:val="24"/>
                <w:highlight w:val="none"/>
                <w:lang w:val="en-US" w:eastAsia="zh-CN"/>
              </w:rPr>
              <w:t>外围玻璃清擦费用、污水井清理费用</w:t>
            </w:r>
            <w:r>
              <w:rPr>
                <w:rFonts w:hint="eastAsia" w:ascii="宋体" w:hAnsi="宋体" w:eastAsia="宋体" w:cs="宋体"/>
                <w:sz w:val="24"/>
                <w:szCs w:val="24"/>
                <w:highlight w:val="none"/>
                <w:lang w:val="en-US" w:eastAsia="zh-CN"/>
              </w:rPr>
              <w:t>。</w:t>
            </w:r>
          </w:p>
          <w:p w14:paraId="754CD47B">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Arial" w:cs="宋体"/>
                <w:sz w:val="24"/>
                <w:szCs w:val="24"/>
                <w:lang w:val="en-US" w:eastAsia="zh-CN"/>
              </w:rPr>
            </w:pPr>
            <w:r>
              <w:rPr>
                <w:rFonts w:hint="eastAsia" w:ascii="宋体" w:hAnsi="宋体" w:eastAsia="Arial" w:cs="宋体"/>
                <w:sz w:val="24"/>
                <w:szCs w:val="24"/>
                <w:lang w:val="en-US" w:eastAsia="zh-CN"/>
              </w:rPr>
              <w:t>（4）加班费用、工作服及劳保用品、福利费用、员工体检费等相关法律法规规定其它用工成本费用；</w:t>
            </w:r>
          </w:p>
          <w:p w14:paraId="186B9BE4">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Arial" w:cs="宋体"/>
                <w:sz w:val="24"/>
                <w:szCs w:val="24"/>
                <w:lang w:val="en-US" w:eastAsia="zh-CN"/>
              </w:rPr>
            </w:pPr>
            <w:r>
              <w:rPr>
                <w:rFonts w:hint="eastAsia" w:ascii="宋体" w:hAnsi="宋体" w:eastAsia="Arial" w:cs="宋体"/>
                <w:sz w:val="24"/>
                <w:szCs w:val="24"/>
                <w:lang w:val="en-US" w:eastAsia="zh-CN"/>
              </w:rPr>
              <w:t>（</w:t>
            </w:r>
            <w:r>
              <w:rPr>
                <w:rFonts w:hint="eastAsia" w:ascii="宋体" w:hAnsi="宋体" w:cs="宋体"/>
                <w:sz w:val="24"/>
                <w:szCs w:val="24"/>
                <w:lang w:val="en-US" w:eastAsia="zh-CN"/>
              </w:rPr>
              <w:t>5</w:t>
            </w:r>
            <w:r>
              <w:rPr>
                <w:rFonts w:hint="eastAsia" w:ascii="宋体" w:hAnsi="宋体" w:eastAsia="Arial" w:cs="宋体"/>
                <w:sz w:val="24"/>
                <w:szCs w:val="24"/>
                <w:lang w:val="en-US" w:eastAsia="zh-CN"/>
              </w:rPr>
              <w:t>）运营管理费、</w:t>
            </w:r>
            <w:r>
              <w:rPr>
                <w:rFonts w:hint="eastAsia" w:ascii="宋体" w:hAnsi="宋体" w:cs="宋体"/>
                <w:sz w:val="24"/>
                <w:szCs w:val="24"/>
                <w:highlight w:val="none"/>
                <w:lang w:val="en-US" w:eastAsia="zh-CN"/>
              </w:rPr>
              <w:t>按规定提取的三项经费、</w:t>
            </w:r>
            <w:r>
              <w:rPr>
                <w:rFonts w:hint="eastAsia" w:ascii="宋体" w:hAnsi="宋体" w:eastAsia="Arial" w:cs="宋体"/>
                <w:sz w:val="24"/>
                <w:szCs w:val="24"/>
                <w:lang w:val="en-US" w:eastAsia="zh-CN"/>
              </w:rPr>
              <w:t>利润；</w:t>
            </w:r>
          </w:p>
          <w:p w14:paraId="5660AE42">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Arial" w:cs="宋体"/>
                <w:sz w:val="24"/>
                <w:szCs w:val="24"/>
                <w:lang w:val="en-US" w:eastAsia="zh-CN"/>
              </w:rPr>
            </w:pPr>
            <w:r>
              <w:rPr>
                <w:rFonts w:hint="eastAsia" w:ascii="宋体" w:hAnsi="宋体" w:eastAsia="Arial" w:cs="宋体"/>
                <w:sz w:val="24"/>
                <w:szCs w:val="24"/>
                <w:lang w:val="en-US" w:eastAsia="zh-CN"/>
              </w:rPr>
              <w:t>（</w:t>
            </w:r>
            <w:r>
              <w:rPr>
                <w:rFonts w:hint="eastAsia" w:ascii="宋体" w:hAnsi="宋体" w:cs="宋体"/>
                <w:sz w:val="24"/>
                <w:szCs w:val="24"/>
                <w:lang w:val="en-US" w:eastAsia="zh-CN"/>
              </w:rPr>
              <w:t>6</w:t>
            </w:r>
            <w:r>
              <w:rPr>
                <w:rFonts w:hint="eastAsia" w:ascii="宋体" w:hAnsi="宋体" w:eastAsia="Arial" w:cs="宋体"/>
                <w:sz w:val="24"/>
                <w:szCs w:val="24"/>
                <w:lang w:val="en-US" w:eastAsia="zh-CN"/>
              </w:rPr>
              <w:t>）法定税金。</w:t>
            </w:r>
          </w:p>
        </w:tc>
      </w:tr>
    </w:tbl>
    <w:p w14:paraId="52D24628">
      <w:pPr>
        <w:rPr>
          <w:rFonts w:hint="eastAsia" w:asciiTheme="minorEastAsia" w:hAnsiTheme="minorEastAsia" w:eastAsiaTheme="minorEastAsia" w:cstheme="minorEastAsia"/>
          <w:lang w:eastAsia="zh-CN"/>
        </w:rPr>
      </w:pPr>
    </w:p>
    <w:p w14:paraId="0DC28E17">
      <w:pPr>
        <w:rPr>
          <w:rFonts w:hint="eastAsia" w:asciiTheme="minorEastAsia" w:hAnsiTheme="minorEastAsia" w:eastAsiaTheme="minorEastAsia" w:cstheme="minorEastAsia"/>
          <w:lang w:eastAsia="zh-CN"/>
        </w:rPr>
      </w:pPr>
    </w:p>
    <w:p w14:paraId="39674EEE">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8"/>
          <w:szCs w:val="28"/>
          <w:lang w:eastAsia="zh-CN"/>
        </w:rPr>
        <w:t>注：打“★"号条款为实质性条款，若有任何一条负偏离或不满足则导致响应无效。</w:t>
      </w:r>
      <w:r>
        <w:rPr>
          <w:rFonts w:hint="eastAsia" w:asciiTheme="minorEastAsia" w:hAnsiTheme="minorEastAsia" w:eastAsiaTheme="minorEastAsia" w:cstheme="minorEastAsia"/>
          <w:lang w:eastAsia="zh-CN"/>
        </w:rPr>
        <w:br w:type="page"/>
      </w:r>
    </w:p>
    <w:p w14:paraId="067970D2">
      <w:pPr>
        <w:pStyle w:val="3"/>
        <w:bidi w:val="0"/>
        <w:jc w:val="both"/>
        <w:rPr>
          <w:rFonts w:hint="eastAsia" w:ascii="宋体" w:hAnsi="宋体" w:eastAsia="宋体" w:cs="宋体"/>
          <w:snapToGrid w:val="0"/>
          <w:color w:val="000000"/>
          <w:spacing w:val="11"/>
          <w:kern w:val="0"/>
          <w:szCs w:val="24"/>
          <w:lang w:val="en-US" w:eastAsia="zh-CN" w:bidi="ar-SA"/>
        </w:rPr>
      </w:pPr>
      <w:r>
        <w:rPr>
          <w:rFonts w:hint="eastAsia"/>
          <w:lang w:val="en-US" w:eastAsia="zh-CN"/>
        </w:rPr>
        <w:t>内蒙古艺术学院云谷校区（一期）</w:t>
      </w:r>
      <w:r>
        <w:rPr>
          <w:rFonts w:hint="eastAsia"/>
        </w:rPr>
        <w:t>物业服务外包</w:t>
      </w:r>
      <w:r>
        <w:rPr>
          <w:rFonts w:hint="eastAsia"/>
          <w:lang w:eastAsia="zh-CN"/>
        </w:rPr>
        <w:t>技术参数：</w:t>
      </w:r>
    </w:p>
    <w:tbl>
      <w:tblPr>
        <w:tblStyle w:val="7"/>
        <w:tblW w:w="10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
        <w:gridCol w:w="1338"/>
        <w:gridCol w:w="8573"/>
      </w:tblGrid>
      <w:tr w14:paraId="436AD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47" w:type="dxa"/>
            <w:vAlign w:val="center"/>
          </w:tcPr>
          <w:p w14:paraId="3DAED12C">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序号</w:t>
            </w:r>
          </w:p>
        </w:tc>
        <w:tc>
          <w:tcPr>
            <w:tcW w:w="1338" w:type="dxa"/>
            <w:vAlign w:val="center"/>
          </w:tcPr>
          <w:p w14:paraId="6AC719AB">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参数性质</w:t>
            </w:r>
          </w:p>
        </w:tc>
        <w:tc>
          <w:tcPr>
            <w:tcW w:w="8573" w:type="dxa"/>
            <w:vAlign w:val="center"/>
          </w:tcPr>
          <w:p w14:paraId="5E65B91B">
            <w:pPr>
              <w:widowControl w:val="0"/>
              <w:bidi w:val="0"/>
              <w:spacing w:line="36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技术参数与性能指标</w:t>
            </w:r>
          </w:p>
        </w:tc>
      </w:tr>
      <w:tr w14:paraId="7614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47" w:type="dxa"/>
          </w:tcPr>
          <w:p w14:paraId="3CDA0313">
            <w:pPr>
              <w:widowControl w:val="0"/>
              <w:bidi w:val="0"/>
              <w:spacing w:line="360" w:lineRule="auto"/>
              <w:jc w:val="both"/>
              <w:rPr>
                <w:rFonts w:hint="eastAsia" w:asciiTheme="minorEastAsia" w:hAnsiTheme="minorEastAsia" w:eastAsiaTheme="minorEastAsia" w:cstheme="minorEastAsia"/>
                <w:sz w:val="24"/>
                <w:szCs w:val="24"/>
                <w:lang w:val="en-US" w:eastAsia="zh-CN"/>
              </w:rPr>
            </w:pPr>
          </w:p>
        </w:tc>
        <w:tc>
          <w:tcPr>
            <w:tcW w:w="1338" w:type="dxa"/>
          </w:tcPr>
          <w:p w14:paraId="33DCD694">
            <w:pPr>
              <w:widowControl w:val="0"/>
              <w:bidi w:val="0"/>
              <w:spacing w:line="360" w:lineRule="auto"/>
              <w:jc w:val="both"/>
              <w:rPr>
                <w:rFonts w:hint="eastAsia" w:asciiTheme="minorEastAsia" w:hAnsiTheme="minorEastAsia" w:eastAsiaTheme="minorEastAsia" w:cstheme="minorEastAsia"/>
                <w:sz w:val="24"/>
                <w:szCs w:val="24"/>
                <w:lang w:val="en-US" w:eastAsia="zh-CN"/>
              </w:rPr>
            </w:pPr>
          </w:p>
        </w:tc>
        <w:tc>
          <w:tcPr>
            <w:tcW w:w="8573" w:type="dxa"/>
          </w:tcPr>
          <w:p w14:paraId="4776CC8B">
            <w:pPr>
              <w:widowControl w:val="0"/>
              <w:numPr>
                <w:ilvl w:val="0"/>
                <w:numId w:val="0"/>
              </w:numPr>
              <w:bidi w:val="0"/>
              <w:spacing w:line="360" w:lineRule="auto"/>
              <w:jc w:val="both"/>
              <w:rPr>
                <w:rFonts w:hint="eastAsia" w:ascii="宋体" w:hAnsi="宋体" w:eastAsia="宋体" w:cs="宋体"/>
                <w:snapToGrid w:val="0"/>
                <w:color w:val="000000"/>
                <w:spacing w:val="3"/>
                <w:kern w:val="0"/>
                <w:sz w:val="24"/>
                <w:szCs w:val="24"/>
                <w:lang w:val="en-US" w:eastAsia="zh-CN" w:bidi="ar-SA"/>
              </w:rPr>
            </w:pPr>
            <w:r>
              <w:rPr>
                <w:rFonts w:hint="eastAsia" w:ascii="宋体" w:hAnsi="宋体" w:eastAsia="宋体" w:cs="宋体"/>
                <w:snapToGrid w:val="0"/>
                <w:color w:val="000000"/>
                <w:spacing w:val="3"/>
                <w:kern w:val="0"/>
                <w:sz w:val="24"/>
                <w:szCs w:val="24"/>
                <w:lang w:val="en-US" w:eastAsia="zh-CN" w:bidi="ar-SA"/>
              </w:rPr>
              <w:t>一、项目基本情况</w:t>
            </w:r>
          </w:p>
          <w:p w14:paraId="5961701E">
            <w:pPr>
              <w:pStyle w:val="4"/>
              <w:widowControl w:val="0"/>
              <w:numPr>
                <w:ilvl w:val="0"/>
                <w:numId w:val="0"/>
              </w:numPr>
              <w:spacing w:line="360" w:lineRule="auto"/>
              <w:jc w:val="both"/>
              <w:rPr>
                <w:rFonts w:hint="default" w:ascii="宋体" w:hAnsi="宋体" w:eastAsia="宋体" w:cs="宋体"/>
                <w:snapToGrid w:val="0"/>
                <w:color w:val="000000"/>
                <w:spacing w:val="3"/>
                <w:kern w:val="0"/>
                <w:sz w:val="24"/>
                <w:szCs w:val="24"/>
                <w:lang w:val="en-US" w:eastAsia="zh-CN" w:bidi="ar-SA"/>
              </w:rPr>
            </w:pPr>
            <w:r>
              <w:rPr>
                <w:rFonts w:hint="eastAsia" w:ascii="宋体" w:hAnsi="宋体" w:eastAsia="宋体" w:cs="宋体"/>
                <w:snapToGrid w:val="0"/>
                <w:color w:val="000000"/>
                <w:spacing w:val="3"/>
                <w:kern w:val="0"/>
                <w:sz w:val="24"/>
                <w:szCs w:val="24"/>
                <w:lang w:val="en-US" w:eastAsia="zh-CN" w:bidi="ar-SA"/>
              </w:rPr>
              <w:t>（一）物业情况</w:t>
            </w:r>
          </w:p>
          <w:p w14:paraId="1AD8DEB9">
            <w:pPr>
              <w:widowControl w:val="0"/>
              <w:numPr>
                <w:ilvl w:val="0"/>
                <w:numId w:val="0"/>
              </w:numPr>
              <w:bidi w:val="0"/>
              <w:spacing w:line="360" w:lineRule="auto"/>
              <w:jc w:val="both"/>
              <w:rPr>
                <w:rFonts w:hint="eastAsia" w:ascii="宋体" w:hAnsi="宋体" w:eastAsia="宋体" w:cs="宋体"/>
                <w:snapToGrid w:val="0"/>
                <w:color w:val="000000"/>
                <w:spacing w:val="3"/>
                <w:kern w:val="0"/>
                <w:sz w:val="24"/>
                <w:szCs w:val="24"/>
                <w:lang w:val="en-US" w:eastAsia="zh-CN" w:bidi="ar-SA"/>
              </w:rPr>
            </w:pPr>
            <w:r>
              <w:rPr>
                <w:rFonts w:hint="eastAsia" w:ascii="宋体" w:hAnsi="宋体" w:eastAsia="宋体" w:cs="宋体"/>
                <w:snapToGrid w:val="0"/>
                <w:color w:val="000000"/>
                <w:spacing w:val="3"/>
                <w:kern w:val="0"/>
                <w:sz w:val="24"/>
                <w:szCs w:val="24"/>
                <w:lang w:val="en-US" w:eastAsia="zh-CN" w:bidi="ar-SA"/>
              </w:rPr>
              <w:t>项目基本情况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0"/>
              <w:gridCol w:w="5015"/>
            </w:tblGrid>
            <w:tr w14:paraId="46CA0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680" w:type="dxa"/>
                  <w:vAlign w:val="center"/>
                </w:tcPr>
                <w:p w14:paraId="75AEE1B8">
                  <w:pPr>
                    <w:widowControl w:val="0"/>
                    <w:bidi w:val="0"/>
                    <w:spacing w:line="360" w:lineRule="auto"/>
                    <w:jc w:val="both"/>
                    <w:rPr>
                      <w:rFonts w:hint="eastAsia" w:ascii="宋体" w:hAnsi="宋体" w:eastAsia="宋体" w:cs="宋体"/>
                      <w:snapToGrid w:val="0"/>
                      <w:color w:val="000000"/>
                      <w:spacing w:val="3"/>
                      <w:kern w:val="0"/>
                      <w:sz w:val="24"/>
                      <w:szCs w:val="24"/>
                      <w:lang w:val="en-US" w:eastAsia="zh-CN" w:bidi="ar-SA"/>
                    </w:rPr>
                  </w:pPr>
                  <w:r>
                    <w:rPr>
                      <w:rFonts w:hint="eastAsia" w:ascii="宋体" w:hAnsi="宋体" w:eastAsia="宋体" w:cs="宋体"/>
                      <w:snapToGrid w:val="0"/>
                      <w:color w:val="000000"/>
                      <w:spacing w:val="3"/>
                      <w:kern w:val="0"/>
                      <w:sz w:val="24"/>
                      <w:szCs w:val="24"/>
                      <w:lang w:val="en-US" w:eastAsia="zh-CN" w:bidi="ar-SA"/>
                    </w:rPr>
                    <w:t>名称</w:t>
                  </w:r>
                </w:p>
              </w:tc>
              <w:tc>
                <w:tcPr>
                  <w:tcW w:w="5015" w:type="dxa"/>
                  <w:vAlign w:val="center"/>
                </w:tcPr>
                <w:p w14:paraId="60FEC137">
                  <w:pPr>
                    <w:widowControl w:val="0"/>
                    <w:bidi w:val="0"/>
                    <w:spacing w:line="360" w:lineRule="auto"/>
                    <w:jc w:val="both"/>
                    <w:rPr>
                      <w:rFonts w:hint="eastAsia" w:ascii="宋体" w:hAnsi="宋体" w:eastAsia="宋体" w:cs="宋体"/>
                      <w:snapToGrid w:val="0"/>
                      <w:color w:val="000000"/>
                      <w:spacing w:val="3"/>
                      <w:kern w:val="0"/>
                      <w:sz w:val="24"/>
                      <w:szCs w:val="24"/>
                      <w:lang w:val="en-US" w:eastAsia="zh-CN" w:bidi="ar-SA"/>
                    </w:rPr>
                  </w:pPr>
                  <w:r>
                    <w:rPr>
                      <w:rFonts w:hint="eastAsia" w:ascii="宋体" w:hAnsi="宋体" w:eastAsia="宋体" w:cs="宋体"/>
                      <w:snapToGrid w:val="0"/>
                      <w:color w:val="000000"/>
                      <w:spacing w:val="3"/>
                      <w:kern w:val="0"/>
                      <w:sz w:val="24"/>
                      <w:szCs w:val="24"/>
                      <w:lang w:val="en-US" w:eastAsia="zh-CN" w:bidi="ar-SA"/>
                    </w:rPr>
                    <w:t>明细</w:t>
                  </w:r>
                </w:p>
              </w:tc>
            </w:tr>
            <w:tr w14:paraId="17F3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680" w:type="dxa"/>
                  <w:vAlign w:val="center"/>
                </w:tcPr>
                <w:p w14:paraId="1D8AEB9C">
                  <w:pPr>
                    <w:widowControl w:val="0"/>
                    <w:bidi w:val="0"/>
                    <w:spacing w:line="360" w:lineRule="auto"/>
                    <w:jc w:val="both"/>
                    <w:rPr>
                      <w:rFonts w:hint="default" w:ascii="宋体" w:hAnsi="宋体" w:eastAsia="宋体" w:cs="宋体"/>
                      <w:snapToGrid w:val="0"/>
                      <w:color w:val="000000"/>
                      <w:spacing w:val="3"/>
                      <w:kern w:val="0"/>
                      <w:sz w:val="24"/>
                      <w:szCs w:val="24"/>
                      <w:lang w:val="en-US" w:eastAsia="zh-CN" w:bidi="ar-SA"/>
                    </w:rPr>
                  </w:pPr>
                  <w:r>
                    <w:rPr>
                      <w:rFonts w:hint="eastAsia" w:ascii="宋体" w:hAnsi="宋体" w:eastAsia="宋体" w:cs="宋体"/>
                      <w:snapToGrid w:val="0"/>
                      <w:color w:val="000000"/>
                      <w:spacing w:val="11"/>
                      <w:kern w:val="0"/>
                      <w:sz w:val="24"/>
                      <w:szCs w:val="24"/>
                      <w:lang w:val="en-US" w:eastAsia="zh-CN" w:bidi="ar-SA"/>
                    </w:rPr>
                    <w:t>内蒙古艺术学院云谷校区（一期）</w:t>
                  </w:r>
                </w:p>
              </w:tc>
              <w:tc>
                <w:tcPr>
                  <w:tcW w:w="5015" w:type="dxa"/>
                  <w:vAlign w:val="center"/>
                </w:tcPr>
                <w:p w14:paraId="6B35AD01">
                  <w:pPr>
                    <w:widowControl w:val="0"/>
                    <w:bidi w:val="0"/>
                    <w:spacing w:line="360" w:lineRule="auto"/>
                    <w:jc w:val="both"/>
                    <w:rPr>
                      <w:rFonts w:hint="eastAsia" w:ascii="宋体" w:hAnsi="宋体" w:eastAsia="宋体" w:cs="宋体"/>
                      <w:snapToGrid w:val="0"/>
                      <w:color w:val="000000"/>
                      <w:spacing w:val="3"/>
                      <w:kern w:val="0"/>
                      <w:sz w:val="24"/>
                      <w:szCs w:val="24"/>
                      <w:lang w:val="en-US" w:eastAsia="zh-CN" w:bidi="ar-SA"/>
                    </w:rPr>
                  </w:pPr>
                  <w:r>
                    <w:rPr>
                      <w:rFonts w:hint="eastAsia" w:ascii="宋体" w:hAnsi="宋体" w:eastAsia="宋体" w:cs="宋体"/>
                      <w:snapToGrid w:val="0"/>
                      <w:color w:val="000000"/>
                      <w:spacing w:val="3"/>
                      <w:kern w:val="0"/>
                      <w:sz w:val="24"/>
                      <w:szCs w:val="24"/>
                      <w:lang w:val="en-US" w:eastAsia="zh-CN" w:bidi="ar-SA"/>
                    </w:rPr>
                    <w:t>呼和浩特市和林格尔新区云谷大道（云谷校区）</w:t>
                  </w:r>
                </w:p>
              </w:tc>
            </w:tr>
          </w:tbl>
          <w:p w14:paraId="7289C166">
            <w:pPr>
              <w:widowControl w:val="0"/>
              <w:numPr>
                <w:ilvl w:val="0"/>
                <w:numId w:val="0"/>
              </w:numPr>
              <w:bidi w:val="0"/>
              <w:spacing w:line="360" w:lineRule="auto"/>
              <w:jc w:val="both"/>
              <w:rPr>
                <w:rFonts w:hint="eastAsia" w:ascii="宋体" w:hAnsi="宋体" w:eastAsia="宋体" w:cs="宋体"/>
                <w:b/>
                <w:bCs/>
                <w:snapToGrid w:val="0"/>
                <w:color w:val="000000"/>
                <w:spacing w:val="3"/>
                <w:kern w:val="0"/>
                <w:sz w:val="24"/>
                <w:szCs w:val="24"/>
                <w:lang w:val="en-US" w:eastAsia="zh-CN" w:bidi="ar-SA"/>
              </w:rPr>
            </w:pPr>
            <w:r>
              <w:rPr>
                <w:rFonts w:hint="eastAsia" w:ascii="宋体" w:hAnsi="宋体" w:eastAsia="宋体" w:cs="宋体"/>
                <w:b/>
                <w:bCs/>
                <w:snapToGrid w:val="0"/>
                <w:color w:val="000000"/>
                <w:spacing w:val="3"/>
                <w:kern w:val="0"/>
                <w:sz w:val="24"/>
                <w:szCs w:val="24"/>
                <w:lang w:val="en-US" w:eastAsia="zh-CN" w:bidi="ar-SA"/>
              </w:rPr>
              <w:t>（二）进一步说明：</w:t>
            </w:r>
          </w:p>
          <w:p w14:paraId="7A330D9C">
            <w:pPr>
              <w:widowControl w:val="0"/>
              <w:numPr>
                <w:ilvl w:val="0"/>
                <w:numId w:val="0"/>
              </w:numPr>
              <w:bidi w:val="0"/>
              <w:spacing w:line="360" w:lineRule="auto"/>
              <w:jc w:val="both"/>
              <w:rPr>
                <w:rFonts w:hint="eastAsia" w:ascii="宋体" w:hAnsi="宋体" w:eastAsia="宋体" w:cs="宋体"/>
                <w:snapToGrid w:val="0"/>
                <w:color w:val="000000"/>
                <w:spacing w:val="3"/>
                <w:kern w:val="0"/>
                <w:sz w:val="24"/>
                <w:szCs w:val="24"/>
                <w:lang w:val="en-US" w:eastAsia="zh-CN" w:bidi="ar-SA"/>
              </w:rPr>
            </w:pPr>
            <w:r>
              <w:rPr>
                <w:rFonts w:hint="eastAsia" w:ascii="宋体" w:hAnsi="宋体" w:eastAsia="宋体" w:cs="宋体"/>
                <w:b/>
                <w:bCs/>
                <w:snapToGrid w:val="0"/>
                <w:color w:val="000000"/>
                <w:spacing w:val="3"/>
                <w:kern w:val="0"/>
                <w:sz w:val="24"/>
                <w:szCs w:val="24"/>
                <w:lang w:val="en-US" w:eastAsia="zh-CN" w:bidi="ar-SA"/>
              </w:rPr>
              <w:t>本招标物业服务范围不包括：</w:t>
            </w:r>
            <w:r>
              <w:rPr>
                <w:rFonts w:hint="eastAsia" w:ascii="宋体" w:hAnsi="宋体" w:eastAsia="宋体" w:cs="宋体"/>
                <w:snapToGrid w:val="0"/>
                <w:color w:val="000000"/>
                <w:spacing w:val="3"/>
                <w:kern w:val="0"/>
                <w:sz w:val="24"/>
                <w:szCs w:val="24"/>
                <w:lang w:val="en-US" w:eastAsia="zh-CN" w:bidi="ar-SA"/>
              </w:rPr>
              <w:t>：</w:t>
            </w:r>
          </w:p>
          <w:p w14:paraId="17ADCB61">
            <w:pPr>
              <w:widowControl w:val="0"/>
              <w:numPr>
                <w:ilvl w:val="0"/>
                <w:numId w:val="0"/>
              </w:numPr>
              <w:bidi w:val="0"/>
              <w:spacing w:line="360" w:lineRule="auto"/>
              <w:jc w:val="both"/>
              <w:rPr>
                <w:rFonts w:hint="eastAsia" w:ascii="宋体" w:hAnsi="宋体" w:eastAsia="宋体" w:cs="宋体"/>
                <w:snapToGrid w:val="0"/>
                <w:color w:val="000000"/>
                <w:spacing w:val="3"/>
                <w:kern w:val="0"/>
                <w:sz w:val="24"/>
                <w:szCs w:val="24"/>
                <w:lang w:val="en-US" w:eastAsia="zh-CN" w:bidi="ar-SA"/>
              </w:rPr>
            </w:pPr>
            <w:r>
              <w:rPr>
                <w:rFonts w:hint="eastAsia" w:ascii="宋体" w:hAnsi="宋体" w:eastAsia="宋体" w:cs="宋体"/>
                <w:snapToGrid w:val="0"/>
                <w:color w:val="000000"/>
                <w:spacing w:val="3"/>
                <w:kern w:val="0"/>
                <w:sz w:val="24"/>
                <w:szCs w:val="24"/>
                <w:lang w:val="en-US" w:eastAsia="zh-CN" w:bidi="ar-SA"/>
              </w:rPr>
              <w:t>1.几处出入口大门、建筑物及校园内的安保巡逻（重点区域24小时巡查、值守</w:t>
            </w:r>
          </w:p>
          <w:p w14:paraId="5A4ED603">
            <w:pPr>
              <w:widowControl w:val="0"/>
              <w:numPr>
                <w:ilvl w:val="0"/>
                <w:numId w:val="0"/>
              </w:numPr>
              <w:bidi w:val="0"/>
              <w:spacing w:line="360" w:lineRule="auto"/>
              <w:jc w:val="both"/>
              <w:rPr>
                <w:rFonts w:hint="eastAsia" w:ascii="宋体" w:hAnsi="宋体" w:eastAsia="宋体" w:cs="宋体"/>
                <w:snapToGrid w:val="0"/>
                <w:color w:val="000000"/>
                <w:spacing w:val="3"/>
                <w:kern w:val="0"/>
                <w:sz w:val="24"/>
                <w:szCs w:val="24"/>
                <w:lang w:val="en-US" w:eastAsia="zh-CN" w:bidi="ar-SA"/>
              </w:rPr>
            </w:pPr>
            <w:r>
              <w:rPr>
                <w:rFonts w:hint="eastAsia" w:ascii="宋体" w:hAnsi="宋体" w:eastAsia="宋体" w:cs="宋体"/>
                <w:snapToGrid w:val="0"/>
                <w:color w:val="000000"/>
                <w:spacing w:val="3"/>
                <w:kern w:val="0"/>
                <w:sz w:val="24"/>
                <w:szCs w:val="24"/>
                <w:lang w:val="en-US" w:eastAsia="zh-CN" w:bidi="ar-SA"/>
              </w:rPr>
              <w:t>）等由保卫处管理，本次物业服务招标不包括。</w:t>
            </w:r>
          </w:p>
          <w:p w14:paraId="2FF20CF7">
            <w:pPr>
              <w:widowControl w:val="0"/>
              <w:numPr>
                <w:ilvl w:val="0"/>
                <w:numId w:val="0"/>
              </w:numPr>
              <w:bidi w:val="0"/>
              <w:spacing w:line="360" w:lineRule="auto"/>
              <w:jc w:val="both"/>
              <w:rPr>
                <w:rFonts w:hint="eastAsia" w:asciiTheme="minorEastAsia" w:hAnsiTheme="minorEastAsia" w:eastAsiaTheme="minorEastAsia" w:cstheme="minorEastAsia"/>
                <w:snapToGrid w:val="0"/>
                <w:color w:val="000000"/>
                <w:spacing w:val="3"/>
                <w:kern w:val="0"/>
                <w:sz w:val="24"/>
                <w:szCs w:val="24"/>
                <w:lang w:val="en-US" w:eastAsia="zh-CN" w:bidi="ar-SA"/>
              </w:rPr>
            </w:pPr>
            <w:r>
              <w:rPr>
                <w:rFonts w:hint="eastAsia" w:asciiTheme="minorEastAsia" w:hAnsiTheme="minorEastAsia" w:eastAsiaTheme="minorEastAsia" w:cstheme="minorEastAsia"/>
                <w:snapToGrid w:val="0"/>
                <w:color w:val="000000"/>
                <w:spacing w:val="3"/>
                <w:kern w:val="0"/>
                <w:sz w:val="24"/>
                <w:szCs w:val="24"/>
                <w:lang w:val="en-US" w:eastAsia="zh-CN" w:bidi="ar-SA"/>
              </w:rPr>
              <w:t>（三）物业服务范围</w:t>
            </w:r>
          </w:p>
          <w:p w14:paraId="57E34055">
            <w:pPr>
              <w:widowControl w:val="0"/>
              <w:numPr>
                <w:ilvl w:val="0"/>
                <w:numId w:val="0"/>
              </w:numPr>
              <w:bidi w:val="0"/>
              <w:spacing w:line="360" w:lineRule="auto"/>
              <w:jc w:val="both"/>
              <w:rPr>
                <w:rFonts w:hint="eastAsia" w:asciiTheme="minorEastAsia" w:hAnsiTheme="minorEastAsia" w:eastAsiaTheme="minorEastAsia" w:cstheme="minorEastAsia"/>
                <w:snapToGrid w:val="0"/>
                <w:color w:val="000000"/>
                <w:spacing w:val="3"/>
                <w:kern w:val="0"/>
                <w:sz w:val="24"/>
                <w:szCs w:val="24"/>
                <w:lang w:val="en-US" w:eastAsia="zh-CN" w:bidi="ar-SA"/>
              </w:rPr>
            </w:pPr>
            <w:r>
              <w:rPr>
                <w:rFonts w:hint="eastAsia" w:asciiTheme="minorEastAsia" w:hAnsiTheme="minorEastAsia" w:eastAsiaTheme="minorEastAsia" w:cstheme="minorEastAsia"/>
                <w:snapToGrid w:val="0"/>
                <w:color w:val="000000"/>
                <w:spacing w:val="3"/>
                <w:kern w:val="0"/>
                <w:sz w:val="24"/>
                <w:szCs w:val="24"/>
                <w:lang w:val="en-US" w:eastAsia="zh-CN" w:bidi="ar-SA"/>
              </w:rPr>
              <w:t>1.物业管理（建筑物）</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946"/>
              <w:gridCol w:w="2761"/>
              <w:gridCol w:w="1327"/>
            </w:tblGrid>
            <w:tr w14:paraId="3FA7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588" w:type="dxa"/>
                  <w:gridSpan w:val="2"/>
                  <w:vAlign w:val="center"/>
                </w:tcPr>
                <w:p w14:paraId="1AA451C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名称</w:t>
                  </w:r>
                </w:p>
              </w:tc>
              <w:tc>
                <w:tcPr>
                  <w:tcW w:w="2761" w:type="dxa"/>
                  <w:vAlign w:val="center"/>
                </w:tcPr>
                <w:p w14:paraId="34BC898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明细</w:t>
                  </w:r>
                </w:p>
              </w:tc>
              <w:tc>
                <w:tcPr>
                  <w:tcW w:w="1327" w:type="dxa"/>
                  <w:vAlign w:val="center"/>
                </w:tcPr>
                <w:p w14:paraId="2BEDE84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服务内容及标准</w:t>
                  </w:r>
                </w:p>
              </w:tc>
            </w:tr>
            <w:tr w14:paraId="2437D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588" w:type="dxa"/>
                  <w:gridSpan w:val="2"/>
                  <w:vAlign w:val="center"/>
                </w:tcPr>
                <w:p w14:paraId="30162CD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建筑1名</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称</w:t>
                  </w:r>
                </w:p>
              </w:tc>
              <w:tc>
                <w:tcPr>
                  <w:tcW w:w="2761" w:type="dxa"/>
                  <w:vAlign w:val="center"/>
                </w:tcPr>
                <w:p w14:paraId="3DF71D0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云谷行政楼</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、云谷教学主楼、云谷视觉传达楼、云谷图书馆、云谷风雨操场、云谷学生宿舍、云谷体育场看台、云谷学生食堂、运动场</w:t>
                  </w:r>
                </w:p>
              </w:tc>
              <w:tc>
                <w:tcPr>
                  <w:tcW w:w="1327" w:type="dxa"/>
                  <w:vAlign w:val="center"/>
                </w:tcPr>
                <w:p w14:paraId="653E4C6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5B592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restart"/>
                  <w:vAlign w:val="center"/>
                </w:tcPr>
                <w:p w14:paraId="78FF982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总面积</w:t>
                  </w:r>
                </w:p>
              </w:tc>
              <w:tc>
                <w:tcPr>
                  <w:tcW w:w="1946" w:type="dxa"/>
                  <w:vAlign w:val="center"/>
                </w:tcPr>
                <w:p w14:paraId="3BC3FB3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建筑面积（㎡）</w:t>
                  </w:r>
                </w:p>
              </w:tc>
              <w:tc>
                <w:tcPr>
                  <w:tcW w:w="2761" w:type="dxa"/>
                  <w:vAlign w:val="center"/>
                </w:tcPr>
                <w:p w14:paraId="0B407A8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140968</w:t>
                  </w:r>
                </w:p>
              </w:tc>
              <w:tc>
                <w:tcPr>
                  <w:tcW w:w="1327" w:type="dxa"/>
                  <w:vAlign w:val="center"/>
                </w:tcPr>
                <w:p w14:paraId="19415C2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p>
              </w:tc>
            </w:tr>
            <w:tr w14:paraId="71833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7818DA3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52D2505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需保洁面积（㎡）</w:t>
                  </w:r>
                </w:p>
              </w:tc>
              <w:tc>
                <w:tcPr>
                  <w:tcW w:w="2761" w:type="dxa"/>
                  <w:vAlign w:val="center"/>
                </w:tcPr>
                <w:p w14:paraId="06AC9F7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55565.68</w:t>
                  </w:r>
                </w:p>
              </w:tc>
              <w:tc>
                <w:tcPr>
                  <w:tcW w:w="1327" w:type="dxa"/>
                  <w:vAlign w:val="center"/>
                </w:tcPr>
                <w:p w14:paraId="45EBBDF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p>
              </w:tc>
            </w:tr>
            <w:tr w14:paraId="17EB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restart"/>
                  <w:vAlign w:val="center"/>
                </w:tcPr>
                <w:p w14:paraId="0CD28FC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行政楼</w:t>
                  </w:r>
                </w:p>
              </w:tc>
              <w:tc>
                <w:tcPr>
                  <w:tcW w:w="1946" w:type="dxa"/>
                  <w:vAlign w:val="center"/>
                </w:tcPr>
                <w:p w14:paraId="33C4A24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层高</w:t>
                  </w:r>
                </w:p>
              </w:tc>
              <w:tc>
                <w:tcPr>
                  <w:tcW w:w="2761" w:type="dxa"/>
                  <w:vAlign w:val="center"/>
                </w:tcPr>
                <w:p w14:paraId="290CC2C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3</w:t>
                  </w:r>
                </w:p>
              </w:tc>
              <w:tc>
                <w:tcPr>
                  <w:tcW w:w="1327" w:type="dxa"/>
                  <w:vMerge w:val="restart"/>
                  <w:vAlign w:val="center"/>
                </w:tcPr>
                <w:p w14:paraId="3603112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、会议服务</w:t>
                  </w:r>
                </w:p>
              </w:tc>
            </w:tr>
            <w:tr w14:paraId="5C7DF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71F168D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7C9426F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办公室</w:t>
                  </w:r>
                </w:p>
              </w:tc>
              <w:tc>
                <w:tcPr>
                  <w:tcW w:w="2761" w:type="dxa"/>
                  <w:vAlign w:val="center"/>
                </w:tcPr>
                <w:p w14:paraId="3317F97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7</w:t>
                  </w:r>
                </w:p>
              </w:tc>
              <w:tc>
                <w:tcPr>
                  <w:tcW w:w="1327" w:type="dxa"/>
                  <w:vMerge w:val="continue"/>
                  <w:vAlign w:val="center"/>
                </w:tcPr>
                <w:p w14:paraId="09A1DA7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4CA6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642" w:type="dxa"/>
                  <w:vMerge w:val="continue"/>
                  <w:vAlign w:val="center"/>
                </w:tcPr>
                <w:p w14:paraId="40515D1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6966856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会议室</w:t>
                  </w:r>
                </w:p>
              </w:tc>
              <w:tc>
                <w:tcPr>
                  <w:tcW w:w="2761" w:type="dxa"/>
                  <w:vAlign w:val="center"/>
                </w:tcPr>
                <w:p w14:paraId="1FABB68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4</w:t>
                  </w:r>
                </w:p>
              </w:tc>
              <w:tc>
                <w:tcPr>
                  <w:tcW w:w="1327" w:type="dxa"/>
                  <w:vMerge w:val="continue"/>
                  <w:vAlign w:val="center"/>
                </w:tcPr>
                <w:p w14:paraId="6FA14E7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184CB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40A0BAF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shd w:val="clear" w:color="auto" w:fill="auto"/>
                  <w:vAlign w:val="center"/>
                </w:tcPr>
                <w:p w14:paraId="30938AF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2761" w:type="dxa"/>
                  <w:shd w:val="clear" w:color="auto" w:fill="auto"/>
                  <w:vAlign w:val="center"/>
                </w:tcPr>
                <w:p w14:paraId="1A52B2A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6</w:t>
                  </w:r>
                </w:p>
              </w:tc>
              <w:tc>
                <w:tcPr>
                  <w:tcW w:w="1327" w:type="dxa"/>
                  <w:vMerge w:val="continue"/>
                  <w:vAlign w:val="center"/>
                </w:tcPr>
                <w:p w14:paraId="4295ABE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6D00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6868E3E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50207A9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2761" w:type="dxa"/>
                  <w:vAlign w:val="center"/>
                </w:tcPr>
                <w:p w14:paraId="4BCF7FC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5112㎡</w:t>
                  </w:r>
                </w:p>
              </w:tc>
              <w:tc>
                <w:tcPr>
                  <w:tcW w:w="1327" w:type="dxa"/>
                  <w:vMerge w:val="continue"/>
                  <w:vAlign w:val="center"/>
                </w:tcPr>
                <w:p w14:paraId="77228BE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271AB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restart"/>
                  <w:vAlign w:val="center"/>
                </w:tcPr>
                <w:p w14:paraId="19331AE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云谷教学主楼</w:t>
                  </w:r>
                </w:p>
              </w:tc>
              <w:tc>
                <w:tcPr>
                  <w:tcW w:w="1946" w:type="dxa"/>
                  <w:vAlign w:val="center"/>
                </w:tcPr>
                <w:p w14:paraId="5350608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层高</w:t>
                  </w:r>
                </w:p>
              </w:tc>
              <w:tc>
                <w:tcPr>
                  <w:tcW w:w="2761" w:type="dxa"/>
                  <w:vAlign w:val="center"/>
                </w:tcPr>
                <w:p w14:paraId="3F37332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5</w:t>
                  </w:r>
                </w:p>
              </w:tc>
              <w:tc>
                <w:tcPr>
                  <w:tcW w:w="1327" w:type="dxa"/>
                  <w:vMerge w:val="restart"/>
                  <w:vAlign w:val="center"/>
                </w:tcPr>
                <w:p w14:paraId="2E6B1DD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、多媒体教室管理服务</w:t>
                  </w:r>
                </w:p>
              </w:tc>
            </w:tr>
            <w:tr w14:paraId="3BB88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2582A1F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040570A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教室</w:t>
                  </w:r>
                </w:p>
              </w:tc>
              <w:tc>
                <w:tcPr>
                  <w:tcW w:w="2761" w:type="dxa"/>
                  <w:vAlign w:val="center"/>
                </w:tcPr>
                <w:p w14:paraId="77B6DC0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51</w:t>
                  </w:r>
                </w:p>
              </w:tc>
              <w:tc>
                <w:tcPr>
                  <w:tcW w:w="1327" w:type="dxa"/>
                  <w:vMerge w:val="continue"/>
                  <w:vAlign w:val="center"/>
                </w:tcPr>
                <w:p w14:paraId="3164A31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0F8E4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79120FF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7298531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2761" w:type="dxa"/>
                  <w:vAlign w:val="center"/>
                </w:tcPr>
                <w:p w14:paraId="373D8FF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36</w:t>
                  </w:r>
                </w:p>
              </w:tc>
              <w:tc>
                <w:tcPr>
                  <w:tcW w:w="1327" w:type="dxa"/>
                  <w:vMerge w:val="continue"/>
                  <w:vAlign w:val="center"/>
                </w:tcPr>
                <w:p w14:paraId="56EF684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4A3F8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5E0C688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7B52DB5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2761" w:type="dxa"/>
                  <w:vAlign w:val="center"/>
                </w:tcPr>
                <w:p w14:paraId="0CF7CA2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27247㎡</w:t>
                  </w:r>
                </w:p>
              </w:tc>
              <w:tc>
                <w:tcPr>
                  <w:tcW w:w="1327" w:type="dxa"/>
                  <w:vMerge w:val="continue"/>
                  <w:vAlign w:val="center"/>
                </w:tcPr>
                <w:p w14:paraId="56B02E8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5A9EF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restart"/>
                  <w:vAlign w:val="center"/>
                </w:tcPr>
                <w:p w14:paraId="2BE4199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云谷视觉传达楼</w:t>
                  </w:r>
                </w:p>
              </w:tc>
              <w:tc>
                <w:tcPr>
                  <w:tcW w:w="1946" w:type="dxa"/>
                  <w:vAlign w:val="center"/>
                </w:tcPr>
                <w:p w14:paraId="16B86E3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层高</w:t>
                  </w:r>
                </w:p>
              </w:tc>
              <w:tc>
                <w:tcPr>
                  <w:tcW w:w="2761" w:type="dxa"/>
                  <w:vAlign w:val="center"/>
                </w:tcPr>
                <w:p w14:paraId="220B9F7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5</w:t>
                  </w:r>
                </w:p>
              </w:tc>
              <w:tc>
                <w:tcPr>
                  <w:tcW w:w="1327" w:type="dxa"/>
                  <w:vMerge w:val="restart"/>
                  <w:vAlign w:val="center"/>
                </w:tcPr>
                <w:p w14:paraId="326BA10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79FAE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6A94482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shd w:val="clear" w:color="auto" w:fill="auto"/>
                  <w:vAlign w:val="center"/>
                </w:tcPr>
                <w:p w14:paraId="19D38AD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2761" w:type="dxa"/>
                  <w:shd w:val="clear" w:color="auto" w:fill="auto"/>
                  <w:vAlign w:val="center"/>
                </w:tcPr>
                <w:p w14:paraId="1C64564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40</w:t>
                  </w:r>
                </w:p>
              </w:tc>
              <w:tc>
                <w:tcPr>
                  <w:tcW w:w="1327" w:type="dxa"/>
                  <w:vMerge w:val="continue"/>
                  <w:vAlign w:val="center"/>
                </w:tcPr>
                <w:p w14:paraId="7E9EADD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339E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68F2CDF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70B1B93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建筑面积</w:t>
                  </w:r>
                </w:p>
              </w:tc>
              <w:tc>
                <w:tcPr>
                  <w:tcW w:w="2761" w:type="dxa"/>
                  <w:vAlign w:val="center"/>
                </w:tcPr>
                <w:p w14:paraId="2FDEF01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36218㎡</w:t>
                  </w:r>
                </w:p>
              </w:tc>
              <w:tc>
                <w:tcPr>
                  <w:tcW w:w="1327" w:type="dxa"/>
                  <w:vMerge w:val="continue"/>
                  <w:vAlign w:val="center"/>
                </w:tcPr>
                <w:p w14:paraId="5DE1AD9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2402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restart"/>
                  <w:vAlign w:val="center"/>
                </w:tcPr>
                <w:p w14:paraId="006CDA0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云谷图书馆</w:t>
                  </w:r>
                </w:p>
              </w:tc>
              <w:tc>
                <w:tcPr>
                  <w:tcW w:w="1946" w:type="dxa"/>
                  <w:vAlign w:val="center"/>
                </w:tcPr>
                <w:p w14:paraId="7728578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层高</w:t>
                  </w:r>
                </w:p>
              </w:tc>
              <w:tc>
                <w:tcPr>
                  <w:tcW w:w="2761" w:type="dxa"/>
                  <w:vAlign w:val="center"/>
                </w:tcPr>
                <w:p w14:paraId="2FA6439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4</w:t>
                  </w:r>
                </w:p>
              </w:tc>
              <w:tc>
                <w:tcPr>
                  <w:tcW w:w="1327" w:type="dxa"/>
                  <w:vMerge w:val="restart"/>
                  <w:vAlign w:val="center"/>
                </w:tcPr>
                <w:p w14:paraId="238F60A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11CE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4BDDF0B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shd w:val="clear" w:color="auto" w:fill="auto"/>
                  <w:vAlign w:val="center"/>
                </w:tcPr>
                <w:p w14:paraId="1CB4A08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2761" w:type="dxa"/>
                  <w:shd w:val="clear" w:color="auto" w:fill="auto"/>
                  <w:vAlign w:val="center"/>
                </w:tcPr>
                <w:p w14:paraId="28B76D2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21</w:t>
                  </w:r>
                </w:p>
              </w:tc>
              <w:tc>
                <w:tcPr>
                  <w:tcW w:w="1327" w:type="dxa"/>
                  <w:vMerge w:val="continue"/>
                  <w:vAlign w:val="center"/>
                </w:tcPr>
                <w:p w14:paraId="6D34285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0C568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7E2BDFD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55FBE0C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2761" w:type="dxa"/>
                  <w:vAlign w:val="center"/>
                </w:tcPr>
                <w:p w14:paraId="2678B59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color w:val="auto"/>
                      <w:spacing w:val="1"/>
                      <w:sz w:val="24"/>
                      <w:szCs w:val="24"/>
                      <w:highlight w:val="none"/>
                      <w:lang w:val="en-US" w:eastAsia="zh-CN"/>
                    </w:rPr>
                    <w:t>17891</w:t>
                  </w: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w:t>
                  </w:r>
                </w:p>
              </w:tc>
              <w:tc>
                <w:tcPr>
                  <w:tcW w:w="1327" w:type="dxa"/>
                  <w:vMerge w:val="continue"/>
                  <w:vAlign w:val="center"/>
                </w:tcPr>
                <w:p w14:paraId="374D1C9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7AC6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restart"/>
                  <w:vAlign w:val="center"/>
                </w:tcPr>
                <w:p w14:paraId="56D4438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云谷风雨操场</w:t>
                  </w:r>
                </w:p>
              </w:tc>
              <w:tc>
                <w:tcPr>
                  <w:tcW w:w="1946" w:type="dxa"/>
                  <w:vAlign w:val="center"/>
                </w:tcPr>
                <w:p w14:paraId="29BC39B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层高</w:t>
                  </w:r>
                </w:p>
              </w:tc>
              <w:tc>
                <w:tcPr>
                  <w:tcW w:w="2761" w:type="dxa"/>
                  <w:vAlign w:val="center"/>
                </w:tcPr>
                <w:p w14:paraId="3C3C046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t>篮球场2层</w:t>
                  </w:r>
                </w:p>
                <w:p w14:paraId="0868DFD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t>多功能4层</w:t>
                  </w:r>
                </w:p>
              </w:tc>
              <w:tc>
                <w:tcPr>
                  <w:tcW w:w="1327" w:type="dxa"/>
                  <w:vMerge w:val="restart"/>
                  <w:vAlign w:val="center"/>
                </w:tcPr>
                <w:p w14:paraId="2057F9A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39752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7699969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shd w:val="clear" w:color="auto" w:fill="auto"/>
                  <w:vAlign w:val="center"/>
                </w:tcPr>
                <w:p w14:paraId="722DA33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2761" w:type="dxa"/>
                  <w:shd w:val="clear" w:color="auto" w:fill="auto"/>
                  <w:vAlign w:val="center"/>
                </w:tcPr>
                <w:p w14:paraId="506A181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10</w:t>
                  </w:r>
                </w:p>
              </w:tc>
              <w:tc>
                <w:tcPr>
                  <w:tcW w:w="1327" w:type="dxa"/>
                  <w:vMerge w:val="continue"/>
                  <w:vAlign w:val="center"/>
                </w:tcPr>
                <w:p w14:paraId="40AF09A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1D7FD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69E5E5A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44AD5BA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2761" w:type="dxa"/>
                  <w:vAlign w:val="center"/>
                </w:tcPr>
                <w:p w14:paraId="361095D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8552㎡</w:t>
                  </w:r>
                </w:p>
              </w:tc>
              <w:tc>
                <w:tcPr>
                  <w:tcW w:w="1327" w:type="dxa"/>
                  <w:vMerge w:val="continue"/>
                  <w:vAlign w:val="center"/>
                </w:tcPr>
                <w:p w14:paraId="5E721E2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55651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restart"/>
                  <w:vAlign w:val="center"/>
                </w:tcPr>
                <w:p w14:paraId="778943E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云谷学生宿舍</w:t>
                  </w:r>
                </w:p>
              </w:tc>
              <w:tc>
                <w:tcPr>
                  <w:tcW w:w="1946" w:type="dxa"/>
                  <w:vAlign w:val="center"/>
                </w:tcPr>
                <w:p w14:paraId="3265634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层高</w:t>
                  </w:r>
                </w:p>
              </w:tc>
              <w:tc>
                <w:tcPr>
                  <w:tcW w:w="2761" w:type="dxa"/>
                  <w:vAlign w:val="center"/>
                </w:tcPr>
                <w:p w14:paraId="107BDF7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6</w:t>
                  </w:r>
                </w:p>
              </w:tc>
              <w:tc>
                <w:tcPr>
                  <w:tcW w:w="1327" w:type="dxa"/>
                  <w:vMerge w:val="restart"/>
                  <w:vAlign w:val="center"/>
                </w:tcPr>
                <w:p w14:paraId="2BE3921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、公寓管理服务</w:t>
                  </w:r>
                </w:p>
              </w:tc>
            </w:tr>
            <w:tr w14:paraId="68BC4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7C98C2D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36B5D41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房间、设施数量</w:t>
                  </w:r>
                </w:p>
              </w:tc>
              <w:tc>
                <w:tcPr>
                  <w:tcW w:w="2761" w:type="dxa"/>
                  <w:vAlign w:val="center"/>
                </w:tcPr>
                <w:p w14:paraId="005ABEB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582</w:t>
                  </w:r>
                </w:p>
              </w:tc>
              <w:tc>
                <w:tcPr>
                  <w:tcW w:w="1327" w:type="dxa"/>
                  <w:vMerge w:val="continue"/>
                  <w:vAlign w:val="center"/>
                </w:tcPr>
                <w:p w14:paraId="1398CCB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3B7B7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0E562A5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shd w:val="clear" w:color="auto" w:fill="auto"/>
                  <w:vAlign w:val="center"/>
                </w:tcPr>
                <w:p w14:paraId="2F27CD9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2761" w:type="dxa"/>
                  <w:shd w:val="clear" w:color="auto" w:fill="auto"/>
                  <w:vAlign w:val="center"/>
                </w:tcPr>
                <w:p w14:paraId="3310FD0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43</w:t>
                  </w:r>
                </w:p>
              </w:tc>
              <w:tc>
                <w:tcPr>
                  <w:tcW w:w="1327" w:type="dxa"/>
                  <w:vMerge w:val="continue"/>
                  <w:vAlign w:val="center"/>
                </w:tcPr>
                <w:p w14:paraId="355012C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4ABF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24B4E73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6A945DF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建筑面积</w:t>
                  </w:r>
                </w:p>
              </w:tc>
              <w:tc>
                <w:tcPr>
                  <w:tcW w:w="2761" w:type="dxa"/>
                  <w:vAlign w:val="center"/>
                </w:tcPr>
                <w:p w14:paraId="6DEB8E2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32000㎡</w:t>
                  </w:r>
                </w:p>
              </w:tc>
              <w:tc>
                <w:tcPr>
                  <w:tcW w:w="1327" w:type="dxa"/>
                  <w:vMerge w:val="continue"/>
                  <w:vAlign w:val="center"/>
                </w:tcPr>
                <w:p w14:paraId="2410C5C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3A4B5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restart"/>
                  <w:vAlign w:val="center"/>
                </w:tcPr>
                <w:p w14:paraId="62E1715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云谷体育场看台</w:t>
                  </w:r>
                </w:p>
              </w:tc>
              <w:tc>
                <w:tcPr>
                  <w:tcW w:w="1946" w:type="dxa"/>
                  <w:vAlign w:val="center"/>
                </w:tcPr>
                <w:p w14:paraId="4679052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层高</w:t>
                  </w:r>
                </w:p>
              </w:tc>
              <w:tc>
                <w:tcPr>
                  <w:tcW w:w="2761" w:type="dxa"/>
                  <w:vAlign w:val="center"/>
                </w:tcPr>
                <w:p w14:paraId="30782AD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2</w:t>
                  </w:r>
                </w:p>
              </w:tc>
              <w:tc>
                <w:tcPr>
                  <w:tcW w:w="1327" w:type="dxa"/>
                  <w:vMerge w:val="restart"/>
                  <w:vAlign w:val="center"/>
                </w:tcPr>
                <w:p w14:paraId="7BB6F1B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13F87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7321A3D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shd w:val="clear" w:color="auto" w:fill="auto"/>
                  <w:vAlign w:val="center"/>
                </w:tcPr>
                <w:p w14:paraId="4C01435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房间、设施数量</w:t>
                  </w:r>
                </w:p>
              </w:tc>
              <w:tc>
                <w:tcPr>
                  <w:tcW w:w="2761" w:type="dxa"/>
                  <w:vAlign w:val="center"/>
                </w:tcPr>
                <w:p w14:paraId="66817FE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41</w:t>
                  </w:r>
                </w:p>
              </w:tc>
              <w:tc>
                <w:tcPr>
                  <w:tcW w:w="1327" w:type="dxa"/>
                  <w:vMerge w:val="continue"/>
                  <w:vAlign w:val="center"/>
                </w:tcPr>
                <w:p w14:paraId="06E7473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7A17E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0931B5D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shd w:val="clear" w:color="auto" w:fill="auto"/>
                  <w:vAlign w:val="center"/>
                </w:tcPr>
                <w:p w14:paraId="22EDB1E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卫生间（间）</w:t>
                  </w:r>
                </w:p>
              </w:tc>
              <w:tc>
                <w:tcPr>
                  <w:tcW w:w="2761" w:type="dxa"/>
                  <w:shd w:val="clear" w:color="auto" w:fill="auto"/>
                  <w:vAlign w:val="center"/>
                </w:tcPr>
                <w:p w14:paraId="2082F9A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5</w:t>
                  </w:r>
                </w:p>
              </w:tc>
              <w:tc>
                <w:tcPr>
                  <w:tcW w:w="1327" w:type="dxa"/>
                  <w:vMerge w:val="continue"/>
                  <w:vAlign w:val="center"/>
                </w:tcPr>
                <w:p w14:paraId="49D5A6B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04929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3FD5CDC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shd w:val="clear" w:color="auto" w:fill="auto"/>
                  <w:vAlign w:val="center"/>
                </w:tcPr>
                <w:p w14:paraId="120463D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2761" w:type="dxa"/>
                  <w:vAlign w:val="center"/>
                </w:tcPr>
                <w:p w14:paraId="04D057A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2168㎡</w:t>
                  </w:r>
                </w:p>
              </w:tc>
              <w:tc>
                <w:tcPr>
                  <w:tcW w:w="1327" w:type="dxa"/>
                  <w:vMerge w:val="continue"/>
                  <w:vAlign w:val="center"/>
                </w:tcPr>
                <w:p w14:paraId="48A0654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7257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restart"/>
                  <w:vAlign w:val="center"/>
                </w:tcPr>
                <w:p w14:paraId="35B736E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云谷学生食堂</w:t>
                  </w:r>
                </w:p>
              </w:tc>
              <w:tc>
                <w:tcPr>
                  <w:tcW w:w="1946" w:type="dxa"/>
                  <w:vAlign w:val="center"/>
                </w:tcPr>
                <w:p w14:paraId="633C75E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层高</w:t>
                  </w:r>
                </w:p>
              </w:tc>
              <w:tc>
                <w:tcPr>
                  <w:tcW w:w="2761" w:type="dxa"/>
                  <w:vAlign w:val="center"/>
                </w:tcPr>
                <w:p w14:paraId="7DB2240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3</w:t>
                  </w:r>
                </w:p>
              </w:tc>
              <w:tc>
                <w:tcPr>
                  <w:tcW w:w="1327" w:type="dxa"/>
                  <w:vMerge w:val="restart"/>
                  <w:vAlign w:val="center"/>
                </w:tcPr>
                <w:p w14:paraId="2173411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餐厅管理服务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177D9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39313B2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6245892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房间、设施数量</w:t>
                  </w:r>
                </w:p>
              </w:tc>
              <w:tc>
                <w:tcPr>
                  <w:tcW w:w="2761" w:type="dxa"/>
                  <w:vAlign w:val="center"/>
                </w:tcPr>
                <w:p w14:paraId="2215356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69</w:t>
                  </w:r>
                </w:p>
              </w:tc>
              <w:tc>
                <w:tcPr>
                  <w:tcW w:w="1327" w:type="dxa"/>
                  <w:vMerge w:val="continue"/>
                  <w:vAlign w:val="center"/>
                </w:tcPr>
                <w:p w14:paraId="2431094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3D12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2062E3C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169CB55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2761" w:type="dxa"/>
                  <w:vAlign w:val="center"/>
                </w:tcPr>
                <w:p w14:paraId="32E9358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11780㎡</w:t>
                  </w:r>
                </w:p>
              </w:tc>
              <w:tc>
                <w:tcPr>
                  <w:tcW w:w="1327" w:type="dxa"/>
                  <w:vMerge w:val="continue"/>
                  <w:vAlign w:val="center"/>
                </w:tcPr>
                <w:p w14:paraId="0F18539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5C512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Merge w:val="continue"/>
                  <w:vAlign w:val="center"/>
                </w:tcPr>
                <w:p w14:paraId="3A3EBF7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946" w:type="dxa"/>
                  <w:vAlign w:val="center"/>
                </w:tcPr>
                <w:p w14:paraId="7D13636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建筑面积</w:t>
                  </w:r>
                </w:p>
              </w:tc>
              <w:tc>
                <w:tcPr>
                  <w:tcW w:w="2761" w:type="dxa"/>
                  <w:vAlign w:val="center"/>
                </w:tcPr>
                <w:p w14:paraId="6A1DCB5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3378.32㎡</w:t>
                  </w:r>
                </w:p>
              </w:tc>
              <w:tc>
                <w:tcPr>
                  <w:tcW w:w="1327" w:type="dxa"/>
                  <w:vMerge w:val="continue"/>
                  <w:vAlign w:val="center"/>
                </w:tcPr>
                <w:p w14:paraId="317554E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r w14:paraId="3CA0C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Align w:val="center"/>
                </w:tcPr>
                <w:p w14:paraId="7B93A1E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污水井</w:t>
                  </w:r>
                </w:p>
              </w:tc>
              <w:tc>
                <w:tcPr>
                  <w:tcW w:w="1946" w:type="dxa"/>
                  <w:vAlign w:val="center"/>
                </w:tcPr>
                <w:p w14:paraId="210712F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设施数量</w:t>
                  </w:r>
                </w:p>
              </w:tc>
              <w:tc>
                <w:tcPr>
                  <w:tcW w:w="2761" w:type="dxa"/>
                  <w:vAlign w:val="center"/>
                </w:tcPr>
                <w:p w14:paraId="658B296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t>179</w:t>
                  </w:r>
                </w:p>
              </w:tc>
              <w:tc>
                <w:tcPr>
                  <w:tcW w:w="1327" w:type="dxa"/>
                  <w:vAlign w:val="center"/>
                </w:tcPr>
                <w:p w14:paraId="3E15CC7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p>
              </w:tc>
            </w:tr>
            <w:tr w14:paraId="3AC25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Align w:val="center"/>
                </w:tcPr>
                <w:p w14:paraId="11E2E46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电梯系统</w:t>
                  </w:r>
                </w:p>
              </w:tc>
              <w:tc>
                <w:tcPr>
                  <w:tcW w:w="1946" w:type="dxa"/>
                  <w:vAlign w:val="center"/>
                </w:tcPr>
                <w:p w14:paraId="6E22BAB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设备数量</w:t>
                  </w:r>
                </w:p>
              </w:tc>
              <w:tc>
                <w:tcPr>
                  <w:tcW w:w="2761" w:type="dxa"/>
                  <w:vAlign w:val="center"/>
                </w:tcPr>
                <w:p w14:paraId="31CE45B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18</w:t>
                  </w:r>
                </w:p>
              </w:tc>
              <w:tc>
                <w:tcPr>
                  <w:tcW w:w="1327" w:type="dxa"/>
                  <w:vAlign w:val="center"/>
                </w:tcPr>
                <w:p w14:paraId="101ED43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5947B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642" w:type="dxa"/>
                  <w:vAlign w:val="center"/>
                </w:tcPr>
                <w:p w14:paraId="14BE8E7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高压维保</w:t>
                  </w:r>
                </w:p>
              </w:tc>
              <w:tc>
                <w:tcPr>
                  <w:tcW w:w="1946" w:type="dxa"/>
                  <w:vAlign w:val="center"/>
                </w:tcPr>
                <w:p w14:paraId="0F84918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房间、设施数量</w:t>
                  </w:r>
                </w:p>
              </w:tc>
              <w:tc>
                <w:tcPr>
                  <w:tcW w:w="2761" w:type="dxa"/>
                  <w:vAlign w:val="center"/>
                </w:tcPr>
                <w:p w14:paraId="3080FBD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auto"/>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auto"/>
                      <w:spacing w:val="3"/>
                      <w:kern w:val="0"/>
                      <w:sz w:val="24"/>
                      <w:szCs w:val="24"/>
                      <w:highlight w:val="none"/>
                      <w:vertAlign w:val="baseline"/>
                      <w:lang w:val="en-US" w:eastAsia="zh-CN" w:bidi="ar-SA"/>
                    </w:rPr>
                    <w:t>3</w:t>
                  </w:r>
                </w:p>
              </w:tc>
              <w:tc>
                <w:tcPr>
                  <w:tcW w:w="1327" w:type="dxa"/>
                  <w:vAlign w:val="center"/>
                </w:tcPr>
                <w:p w14:paraId="42B072E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2929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588" w:type="dxa"/>
                  <w:gridSpan w:val="2"/>
                  <w:vAlign w:val="center"/>
                </w:tcPr>
                <w:p w14:paraId="668DA23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室外面积</w:t>
                  </w:r>
                </w:p>
              </w:tc>
              <w:tc>
                <w:tcPr>
                  <w:tcW w:w="2761" w:type="dxa"/>
                  <w:vAlign w:val="center"/>
                </w:tcPr>
                <w:p w14:paraId="40C4857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28000㎡</w:t>
                  </w:r>
                </w:p>
              </w:tc>
              <w:tc>
                <w:tcPr>
                  <w:tcW w:w="1327" w:type="dxa"/>
                  <w:vAlign w:val="center"/>
                </w:tcPr>
                <w:p w14:paraId="6C0E720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、房屋及公共设施设备维护服务</w:t>
                  </w:r>
                </w:p>
              </w:tc>
            </w:tr>
            <w:tr w14:paraId="5E31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588" w:type="dxa"/>
                  <w:gridSpan w:val="2"/>
                  <w:vAlign w:val="center"/>
                </w:tcPr>
                <w:p w14:paraId="50DAE65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绿化</w:t>
                  </w:r>
                </w:p>
              </w:tc>
              <w:tc>
                <w:tcPr>
                  <w:tcW w:w="2761" w:type="dxa"/>
                  <w:vAlign w:val="center"/>
                </w:tcPr>
                <w:p w14:paraId="79A4904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79713㎡</w:t>
                  </w:r>
                </w:p>
              </w:tc>
              <w:tc>
                <w:tcPr>
                  <w:tcW w:w="1327" w:type="dxa"/>
                  <w:vAlign w:val="center"/>
                </w:tcPr>
                <w:p w14:paraId="0DBA538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t>保洁服务</w:t>
                  </w: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、绿化服务</w:t>
                  </w:r>
                </w:p>
              </w:tc>
            </w:tr>
            <w:tr w14:paraId="61385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3588" w:type="dxa"/>
                  <w:gridSpan w:val="2"/>
                  <w:vAlign w:val="center"/>
                </w:tcPr>
                <w:p w14:paraId="203E15B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r>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t>......</w:t>
                  </w:r>
                </w:p>
              </w:tc>
              <w:tc>
                <w:tcPr>
                  <w:tcW w:w="2761" w:type="dxa"/>
                  <w:vAlign w:val="center"/>
                </w:tcPr>
                <w:p w14:paraId="2F5EFAF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c>
                <w:tcPr>
                  <w:tcW w:w="1327" w:type="dxa"/>
                  <w:vAlign w:val="center"/>
                </w:tcPr>
                <w:p w14:paraId="41A500E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napToGrid w:val="0"/>
                      <w:color w:val="000000"/>
                      <w:spacing w:val="3"/>
                      <w:kern w:val="0"/>
                      <w:sz w:val="24"/>
                      <w:szCs w:val="24"/>
                      <w:highlight w:val="none"/>
                      <w:vertAlign w:val="baseline"/>
                      <w:lang w:val="en-US" w:eastAsia="zh-CN" w:bidi="ar-SA"/>
                    </w:rPr>
                  </w:pPr>
                </w:p>
              </w:tc>
            </w:tr>
          </w:tbl>
          <w:p w14:paraId="3F5D6566">
            <w:pPr>
              <w:pStyle w:val="2"/>
              <w:widowControl w:val="0"/>
              <w:jc w:val="both"/>
              <w:rPr>
                <w:rFonts w:hint="default"/>
                <w:lang w:val="en-US" w:eastAsia="zh-CN"/>
              </w:rPr>
            </w:pPr>
          </w:p>
        </w:tc>
      </w:tr>
      <w:tr w14:paraId="46B8A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47" w:type="dxa"/>
          </w:tcPr>
          <w:p w14:paraId="12CA967E">
            <w:pPr>
              <w:widowControl w:val="0"/>
              <w:bidi w:val="0"/>
              <w:spacing w:line="360" w:lineRule="auto"/>
              <w:jc w:val="both"/>
              <w:rPr>
                <w:rFonts w:hint="eastAsia" w:asciiTheme="minorEastAsia" w:hAnsiTheme="minorEastAsia" w:eastAsiaTheme="minorEastAsia" w:cstheme="minorEastAsia"/>
                <w:sz w:val="24"/>
                <w:szCs w:val="24"/>
                <w:lang w:val="en-US" w:eastAsia="zh-CN"/>
              </w:rPr>
            </w:pPr>
          </w:p>
        </w:tc>
        <w:tc>
          <w:tcPr>
            <w:tcW w:w="1338" w:type="dxa"/>
          </w:tcPr>
          <w:p w14:paraId="15766425">
            <w:pPr>
              <w:widowControl w:val="0"/>
              <w:bidi w:val="0"/>
              <w:spacing w:line="360" w:lineRule="auto"/>
              <w:jc w:val="both"/>
              <w:rPr>
                <w:rFonts w:hint="eastAsia" w:asciiTheme="minorEastAsia" w:hAnsiTheme="minorEastAsia" w:eastAsiaTheme="minorEastAsia" w:cstheme="minorEastAsia"/>
                <w:sz w:val="24"/>
                <w:szCs w:val="24"/>
                <w:lang w:val="en-US" w:eastAsia="zh-CN"/>
              </w:rPr>
            </w:pPr>
          </w:p>
        </w:tc>
        <w:tc>
          <w:tcPr>
            <w:tcW w:w="8573" w:type="dxa"/>
          </w:tcPr>
          <w:p w14:paraId="3CEB69CF">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二、对物业公司的要求</w:t>
            </w:r>
          </w:p>
          <w:p w14:paraId="7970C3D0">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（一）人员配置要求</w:t>
            </w:r>
          </w:p>
          <w:p w14:paraId="61836670">
            <w:pPr>
              <w:widowControl w:val="0"/>
              <w:bidi w:val="0"/>
              <w:spacing w:line="360" w:lineRule="auto"/>
              <w:jc w:val="both"/>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lang w:val="en-US" w:eastAsia="zh-CN"/>
              </w:rPr>
              <w:t>根据项目服务相关需求，</w:t>
            </w:r>
            <w:r>
              <w:rPr>
                <w:rFonts w:hint="eastAsia" w:asciiTheme="minorEastAsia" w:hAnsiTheme="minorEastAsia" w:eastAsiaTheme="minorEastAsia" w:cstheme="minorEastAsia"/>
                <w:sz w:val="24"/>
                <w:szCs w:val="24"/>
                <w:highlight w:val="none"/>
                <w:lang w:val="en-US" w:eastAsia="zh-CN"/>
              </w:rPr>
              <w:t>配置人员</w:t>
            </w:r>
            <w:r>
              <w:rPr>
                <w:rFonts w:hint="eastAsia" w:asciiTheme="minorEastAsia" w:hAnsiTheme="minorEastAsia" w:eastAsiaTheme="minorEastAsia" w:cstheme="minorEastAsia"/>
                <w:snapToGrid w:val="0"/>
                <w:color w:val="000000"/>
                <w:spacing w:val="11"/>
                <w:kern w:val="0"/>
                <w:sz w:val="24"/>
                <w:szCs w:val="24"/>
                <w:highlight w:val="none"/>
                <w:lang w:val="en-US" w:eastAsia="zh-CN" w:bidi="ar-SA"/>
              </w:rPr>
              <w:t>内蒙古艺术学院云谷校区（一期）</w:t>
            </w:r>
            <w:r>
              <w:rPr>
                <w:rFonts w:hint="eastAsia" w:asciiTheme="minorEastAsia" w:hAnsiTheme="minorEastAsia" w:eastAsiaTheme="minorEastAsia" w:cstheme="minorEastAsia"/>
                <w:snapToGrid w:val="0"/>
                <w:color w:val="auto"/>
                <w:spacing w:val="11"/>
                <w:kern w:val="0"/>
                <w:sz w:val="24"/>
                <w:szCs w:val="24"/>
                <w:highlight w:val="none"/>
                <w:lang w:val="en-US" w:eastAsia="zh-CN" w:bidi="ar-SA"/>
              </w:rPr>
              <w:t>73</w:t>
            </w:r>
            <w:r>
              <w:rPr>
                <w:rFonts w:hint="eastAsia" w:asciiTheme="minorEastAsia" w:hAnsiTheme="minorEastAsia" w:eastAsiaTheme="minorEastAsia" w:cstheme="minorEastAsia"/>
                <w:sz w:val="24"/>
                <w:szCs w:val="24"/>
                <w:highlight w:val="none"/>
                <w:lang w:val="en-US" w:eastAsia="zh-CN"/>
              </w:rPr>
              <w:t>人。</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8"/>
              <w:gridCol w:w="1573"/>
              <w:gridCol w:w="746"/>
              <w:gridCol w:w="3986"/>
            </w:tblGrid>
            <w:tr w14:paraId="61270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258" w:type="dxa"/>
                  <w:vAlign w:val="center"/>
                </w:tcPr>
                <w:p w14:paraId="008C58EF">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部门职能</w:t>
                  </w:r>
                </w:p>
              </w:tc>
              <w:tc>
                <w:tcPr>
                  <w:tcW w:w="1573" w:type="dxa"/>
                  <w:vAlign w:val="center"/>
                </w:tcPr>
                <w:p w14:paraId="1EC4102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岗位</w:t>
                  </w:r>
                </w:p>
              </w:tc>
              <w:tc>
                <w:tcPr>
                  <w:tcW w:w="746" w:type="dxa"/>
                  <w:vAlign w:val="center"/>
                </w:tcPr>
                <w:p w14:paraId="0D269D0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所需人数</w:t>
                  </w:r>
                </w:p>
              </w:tc>
              <w:tc>
                <w:tcPr>
                  <w:tcW w:w="3986" w:type="dxa"/>
                  <w:vAlign w:val="center"/>
                </w:tcPr>
                <w:p w14:paraId="78611CC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岗位所需服务时长或时段、需具备的上岗资格证、人员学历、工作经验等要求</w:t>
                  </w:r>
                </w:p>
              </w:tc>
            </w:tr>
            <w:tr w14:paraId="703D4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1258" w:type="dxa"/>
                  <w:vMerge w:val="restart"/>
                  <w:vAlign w:val="center"/>
                </w:tcPr>
                <w:p w14:paraId="57A49A2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管理</w:t>
                  </w:r>
                </w:p>
              </w:tc>
              <w:tc>
                <w:tcPr>
                  <w:tcW w:w="1573" w:type="dxa"/>
                  <w:vAlign w:val="center"/>
                </w:tcPr>
                <w:p w14:paraId="1342A0C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w:t>
                  </w:r>
                  <w:r>
                    <w:rPr>
                      <w:rFonts w:hint="eastAsia" w:asciiTheme="minorEastAsia" w:hAnsiTheme="minorEastAsia" w:eastAsiaTheme="minorEastAsia" w:cstheme="minorEastAsia"/>
                      <w:color w:val="auto"/>
                      <w:sz w:val="24"/>
                      <w:szCs w:val="24"/>
                      <w:highlight w:val="none"/>
                      <w:vertAlign w:val="baseline"/>
                      <w:lang w:val="en-US" w:eastAsia="zh-CN"/>
                    </w:rPr>
                    <w:t>项目经理</w:t>
                  </w:r>
                </w:p>
              </w:tc>
              <w:tc>
                <w:tcPr>
                  <w:tcW w:w="746" w:type="dxa"/>
                  <w:vAlign w:val="center"/>
                </w:tcPr>
                <w:p w14:paraId="278F0DF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color w:val="auto"/>
                      <w:sz w:val="24"/>
                      <w:szCs w:val="24"/>
                      <w:highlight w:val="none"/>
                      <w:vertAlign w:val="baseline"/>
                      <w:lang w:val="en-US" w:eastAsia="zh-CN"/>
                    </w:rPr>
                  </w:pPr>
                  <w:r>
                    <w:rPr>
                      <w:rFonts w:hint="eastAsia" w:asciiTheme="minorEastAsia" w:hAnsiTheme="minorEastAsia" w:eastAsiaTheme="minorEastAsia" w:cstheme="minorEastAsia"/>
                      <w:color w:val="auto"/>
                      <w:sz w:val="24"/>
                      <w:szCs w:val="24"/>
                      <w:highlight w:val="none"/>
                      <w:vertAlign w:val="baseline"/>
                      <w:lang w:val="en-US" w:eastAsia="zh-CN"/>
                    </w:rPr>
                    <w:t>1</w:t>
                  </w:r>
                </w:p>
              </w:tc>
              <w:tc>
                <w:tcPr>
                  <w:tcW w:w="3986" w:type="dxa"/>
                  <w:vAlign w:val="center"/>
                </w:tcPr>
                <w:p w14:paraId="0551508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color w:val="auto"/>
                      <w:sz w:val="24"/>
                      <w:szCs w:val="24"/>
                      <w:highlight w:val="none"/>
                      <w:vertAlign w:val="baseline"/>
                      <w:lang w:val="en-US" w:eastAsia="zh-CN"/>
                    </w:rPr>
                  </w:pPr>
                  <w:r>
                    <w:rPr>
                      <w:rFonts w:hint="eastAsia" w:asciiTheme="minorEastAsia" w:hAnsiTheme="minorEastAsia" w:eastAsiaTheme="minorEastAsia" w:cstheme="minorEastAsia"/>
                      <w:color w:val="auto"/>
                      <w:sz w:val="24"/>
                      <w:szCs w:val="24"/>
                      <w:highlight w:val="none"/>
                      <w:lang w:val="en-US" w:eastAsia="zh-CN"/>
                    </w:rPr>
                    <w:t>年龄55周岁（含）以下；提供劳动合同；专科及以上文化程度；</w:t>
                  </w:r>
                  <w:r>
                    <w:rPr>
                      <w:rFonts w:hint="eastAsia" w:asciiTheme="minorEastAsia" w:hAnsiTheme="minorEastAsia" w:eastAsiaTheme="minorEastAsia" w:cstheme="minorEastAsia"/>
                      <w:color w:val="auto"/>
                      <w:sz w:val="24"/>
                      <w:szCs w:val="24"/>
                      <w:highlight w:val="none"/>
                      <w:vertAlign w:val="baseline"/>
                      <w:lang w:val="en-US" w:eastAsia="zh-CN"/>
                    </w:rPr>
                    <w:t>具备1年以上高校</w:t>
                  </w:r>
                  <w:r>
                    <w:rPr>
                      <w:rFonts w:hint="eastAsia" w:asciiTheme="minorEastAsia" w:hAnsiTheme="minorEastAsia" w:eastAsiaTheme="minorEastAsia" w:cstheme="minorEastAsia"/>
                      <w:color w:val="auto"/>
                      <w:sz w:val="24"/>
                      <w:szCs w:val="24"/>
                      <w:vertAlign w:val="baseline"/>
                      <w:lang w:val="en-US" w:eastAsia="zh-CN"/>
                    </w:rPr>
                    <w:t>（</w:t>
                  </w:r>
                  <w:r>
                    <w:rPr>
                      <w:rFonts w:hint="eastAsia" w:asciiTheme="minorEastAsia" w:hAnsiTheme="minorEastAsia" w:eastAsiaTheme="minorEastAsia" w:cstheme="minorEastAsia"/>
                      <w:color w:val="auto"/>
                      <w:spacing w:val="3"/>
                      <w:sz w:val="24"/>
                      <w:szCs w:val="24"/>
                      <w:lang w:val="en-US" w:eastAsia="zh-CN"/>
                    </w:rPr>
                    <w:t>普通高等院校、职业院校等高等教育院校</w:t>
                  </w:r>
                  <w:r>
                    <w:rPr>
                      <w:rFonts w:hint="eastAsia" w:asciiTheme="minorEastAsia" w:hAnsiTheme="minorEastAsia" w:eastAsiaTheme="minorEastAsia" w:cstheme="minorEastAsia"/>
                      <w:color w:val="auto"/>
                      <w:sz w:val="24"/>
                      <w:szCs w:val="24"/>
                      <w:vertAlign w:val="baseline"/>
                      <w:lang w:val="en-US" w:eastAsia="zh-CN"/>
                    </w:rPr>
                    <w:t>）</w:t>
                  </w:r>
                  <w:r>
                    <w:rPr>
                      <w:rFonts w:hint="eastAsia" w:asciiTheme="minorEastAsia" w:hAnsiTheme="minorEastAsia" w:eastAsiaTheme="minorEastAsia" w:cstheme="minorEastAsia"/>
                      <w:color w:val="auto"/>
                      <w:sz w:val="24"/>
                      <w:szCs w:val="24"/>
                      <w:highlight w:val="none"/>
                      <w:vertAlign w:val="baseline"/>
                      <w:lang w:val="en-US" w:eastAsia="zh-CN"/>
                    </w:rPr>
                    <w:t>物业服务经验且</w:t>
                  </w:r>
                  <w:r>
                    <w:rPr>
                      <w:rFonts w:hint="eastAsia" w:asciiTheme="minorEastAsia" w:hAnsiTheme="minorEastAsia" w:eastAsiaTheme="minorEastAsia" w:cstheme="minorEastAsia"/>
                      <w:color w:val="auto"/>
                      <w:spacing w:val="3"/>
                      <w:sz w:val="24"/>
                      <w:szCs w:val="24"/>
                      <w:highlight w:val="none"/>
                      <w:lang w:val="en-US" w:eastAsia="zh-CN"/>
                    </w:rPr>
                    <w:t>提供用户单位出具的服务证明材料（体现项目经理姓名并加盖用户单位公章)</w:t>
                  </w:r>
                  <w:r>
                    <w:rPr>
                      <w:rFonts w:hint="eastAsia" w:asciiTheme="minorEastAsia" w:hAnsiTheme="minorEastAsia" w:eastAsiaTheme="minorEastAsia" w:cstheme="minorEastAsia"/>
                      <w:color w:val="auto"/>
                      <w:sz w:val="24"/>
                      <w:szCs w:val="24"/>
                      <w:highlight w:val="none"/>
                      <w:vertAlign w:val="baseline"/>
                      <w:lang w:val="en-US" w:eastAsia="zh-CN"/>
                    </w:rPr>
                    <w:t>；</w:t>
                  </w:r>
                  <w:r>
                    <w:rPr>
                      <w:rFonts w:hint="eastAsia" w:asciiTheme="minorEastAsia" w:hAnsiTheme="minorEastAsia" w:eastAsiaTheme="minorEastAsia" w:cstheme="minorEastAsia"/>
                      <w:color w:val="auto"/>
                      <w:sz w:val="24"/>
                      <w:szCs w:val="24"/>
                      <w:highlight w:val="none"/>
                      <w:lang w:val="en-US" w:eastAsia="zh-CN"/>
                    </w:rPr>
                    <w:t>提供物业管理项目经理岗位证书。</w:t>
                  </w:r>
                </w:p>
              </w:tc>
            </w:tr>
            <w:tr w14:paraId="5932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1258" w:type="dxa"/>
                  <w:vMerge w:val="continue"/>
                  <w:vAlign w:val="center"/>
                </w:tcPr>
                <w:p w14:paraId="69EADB6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73" w:type="dxa"/>
                  <w:vAlign w:val="center"/>
                </w:tcPr>
                <w:p w14:paraId="79E2C41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项目副经理</w:t>
                  </w:r>
                </w:p>
              </w:tc>
              <w:tc>
                <w:tcPr>
                  <w:tcW w:w="746" w:type="dxa"/>
                  <w:vAlign w:val="center"/>
                </w:tcPr>
                <w:p w14:paraId="5B1CFC7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w:t>
                  </w:r>
                </w:p>
              </w:tc>
              <w:tc>
                <w:tcPr>
                  <w:tcW w:w="3986" w:type="dxa"/>
                  <w:vAlign w:val="center"/>
                </w:tcPr>
                <w:p w14:paraId="71DE5A5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lang w:val="en-US" w:eastAsia="zh-CN"/>
                    </w:rPr>
                    <w:t>年龄55周岁（含）以下；提供劳动合同，专科及以上文化程度，提供物业管理项目经理岗位证书。</w:t>
                  </w:r>
                </w:p>
              </w:tc>
            </w:tr>
            <w:tr w14:paraId="39B87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1258" w:type="dxa"/>
                  <w:vMerge w:val="restart"/>
                  <w:vAlign w:val="center"/>
                </w:tcPr>
                <w:p w14:paraId="0F8DE8A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房屋及公共设施设备维护服务</w:t>
                  </w:r>
                </w:p>
              </w:tc>
              <w:tc>
                <w:tcPr>
                  <w:tcW w:w="1573" w:type="dxa"/>
                  <w:vAlign w:val="center"/>
                </w:tcPr>
                <w:p w14:paraId="12592A2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水暖维修工</w:t>
                  </w:r>
                </w:p>
              </w:tc>
              <w:tc>
                <w:tcPr>
                  <w:tcW w:w="746" w:type="dxa"/>
                  <w:vAlign w:val="center"/>
                </w:tcPr>
                <w:p w14:paraId="3EEE3FB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5</w:t>
                  </w:r>
                </w:p>
              </w:tc>
              <w:tc>
                <w:tcPr>
                  <w:tcW w:w="3986" w:type="dxa"/>
                  <w:vAlign w:val="center"/>
                </w:tcPr>
                <w:p w14:paraId="6D6CE37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年龄55周岁（含）以下，男性，负责五小维修中日常水龙头维修、暖道巡检、暖气片维修、管道防冻维护，配合应急抢修中的暖网更换任务，教室宿舍水暖管道巡检等水暖保障；提供水暖相关技能等级证书上岗</w:t>
                  </w:r>
                </w:p>
              </w:tc>
            </w:tr>
            <w:tr w14:paraId="3170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1258" w:type="dxa"/>
                  <w:vMerge w:val="continue"/>
                  <w:vAlign w:val="center"/>
                </w:tcPr>
                <w:p w14:paraId="2AC412A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73" w:type="dxa"/>
                  <w:vAlign w:val="center"/>
                </w:tcPr>
                <w:p w14:paraId="7DAD976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w:t>
                  </w:r>
                  <w:r>
                    <w:rPr>
                      <w:rFonts w:hint="eastAsia" w:asciiTheme="minorEastAsia" w:hAnsiTheme="minorEastAsia" w:eastAsiaTheme="minorEastAsia" w:cstheme="minorEastAsia"/>
                      <w:color w:val="auto"/>
                      <w:sz w:val="24"/>
                      <w:szCs w:val="24"/>
                      <w:highlight w:val="none"/>
                      <w:vertAlign w:val="baseline"/>
                      <w:lang w:val="en-US" w:eastAsia="zh-CN"/>
                    </w:rPr>
                    <w:t>电工</w:t>
                  </w:r>
                </w:p>
              </w:tc>
              <w:tc>
                <w:tcPr>
                  <w:tcW w:w="746" w:type="dxa"/>
                  <w:vAlign w:val="center"/>
                </w:tcPr>
                <w:p w14:paraId="43A881B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color w:val="auto"/>
                      <w:sz w:val="24"/>
                      <w:szCs w:val="24"/>
                      <w:highlight w:val="none"/>
                      <w:vertAlign w:val="baseline"/>
                      <w:lang w:val="en-US" w:eastAsia="zh-CN"/>
                    </w:rPr>
                  </w:pPr>
                  <w:r>
                    <w:rPr>
                      <w:rFonts w:hint="eastAsia" w:asciiTheme="minorEastAsia" w:hAnsiTheme="minorEastAsia" w:eastAsiaTheme="minorEastAsia" w:cstheme="minorEastAsia"/>
                      <w:color w:val="auto"/>
                      <w:sz w:val="24"/>
                      <w:szCs w:val="24"/>
                      <w:highlight w:val="none"/>
                      <w:vertAlign w:val="baseline"/>
                      <w:lang w:val="en-US" w:eastAsia="zh-CN"/>
                    </w:rPr>
                    <w:t>6</w:t>
                  </w:r>
                </w:p>
              </w:tc>
              <w:tc>
                <w:tcPr>
                  <w:tcW w:w="3986" w:type="dxa"/>
                  <w:vAlign w:val="center"/>
                </w:tcPr>
                <w:p w14:paraId="4316946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年龄55周岁（含）以下，男性，负责五小维修中日常校区开关插座更换、高压配电房运维、变压器检修、大型用电设备（如空调、演出灯光）电路保障、教室宿舍电源巡检、小型电路故障处理等零星维修；提供特种作业操作证-高压电工作业或特种作业操作证-低压电工作业上岗证</w:t>
                  </w:r>
                </w:p>
              </w:tc>
            </w:tr>
            <w:tr w14:paraId="7767F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58" w:type="dxa"/>
                  <w:vMerge w:val="restart"/>
                  <w:vAlign w:val="center"/>
                </w:tcPr>
                <w:p w14:paraId="552618F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color w:val="FF0000"/>
                      <w:sz w:val="24"/>
                      <w:szCs w:val="24"/>
                      <w:highlight w:val="none"/>
                      <w:vertAlign w:val="baseline"/>
                      <w:lang w:val="en-US" w:eastAsia="zh-CN"/>
                    </w:rPr>
                  </w:pPr>
                </w:p>
              </w:tc>
              <w:tc>
                <w:tcPr>
                  <w:tcW w:w="1573" w:type="dxa"/>
                  <w:shd w:val="clear" w:color="auto" w:fill="auto"/>
                  <w:vAlign w:val="center"/>
                </w:tcPr>
                <w:p w14:paraId="5A97846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楼内公共区域、公共教室保洁人员</w:t>
                  </w:r>
                </w:p>
              </w:tc>
              <w:tc>
                <w:tcPr>
                  <w:tcW w:w="746" w:type="dxa"/>
                  <w:shd w:val="clear" w:color="auto" w:fill="auto"/>
                  <w:vAlign w:val="center"/>
                </w:tcPr>
                <w:p w14:paraId="77F72BF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30</w:t>
                  </w:r>
                </w:p>
              </w:tc>
              <w:tc>
                <w:tcPr>
                  <w:tcW w:w="3986" w:type="dxa"/>
                  <w:vAlign w:val="center"/>
                </w:tcPr>
                <w:p w14:paraId="69A713F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云谷行政楼2人；云谷教学主楼5人；云谷视觉传达楼9人；云谷图书馆2人；云谷学生宿舍8人；云谷风雨操场、云谷体育场看台2人、公共教室保洁2人。</w:t>
                  </w:r>
                </w:p>
                <w:p w14:paraId="7C457A2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保洁服务人员,60周岁（含）以下，掌握保洁基本常识。</w:t>
                  </w:r>
                </w:p>
              </w:tc>
            </w:tr>
            <w:tr w14:paraId="4868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258" w:type="dxa"/>
                  <w:vMerge w:val="continue"/>
                  <w:vAlign w:val="center"/>
                </w:tcPr>
                <w:p w14:paraId="0020D1E1">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73" w:type="dxa"/>
                  <w:shd w:val="clear" w:color="auto" w:fill="auto"/>
                  <w:vAlign w:val="center"/>
                </w:tcPr>
                <w:p w14:paraId="241806E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外保洁人员</w:t>
                  </w:r>
                </w:p>
              </w:tc>
              <w:tc>
                <w:tcPr>
                  <w:tcW w:w="746" w:type="dxa"/>
                  <w:shd w:val="clear" w:color="auto" w:fill="auto"/>
                  <w:vAlign w:val="center"/>
                </w:tcPr>
                <w:p w14:paraId="639A3A1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3</w:t>
                  </w:r>
                </w:p>
              </w:tc>
              <w:tc>
                <w:tcPr>
                  <w:tcW w:w="3986" w:type="dxa"/>
                  <w:shd w:val="clear" w:color="auto" w:fill="auto"/>
                  <w:vAlign w:val="center"/>
                </w:tcPr>
                <w:p w14:paraId="25AEF1A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男性，60周岁（含）以下，掌握保洁基本常识。</w:t>
                  </w:r>
                </w:p>
              </w:tc>
            </w:tr>
            <w:tr w14:paraId="66EF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1258" w:type="dxa"/>
                  <w:vMerge w:val="restart"/>
                  <w:vAlign w:val="center"/>
                </w:tcPr>
                <w:p w14:paraId="212B7D8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餐厅管理服务</w:t>
                  </w:r>
                </w:p>
              </w:tc>
              <w:tc>
                <w:tcPr>
                  <w:tcW w:w="1573" w:type="dxa"/>
                  <w:shd w:val="clear" w:color="auto" w:fill="auto"/>
                  <w:vAlign w:val="center"/>
                </w:tcPr>
                <w:p w14:paraId="2EB86C3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食品安全监管员</w:t>
                  </w:r>
                </w:p>
              </w:tc>
              <w:tc>
                <w:tcPr>
                  <w:tcW w:w="746" w:type="dxa"/>
                  <w:shd w:val="clear" w:color="auto" w:fill="auto"/>
                  <w:vAlign w:val="center"/>
                </w:tcPr>
                <w:p w14:paraId="278341E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w:t>
                  </w:r>
                </w:p>
              </w:tc>
              <w:tc>
                <w:tcPr>
                  <w:tcW w:w="3986" w:type="dxa"/>
                  <w:shd w:val="clear" w:color="auto" w:fill="auto"/>
                  <w:vAlign w:val="center"/>
                </w:tcPr>
                <w:p w14:paraId="2BAE18A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55周岁（含）以下，负责审核食材采购资质与质量，监督烹饪加工规范，落实食品留样与溯源；排查食安隐患，处置突发食安事件；组织从业人员培训，完善台账管理，全程保障师生饮食安全合规。提供有效期内健康证。提供具备相应食品安全管理知识和技能的证书。</w:t>
                  </w:r>
                </w:p>
              </w:tc>
            </w:tr>
            <w:tr w14:paraId="4AF5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trPr>
              <w:tc>
                <w:tcPr>
                  <w:tcW w:w="1258" w:type="dxa"/>
                  <w:vMerge w:val="continue"/>
                  <w:vAlign w:val="center"/>
                </w:tcPr>
                <w:p w14:paraId="590A2C2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73" w:type="dxa"/>
                  <w:shd w:val="clear" w:color="auto" w:fill="auto"/>
                  <w:vAlign w:val="center"/>
                </w:tcPr>
                <w:p w14:paraId="01B62B6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库管员</w:t>
                  </w:r>
                </w:p>
              </w:tc>
              <w:tc>
                <w:tcPr>
                  <w:tcW w:w="746" w:type="dxa"/>
                  <w:shd w:val="clear" w:color="auto" w:fill="auto"/>
                  <w:vAlign w:val="center"/>
                </w:tcPr>
                <w:p w14:paraId="050BF64D">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w:t>
                  </w:r>
                </w:p>
              </w:tc>
              <w:tc>
                <w:tcPr>
                  <w:tcW w:w="3986" w:type="dxa"/>
                  <w:shd w:val="clear" w:color="auto" w:fill="auto"/>
                  <w:vAlign w:val="center"/>
                </w:tcPr>
                <w:p w14:paraId="79CD7A5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55周岁（含）以下，负责食材入库管理：每日对接3-5家供应商，完成米、面、油、蔬菜、肉类等食材验收，核对检疫证明及新鲜度，登记溯源台账，杜绝不合格食材流入后厨。</w:t>
                  </w:r>
                </w:p>
                <w:p w14:paraId="553339A1">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库存管控：管理餐厅配套库房，建立食材分类台账，设置最低库存预警（如米面油储备不低于7天用量），每月完成盘点，避免食材积压变质或短缺。</w:t>
                  </w:r>
                </w:p>
                <w:p w14:paraId="43D7FE1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物资发放：根据后厨三餐用料计划，精准发放食材及保洁耗材（洗洁精、消毒液等），记录发放明细，控制食材损耗率。</w:t>
                  </w:r>
                </w:p>
                <w:p w14:paraId="6197A87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仓储维护：负责库房通风、防潮、防虫，定期清理过期物资，保障仓储环境符合食品安全标准。提供有效期内健康证。</w:t>
                  </w:r>
                </w:p>
              </w:tc>
            </w:tr>
            <w:tr w14:paraId="0E977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1258" w:type="dxa"/>
                  <w:vMerge w:val="continue"/>
                  <w:vAlign w:val="center"/>
                </w:tcPr>
                <w:p w14:paraId="2D3AFD6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73" w:type="dxa"/>
                  <w:shd w:val="clear" w:color="auto" w:fill="auto"/>
                  <w:vAlign w:val="center"/>
                </w:tcPr>
                <w:p w14:paraId="4EEEA48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物价监管员</w:t>
                  </w:r>
                </w:p>
              </w:tc>
              <w:tc>
                <w:tcPr>
                  <w:tcW w:w="746" w:type="dxa"/>
                  <w:shd w:val="clear" w:color="auto" w:fill="auto"/>
                  <w:vAlign w:val="center"/>
                </w:tcPr>
                <w:p w14:paraId="14E2E53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w:t>
                  </w:r>
                </w:p>
              </w:tc>
              <w:tc>
                <w:tcPr>
                  <w:tcW w:w="3986" w:type="dxa"/>
                  <w:shd w:val="clear" w:color="auto" w:fill="auto"/>
                  <w:vAlign w:val="center"/>
                </w:tcPr>
                <w:p w14:paraId="003176A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55周岁（含）以下，负责档口价格核算：每月完成餐厅档口成本核算（食材成本、人力成本、能耗成本等），制定指导价格，限定档口利润率；票据管理：负责发票开具、保管，采购合同、付款凭证等财务资料的整理归档；提供有效期内健康证。提供会计专业技术资格证书。</w:t>
                  </w:r>
                </w:p>
              </w:tc>
            </w:tr>
            <w:tr w14:paraId="4C3A5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1258" w:type="dxa"/>
                  <w:vAlign w:val="center"/>
                </w:tcPr>
                <w:p w14:paraId="3A2B485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73" w:type="dxa"/>
                  <w:shd w:val="clear" w:color="auto" w:fill="auto"/>
                  <w:vAlign w:val="center"/>
                </w:tcPr>
                <w:p w14:paraId="2EDD8192">
                  <w:pPr>
                    <w:keepNext w:val="0"/>
                    <w:keepLines w:val="0"/>
                    <w:pageBreakBefore w:val="0"/>
                    <w:widowControl w:val="0"/>
                    <w:kinsoku w:val="0"/>
                    <w:wordWrap/>
                    <w:overflowPunct/>
                    <w:topLinePunct w:val="0"/>
                    <w:autoSpaceDE w:val="0"/>
                    <w:autoSpaceDN w:val="0"/>
                    <w:bidi w:val="0"/>
                    <w:adjustRightInd w:val="0"/>
                    <w:snapToGrid w:val="0"/>
                    <w:spacing w:line="240" w:lineRule="auto"/>
                    <w:jc w:val="center"/>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餐具清洁、保洁</w:t>
                  </w:r>
                </w:p>
              </w:tc>
              <w:tc>
                <w:tcPr>
                  <w:tcW w:w="746" w:type="dxa"/>
                  <w:shd w:val="clear" w:color="auto" w:fill="auto"/>
                  <w:vAlign w:val="center"/>
                </w:tcPr>
                <w:p w14:paraId="4F5996D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8</w:t>
                  </w:r>
                </w:p>
              </w:tc>
              <w:tc>
                <w:tcPr>
                  <w:tcW w:w="3986" w:type="dxa"/>
                  <w:shd w:val="clear" w:color="auto" w:fill="auto"/>
                  <w:vAlign w:val="center"/>
                </w:tcPr>
                <w:p w14:paraId="0BE8070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保洁服务人员,60周岁（含）以下，掌握保洁基本常识，可以熟练操作洗碗机等设备。</w:t>
                  </w:r>
                </w:p>
              </w:tc>
            </w:tr>
            <w:tr w14:paraId="564EA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258" w:type="dxa"/>
                  <w:vMerge w:val="restart"/>
                  <w:vAlign w:val="center"/>
                </w:tcPr>
                <w:p w14:paraId="05BEBE4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绿化服务</w:t>
                  </w:r>
                </w:p>
              </w:tc>
              <w:tc>
                <w:tcPr>
                  <w:tcW w:w="1573" w:type="dxa"/>
                  <w:shd w:val="clear" w:color="auto" w:fill="auto"/>
                  <w:vAlign w:val="center"/>
                </w:tcPr>
                <w:p w14:paraId="65C7438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绿化技术人员</w:t>
                  </w:r>
                </w:p>
              </w:tc>
              <w:tc>
                <w:tcPr>
                  <w:tcW w:w="746" w:type="dxa"/>
                  <w:shd w:val="clear" w:color="auto" w:fill="auto"/>
                  <w:vAlign w:val="center"/>
                </w:tcPr>
                <w:p w14:paraId="1699D011">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w:t>
                  </w:r>
                </w:p>
              </w:tc>
              <w:tc>
                <w:tcPr>
                  <w:tcW w:w="3986" w:type="dxa"/>
                  <w:vAlign w:val="center"/>
                </w:tcPr>
                <w:p w14:paraId="721A02C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年龄60周岁（含）以下，园林绿化相关专业优先；1年以上绿化养护经验，熟悉植物养护、病虫害防治，能操作绿化机具，统筹校园绿化维护。</w:t>
                  </w:r>
                </w:p>
              </w:tc>
            </w:tr>
            <w:tr w14:paraId="7AD7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258" w:type="dxa"/>
                  <w:vMerge w:val="continue"/>
                  <w:vAlign w:val="center"/>
                </w:tcPr>
                <w:p w14:paraId="19C68ED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73" w:type="dxa"/>
                  <w:shd w:val="clear" w:color="auto" w:fill="auto"/>
                  <w:vAlign w:val="center"/>
                </w:tcPr>
                <w:p w14:paraId="26F8FE6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绿化工人</w:t>
                  </w:r>
                </w:p>
              </w:tc>
              <w:tc>
                <w:tcPr>
                  <w:tcW w:w="746" w:type="dxa"/>
                  <w:shd w:val="clear" w:color="auto" w:fill="auto"/>
                  <w:vAlign w:val="center"/>
                </w:tcPr>
                <w:p w14:paraId="63EB9ECD">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5</w:t>
                  </w:r>
                </w:p>
              </w:tc>
              <w:tc>
                <w:tcPr>
                  <w:tcW w:w="3986" w:type="dxa"/>
                  <w:vAlign w:val="center"/>
                </w:tcPr>
                <w:p w14:paraId="18854ACD">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年龄60周岁（含）以下，掌握绿化施工基本常识，具备绿化施工实操经验和能力。</w:t>
                  </w:r>
                </w:p>
              </w:tc>
            </w:tr>
            <w:tr w14:paraId="279C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258" w:type="dxa"/>
                  <w:vMerge w:val="restart"/>
                  <w:vAlign w:val="center"/>
                </w:tcPr>
                <w:p w14:paraId="337DC9B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公共区域值守</w:t>
                  </w:r>
                </w:p>
              </w:tc>
              <w:tc>
                <w:tcPr>
                  <w:tcW w:w="1573" w:type="dxa"/>
                  <w:shd w:val="clear" w:color="auto" w:fill="auto"/>
                  <w:vAlign w:val="center"/>
                </w:tcPr>
                <w:p w14:paraId="096438A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学生公寓楼值班</w:t>
                  </w:r>
                </w:p>
              </w:tc>
              <w:tc>
                <w:tcPr>
                  <w:tcW w:w="746" w:type="dxa"/>
                  <w:shd w:val="clear" w:color="auto" w:fill="auto"/>
                  <w:vAlign w:val="center"/>
                </w:tcPr>
                <w:p w14:paraId="028583A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6</w:t>
                  </w:r>
                </w:p>
              </w:tc>
              <w:tc>
                <w:tcPr>
                  <w:tcW w:w="3986" w:type="dxa"/>
                  <w:vAlign w:val="center"/>
                </w:tcPr>
                <w:p w14:paraId="50ADDF1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年龄55周岁（含）以下，值班人员必须24小时值班，随叫随到，熟悉值班区域的实际情况。了解学生在楼内的动态情况。具有较强的责任心、服务意识和沟通能力。</w:t>
                  </w:r>
                </w:p>
              </w:tc>
            </w:tr>
            <w:tr w14:paraId="373EF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trPr>
              <w:tc>
                <w:tcPr>
                  <w:tcW w:w="1258" w:type="dxa"/>
                  <w:vMerge w:val="continue"/>
                  <w:vAlign w:val="center"/>
                </w:tcPr>
                <w:p w14:paraId="04B99F6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73" w:type="dxa"/>
                  <w:shd w:val="clear" w:color="auto" w:fill="auto"/>
                  <w:vAlign w:val="center"/>
                </w:tcPr>
                <w:p w14:paraId="6593685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多媒体教室管理</w:t>
                  </w:r>
                </w:p>
              </w:tc>
              <w:tc>
                <w:tcPr>
                  <w:tcW w:w="746" w:type="dxa"/>
                  <w:shd w:val="clear" w:color="auto" w:fill="auto"/>
                  <w:vAlign w:val="center"/>
                </w:tcPr>
                <w:p w14:paraId="79B684E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2</w:t>
                  </w:r>
                </w:p>
              </w:tc>
              <w:tc>
                <w:tcPr>
                  <w:tcW w:w="3986" w:type="dxa"/>
                  <w:vAlign w:val="center"/>
                </w:tcPr>
                <w:p w14:paraId="3A2C581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年龄55周岁（含）以下，原则上应具有本行业工作经验，熟练掌握本行业的安全操作规程，熟悉行业要求、标准及相关法律法规。身体健康，人品端正，作风正派，具备较强的集体主义观念，具有较强的责任心、服务意识和沟通能力。</w:t>
                  </w:r>
                </w:p>
              </w:tc>
            </w:tr>
            <w:tr w14:paraId="33AFC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1258" w:type="dxa"/>
                  <w:vMerge w:val="restart"/>
                  <w:vAlign w:val="center"/>
                </w:tcPr>
                <w:p w14:paraId="575F15D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会议服务</w:t>
                  </w:r>
                </w:p>
              </w:tc>
              <w:tc>
                <w:tcPr>
                  <w:tcW w:w="1573" w:type="dxa"/>
                  <w:shd w:val="clear" w:color="auto" w:fill="auto"/>
                  <w:vAlign w:val="center"/>
                </w:tcPr>
                <w:p w14:paraId="16EC492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会议服务人员</w:t>
                  </w:r>
                </w:p>
              </w:tc>
              <w:tc>
                <w:tcPr>
                  <w:tcW w:w="746" w:type="dxa"/>
                  <w:shd w:val="clear" w:color="auto" w:fill="auto"/>
                  <w:vAlign w:val="center"/>
                </w:tcPr>
                <w:p w14:paraId="3FA3D02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w:t>
                  </w:r>
                </w:p>
              </w:tc>
              <w:tc>
                <w:tcPr>
                  <w:tcW w:w="3986" w:type="dxa"/>
                  <w:vAlign w:val="center"/>
                </w:tcPr>
                <w:p w14:paraId="5A35F45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年龄50周岁（含）以下，形象好气质佳、普通话标准、具有较强的服务意识和亲和力、必要的会议礼仪。配合学院会议安排，熟悉会场布置、礼仪接待及会务保障流程。</w:t>
                  </w:r>
                </w:p>
              </w:tc>
            </w:tr>
            <w:tr w14:paraId="423D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1258" w:type="dxa"/>
                  <w:vMerge w:val="continue"/>
                  <w:vAlign w:val="center"/>
                </w:tcPr>
                <w:p w14:paraId="36AB2EF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p>
              </w:tc>
              <w:tc>
                <w:tcPr>
                  <w:tcW w:w="1573" w:type="dxa"/>
                  <w:shd w:val="clear" w:color="auto" w:fill="auto"/>
                  <w:vAlign w:val="center"/>
                </w:tcPr>
                <w:p w14:paraId="7C4E701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color w:val="auto"/>
                      <w:sz w:val="24"/>
                      <w:szCs w:val="24"/>
                      <w:highlight w:val="none"/>
                      <w:vertAlign w:val="baseline"/>
                      <w:lang w:val="en-US" w:eastAsia="zh-CN"/>
                    </w:rPr>
                  </w:pPr>
                  <w:r>
                    <w:rPr>
                      <w:rFonts w:hint="eastAsia" w:asciiTheme="minorEastAsia" w:hAnsiTheme="minorEastAsia" w:eastAsiaTheme="minorEastAsia" w:cstheme="minorEastAsia"/>
                      <w:color w:val="auto"/>
                      <w:sz w:val="24"/>
                      <w:szCs w:val="24"/>
                      <w:highlight w:val="none"/>
                      <w:vertAlign w:val="baseline"/>
                      <w:lang w:val="en-US" w:eastAsia="zh-CN"/>
                    </w:rPr>
                    <w:t>图书馆空调设备维护人员</w:t>
                  </w:r>
                </w:p>
              </w:tc>
              <w:tc>
                <w:tcPr>
                  <w:tcW w:w="746" w:type="dxa"/>
                  <w:shd w:val="clear" w:color="auto" w:fill="auto"/>
                  <w:vAlign w:val="center"/>
                </w:tcPr>
                <w:p w14:paraId="361E4801">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color w:val="auto"/>
                      <w:sz w:val="24"/>
                      <w:szCs w:val="24"/>
                      <w:highlight w:val="none"/>
                      <w:vertAlign w:val="baseline"/>
                      <w:lang w:val="en-US" w:eastAsia="zh-CN"/>
                    </w:rPr>
                  </w:pPr>
                  <w:r>
                    <w:rPr>
                      <w:rFonts w:hint="eastAsia" w:asciiTheme="minorEastAsia" w:hAnsiTheme="minorEastAsia" w:eastAsiaTheme="minorEastAsia" w:cstheme="minorEastAsia"/>
                      <w:color w:val="auto"/>
                      <w:sz w:val="24"/>
                      <w:szCs w:val="24"/>
                      <w:highlight w:val="none"/>
                      <w:vertAlign w:val="baseline"/>
                      <w:lang w:val="en-US" w:eastAsia="zh-CN"/>
                    </w:rPr>
                    <w:t>1</w:t>
                  </w:r>
                </w:p>
              </w:tc>
              <w:tc>
                <w:tcPr>
                  <w:tcW w:w="3986" w:type="dxa"/>
                  <w:vAlign w:val="center"/>
                </w:tcPr>
                <w:p w14:paraId="23F21BA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男性，年龄50周岁（含）以下，机电相关专业优先；1年以上设施维保管理经验，熟练操作维护设备。</w:t>
                  </w:r>
                </w:p>
              </w:tc>
            </w:tr>
          </w:tbl>
          <w:p w14:paraId="19448B68">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（二）对人员的基本要求：</w:t>
            </w:r>
          </w:p>
          <w:p w14:paraId="5BFA1360">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napToGrid w:val="0"/>
                <w:color w:val="000000"/>
                <w:kern w:val="0"/>
                <w:sz w:val="24"/>
                <w:szCs w:val="24"/>
                <w:lang w:val="en-US" w:eastAsia="zh-CN" w:bidi="ar-SA"/>
              </w:rPr>
              <w:t>1.</w:t>
            </w:r>
            <w:r>
              <w:rPr>
                <w:rFonts w:hint="eastAsia" w:asciiTheme="minorEastAsia" w:hAnsiTheme="minorEastAsia" w:eastAsiaTheme="minorEastAsia" w:cstheme="minorEastAsia"/>
                <w:sz w:val="24"/>
                <w:szCs w:val="24"/>
                <w:lang w:val="en-US" w:eastAsia="zh-CN"/>
              </w:rPr>
              <w:t>物业公司定期对员工进行岗位培训，不断提高员工服务技能；人员有较强的服务、责任、保密意识以及稳定性。</w:t>
            </w:r>
          </w:p>
          <w:p w14:paraId="6D3FD6DD">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2.所有员工均不得从事为学院服务以外的其他工作，无违法犯罪记录和不良嗜好。</w:t>
            </w:r>
          </w:p>
          <w:p w14:paraId="104F920E">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3.企业有健全的企业管理制度及完整可行的物业考核办法。</w:t>
            </w:r>
          </w:p>
          <w:p w14:paraId="0C42CA84">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（三）综合服务要求</w:t>
            </w:r>
          </w:p>
          <w:p w14:paraId="47109349">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1.有团队精神,服从指挥安排,能按时完成学院（甲方）的整改要求和意见，发现工作范围内存在的问题并能及时进行处理与报告。</w:t>
            </w:r>
          </w:p>
          <w:p w14:paraId="4F6CFEA6">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2.做到四个熟知，即熟知重点要害部位、熟知重点特殊人员、熟知重要事项、熟知岗位职责。 </w:t>
            </w:r>
          </w:p>
          <w:p w14:paraId="7809E35E">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3.坚守岗位，恪尽职守，不离岗串岗，不闲聊，不做与工作无关的事。</w:t>
            </w:r>
          </w:p>
          <w:p w14:paraId="5D0051B6">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4.明辨是非，保持警惕，遇到复杂问题，多思多想，对周边情况仔细观察。</w:t>
            </w:r>
          </w:p>
          <w:p w14:paraId="126E04F0">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5.遵守制度，坚持原则，机智灵活，注意工作方式方法。</w:t>
            </w:r>
          </w:p>
          <w:p w14:paraId="64A3BB05">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6.仪态端正，着装整洁，精神饱满，态度和气，言语文明，处事公平合理。</w:t>
            </w:r>
          </w:p>
          <w:p w14:paraId="756329DF">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7.树立尊师重教、服务教学科研理念，按照服务对象实际需求提供相应的物业服务。</w:t>
            </w:r>
          </w:p>
          <w:p w14:paraId="2B24CCF5">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8.极端天气及突发情况下积极配合学院开展相应工作。</w:t>
            </w:r>
          </w:p>
        </w:tc>
      </w:tr>
      <w:tr w14:paraId="09C86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47" w:type="dxa"/>
          </w:tcPr>
          <w:p w14:paraId="03EC2463">
            <w:pPr>
              <w:widowControl w:val="0"/>
              <w:bidi w:val="0"/>
              <w:spacing w:line="360" w:lineRule="auto"/>
              <w:jc w:val="both"/>
              <w:rPr>
                <w:rFonts w:hint="eastAsia" w:asciiTheme="minorEastAsia" w:hAnsiTheme="minorEastAsia" w:eastAsiaTheme="minorEastAsia" w:cstheme="minorEastAsia"/>
                <w:sz w:val="24"/>
                <w:szCs w:val="24"/>
                <w:lang w:val="en-US" w:eastAsia="zh-CN"/>
              </w:rPr>
            </w:pPr>
          </w:p>
        </w:tc>
        <w:tc>
          <w:tcPr>
            <w:tcW w:w="1338" w:type="dxa"/>
          </w:tcPr>
          <w:p w14:paraId="5A032752">
            <w:pPr>
              <w:widowControl w:val="0"/>
              <w:bidi w:val="0"/>
              <w:spacing w:line="360" w:lineRule="auto"/>
              <w:jc w:val="both"/>
              <w:rPr>
                <w:rFonts w:hint="eastAsia" w:asciiTheme="minorEastAsia" w:hAnsiTheme="minorEastAsia" w:eastAsiaTheme="minorEastAsia" w:cstheme="minorEastAsia"/>
                <w:sz w:val="24"/>
                <w:szCs w:val="24"/>
                <w:lang w:val="en-US" w:eastAsia="zh-CN"/>
              </w:rPr>
            </w:pPr>
          </w:p>
        </w:tc>
        <w:tc>
          <w:tcPr>
            <w:tcW w:w="8573" w:type="dxa"/>
          </w:tcPr>
          <w:p w14:paraId="4BC05E95">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三、物业管理服务内容及标准</w:t>
            </w:r>
          </w:p>
          <w:p w14:paraId="2FD3801E">
            <w:pPr>
              <w:widowControl w:val="0"/>
              <w:spacing w:before="91" w:line="360" w:lineRule="auto"/>
              <w:ind w:left="9" w:right="13" w:firstLine="405"/>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物业服务外包</w:t>
            </w:r>
            <w:r>
              <w:rPr>
                <w:rFonts w:hint="eastAsia" w:asciiTheme="minorEastAsia" w:hAnsiTheme="minorEastAsia" w:eastAsiaTheme="minorEastAsia" w:cstheme="minorEastAsia"/>
                <w:sz w:val="24"/>
                <w:szCs w:val="24"/>
                <w:lang w:val="en-US" w:eastAsia="zh-CN"/>
              </w:rPr>
              <w:t>包括</w:t>
            </w:r>
            <w:r>
              <w:rPr>
                <w:rFonts w:hint="eastAsia" w:asciiTheme="minorEastAsia" w:hAnsiTheme="minorEastAsia" w:eastAsiaTheme="minorEastAsia" w:cstheme="minorEastAsia"/>
                <w:spacing w:val="1"/>
                <w:sz w:val="24"/>
                <w:szCs w:val="24"/>
                <w:highlight w:val="none"/>
                <w:lang w:val="en-US" w:eastAsia="zh-CN"/>
              </w:rPr>
              <w:t>物业综合服务、房屋及公共设施设备维护服务、绿化服务、保洁服务、会议服务、餐厅管理服务、公寓管理服务、多媒体教室管理服务等。</w:t>
            </w:r>
          </w:p>
          <w:p w14:paraId="3AAAA0D0">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（一）基本服务</w:t>
            </w:r>
          </w:p>
          <w:tbl>
            <w:tblPr>
              <w:tblStyle w:val="7"/>
              <w:tblW w:w="45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1294"/>
              <w:gridCol w:w="5505"/>
            </w:tblGrid>
            <w:tr w14:paraId="0AC36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Align w:val="center"/>
                </w:tcPr>
                <w:p w14:paraId="0D5E48C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序号</w:t>
                  </w:r>
                </w:p>
              </w:tc>
              <w:tc>
                <w:tcPr>
                  <w:tcW w:w="847" w:type="pct"/>
                  <w:vAlign w:val="center"/>
                </w:tcPr>
                <w:p w14:paraId="5BDB0EE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服务内容</w:t>
                  </w:r>
                </w:p>
              </w:tc>
              <w:tc>
                <w:tcPr>
                  <w:tcW w:w="3603" w:type="pct"/>
                  <w:vAlign w:val="center"/>
                </w:tcPr>
                <w:p w14:paraId="5BCE5B9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服务标准</w:t>
                  </w:r>
                </w:p>
              </w:tc>
            </w:tr>
            <w:tr w14:paraId="57344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restart"/>
                  <w:vAlign w:val="center"/>
                </w:tcPr>
                <w:p w14:paraId="607DE34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847" w:type="pct"/>
                  <w:vMerge w:val="restart"/>
                  <w:vAlign w:val="center"/>
                </w:tcPr>
                <w:p w14:paraId="11C28DA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目标与责任</w:t>
                  </w:r>
                </w:p>
              </w:tc>
              <w:tc>
                <w:tcPr>
                  <w:tcW w:w="3603" w:type="pct"/>
                  <w:vAlign w:val="center"/>
                </w:tcPr>
                <w:p w14:paraId="1D58D49D">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（1）结合采购人要求及物业服务实际情况，制定</w:t>
                  </w:r>
                  <w:r>
                    <w:rPr>
                      <w:rFonts w:hint="eastAsia" w:asciiTheme="minorEastAsia" w:hAnsiTheme="minorEastAsia" w:eastAsiaTheme="minorEastAsia" w:cstheme="minorEastAsia"/>
                      <w:sz w:val="24"/>
                      <w:szCs w:val="24"/>
                      <w:vertAlign w:val="baseline"/>
                      <w:lang w:val="en-US" w:eastAsia="zh-CN"/>
                    </w:rPr>
                    <w:t>半</w:t>
                  </w:r>
                  <w:r>
                    <w:rPr>
                      <w:rFonts w:hint="default" w:asciiTheme="minorEastAsia" w:hAnsiTheme="minorEastAsia" w:eastAsiaTheme="minorEastAsia" w:cstheme="minorEastAsia"/>
                      <w:sz w:val="24"/>
                      <w:szCs w:val="24"/>
                      <w:vertAlign w:val="baseline"/>
                      <w:lang w:val="en-US" w:eastAsia="zh-CN"/>
                    </w:rPr>
                    <w:t>年度管理目标，明确责任分工，并制定配套实施方案。</w:t>
                  </w:r>
                </w:p>
              </w:tc>
            </w:tr>
            <w:tr w14:paraId="0B523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6578097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7F47B16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7B2B9B5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（2）严格执行学院的各项规章制度和有关规定</w:t>
                  </w:r>
                </w:p>
              </w:tc>
            </w:tr>
            <w:tr w14:paraId="6EA34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1795A0B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1CE2EEC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0B3B7D37">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（3）严格按照学院提出的服务标准和要求以及各岗位职责执行。</w:t>
                  </w:r>
                </w:p>
              </w:tc>
            </w:tr>
            <w:tr w14:paraId="67E48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319305A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6E317A3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33EB5895">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（4）建立健全各类应急预案，及时处理各类突发事件。</w:t>
                  </w:r>
                </w:p>
              </w:tc>
            </w:tr>
            <w:tr w14:paraId="51230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7BB7B76F">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162E507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21E354D1">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（5）接受学院师生以及各级主管部门的监督和检查，及时整改存在的问题。</w:t>
                  </w:r>
                </w:p>
              </w:tc>
            </w:tr>
            <w:tr w14:paraId="7709F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0BB874C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65FD9F4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12F1894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vertAlign w:val="baseline"/>
                      <w:lang w:val="en-US" w:eastAsia="zh-CN"/>
                    </w:rPr>
                    <w:t>6</w:t>
                  </w:r>
                  <w:r>
                    <w:rPr>
                      <w:rFonts w:hint="default" w:asciiTheme="minorEastAsia" w:hAnsiTheme="minorEastAsia" w:eastAsiaTheme="minorEastAsia" w:cstheme="minorEastAsia"/>
                      <w:sz w:val="24"/>
                      <w:szCs w:val="24"/>
                      <w:vertAlign w:val="baseline"/>
                      <w:lang w:val="en-US" w:eastAsia="zh-CN"/>
                    </w:rPr>
                    <w:t>）提供优质、高效的物业管理服务，营造安全、绿色、和谐的校园环境，保障教学、科研、师生生活顺利进行。</w:t>
                  </w:r>
                </w:p>
              </w:tc>
            </w:tr>
            <w:tr w14:paraId="4EA44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72D3A4A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20626C1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700CF665">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vertAlign w:val="baseline"/>
                      <w:lang w:val="en-US" w:eastAsia="zh-CN"/>
                    </w:rPr>
                    <w:t>7</w:t>
                  </w:r>
                  <w:r>
                    <w:rPr>
                      <w:rFonts w:hint="default" w:asciiTheme="minorEastAsia" w:hAnsiTheme="minorEastAsia" w:eastAsiaTheme="minorEastAsia" w:cstheme="minorEastAsia"/>
                      <w:sz w:val="24"/>
                      <w:szCs w:val="24"/>
                      <w:vertAlign w:val="baseline"/>
                      <w:lang w:val="en-US" w:eastAsia="zh-CN"/>
                    </w:rPr>
                    <w:t>）定期对员工进行培训和考核，提高员工的业务水平和服务意识。</w:t>
                  </w:r>
                </w:p>
              </w:tc>
            </w:tr>
            <w:tr w14:paraId="6B221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1BB8CED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4F8365B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0AE953DE">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（8）制定节能管理方案，在日常服务保障中须加强管理，降低能源资源消耗,及时关闭不用的电源和设备；严禁保洁员长流水冲洗墩布、便池；绿化用水应采取集约化、定量化、精细化模式，科学合理用水用能</w:t>
                  </w:r>
                  <w:r>
                    <w:rPr>
                      <w:rFonts w:hint="eastAsia" w:asciiTheme="minorEastAsia" w:hAnsiTheme="minorEastAsia" w:eastAsiaTheme="minorEastAsia" w:cstheme="minorEastAsia"/>
                      <w:sz w:val="24"/>
                      <w:szCs w:val="24"/>
                      <w:vertAlign w:val="baseline"/>
                      <w:lang w:val="en-US" w:eastAsia="zh-CN"/>
                    </w:rPr>
                    <w:t>，倡导绿色节能校园。</w:t>
                  </w:r>
                </w:p>
              </w:tc>
            </w:tr>
            <w:tr w14:paraId="4060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5CE54A2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3FB4682F">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4B77971A">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9）制定安全管理运行方案，按照《中华人民共和国安全生产法》中“三个必须”（管业务必须管安全、管行业必须管安全、管生产经营必须管安全）的相关要求，就消防、环保、疾控以及人员稳定等方面安全事项及责任予以明确。</w:t>
                  </w:r>
                </w:p>
              </w:tc>
            </w:tr>
            <w:tr w14:paraId="6C7A7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4FD51D1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320A8B1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3F7FDA4A">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（10）严禁将任何商业性的广告、设施、活动引入校园。</w:t>
                  </w:r>
                </w:p>
              </w:tc>
            </w:tr>
            <w:tr w14:paraId="1136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63E48CBD">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0D33053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4A06FFF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（11）严禁收取学生任何费用。</w:t>
                  </w:r>
                </w:p>
              </w:tc>
            </w:tr>
            <w:tr w14:paraId="0421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550B863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4C0A906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1C006399">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12）信息化建设要求：中标人需提供成熟的信息化服务系统或平台，包含：1.综合巡检系统；2.设施设备远程监控管理系统；3.维修维保管理系统；4.学生公寓管理系统；5.房屋设备管理系统；6.餐饮安全管理和财务管理系统；7.库房管理系统实现智能化、信息化管理，须经采购人认可后方可投入使用。</w:t>
                  </w:r>
                </w:p>
              </w:tc>
            </w:tr>
            <w:tr w14:paraId="6F53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543394FD">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55D3513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729678B7">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（13）寒暑假期间正常提供物业服务。</w:t>
                  </w:r>
                </w:p>
              </w:tc>
            </w:tr>
            <w:tr w14:paraId="683A3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restart"/>
                  <w:vAlign w:val="center"/>
                </w:tcPr>
                <w:p w14:paraId="013243AF">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847" w:type="pct"/>
                  <w:vMerge w:val="restart"/>
                  <w:vAlign w:val="center"/>
                </w:tcPr>
                <w:p w14:paraId="7D348CD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服务人员要求</w:t>
                  </w:r>
                </w:p>
              </w:tc>
              <w:tc>
                <w:tcPr>
                  <w:tcW w:w="3603" w:type="pct"/>
                  <w:vAlign w:val="center"/>
                </w:tcPr>
                <w:p w14:paraId="63D1BE46">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（1）每季度至少开展1次岗位技能、职业素质、服务知识、客户文化、绿色节能环保等教育培训，并进行适当形式的考核。</w:t>
                  </w:r>
                </w:p>
              </w:tc>
            </w:tr>
            <w:tr w14:paraId="055B4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12CB45C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089F5BF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0C98DBDD">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（2）根据采购人要求对服务人员进行从业资格审查，审查结果向采购人报备。</w:t>
                  </w:r>
                </w:p>
              </w:tc>
            </w:tr>
            <w:tr w14:paraId="77910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2B13E2F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5ED557C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73067EB3">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3）服务人员的年龄、学历、工作经验及资格条件应当与所在岗位能力要求相匹配，到岗前应当经过必要的岗前培训以达到岗位能力要求，国家、行业规定应当取得职业资格证书或特种作业证书的，应当按规定持证上岗。</w:t>
                  </w:r>
                </w:p>
              </w:tc>
            </w:tr>
            <w:tr w14:paraId="0D94D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2D2D64D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5E11E42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0CA7BA57">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4）如采购人认为服务人员不适应岗位要求或存在其他影响工作的，可要求投标人进行调换。如因投标人原因对服务人员进行调换，应当经采购人同意，更换比例不得超过本项目服务人员总数的20%。本项目服务人员不得在其他项目兼职。</w:t>
                  </w:r>
                </w:p>
              </w:tc>
            </w:tr>
            <w:tr w14:paraId="7097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18E1687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21BF268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215EB781">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（5）着装分类统一，佩戴标识。仪容整洁、姿态端正、举止文明。用语文明礼貌，态度温和耐心。</w:t>
                  </w:r>
                </w:p>
              </w:tc>
            </w:tr>
            <w:tr w14:paraId="29CEA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79695CD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5A83F081">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435BD53A">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vertAlign w:val="baseline"/>
                      <w:lang w:val="en-US" w:eastAsia="zh-CN"/>
                    </w:rPr>
                    <w:t>6</w:t>
                  </w:r>
                  <w:r>
                    <w:rPr>
                      <w:rFonts w:hint="default" w:asciiTheme="minorEastAsia" w:hAnsiTheme="minorEastAsia" w:eastAsiaTheme="minorEastAsia" w:cstheme="minorEastAsia"/>
                      <w:sz w:val="24"/>
                      <w:szCs w:val="24"/>
                      <w:vertAlign w:val="baseline"/>
                      <w:lang w:val="en-US" w:eastAsia="zh-CN"/>
                    </w:rPr>
                    <w:t>）所有工作人员须熟悉相关法律法规、无不良记录。具备健康证明，无证不得上岗。</w:t>
                  </w:r>
                </w:p>
              </w:tc>
            </w:tr>
            <w:tr w14:paraId="6C7DC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restart"/>
                  <w:vAlign w:val="center"/>
                </w:tcPr>
                <w:p w14:paraId="2264A25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847" w:type="pct"/>
                  <w:vMerge w:val="restart"/>
                  <w:vAlign w:val="center"/>
                </w:tcPr>
                <w:p w14:paraId="4FDC34A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思想政治教育</w:t>
                  </w:r>
                </w:p>
              </w:tc>
              <w:tc>
                <w:tcPr>
                  <w:tcW w:w="3603" w:type="pct"/>
                  <w:vAlign w:val="center"/>
                </w:tcPr>
                <w:p w14:paraId="23B1669E">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（1）建立思想政治教育相关管理制度。</w:t>
                  </w:r>
                </w:p>
              </w:tc>
            </w:tr>
            <w:tr w14:paraId="50082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024A9C7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4551A051">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7B37844C">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（2）根据采购人要求工作岗位的服务人员签订有效协议。协议应当向采购人报备。</w:t>
                  </w:r>
                </w:p>
              </w:tc>
            </w:tr>
            <w:tr w14:paraId="07910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30AB7F1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41C022F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64C8CEF3">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（3）每季度至少开展1次对服务人员进行思想政治教育的培训，提高服务人员思想政治意识。新入职员工应当接受思想政治教育培训，进行必要的人员经历审查，合格后签订协议方可上岗。</w:t>
                  </w:r>
                </w:p>
              </w:tc>
            </w:tr>
            <w:tr w14:paraId="5A0F0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7A8A562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0F13EC8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4B8DC483">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（4）发现服务人员违法违规或重大过失，及时报告采购人，并采取必要补救措施。</w:t>
                  </w:r>
                </w:p>
              </w:tc>
            </w:tr>
            <w:tr w14:paraId="32D43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restart"/>
                  <w:vAlign w:val="center"/>
                </w:tcPr>
                <w:p w14:paraId="268C95A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847" w:type="pct"/>
                  <w:vMerge w:val="restart"/>
                  <w:vAlign w:val="center"/>
                </w:tcPr>
                <w:p w14:paraId="4E6BCE3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档案管理</w:t>
                  </w:r>
                </w:p>
              </w:tc>
              <w:tc>
                <w:tcPr>
                  <w:tcW w:w="3603" w:type="pct"/>
                  <w:vAlign w:val="center"/>
                </w:tcPr>
                <w:p w14:paraId="7379B5E1">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（1）建立物业信息，准确、及时地对文件资料和服务记录进行归档保存，并确保其物理安全。</w:t>
                  </w:r>
                </w:p>
              </w:tc>
            </w:tr>
            <w:tr w14:paraId="464A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2AAA939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0D52A0C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7D18F0FF">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档案和记录齐全，包括但不限于：①采购人建议与投诉等。教育培训和考核记录。保密、思想政治教育培训记录。②房屋维护服务：房屋台账、使用说明、房屋装修、维保记录等。③公用设施设备维护服务：设备台账、设备卡、使用说明、维保记录、巡查记录、设施设备安全运行、设施设备定期巡检、维护保养、维修档案等。④保洁服务：工作日志、清洁检查表、用品清单、客户反馈表等。⑤绿化服务：绿化总平面图、清洁整改记录、消杀记录等。⑥其他：客户信息、财务明细、合同协议、信报信息登记、大件物品进出登记等。⑦服务人员档案：中标人提供所有服务人员身份信息、工作情况、签到情况记录（含中期离职人员情况）。</w:t>
                  </w:r>
                </w:p>
              </w:tc>
            </w:tr>
            <w:tr w14:paraId="2A896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00C2CEC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3D78C69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775D7386">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（3）遵守采购人的信息、档案资料保密要求，未经许可，不得将建筑物平面图等资料转作其他用途或向其他单位、个人提供。</w:t>
                  </w:r>
                </w:p>
              </w:tc>
            </w:tr>
            <w:tr w14:paraId="66349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2BBB61E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0FF5DE3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25EAAC05">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（4）履约结束后，相关资料交还采购人，采购人按政府采购相关规定存档。</w:t>
                  </w:r>
                </w:p>
              </w:tc>
            </w:tr>
            <w:tr w14:paraId="2576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restart"/>
                  <w:vAlign w:val="center"/>
                </w:tcPr>
                <w:p w14:paraId="5160E741">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847" w:type="pct"/>
                  <w:vMerge w:val="restart"/>
                  <w:vAlign w:val="center"/>
                </w:tcPr>
                <w:p w14:paraId="1DA718A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服务改进</w:t>
                  </w:r>
                </w:p>
              </w:tc>
              <w:tc>
                <w:tcPr>
                  <w:tcW w:w="3603" w:type="pct"/>
                  <w:vAlign w:val="center"/>
                </w:tcPr>
                <w:p w14:paraId="36B5B373">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（1）明确负责人，定期对物业服务过程进行自查，结合反馈意见与评价结果采取改进措施，持续提升管理与服务水平。</w:t>
                  </w:r>
                </w:p>
              </w:tc>
            </w:tr>
            <w:tr w14:paraId="4589C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081BB5D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2FBFE3D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73BD823E">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（2）对不合格服务进行控制，对不合格服务的原因进行识别和分析，及时采取纠正措施，消除不合格的原因，防止不合格再发生。</w:t>
                  </w:r>
                </w:p>
              </w:tc>
            </w:tr>
            <w:tr w14:paraId="101D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383DE8A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65B9AD9F">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0D13523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（3）需整改问题及时整改完成。</w:t>
                  </w:r>
                </w:p>
              </w:tc>
            </w:tr>
            <w:tr w14:paraId="5491F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restart"/>
                  <w:vAlign w:val="center"/>
                </w:tcPr>
                <w:p w14:paraId="33D63AA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w:t>
                  </w:r>
                </w:p>
              </w:tc>
              <w:tc>
                <w:tcPr>
                  <w:tcW w:w="847" w:type="pct"/>
                  <w:vMerge w:val="restart"/>
                  <w:vAlign w:val="center"/>
                </w:tcPr>
                <w:p w14:paraId="54A3FB9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重大活动后勤保障</w:t>
                  </w:r>
                </w:p>
              </w:tc>
              <w:tc>
                <w:tcPr>
                  <w:tcW w:w="3603" w:type="pct"/>
                  <w:vAlign w:val="center"/>
                </w:tcPr>
                <w:p w14:paraId="3BED45F5">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（1）制订流程。配合采购人制订重大活动后勤保障工作流程，需对任务进行详细了解，并根据工作安排制定详细的后勤保障计划。</w:t>
                  </w:r>
                </w:p>
              </w:tc>
            </w:tr>
            <w:tr w14:paraId="1A62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11CC845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5996517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70BBD7F6">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2）实施保障。按计划在关键区域和重点部位进行部署，确保任务顺利进行，对活动区域进行全面安全检查，发现并排除安全隐患，对车辆进行有序引导和管理，确保交通安全畅通，以礼貌、专业的态度对待来宾，展现良好形象。</w:t>
                  </w:r>
                </w:p>
              </w:tc>
            </w:tr>
            <w:tr w14:paraId="24B61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72C5CF9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38AB396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2739EB04">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（3）收尾工作。对现场进行检查，做好清理工作。</w:t>
                  </w:r>
                </w:p>
              </w:tc>
            </w:tr>
            <w:tr w14:paraId="444D2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restart"/>
                  <w:vAlign w:val="center"/>
                </w:tcPr>
                <w:p w14:paraId="1AF8577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7</w:t>
                  </w:r>
                </w:p>
              </w:tc>
              <w:tc>
                <w:tcPr>
                  <w:tcW w:w="847" w:type="pct"/>
                  <w:vMerge w:val="restart"/>
                  <w:vAlign w:val="center"/>
                </w:tcPr>
                <w:p w14:paraId="0945375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应急保障预案</w:t>
                  </w:r>
                </w:p>
              </w:tc>
              <w:tc>
                <w:tcPr>
                  <w:tcW w:w="3603" w:type="pct"/>
                  <w:vAlign w:val="center"/>
                </w:tcPr>
                <w:p w14:paraId="68310B7F">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重点区域及安全隐患排查。结合项目的实际情况，对重点部位及危险隐患进行排查，并建立清单/台账；应当对危险隐患进行风险分析，制定相应措施进行控制或整改并定期监控；随着设施设备、服务内容的变化，及时更新清单/台账，使风险隐患始终处于受控状态。</w:t>
                  </w:r>
                </w:p>
              </w:tc>
            </w:tr>
            <w:tr w14:paraId="5467F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554E5F0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36F30D5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33E3208F">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2）应急预案的建立。根据办公楼隐患排查的结果和实际情况，制定专项预案，包括但不限于：火情火警紧急处理应急预案、紧急疏散应急预案、停水停电应急预案、有限空间救援应急预案、高空作业救援应急预案、恶劣天气应对应急预案等。</w:t>
                  </w:r>
                </w:p>
              </w:tc>
            </w:tr>
            <w:tr w14:paraId="3422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2A197A4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2F399ABD">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4DE8EB1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（3）应急预案的培训和演练。应急预案定期培训和演练，组织相关岗位每半年至少开展一次专项应急预案演练；留存培训及演练记录和影像资料，并对预案进行评价，确保与实际情况相结合。</w:t>
                  </w:r>
                </w:p>
              </w:tc>
            </w:tr>
            <w:tr w14:paraId="6D5E4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402AD27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2B1FC81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4AD4C92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（4）应急物资的管理。根据专项预案中的应对需要、必要的应急物资，建立清单或台账，并由专人定期对应急物资进行检查，如有应急物资不足，及时通知采购人购置齐全，确保能够随时正常使用。</w:t>
                  </w:r>
                </w:p>
              </w:tc>
            </w:tr>
            <w:tr w14:paraId="101E5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restart"/>
                  <w:vAlign w:val="center"/>
                </w:tcPr>
                <w:p w14:paraId="45D81E3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8</w:t>
                  </w:r>
                </w:p>
              </w:tc>
              <w:tc>
                <w:tcPr>
                  <w:tcW w:w="847" w:type="pct"/>
                  <w:vMerge w:val="restart"/>
                  <w:vAlign w:val="center"/>
                </w:tcPr>
                <w:p w14:paraId="75B3420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服务方案及工作制度</w:t>
                  </w:r>
                </w:p>
              </w:tc>
              <w:tc>
                <w:tcPr>
                  <w:tcW w:w="3603" w:type="pct"/>
                  <w:vAlign w:val="center"/>
                </w:tcPr>
                <w:p w14:paraId="76D3C14D">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（1）制定工作制度，主要包括：人员录用制度、档案管理制度、物业服务管理制度、公用设施设备相关管理制度等。</w:t>
                  </w:r>
                </w:p>
              </w:tc>
            </w:tr>
            <w:tr w14:paraId="32466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5C4DE84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1E452A7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3AB71F32">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（2）制定项目实施方案，主要包括：交接方案、人员培训方案、人员稳定性方案、保密方案等。</w:t>
                  </w:r>
                </w:p>
              </w:tc>
            </w:tr>
            <w:tr w14:paraId="380B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7F56F04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37D9BAA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5D6DC379">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（3）制定物业服务方案，主要包括：物业综合服务</w:t>
                  </w:r>
                  <w:r>
                    <w:rPr>
                      <w:rFonts w:hint="eastAsia" w:asciiTheme="minorEastAsia" w:hAnsiTheme="minorEastAsia" w:eastAsiaTheme="minorEastAsia" w:cstheme="minorEastAsia"/>
                      <w:sz w:val="24"/>
                      <w:szCs w:val="24"/>
                      <w:vertAlign w:val="baseline"/>
                      <w:lang w:val="en-US" w:eastAsia="zh-CN"/>
                    </w:rPr>
                    <w:t>方案</w:t>
                  </w:r>
                  <w:r>
                    <w:rPr>
                      <w:rFonts w:hint="default" w:asciiTheme="minorEastAsia" w:hAnsiTheme="minorEastAsia" w:eastAsiaTheme="minorEastAsia" w:cstheme="minorEastAsia"/>
                      <w:sz w:val="24"/>
                      <w:szCs w:val="24"/>
                      <w:vertAlign w:val="baseline"/>
                      <w:lang w:val="en-US" w:eastAsia="zh-CN"/>
                    </w:rPr>
                    <w:t>、房屋及公共设施设备维护服务</w:t>
                  </w:r>
                  <w:r>
                    <w:rPr>
                      <w:rFonts w:hint="eastAsia" w:asciiTheme="minorEastAsia" w:hAnsiTheme="minorEastAsia" w:eastAsiaTheme="minorEastAsia" w:cstheme="minorEastAsia"/>
                      <w:sz w:val="24"/>
                      <w:szCs w:val="24"/>
                      <w:vertAlign w:val="baseline"/>
                      <w:lang w:val="en-US" w:eastAsia="zh-CN"/>
                    </w:rPr>
                    <w:t>方案</w:t>
                  </w:r>
                  <w:r>
                    <w:rPr>
                      <w:rFonts w:hint="default" w:asciiTheme="minorEastAsia" w:hAnsiTheme="minorEastAsia" w:eastAsiaTheme="minorEastAsia" w:cstheme="minorEastAsia"/>
                      <w:sz w:val="24"/>
                      <w:szCs w:val="24"/>
                      <w:vertAlign w:val="baseline"/>
                      <w:lang w:val="en-US" w:eastAsia="zh-CN"/>
                    </w:rPr>
                    <w:t>、绿化服务</w:t>
                  </w:r>
                  <w:r>
                    <w:rPr>
                      <w:rFonts w:hint="eastAsia" w:asciiTheme="minorEastAsia" w:hAnsiTheme="minorEastAsia" w:eastAsiaTheme="minorEastAsia" w:cstheme="minorEastAsia"/>
                      <w:sz w:val="24"/>
                      <w:szCs w:val="24"/>
                      <w:vertAlign w:val="baseline"/>
                      <w:lang w:val="en-US" w:eastAsia="zh-CN"/>
                    </w:rPr>
                    <w:t>方案</w:t>
                  </w:r>
                  <w:r>
                    <w:rPr>
                      <w:rFonts w:hint="default" w:asciiTheme="minorEastAsia" w:hAnsiTheme="minorEastAsia" w:eastAsiaTheme="minorEastAsia" w:cstheme="minorEastAsia"/>
                      <w:sz w:val="24"/>
                      <w:szCs w:val="24"/>
                      <w:vertAlign w:val="baseline"/>
                      <w:lang w:val="en-US" w:eastAsia="zh-CN"/>
                    </w:rPr>
                    <w:t>、保洁服务</w:t>
                  </w:r>
                  <w:r>
                    <w:rPr>
                      <w:rFonts w:hint="eastAsia" w:asciiTheme="minorEastAsia" w:hAnsiTheme="minorEastAsia" w:eastAsiaTheme="minorEastAsia" w:cstheme="minorEastAsia"/>
                      <w:sz w:val="24"/>
                      <w:szCs w:val="24"/>
                      <w:vertAlign w:val="baseline"/>
                      <w:lang w:val="en-US" w:eastAsia="zh-CN"/>
                    </w:rPr>
                    <w:t>方案</w:t>
                  </w:r>
                  <w:r>
                    <w:rPr>
                      <w:rFonts w:hint="default" w:asciiTheme="minorEastAsia" w:hAnsiTheme="minorEastAsia" w:eastAsiaTheme="minorEastAsia" w:cstheme="minorEastAsia"/>
                      <w:sz w:val="24"/>
                      <w:szCs w:val="24"/>
                      <w:vertAlign w:val="baseline"/>
                      <w:lang w:val="en-US" w:eastAsia="zh-CN"/>
                    </w:rPr>
                    <w:t>、会议服务</w:t>
                  </w:r>
                  <w:r>
                    <w:rPr>
                      <w:rFonts w:hint="eastAsia" w:asciiTheme="minorEastAsia" w:hAnsiTheme="minorEastAsia" w:eastAsiaTheme="minorEastAsia" w:cstheme="minorEastAsia"/>
                      <w:sz w:val="24"/>
                      <w:szCs w:val="24"/>
                      <w:vertAlign w:val="baseline"/>
                      <w:lang w:val="en-US" w:eastAsia="zh-CN"/>
                    </w:rPr>
                    <w:t>方案</w:t>
                  </w:r>
                  <w:r>
                    <w:rPr>
                      <w:rFonts w:hint="default" w:asciiTheme="minorEastAsia" w:hAnsiTheme="minorEastAsia" w:eastAsiaTheme="minorEastAsia" w:cstheme="minorEastAsia"/>
                      <w:sz w:val="24"/>
                      <w:szCs w:val="24"/>
                      <w:vertAlign w:val="baseline"/>
                      <w:lang w:val="en-US" w:eastAsia="zh-CN"/>
                    </w:rPr>
                    <w:t>、餐厅管理服务</w:t>
                  </w:r>
                  <w:r>
                    <w:rPr>
                      <w:rFonts w:hint="eastAsia" w:asciiTheme="minorEastAsia" w:hAnsiTheme="minorEastAsia" w:eastAsiaTheme="minorEastAsia" w:cstheme="minorEastAsia"/>
                      <w:sz w:val="24"/>
                      <w:szCs w:val="24"/>
                      <w:vertAlign w:val="baseline"/>
                      <w:lang w:val="en-US" w:eastAsia="zh-CN"/>
                    </w:rPr>
                    <w:t>方案</w:t>
                  </w:r>
                  <w:r>
                    <w:rPr>
                      <w:rFonts w:hint="default" w:asciiTheme="minorEastAsia" w:hAnsiTheme="minorEastAsia" w:eastAsiaTheme="minorEastAsia" w:cstheme="minorEastAsia"/>
                      <w:sz w:val="24"/>
                      <w:szCs w:val="24"/>
                      <w:vertAlign w:val="baseline"/>
                      <w:lang w:val="en-US" w:eastAsia="zh-CN"/>
                    </w:rPr>
                    <w:t>、公寓管理服务</w:t>
                  </w:r>
                  <w:r>
                    <w:rPr>
                      <w:rFonts w:hint="eastAsia" w:asciiTheme="minorEastAsia" w:hAnsiTheme="minorEastAsia" w:eastAsiaTheme="minorEastAsia" w:cstheme="minorEastAsia"/>
                      <w:sz w:val="24"/>
                      <w:szCs w:val="24"/>
                      <w:vertAlign w:val="baseline"/>
                      <w:lang w:val="en-US" w:eastAsia="zh-CN"/>
                    </w:rPr>
                    <w:t>方案</w:t>
                  </w:r>
                  <w:r>
                    <w:rPr>
                      <w:rFonts w:hint="default" w:asciiTheme="minorEastAsia" w:hAnsiTheme="minorEastAsia" w:eastAsiaTheme="minorEastAsia" w:cstheme="minorEastAsia"/>
                      <w:sz w:val="24"/>
                      <w:szCs w:val="24"/>
                      <w:vertAlign w:val="baseline"/>
                      <w:lang w:val="en-US" w:eastAsia="zh-CN"/>
                    </w:rPr>
                    <w:t>、多媒体教室管理服务</w:t>
                  </w:r>
                  <w:r>
                    <w:rPr>
                      <w:rFonts w:hint="eastAsia" w:asciiTheme="minorEastAsia" w:hAnsiTheme="minorEastAsia" w:eastAsiaTheme="minorEastAsia" w:cstheme="minorEastAsia"/>
                      <w:sz w:val="24"/>
                      <w:szCs w:val="24"/>
                      <w:vertAlign w:val="baseline"/>
                      <w:lang w:val="en-US" w:eastAsia="zh-CN"/>
                    </w:rPr>
                    <w:t>方案</w:t>
                  </w:r>
                  <w:r>
                    <w:rPr>
                      <w:rFonts w:hint="default" w:asciiTheme="minorEastAsia" w:hAnsiTheme="minorEastAsia" w:eastAsiaTheme="minorEastAsia" w:cstheme="minorEastAsia"/>
                      <w:sz w:val="24"/>
                      <w:szCs w:val="24"/>
                      <w:vertAlign w:val="baseline"/>
                      <w:lang w:val="en-US" w:eastAsia="zh-CN"/>
                    </w:rPr>
                    <w:t>等。</w:t>
                  </w:r>
                </w:p>
              </w:tc>
            </w:tr>
            <w:tr w14:paraId="06D3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restart"/>
                  <w:vAlign w:val="center"/>
                </w:tcPr>
                <w:p w14:paraId="02D910D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9</w:t>
                  </w:r>
                </w:p>
              </w:tc>
              <w:tc>
                <w:tcPr>
                  <w:tcW w:w="847" w:type="pct"/>
                  <w:vMerge w:val="restart"/>
                  <w:vAlign w:val="center"/>
                </w:tcPr>
                <w:p w14:paraId="276B419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服务热线及紧急维修</w:t>
                  </w:r>
                </w:p>
              </w:tc>
              <w:tc>
                <w:tcPr>
                  <w:tcW w:w="3603" w:type="pct"/>
                  <w:vAlign w:val="center"/>
                </w:tcPr>
                <w:p w14:paraId="038E232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（1）设置24小时报修服务热线。</w:t>
                  </w:r>
                </w:p>
              </w:tc>
            </w:tr>
            <w:tr w14:paraId="30020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549" w:type="pct"/>
                  <w:vMerge w:val="continue"/>
                  <w:vAlign w:val="center"/>
                </w:tcPr>
                <w:p w14:paraId="54A1671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847" w:type="pct"/>
                  <w:vMerge w:val="continue"/>
                  <w:vAlign w:val="center"/>
                </w:tcPr>
                <w:p w14:paraId="1827707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p>
              </w:tc>
              <w:tc>
                <w:tcPr>
                  <w:tcW w:w="3603" w:type="pct"/>
                  <w:vAlign w:val="center"/>
                </w:tcPr>
                <w:p w14:paraId="7863A14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（2）紧急维修应当15分钟内到达现场，不间断维修直至修复。</w:t>
                  </w:r>
                </w:p>
              </w:tc>
            </w:tr>
          </w:tbl>
          <w:p w14:paraId="223C15FE">
            <w:pPr>
              <w:widowControl w:val="0"/>
              <w:spacing w:line="360" w:lineRule="auto"/>
              <w:jc w:val="both"/>
              <w:rPr>
                <w:sz w:val="24"/>
                <w:szCs w:val="24"/>
              </w:rPr>
            </w:pPr>
          </w:p>
          <w:p w14:paraId="617DE607">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（二）物业综合服务</w:t>
            </w:r>
          </w:p>
          <w:tbl>
            <w:tblPr>
              <w:tblStyle w:val="6"/>
              <w:tblW w:w="4450"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25"/>
              <w:gridCol w:w="1434"/>
              <w:gridCol w:w="5170"/>
            </w:tblGrid>
            <w:tr w14:paraId="21A12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555" w:type="pct"/>
                  <w:shd w:val="clear" w:color="auto" w:fill="F2F3F5"/>
                  <w:tcMar>
                    <w:top w:w="120" w:type="dxa"/>
                    <w:left w:w="120" w:type="dxa"/>
                    <w:bottom w:w="120" w:type="dxa"/>
                    <w:right w:w="120" w:type="dxa"/>
                  </w:tcMar>
                  <w:vAlign w:val="center"/>
                </w:tcPr>
                <w:p w14:paraId="120DC80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序号</w:t>
                  </w:r>
                </w:p>
              </w:tc>
              <w:tc>
                <w:tcPr>
                  <w:tcW w:w="965" w:type="pct"/>
                  <w:shd w:val="clear" w:color="auto" w:fill="F2F3F5"/>
                  <w:tcMar>
                    <w:top w:w="120" w:type="dxa"/>
                    <w:left w:w="120" w:type="dxa"/>
                    <w:bottom w:w="120" w:type="dxa"/>
                    <w:right w:w="120" w:type="dxa"/>
                  </w:tcMar>
                  <w:vAlign w:val="center"/>
                </w:tcPr>
                <w:p w14:paraId="48BFA07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服务内容</w:t>
                  </w:r>
                </w:p>
              </w:tc>
              <w:tc>
                <w:tcPr>
                  <w:tcW w:w="3479" w:type="pct"/>
                  <w:shd w:val="clear" w:color="auto" w:fill="F2F3F5"/>
                  <w:tcMar>
                    <w:top w:w="120" w:type="dxa"/>
                    <w:left w:w="120" w:type="dxa"/>
                    <w:bottom w:w="120" w:type="dxa"/>
                    <w:right w:w="120" w:type="dxa"/>
                  </w:tcMar>
                  <w:vAlign w:val="center"/>
                </w:tcPr>
                <w:p w14:paraId="27F8422F">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服务标准</w:t>
                  </w:r>
                </w:p>
              </w:tc>
            </w:tr>
            <w:tr w14:paraId="029A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55" w:type="pct"/>
                  <w:shd w:val="clear" w:color="auto" w:fill="auto"/>
                  <w:tcMar>
                    <w:top w:w="120" w:type="dxa"/>
                    <w:left w:w="120" w:type="dxa"/>
                    <w:bottom w:w="120" w:type="dxa"/>
                    <w:right w:w="120" w:type="dxa"/>
                  </w:tcMar>
                  <w:vAlign w:val="center"/>
                </w:tcPr>
                <w:p w14:paraId="65E4EEF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965" w:type="pct"/>
                  <w:shd w:val="clear" w:color="auto" w:fill="auto"/>
                  <w:tcMar>
                    <w:top w:w="120" w:type="dxa"/>
                    <w:left w:w="120" w:type="dxa"/>
                    <w:bottom w:w="120" w:type="dxa"/>
                    <w:right w:w="120" w:type="dxa"/>
                  </w:tcMar>
                  <w:vAlign w:val="center"/>
                </w:tcPr>
                <w:p w14:paraId="496B64C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服务团队组建与管理</w:t>
                  </w:r>
                </w:p>
              </w:tc>
              <w:tc>
                <w:tcPr>
                  <w:tcW w:w="3479" w:type="pct"/>
                  <w:shd w:val="clear" w:color="auto" w:fill="auto"/>
                  <w:tcMar>
                    <w:top w:w="120" w:type="dxa"/>
                    <w:left w:w="120" w:type="dxa"/>
                    <w:bottom w:w="120" w:type="dxa"/>
                    <w:right w:w="120" w:type="dxa"/>
                  </w:tcMar>
                  <w:vAlign w:val="center"/>
                </w:tcPr>
                <w:p w14:paraId="5F59A35C">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1.设立专属项目经理1名，具备1年及以上高校物业服务经验，持有</w:t>
                  </w:r>
                  <w:r>
                    <w:rPr>
                      <w:rFonts w:hint="eastAsia" w:asciiTheme="minorEastAsia" w:hAnsiTheme="minorEastAsia" w:eastAsiaTheme="minorEastAsia" w:cstheme="minorEastAsia"/>
                      <w:sz w:val="24"/>
                      <w:szCs w:val="24"/>
                      <w:lang w:val="en-US" w:eastAsia="zh-CN"/>
                    </w:rPr>
                    <w:t>物业管理项目经理相关</w:t>
                  </w:r>
                  <w:r>
                    <w:rPr>
                      <w:rFonts w:hint="eastAsia" w:asciiTheme="minorEastAsia" w:hAnsiTheme="minorEastAsia" w:eastAsiaTheme="minorEastAsia" w:cstheme="minorEastAsia"/>
                      <w:sz w:val="24"/>
                      <w:szCs w:val="24"/>
                      <w:vertAlign w:val="baseline"/>
                      <w:lang w:val="en-US" w:eastAsia="zh-CN"/>
                    </w:rPr>
                    <w:t>证书；2.各服务板块配备专职主管，团队人员持证上岗率100%（如电工证、水暖工证等）；3.建立完善的员工培训体系，每月至少开展1次高校物业服务专项培训。</w:t>
                  </w:r>
                </w:p>
              </w:tc>
            </w:tr>
            <w:tr w14:paraId="323D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55" w:type="pct"/>
                  <w:shd w:val="clear" w:color="auto" w:fill="auto"/>
                  <w:tcMar>
                    <w:top w:w="120" w:type="dxa"/>
                    <w:left w:w="120" w:type="dxa"/>
                    <w:bottom w:w="120" w:type="dxa"/>
                    <w:right w:w="120" w:type="dxa"/>
                  </w:tcMar>
                  <w:vAlign w:val="center"/>
                </w:tcPr>
                <w:p w14:paraId="345BA03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965" w:type="pct"/>
                  <w:shd w:val="clear" w:color="auto" w:fill="auto"/>
                  <w:tcMar>
                    <w:top w:w="120" w:type="dxa"/>
                    <w:left w:w="120" w:type="dxa"/>
                    <w:bottom w:w="120" w:type="dxa"/>
                    <w:right w:w="120" w:type="dxa"/>
                  </w:tcMar>
                  <w:vAlign w:val="center"/>
                </w:tcPr>
                <w:p w14:paraId="1511B001">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制度建设与档案管理</w:t>
                  </w:r>
                </w:p>
              </w:tc>
              <w:tc>
                <w:tcPr>
                  <w:tcW w:w="3479" w:type="pct"/>
                  <w:shd w:val="clear" w:color="auto" w:fill="auto"/>
                  <w:tcMar>
                    <w:top w:w="120" w:type="dxa"/>
                    <w:left w:w="120" w:type="dxa"/>
                    <w:bottom w:w="120" w:type="dxa"/>
                    <w:right w:w="120" w:type="dxa"/>
                  </w:tcMar>
                  <w:vAlign w:val="center"/>
                </w:tcPr>
                <w:p w14:paraId="398318A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提交完整的服务方案，含岗位责任制、应急预案等20项以上制度；2.建立房屋、设施设备、会议服务等电子及纸质档案，档案完整率100%，更新及时（变更后24小时内）；3.每月向招标人提交服务月报，每半年提交半年度服务总结。</w:t>
                  </w:r>
                </w:p>
              </w:tc>
            </w:tr>
            <w:tr w14:paraId="281D9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55" w:type="pct"/>
                  <w:shd w:val="clear" w:color="auto" w:fill="auto"/>
                  <w:tcMar>
                    <w:top w:w="120" w:type="dxa"/>
                    <w:left w:w="120" w:type="dxa"/>
                    <w:bottom w:w="120" w:type="dxa"/>
                    <w:right w:w="120" w:type="dxa"/>
                  </w:tcMar>
                  <w:vAlign w:val="center"/>
                </w:tcPr>
                <w:p w14:paraId="6CCFF58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965" w:type="pct"/>
                  <w:shd w:val="clear" w:color="auto" w:fill="auto"/>
                  <w:tcMar>
                    <w:top w:w="120" w:type="dxa"/>
                    <w:left w:w="120" w:type="dxa"/>
                    <w:bottom w:w="120" w:type="dxa"/>
                    <w:right w:w="120" w:type="dxa"/>
                  </w:tcMar>
                  <w:vAlign w:val="center"/>
                </w:tcPr>
                <w:p w14:paraId="75FBC36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客户服务与沟通协调</w:t>
                  </w:r>
                </w:p>
              </w:tc>
              <w:tc>
                <w:tcPr>
                  <w:tcW w:w="3479" w:type="pct"/>
                  <w:shd w:val="clear" w:color="auto" w:fill="auto"/>
                  <w:tcMar>
                    <w:top w:w="120" w:type="dxa"/>
                    <w:left w:w="120" w:type="dxa"/>
                    <w:bottom w:w="120" w:type="dxa"/>
                    <w:right w:w="120" w:type="dxa"/>
                  </w:tcMar>
                  <w:vAlign w:val="center"/>
                </w:tcPr>
                <w:p w14:paraId="15244E08">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1.设立24小时服务热线，来电响应时间≤5分钟，一般问题处理反馈时间≤2小时，复杂问题≤24小时并明确解决方案；2.每月组织1次与师生代表的沟通会，及时处理意见建议，处理率100%；3.投诉处理满意率≥95%。</w:t>
                  </w:r>
                </w:p>
              </w:tc>
            </w:tr>
            <w:tr w14:paraId="7A905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55" w:type="pct"/>
                  <w:shd w:val="clear" w:color="auto" w:fill="auto"/>
                  <w:tcMar>
                    <w:top w:w="120" w:type="dxa"/>
                    <w:left w:w="120" w:type="dxa"/>
                    <w:bottom w:w="120" w:type="dxa"/>
                    <w:right w:w="120" w:type="dxa"/>
                  </w:tcMar>
                  <w:vAlign w:val="center"/>
                </w:tcPr>
                <w:p w14:paraId="44961F8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965" w:type="pct"/>
                  <w:shd w:val="clear" w:color="auto" w:fill="auto"/>
                  <w:tcMar>
                    <w:top w:w="120" w:type="dxa"/>
                    <w:left w:w="120" w:type="dxa"/>
                    <w:bottom w:w="120" w:type="dxa"/>
                    <w:right w:w="120" w:type="dxa"/>
                  </w:tcMar>
                  <w:vAlign w:val="center"/>
                </w:tcPr>
                <w:p w14:paraId="3C687F2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应急管理与安全保障</w:t>
                  </w:r>
                </w:p>
              </w:tc>
              <w:tc>
                <w:tcPr>
                  <w:tcW w:w="3479" w:type="pct"/>
                  <w:shd w:val="clear" w:color="auto" w:fill="auto"/>
                  <w:tcMar>
                    <w:top w:w="120" w:type="dxa"/>
                    <w:left w:w="120" w:type="dxa"/>
                    <w:bottom w:w="120" w:type="dxa"/>
                    <w:right w:w="120" w:type="dxa"/>
                  </w:tcMar>
                  <w:vAlign w:val="center"/>
                </w:tcPr>
                <w:p w14:paraId="52F66681">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1.制定火灾、防汛、停电、设备故障等10类以上应急预案，每半年组织1次应急演练；2.配合招标人开展安全检查，隐患整改率100%；3.服务期内无重大安全责任事故。</w:t>
                  </w:r>
                </w:p>
              </w:tc>
            </w:tr>
          </w:tbl>
          <w:p w14:paraId="1D1613A9">
            <w:pPr>
              <w:widowControl w:val="0"/>
              <w:spacing w:line="360" w:lineRule="auto"/>
              <w:jc w:val="both"/>
              <w:rPr>
                <w:sz w:val="24"/>
                <w:szCs w:val="24"/>
              </w:rPr>
            </w:pPr>
          </w:p>
          <w:p w14:paraId="6EB98F27">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（三）房屋及公共设施设备维护服务</w:t>
            </w:r>
          </w:p>
          <w:tbl>
            <w:tblPr>
              <w:tblStyle w:val="6"/>
              <w:tblW w:w="7299"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23"/>
              <w:gridCol w:w="1396"/>
              <w:gridCol w:w="5080"/>
            </w:tblGrid>
            <w:tr w14:paraId="47D0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564" w:type="pct"/>
                  <w:shd w:val="clear" w:color="auto" w:fill="F2F3F5"/>
                  <w:tcMar>
                    <w:top w:w="120" w:type="dxa"/>
                    <w:left w:w="120" w:type="dxa"/>
                    <w:bottom w:w="120" w:type="dxa"/>
                    <w:right w:w="120" w:type="dxa"/>
                  </w:tcMar>
                  <w:vAlign w:val="center"/>
                </w:tcPr>
                <w:p w14:paraId="6CF8F59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序号</w:t>
                  </w:r>
                </w:p>
              </w:tc>
              <w:tc>
                <w:tcPr>
                  <w:tcW w:w="956" w:type="pct"/>
                  <w:shd w:val="clear" w:color="auto" w:fill="F2F3F5"/>
                  <w:tcMar>
                    <w:top w:w="120" w:type="dxa"/>
                    <w:left w:w="120" w:type="dxa"/>
                    <w:bottom w:w="120" w:type="dxa"/>
                    <w:right w:w="120" w:type="dxa"/>
                  </w:tcMar>
                  <w:vAlign w:val="center"/>
                </w:tcPr>
                <w:p w14:paraId="47E5784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服务内容</w:t>
                  </w:r>
                </w:p>
              </w:tc>
              <w:tc>
                <w:tcPr>
                  <w:tcW w:w="3479" w:type="pct"/>
                  <w:shd w:val="clear" w:color="auto" w:fill="F2F3F5"/>
                  <w:tcMar>
                    <w:top w:w="120" w:type="dxa"/>
                    <w:left w:w="120" w:type="dxa"/>
                    <w:bottom w:w="120" w:type="dxa"/>
                    <w:right w:w="120" w:type="dxa"/>
                  </w:tcMar>
                  <w:vAlign w:val="center"/>
                </w:tcPr>
                <w:p w14:paraId="6244A3A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服务标准</w:t>
                  </w:r>
                </w:p>
              </w:tc>
            </w:tr>
            <w:tr w14:paraId="64939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restart"/>
                  <w:shd w:val="clear" w:color="auto" w:fill="auto"/>
                  <w:tcMar>
                    <w:top w:w="120" w:type="dxa"/>
                    <w:left w:w="120" w:type="dxa"/>
                    <w:bottom w:w="120" w:type="dxa"/>
                    <w:right w:w="120" w:type="dxa"/>
                  </w:tcMar>
                  <w:vAlign w:val="center"/>
                </w:tcPr>
                <w:p w14:paraId="2C52283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w:t>
                  </w:r>
                </w:p>
                <w:p w14:paraId="5499CEF9">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房屋本体维护</w:t>
                  </w:r>
                </w:p>
              </w:tc>
              <w:tc>
                <w:tcPr>
                  <w:tcW w:w="956" w:type="pct"/>
                  <w:shd w:val="clear" w:color="auto" w:fill="auto"/>
                  <w:tcMar>
                    <w:top w:w="120" w:type="dxa"/>
                    <w:left w:w="120" w:type="dxa"/>
                    <w:bottom w:w="120" w:type="dxa"/>
                    <w:right w:w="120" w:type="dxa"/>
                  </w:tcMar>
                  <w:vAlign w:val="center"/>
                </w:tcPr>
                <w:p w14:paraId="247025E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房屋结构及外观维护</w:t>
                  </w:r>
                </w:p>
              </w:tc>
              <w:tc>
                <w:tcPr>
                  <w:tcW w:w="3479" w:type="pct"/>
                  <w:shd w:val="clear" w:color="auto" w:fill="auto"/>
                  <w:tcMar>
                    <w:top w:w="120" w:type="dxa"/>
                    <w:left w:w="120" w:type="dxa"/>
                    <w:bottom w:w="120" w:type="dxa"/>
                    <w:right w:w="120" w:type="dxa"/>
                  </w:tcMar>
                  <w:vAlign w:val="center"/>
                </w:tcPr>
                <w:p w14:paraId="219B08BE">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 每周巡查教学楼、公寓等房屋主体结构，每月巡查外立面，记录完整；2. 墙面、地面、天花板出现破损、渗漏等问题，一般性维修≤3天完成，大修项目及时报备并制定维修计划；3. 房屋公共区域标识清晰、完好，损坏后24小时内更换。</w:t>
                  </w:r>
                  <w:r>
                    <w:rPr>
                      <w:rFonts w:hint="eastAsia" w:asciiTheme="minorEastAsia" w:hAnsiTheme="minorEastAsia" w:eastAsiaTheme="minorEastAsia" w:cstheme="minorEastAsia"/>
                      <w:sz w:val="24"/>
                      <w:szCs w:val="24"/>
                      <w:vertAlign w:val="baseline"/>
                      <w:lang w:val="en-US" w:eastAsia="zh-CN"/>
                    </w:rPr>
                    <w:t>4、每季度至少开展1次外墙贴饰面、幕墙玻璃、雨棚、散水、空调室外机支撑构件等检查，发现破损，及时向采购人报告，按采购人要求出具维修方案，待采购人同意后按维修方案实施维修。</w:t>
                  </w:r>
                </w:p>
              </w:tc>
            </w:tr>
            <w:tr w14:paraId="1B7AE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49D986B1">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shd w:val="clear" w:color="auto" w:fill="auto"/>
                  <w:tcMar>
                    <w:top w:w="120" w:type="dxa"/>
                    <w:left w:w="120" w:type="dxa"/>
                    <w:bottom w:w="120" w:type="dxa"/>
                    <w:right w:w="120" w:type="dxa"/>
                  </w:tcMar>
                  <w:vAlign w:val="center"/>
                </w:tcPr>
                <w:p w14:paraId="7D8CBE67">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门窗及配件维护</w:t>
                  </w:r>
                </w:p>
              </w:tc>
              <w:tc>
                <w:tcPr>
                  <w:tcW w:w="3479" w:type="pct"/>
                  <w:shd w:val="clear" w:color="auto" w:fill="auto"/>
                  <w:tcMar>
                    <w:top w:w="120" w:type="dxa"/>
                    <w:left w:w="120" w:type="dxa"/>
                    <w:bottom w:w="120" w:type="dxa"/>
                    <w:right w:w="120" w:type="dxa"/>
                  </w:tcMar>
                  <w:vAlign w:val="center"/>
                </w:tcPr>
                <w:p w14:paraId="3CBAEC0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 每月检查门窗、玻璃、锁具等配件，完好率≥98%；2. 故障报修后，紧急情况（如门锁损坏、玻璃破损）≤2小时响应并处理，一般情况≤1个工作日修复；3. 门窗开启灵活，密封良好，无变形、锈蚀。</w:t>
                  </w:r>
                  <w:r>
                    <w:rPr>
                      <w:rFonts w:hint="eastAsia" w:asciiTheme="minorEastAsia" w:hAnsiTheme="minorEastAsia" w:eastAsiaTheme="minorEastAsia" w:cstheme="minorEastAsia"/>
                      <w:sz w:val="24"/>
                      <w:szCs w:val="24"/>
                      <w:vertAlign w:val="baseline"/>
                      <w:lang w:val="en-US" w:eastAsia="zh-CN"/>
                    </w:rPr>
                    <w:t>3、通道、楼梯、等设施的完好和正常使用。</w:t>
                  </w:r>
                </w:p>
              </w:tc>
            </w:tr>
            <w:tr w14:paraId="0A70C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4F3DCF3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shd w:val="clear" w:color="auto" w:fill="auto"/>
                  <w:tcMar>
                    <w:top w:w="120" w:type="dxa"/>
                    <w:left w:w="120" w:type="dxa"/>
                    <w:bottom w:w="120" w:type="dxa"/>
                    <w:right w:w="120" w:type="dxa"/>
                  </w:tcMar>
                  <w:vAlign w:val="center"/>
                </w:tcPr>
                <w:p w14:paraId="08F9AA3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屋面及防水维护</w:t>
                  </w:r>
                </w:p>
              </w:tc>
              <w:tc>
                <w:tcPr>
                  <w:tcW w:w="3479" w:type="pct"/>
                  <w:shd w:val="clear" w:color="auto" w:fill="auto"/>
                  <w:tcMar>
                    <w:top w:w="120" w:type="dxa"/>
                    <w:left w:w="120" w:type="dxa"/>
                    <w:bottom w:w="120" w:type="dxa"/>
                    <w:right w:w="120" w:type="dxa"/>
                  </w:tcMar>
                  <w:vAlign w:val="center"/>
                </w:tcPr>
                <w:p w14:paraId="0044EEE4">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 每季度检查屋面防水层、排水口，雨季前专项排查；2. 发现渗漏问题，24小时内赶赴现场处理，小面积维修≤3天，大面积维修≤7天并做好防护措施；3. 排水通畅，无积水现象。</w:t>
                  </w:r>
                </w:p>
              </w:tc>
            </w:tr>
            <w:tr w14:paraId="3FE48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restart"/>
                  <w:shd w:val="clear" w:color="auto" w:fill="auto"/>
                  <w:tcMar>
                    <w:top w:w="120" w:type="dxa"/>
                    <w:left w:w="120" w:type="dxa"/>
                    <w:bottom w:w="120" w:type="dxa"/>
                    <w:right w:w="120" w:type="dxa"/>
                  </w:tcMar>
                  <w:vAlign w:val="center"/>
                </w:tcPr>
                <w:p w14:paraId="14EBF6C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p w14:paraId="7F96C17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其他设施</w:t>
                  </w:r>
                  <w:r>
                    <w:rPr>
                      <w:rFonts w:hint="eastAsia" w:asciiTheme="minorEastAsia" w:hAnsiTheme="minorEastAsia" w:eastAsiaTheme="minorEastAsia" w:cstheme="minorEastAsia"/>
                      <w:sz w:val="24"/>
                      <w:szCs w:val="24"/>
                      <w:lang w:val="en-US" w:eastAsia="zh-CN"/>
                    </w:rPr>
                    <w:t>维护</w:t>
                  </w:r>
                </w:p>
              </w:tc>
              <w:tc>
                <w:tcPr>
                  <w:tcW w:w="956" w:type="pct"/>
                  <w:vMerge w:val="restart"/>
                  <w:shd w:val="clear" w:color="auto" w:fill="auto"/>
                  <w:tcMar>
                    <w:top w:w="120" w:type="dxa"/>
                    <w:left w:w="120" w:type="dxa"/>
                    <w:bottom w:w="120" w:type="dxa"/>
                    <w:right w:w="120" w:type="dxa"/>
                  </w:tcMar>
                  <w:vAlign w:val="center"/>
                </w:tcPr>
                <w:p w14:paraId="74E6A89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其他设施</w:t>
                  </w:r>
                </w:p>
              </w:tc>
              <w:tc>
                <w:tcPr>
                  <w:tcW w:w="3479" w:type="pct"/>
                  <w:shd w:val="clear" w:color="auto" w:fill="auto"/>
                  <w:tcMar>
                    <w:top w:w="120" w:type="dxa"/>
                    <w:left w:w="120" w:type="dxa"/>
                    <w:bottom w:w="120" w:type="dxa"/>
                    <w:right w:w="120" w:type="dxa"/>
                  </w:tcMar>
                  <w:vAlign w:val="center"/>
                </w:tcPr>
                <w:p w14:paraId="09A6CD0F">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每半月至少开展1次大门、围墙、道路、场地、管井、沟渠等巡查，每半月至少检查1次雨污水管井、化粪池等巡查，发现破损，及时向采购人报告，按采购人要求出具维修方案，待采购人同意后按维修方案实施维修。</w:t>
                  </w:r>
                </w:p>
              </w:tc>
            </w:tr>
            <w:tr w14:paraId="3BBB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7BF5B8A4">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vMerge w:val="continue"/>
                  <w:shd w:val="clear" w:color="auto" w:fill="auto"/>
                  <w:tcMar>
                    <w:top w:w="120" w:type="dxa"/>
                    <w:left w:w="120" w:type="dxa"/>
                    <w:bottom w:w="120" w:type="dxa"/>
                    <w:right w:w="120" w:type="dxa"/>
                  </w:tcMar>
                  <w:vAlign w:val="center"/>
                </w:tcPr>
                <w:p w14:paraId="49AF502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3479" w:type="pct"/>
                  <w:shd w:val="clear" w:color="auto" w:fill="auto"/>
                  <w:tcMar>
                    <w:top w:w="120" w:type="dxa"/>
                    <w:left w:w="120" w:type="dxa"/>
                    <w:bottom w:w="120" w:type="dxa"/>
                    <w:right w:w="120" w:type="dxa"/>
                  </w:tcMar>
                  <w:vAlign w:val="center"/>
                </w:tcPr>
                <w:p w14:paraId="76D36616">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（2）每年至少开展1次防雷装置检测，发现失效，及时向采购人报告，按采购人要求出具维修方案，待采购人同意后按维修方案实施维修。</w:t>
                  </w:r>
                </w:p>
              </w:tc>
            </w:tr>
            <w:tr w14:paraId="261EB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7DB0042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vMerge w:val="continue"/>
                  <w:shd w:val="clear" w:color="auto" w:fill="auto"/>
                  <w:tcMar>
                    <w:top w:w="120" w:type="dxa"/>
                    <w:left w:w="120" w:type="dxa"/>
                    <w:bottom w:w="120" w:type="dxa"/>
                    <w:right w:w="120" w:type="dxa"/>
                  </w:tcMar>
                  <w:vAlign w:val="center"/>
                </w:tcPr>
                <w:p w14:paraId="16A0AAAD">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3479" w:type="pct"/>
                  <w:shd w:val="clear" w:color="auto" w:fill="auto"/>
                  <w:tcMar>
                    <w:top w:w="120" w:type="dxa"/>
                    <w:left w:w="120" w:type="dxa"/>
                    <w:bottom w:w="120" w:type="dxa"/>
                    <w:right w:w="120" w:type="dxa"/>
                  </w:tcMar>
                  <w:vAlign w:val="center"/>
                </w:tcPr>
                <w:p w14:paraId="3488CE88">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（3）路面状态良好，地漏及下水管路通畅不堵塞。</w:t>
                  </w:r>
                </w:p>
              </w:tc>
            </w:tr>
            <w:tr w14:paraId="67947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059177A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vMerge w:val="continue"/>
                  <w:shd w:val="clear" w:color="auto" w:fill="auto"/>
                  <w:tcMar>
                    <w:top w:w="120" w:type="dxa"/>
                    <w:left w:w="120" w:type="dxa"/>
                    <w:bottom w:w="120" w:type="dxa"/>
                    <w:right w:w="120" w:type="dxa"/>
                  </w:tcMar>
                  <w:vAlign w:val="center"/>
                </w:tcPr>
                <w:p w14:paraId="55726EB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3479" w:type="pct"/>
                  <w:shd w:val="clear" w:color="auto" w:fill="auto"/>
                  <w:tcMar>
                    <w:top w:w="120" w:type="dxa"/>
                    <w:left w:w="120" w:type="dxa"/>
                    <w:bottom w:w="120" w:type="dxa"/>
                    <w:right w:w="120" w:type="dxa"/>
                  </w:tcMar>
                  <w:vAlign w:val="center"/>
                </w:tcPr>
                <w:p w14:paraId="1B8B082A">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（4）接到采购人家具报修服务后，及时通知家具供货商对保修期内的家具进行维修，及时对保修期外的家具进行维修。</w:t>
                  </w:r>
                </w:p>
              </w:tc>
            </w:tr>
            <w:tr w14:paraId="090C8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restart"/>
                  <w:shd w:val="clear" w:color="auto" w:fill="auto"/>
                  <w:tcMar>
                    <w:top w:w="120" w:type="dxa"/>
                    <w:left w:w="120" w:type="dxa"/>
                    <w:bottom w:w="120" w:type="dxa"/>
                    <w:right w:w="120" w:type="dxa"/>
                  </w:tcMar>
                  <w:vAlign w:val="center"/>
                </w:tcPr>
                <w:p w14:paraId="3D7CF08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p w14:paraId="544C950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装饰装修监督管理</w:t>
                  </w:r>
                </w:p>
              </w:tc>
              <w:tc>
                <w:tcPr>
                  <w:tcW w:w="956" w:type="pct"/>
                  <w:vMerge w:val="restart"/>
                  <w:shd w:val="clear" w:color="auto" w:fill="auto"/>
                  <w:tcMar>
                    <w:top w:w="120" w:type="dxa"/>
                    <w:left w:w="120" w:type="dxa"/>
                    <w:bottom w:w="120" w:type="dxa"/>
                    <w:right w:w="120" w:type="dxa"/>
                  </w:tcMar>
                  <w:vAlign w:val="center"/>
                </w:tcPr>
                <w:p w14:paraId="64FC4D9D">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装饰装修监督管理</w:t>
                  </w:r>
                </w:p>
              </w:tc>
              <w:tc>
                <w:tcPr>
                  <w:tcW w:w="3479" w:type="pct"/>
                  <w:shd w:val="clear" w:color="auto" w:fill="auto"/>
                  <w:tcMar>
                    <w:top w:w="120" w:type="dxa"/>
                    <w:left w:w="120" w:type="dxa"/>
                    <w:bottom w:w="120" w:type="dxa"/>
                    <w:right w:w="120" w:type="dxa"/>
                  </w:tcMar>
                  <w:vAlign w:val="center"/>
                </w:tcPr>
                <w:p w14:paraId="0A9103C7">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（1）装饰装修前，投标人应当与采购人或采购人委托的装修企业签订装饰装修管理服务协议，告知装饰装修须知，并对装饰装修过程进行管理服务。</w:t>
                  </w:r>
                </w:p>
              </w:tc>
            </w:tr>
            <w:tr w14:paraId="5CF7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322FFE0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vMerge w:val="continue"/>
                  <w:shd w:val="clear" w:color="auto" w:fill="auto"/>
                  <w:tcMar>
                    <w:top w:w="120" w:type="dxa"/>
                    <w:left w:w="120" w:type="dxa"/>
                    <w:bottom w:w="120" w:type="dxa"/>
                    <w:right w:w="120" w:type="dxa"/>
                  </w:tcMar>
                  <w:vAlign w:val="center"/>
                </w:tcPr>
                <w:p w14:paraId="708923EF">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3479" w:type="pct"/>
                  <w:shd w:val="clear" w:color="auto" w:fill="auto"/>
                  <w:tcMar>
                    <w:top w:w="120" w:type="dxa"/>
                    <w:left w:w="120" w:type="dxa"/>
                    <w:bottom w:w="120" w:type="dxa"/>
                    <w:right w:w="120" w:type="dxa"/>
                  </w:tcMar>
                  <w:vAlign w:val="center"/>
                </w:tcPr>
                <w:p w14:paraId="5FF4AA3A">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（2）根据协议内容，做好装修垃圾临时堆放、清运等。</w:t>
                  </w:r>
                </w:p>
              </w:tc>
            </w:tr>
            <w:tr w14:paraId="779D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3BF7FA0A">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vMerge w:val="continue"/>
                  <w:shd w:val="clear" w:color="auto" w:fill="auto"/>
                  <w:tcMar>
                    <w:top w:w="120" w:type="dxa"/>
                    <w:left w:w="120" w:type="dxa"/>
                    <w:bottom w:w="120" w:type="dxa"/>
                    <w:right w:w="120" w:type="dxa"/>
                  </w:tcMar>
                  <w:vAlign w:val="center"/>
                </w:tcPr>
                <w:p w14:paraId="0FF5944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3479" w:type="pct"/>
                  <w:shd w:val="clear" w:color="auto" w:fill="auto"/>
                  <w:tcMar>
                    <w:top w:w="120" w:type="dxa"/>
                    <w:left w:w="120" w:type="dxa"/>
                    <w:bottom w:w="120" w:type="dxa"/>
                    <w:right w:w="120" w:type="dxa"/>
                  </w:tcMar>
                  <w:vAlign w:val="center"/>
                </w:tcPr>
                <w:p w14:paraId="2CA3FD25">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（3）受采购人委托对房屋内装修进行严格的监督管理，发现问题及时上报，确保不因装修而危及大楼结构安全、人身安全和影响正常办公秩序。</w:t>
                  </w:r>
                </w:p>
              </w:tc>
            </w:tr>
            <w:tr w14:paraId="7E6A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restart"/>
                  <w:shd w:val="clear" w:color="auto" w:fill="auto"/>
                  <w:tcMar>
                    <w:top w:w="120" w:type="dxa"/>
                    <w:left w:w="120" w:type="dxa"/>
                    <w:bottom w:w="120" w:type="dxa"/>
                    <w:right w:w="120" w:type="dxa"/>
                  </w:tcMar>
                  <w:vAlign w:val="center"/>
                </w:tcPr>
                <w:p w14:paraId="786F9B7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p>
                <w:p w14:paraId="22FBD18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标识标牌</w:t>
                  </w:r>
                </w:p>
              </w:tc>
              <w:tc>
                <w:tcPr>
                  <w:tcW w:w="956" w:type="pct"/>
                  <w:vMerge w:val="restart"/>
                  <w:shd w:val="clear" w:color="auto" w:fill="auto"/>
                  <w:tcMar>
                    <w:top w:w="120" w:type="dxa"/>
                    <w:left w:w="120" w:type="dxa"/>
                    <w:bottom w:w="120" w:type="dxa"/>
                    <w:right w:w="120" w:type="dxa"/>
                  </w:tcMar>
                  <w:vAlign w:val="center"/>
                </w:tcPr>
                <w:p w14:paraId="166E882D">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标识标牌</w:t>
                  </w:r>
                </w:p>
              </w:tc>
              <w:tc>
                <w:tcPr>
                  <w:tcW w:w="3479" w:type="pct"/>
                  <w:shd w:val="clear" w:color="auto" w:fill="auto"/>
                  <w:tcMar>
                    <w:top w:w="120" w:type="dxa"/>
                    <w:left w:w="120" w:type="dxa"/>
                    <w:bottom w:w="120" w:type="dxa"/>
                    <w:right w:w="120" w:type="dxa"/>
                  </w:tcMar>
                  <w:vAlign w:val="center"/>
                </w:tcPr>
                <w:p w14:paraId="3B0B55A6">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（1）标识标牌符合《公共信息图形符号 第1部分：通用符号》（GB/T 1 0001.1）的相关要求，消防安全标识符合《安全标志及其使用导则》、《消防安全标志 第1部分：标志》的相关要求。</w:t>
                  </w:r>
                </w:p>
              </w:tc>
            </w:tr>
            <w:tr w14:paraId="49DC9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0EA9CE9E">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vMerge w:val="continue"/>
                  <w:shd w:val="clear" w:color="auto" w:fill="auto"/>
                  <w:tcMar>
                    <w:top w:w="120" w:type="dxa"/>
                    <w:left w:w="120" w:type="dxa"/>
                    <w:bottom w:w="120" w:type="dxa"/>
                    <w:right w:w="120" w:type="dxa"/>
                  </w:tcMar>
                  <w:vAlign w:val="center"/>
                </w:tcPr>
                <w:p w14:paraId="66966CA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3479" w:type="pct"/>
                  <w:shd w:val="clear" w:color="auto" w:fill="auto"/>
                  <w:tcMar>
                    <w:top w:w="120" w:type="dxa"/>
                    <w:left w:w="120" w:type="dxa"/>
                    <w:bottom w:w="120" w:type="dxa"/>
                    <w:right w:w="120" w:type="dxa"/>
                  </w:tcMar>
                  <w:vAlign w:val="center"/>
                </w:tcPr>
                <w:p w14:paraId="58655902">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（2）每月至少检查1次标识标牌和消防与安全标识。应当规范清晰、路线指引正确、安装稳固。</w:t>
                  </w:r>
                </w:p>
              </w:tc>
            </w:tr>
            <w:tr w14:paraId="6EFB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restart"/>
                  <w:shd w:val="clear" w:color="auto" w:fill="auto"/>
                  <w:tcMar>
                    <w:top w:w="120" w:type="dxa"/>
                    <w:left w:w="120" w:type="dxa"/>
                    <w:bottom w:w="120" w:type="dxa"/>
                    <w:right w:w="120" w:type="dxa"/>
                  </w:tcMar>
                  <w:vAlign w:val="center"/>
                </w:tcPr>
                <w:p w14:paraId="0117A9A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w:t>
                  </w:r>
                </w:p>
                <w:p w14:paraId="2EB22FDB">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公共设施设备维护</w:t>
                  </w:r>
                </w:p>
              </w:tc>
              <w:tc>
                <w:tcPr>
                  <w:tcW w:w="956" w:type="pct"/>
                  <w:shd w:val="clear" w:color="auto" w:fill="auto"/>
                  <w:tcMar>
                    <w:top w:w="120" w:type="dxa"/>
                    <w:left w:w="120" w:type="dxa"/>
                    <w:bottom w:w="120" w:type="dxa"/>
                    <w:right w:w="120" w:type="dxa"/>
                  </w:tcMar>
                  <w:vAlign w:val="center"/>
                </w:tcPr>
                <w:p w14:paraId="6E606050">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基本要求</w:t>
                  </w:r>
                </w:p>
              </w:tc>
              <w:tc>
                <w:tcPr>
                  <w:tcW w:w="3479" w:type="pct"/>
                  <w:shd w:val="clear" w:color="auto" w:fill="auto"/>
                  <w:tcMar>
                    <w:top w:w="120" w:type="dxa"/>
                    <w:left w:w="120" w:type="dxa"/>
                    <w:bottom w:w="120" w:type="dxa"/>
                    <w:right w:w="120" w:type="dxa"/>
                  </w:tcMar>
                  <w:vAlign w:val="center"/>
                </w:tcPr>
                <w:p w14:paraId="6D2C6002">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r>
                    <w:rPr>
                      <w:rFonts w:hint="default" w:asciiTheme="minorEastAsia" w:hAnsiTheme="minorEastAsia" w:eastAsiaTheme="minorEastAsia" w:cstheme="minorEastAsia"/>
                      <w:sz w:val="24"/>
                      <w:szCs w:val="24"/>
                      <w:vertAlign w:val="baseline"/>
                      <w:lang w:val="en-US" w:eastAsia="zh-CN"/>
                    </w:rPr>
                    <w:t>重大节假日及恶劣天气前后，组织系统巡检1次。</w:t>
                  </w:r>
                  <w:r>
                    <w:rPr>
                      <w:rFonts w:hint="eastAsia" w:asciiTheme="minorEastAsia" w:hAnsiTheme="minorEastAsia" w:eastAsiaTheme="minorEastAsia" w:cstheme="minorEastAsia"/>
                      <w:sz w:val="24"/>
                      <w:szCs w:val="24"/>
                      <w:vertAlign w:val="baseline"/>
                      <w:lang w:val="en-US" w:eastAsia="zh-CN"/>
                    </w:rPr>
                    <w:t>2.</w:t>
                  </w:r>
                  <w:r>
                    <w:rPr>
                      <w:rFonts w:hint="default" w:asciiTheme="minorEastAsia" w:hAnsiTheme="minorEastAsia" w:eastAsiaTheme="minorEastAsia" w:cstheme="minorEastAsia"/>
                      <w:sz w:val="24"/>
                      <w:szCs w:val="24"/>
                      <w:vertAlign w:val="baseline"/>
                      <w:lang w:val="en-US" w:eastAsia="zh-CN"/>
                    </w:rPr>
                    <w:t>具备设施设备安全、稳定运行的环境和场所（含有限空间），温湿度、照度、粉尘和烟雾浓度等符合相关安全规范。</w:t>
                  </w:r>
                  <w:r>
                    <w:rPr>
                      <w:rFonts w:hint="eastAsia" w:asciiTheme="minorEastAsia" w:hAnsiTheme="minorEastAsia" w:eastAsiaTheme="minorEastAsia" w:cstheme="minorEastAsia"/>
                      <w:sz w:val="24"/>
                      <w:szCs w:val="24"/>
                      <w:vertAlign w:val="baseline"/>
                      <w:lang w:val="en-US" w:eastAsia="zh-CN"/>
                    </w:rPr>
                    <w:t>3.</w:t>
                  </w:r>
                  <w:r>
                    <w:rPr>
                      <w:rFonts w:hint="default" w:asciiTheme="minorEastAsia" w:hAnsiTheme="minorEastAsia" w:eastAsiaTheme="minorEastAsia" w:cstheme="minorEastAsia"/>
                      <w:sz w:val="24"/>
                      <w:szCs w:val="24"/>
                      <w:vertAlign w:val="baseline"/>
                      <w:lang w:val="en-US" w:eastAsia="zh-CN"/>
                    </w:rPr>
                    <w:t>各项维修记录、台账完整、规范。</w:t>
                  </w:r>
                  <w:r>
                    <w:rPr>
                      <w:rFonts w:hint="eastAsia" w:asciiTheme="minorEastAsia" w:hAnsiTheme="minorEastAsia" w:eastAsiaTheme="minorEastAsia" w:cstheme="minorEastAsia"/>
                      <w:sz w:val="24"/>
                      <w:szCs w:val="24"/>
                      <w:vertAlign w:val="baseline"/>
                      <w:lang w:val="en-US" w:eastAsia="zh-CN"/>
                    </w:rPr>
                    <w:t>4.</w:t>
                  </w:r>
                  <w:r>
                    <w:rPr>
                      <w:rFonts w:hint="default" w:asciiTheme="minorEastAsia" w:hAnsiTheme="minorEastAsia" w:eastAsiaTheme="minorEastAsia" w:cstheme="minorEastAsia"/>
                      <w:sz w:val="24"/>
                      <w:szCs w:val="24"/>
                      <w:vertAlign w:val="baseline"/>
                      <w:lang w:val="en-US" w:eastAsia="zh-CN"/>
                    </w:rPr>
                    <w:t>每日检查负责区域内门窗、照明工具、开关、插座、水龙头等破损情况，发现及时维修或更换。</w:t>
                  </w:r>
                  <w:r>
                    <w:rPr>
                      <w:rFonts w:hint="eastAsia" w:asciiTheme="minorEastAsia" w:hAnsiTheme="minorEastAsia" w:eastAsiaTheme="minorEastAsia" w:cstheme="minorEastAsia"/>
                      <w:sz w:val="24"/>
                      <w:szCs w:val="24"/>
                      <w:vertAlign w:val="baseline"/>
                      <w:lang w:val="en-US" w:eastAsia="zh-CN"/>
                    </w:rPr>
                    <w:t>5.</w:t>
                  </w:r>
                  <w:r>
                    <w:rPr>
                      <w:rFonts w:hint="default" w:asciiTheme="minorEastAsia" w:hAnsiTheme="minorEastAsia" w:eastAsiaTheme="minorEastAsia" w:cstheme="minorEastAsia"/>
                      <w:sz w:val="24"/>
                      <w:szCs w:val="24"/>
                      <w:vertAlign w:val="baseline"/>
                      <w:lang w:val="en-US" w:eastAsia="zh-CN"/>
                    </w:rPr>
                    <w:t>校园内墙皮脱落、台阶、地面塌陷、路面、道牙破损应及时维修</w:t>
                  </w:r>
                  <w:r>
                    <w:rPr>
                      <w:rFonts w:hint="eastAsia" w:asciiTheme="minorEastAsia" w:hAnsiTheme="minorEastAsia" w:eastAsiaTheme="minorEastAsia" w:cstheme="minorEastAsia"/>
                      <w:sz w:val="24"/>
                      <w:szCs w:val="24"/>
                      <w:vertAlign w:val="baseline"/>
                      <w:lang w:val="en-US" w:eastAsia="zh-CN"/>
                    </w:rPr>
                    <w:t>。6.接到报修，15分钟内到达现场提供维修服务。</w:t>
                  </w:r>
                </w:p>
              </w:tc>
            </w:tr>
            <w:tr w14:paraId="124A9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4FE02D7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shd w:val="clear" w:color="auto" w:fill="auto"/>
                  <w:tcMar>
                    <w:top w:w="120" w:type="dxa"/>
                    <w:left w:w="120" w:type="dxa"/>
                    <w:bottom w:w="120" w:type="dxa"/>
                    <w:right w:w="120" w:type="dxa"/>
                  </w:tcMar>
                  <w:vAlign w:val="center"/>
                </w:tcPr>
                <w:p w14:paraId="6122A54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给排水系统维护</w:t>
                  </w:r>
                </w:p>
              </w:tc>
              <w:tc>
                <w:tcPr>
                  <w:tcW w:w="3479" w:type="pct"/>
                  <w:shd w:val="clear" w:color="auto" w:fill="auto"/>
                  <w:tcMar>
                    <w:top w:w="120" w:type="dxa"/>
                    <w:left w:w="120" w:type="dxa"/>
                    <w:bottom w:w="120" w:type="dxa"/>
                    <w:right w:w="120" w:type="dxa"/>
                  </w:tcMar>
                  <w:vAlign w:val="center"/>
                </w:tcPr>
                <w:p w14:paraId="5D214F0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 每日巡查水泵房、水箱、管网等，每周记录运行参数；2. 供水压力稳定，水质符合国家标准，管网漏损率≤2%；3. 故障报修后，停水问题≤4小时解决，排水堵塞≤2小时疏通，维修完成率100%。</w:t>
                  </w:r>
                </w:p>
              </w:tc>
            </w:tr>
            <w:tr w14:paraId="61A0D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233F713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shd w:val="clear" w:color="auto" w:fill="auto"/>
                  <w:tcMar>
                    <w:top w:w="120" w:type="dxa"/>
                    <w:left w:w="120" w:type="dxa"/>
                    <w:bottom w:w="120" w:type="dxa"/>
                    <w:right w:w="120" w:type="dxa"/>
                  </w:tcMar>
                  <w:vAlign w:val="center"/>
                </w:tcPr>
                <w:p w14:paraId="7998DAA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供电及照明系统维护</w:t>
                  </w:r>
                </w:p>
              </w:tc>
              <w:tc>
                <w:tcPr>
                  <w:tcW w:w="3479" w:type="pct"/>
                  <w:shd w:val="clear" w:color="auto" w:fill="auto"/>
                  <w:tcMar>
                    <w:top w:w="120" w:type="dxa"/>
                    <w:left w:w="120" w:type="dxa"/>
                    <w:bottom w:w="120" w:type="dxa"/>
                    <w:right w:w="120" w:type="dxa"/>
                  </w:tcMar>
                  <w:vAlign w:val="center"/>
                </w:tcPr>
                <w:p w14:paraId="6B247B1D">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1. 高压配电房24小时值班，每日巡查，低压配电设施每周巡查，记录完整；2. 公共区域照明灯具完好率≥98%，故障后≤24小时更换；3. 停电前提前48小时通知招标人及师生，应急供电设备（如发电机）可在15分钟内启动。</w:t>
                  </w:r>
                </w:p>
              </w:tc>
            </w:tr>
            <w:tr w14:paraId="0BC21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1ACA44B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shd w:val="clear" w:color="auto" w:fill="auto"/>
                  <w:tcMar>
                    <w:top w:w="120" w:type="dxa"/>
                    <w:left w:w="120" w:type="dxa"/>
                    <w:bottom w:w="120" w:type="dxa"/>
                    <w:right w:w="120" w:type="dxa"/>
                  </w:tcMar>
                  <w:vAlign w:val="center"/>
                </w:tcPr>
                <w:p w14:paraId="787E2DA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暖通及空调系统维护</w:t>
                  </w:r>
                </w:p>
              </w:tc>
              <w:tc>
                <w:tcPr>
                  <w:tcW w:w="3479" w:type="pct"/>
                  <w:shd w:val="clear" w:color="auto" w:fill="auto"/>
                  <w:tcMar>
                    <w:top w:w="120" w:type="dxa"/>
                    <w:left w:w="120" w:type="dxa"/>
                    <w:bottom w:w="120" w:type="dxa"/>
                    <w:right w:w="120" w:type="dxa"/>
                  </w:tcMar>
                  <w:vAlign w:val="center"/>
                </w:tcPr>
                <w:p w14:paraId="75B3789F">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供暖季前1个月完成系统检修、打压，确保正常供暖；2. 图书馆空调设备和教室、会议室空调，每年清洗、维护2次，运行故障率≤3%；3. 温度控制：冬季室内温度≥18℃，夏季≤26℃，报修后故障处理≤24小时。</w:t>
                  </w:r>
                </w:p>
              </w:tc>
            </w:tr>
            <w:tr w14:paraId="1B78B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5B0EC5E6">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shd w:val="clear" w:color="auto" w:fill="auto"/>
                  <w:tcMar>
                    <w:top w:w="120" w:type="dxa"/>
                    <w:left w:w="120" w:type="dxa"/>
                    <w:bottom w:w="120" w:type="dxa"/>
                    <w:right w:w="120" w:type="dxa"/>
                  </w:tcMar>
                  <w:vAlign w:val="center"/>
                </w:tcPr>
                <w:p w14:paraId="75DBA37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电梯及其他设施维护</w:t>
                  </w:r>
                </w:p>
              </w:tc>
              <w:tc>
                <w:tcPr>
                  <w:tcW w:w="3479" w:type="pct"/>
                  <w:shd w:val="clear" w:color="auto" w:fill="auto"/>
                  <w:tcMar>
                    <w:top w:w="120" w:type="dxa"/>
                    <w:left w:w="120" w:type="dxa"/>
                    <w:bottom w:w="120" w:type="dxa"/>
                    <w:right w:w="120" w:type="dxa"/>
                  </w:tcMar>
                  <w:vAlign w:val="center"/>
                </w:tcPr>
                <w:p w14:paraId="4CE33DB5">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电梯委托具备资质的专业维保单位维护，按规定检测维保并做好维护记录，按照采购人要求进行公示，年检合格率100%；2. 电梯故障响应时间≤15分钟，困人救援≤30分钟；3. 健身器材、垃圾桶等公共设施每周检查，损坏后≤1个工作日修复或更换。</w:t>
                  </w:r>
                </w:p>
              </w:tc>
            </w:tr>
            <w:tr w14:paraId="604C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165D21C2">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shd w:val="clear" w:color="auto" w:fill="auto"/>
                  <w:tcMar>
                    <w:top w:w="120" w:type="dxa"/>
                    <w:left w:w="120" w:type="dxa"/>
                    <w:bottom w:w="120" w:type="dxa"/>
                    <w:right w:w="120" w:type="dxa"/>
                  </w:tcMar>
                  <w:vAlign w:val="center"/>
                </w:tcPr>
                <w:p w14:paraId="7DF31E1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消防系统维护</w:t>
                  </w:r>
                </w:p>
              </w:tc>
              <w:tc>
                <w:tcPr>
                  <w:tcW w:w="3479" w:type="pct"/>
                  <w:shd w:val="clear" w:color="auto" w:fill="auto"/>
                  <w:tcMar>
                    <w:top w:w="120" w:type="dxa"/>
                    <w:left w:w="120" w:type="dxa"/>
                    <w:bottom w:w="120" w:type="dxa"/>
                    <w:right w:w="120" w:type="dxa"/>
                  </w:tcMar>
                  <w:vAlign w:val="center"/>
                </w:tcPr>
                <w:p w14:paraId="246E919A">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协助采购人确保消防设施的维修维护管理，工作符合《建筑消防设施的维护管理》相关要求，配合采购人开展合规性自查；2. 协助采购人巡查消火栓箱、防火门、灭火器、应急照明、安全疏散指示标志等设施，重点核查外观完好性、摆放规范性，发现运行异常（如无法正常启用、配件缺失等）第一时间反馈采购人；3. 巡查中发现核心设备启动异常、系统运行故障等情况时，立即反馈采购人，并配合开展应急处置及专业维保衔接工作。</w:t>
                  </w:r>
                </w:p>
              </w:tc>
            </w:tr>
            <w:tr w14:paraId="036AA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1504522C">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shd w:val="clear" w:color="auto" w:fill="auto"/>
                  <w:tcMar>
                    <w:top w:w="120" w:type="dxa"/>
                    <w:left w:w="120" w:type="dxa"/>
                    <w:bottom w:w="120" w:type="dxa"/>
                    <w:right w:w="120" w:type="dxa"/>
                  </w:tcMar>
                  <w:vAlign w:val="center"/>
                </w:tcPr>
                <w:p w14:paraId="5D1CB425">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弱电系统</w:t>
                  </w:r>
                </w:p>
              </w:tc>
              <w:tc>
                <w:tcPr>
                  <w:tcW w:w="3479" w:type="pct"/>
                  <w:shd w:val="clear" w:color="auto" w:fill="auto"/>
                  <w:tcMar>
                    <w:top w:w="120" w:type="dxa"/>
                    <w:left w:w="120" w:type="dxa"/>
                    <w:bottom w:w="120" w:type="dxa"/>
                    <w:right w:w="120" w:type="dxa"/>
                  </w:tcMar>
                  <w:vAlign w:val="center"/>
                </w:tcPr>
                <w:p w14:paraId="744ED469">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1.安全防范系统维护保养符合《安全防范系统维护保养规范》（GA/T 1081）的相关要求。2.保持监控系统、门禁系统、安全防范系统等运行正常，有故障及时排除。</w:t>
                  </w:r>
                </w:p>
              </w:tc>
            </w:tr>
            <w:tr w14:paraId="34DCF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17625133">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p>
              </w:tc>
              <w:tc>
                <w:tcPr>
                  <w:tcW w:w="956" w:type="pct"/>
                  <w:shd w:val="clear" w:color="auto" w:fill="auto"/>
                  <w:tcMar>
                    <w:top w:w="120" w:type="dxa"/>
                    <w:left w:w="120" w:type="dxa"/>
                    <w:bottom w:w="120" w:type="dxa"/>
                    <w:right w:w="120" w:type="dxa"/>
                  </w:tcMar>
                  <w:vAlign w:val="center"/>
                </w:tcPr>
                <w:p w14:paraId="3D9FA578">
                  <w:pPr>
                    <w:keepNext w:val="0"/>
                    <w:keepLines w:val="0"/>
                    <w:pageBreakBefore w:val="0"/>
                    <w:widowControl w:val="0"/>
                    <w:kinsoku w:val="0"/>
                    <w:wordWrap/>
                    <w:overflowPunct/>
                    <w:topLinePunct w:val="0"/>
                    <w:autoSpaceDE w:val="0"/>
                    <w:autoSpaceDN w:val="0"/>
                    <w:bidi w:val="0"/>
                    <w:adjustRightInd w:val="0"/>
                    <w:snapToGrid w:val="0"/>
                    <w:spacing w:line="24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照明系统</w:t>
                  </w:r>
                </w:p>
              </w:tc>
              <w:tc>
                <w:tcPr>
                  <w:tcW w:w="3479" w:type="pct"/>
                  <w:shd w:val="clear" w:color="auto" w:fill="auto"/>
                  <w:tcMar>
                    <w:top w:w="120" w:type="dxa"/>
                    <w:left w:w="120" w:type="dxa"/>
                    <w:bottom w:w="120" w:type="dxa"/>
                    <w:right w:w="120" w:type="dxa"/>
                  </w:tcMar>
                  <w:vAlign w:val="center"/>
                </w:tcPr>
                <w:p w14:paraId="58DEAD06">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1.外观整洁无缺损、无松落。2.更换的照明灯具应当选用节能环保产品，亮度与更换前保持一致。3.每周至少开展1次公共区域照明设备巡视。</w:t>
                  </w:r>
                </w:p>
              </w:tc>
            </w:tr>
          </w:tbl>
          <w:p w14:paraId="3D5A3A5D">
            <w:pPr>
              <w:widowControl w:val="0"/>
              <w:spacing w:line="360" w:lineRule="auto"/>
              <w:jc w:val="both"/>
              <w:rPr>
                <w:sz w:val="24"/>
                <w:szCs w:val="24"/>
              </w:rPr>
            </w:pPr>
          </w:p>
          <w:p w14:paraId="0D991207">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（四）绿化服务</w:t>
            </w:r>
          </w:p>
          <w:tbl>
            <w:tblPr>
              <w:tblStyle w:val="6"/>
              <w:tblW w:w="7355"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11"/>
              <w:gridCol w:w="1420"/>
              <w:gridCol w:w="5124"/>
            </w:tblGrid>
            <w:tr w14:paraId="07C3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551" w:type="pct"/>
                  <w:shd w:val="clear" w:color="auto" w:fill="F2F3F5"/>
                  <w:tcMar>
                    <w:top w:w="120" w:type="dxa"/>
                    <w:left w:w="120" w:type="dxa"/>
                    <w:bottom w:w="120" w:type="dxa"/>
                    <w:right w:w="120" w:type="dxa"/>
                  </w:tcMar>
                  <w:vAlign w:val="center"/>
                </w:tcPr>
                <w:p w14:paraId="0B5175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ascii="宋体" w:hAnsi="宋体" w:eastAsia="宋体" w:cs="宋体"/>
                      <w:snapToGrid w:val="0"/>
                      <w:color w:val="000000"/>
                      <w:kern w:val="0"/>
                      <w:sz w:val="24"/>
                      <w:szCs w:val="24"/>
                      <w:lang w:val="en-US" w:eastAsia="zh-CN" w:bidi="ar"/>
                    </w:rPr>
                    <w:t>序号</w:t>
                  </w:r>
                </w:p>
              </w:tc>
              <w:tc>
                <w:tcPr>
                  <w:tcW w:w="965" w:type="pct"/>
                  <w:shd w:val="clear" w:color="auto" w:fill="F2F3F5"/>
                  <w:tcMar>
                    <w:top w:w="120" w:type="dxa"/>
                    <w:left w:w="120" w:type="dxa"/>
                    <w:bottom w:w="120" w:type="dxa"/>
                    <w:right w:w="120" w:type="dxa"/>
                  </w:tcMar>
                  <w:vAlign w:val="center"/>
                </w:tcPr>
                <w:p w14:paraId="21C4B45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服务内容</w:t>
                  </w:r>
                </w:p>
              </w:tc>
              <w:tc>
                <w:tcPr>
                  <w:tcW w:w="3483" w:type="pct"/>
                  <w:shd w:val="clear" w:color="auto" w:fill="F2F3F5"/>
                  <w:tcMar>
                    <w:top w:w="120" w:type="dxa"/>
                    <w:left w:w="120" w:type="dxa"/>
                    <w:bottom w:w="120" w:type="dxa"/>
                    <w:right w:w="120" w:type="dxa"/>
                  </w:tcMar>
                  <w:vAlign w:val="center"/>
                </w:tcPr>
                <w:p w14:paraId="1A2E15D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服务标准</w:t>
                  </w:r>
                </w:p>
              </w:tc>
            </w:tr>
            <w:tr w14:paraId="6DC56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51" w:type="pct"/>
                  <w:vMerge w:val="restart"/>
                  <w:shd w:val="clear" w:color="auto" w:fill="auto"/>
                  <w:tcMar>
                    <w:top w:w="120" w:type="dxa"/>
                    <w:left w:w="120" w:type="dxa"/>
                    <w:bottom w:w="120" w:type="dxa"/>
                    <w:right w:w="120" w:type="dxa"/>
                  </w:tcMar>
                  <w:vAlign w:val="center"/>
                </w:tcPr>
                <w:p w14:paraId="0DE8B81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w:t>
                  </w:r>
                </w:p>
                <w:p w14:paraId="5F92A47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日常养护管理</w:t>
                  </w:r>
                </w:p>
              </w:tc>
              <w:tc>
                <w:tcPr>
                  <w:tcW w:w="965" w:type="pct"/>
                  <w:shd w:val="clear" w:color="auto" w:fill="auto"/>
                  <w:tcMar>
                    <w:top w:w="120" w:type="dxa"/>
                    <w:left w:w="120" w:type="dxa"/>
                    <w:bottom w:w="120" w:type="dxa"/>
                    <w:right w:w="120" w:type="dxa"/>
                  </w:tcMar>
                  <w:vAlign w:val="center"/>
                </w:tcPr>
                <w:p w14:paraId="21E28D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草坪养护</w:t>
                  </w:r>
                </w:p>
              </w:tc>
              <w:tc>
                <w:tcPr>
                  <w:tcW w:w="3483" w:type="pct"/>
                  <w:shd w:val="clear" w:color="auto" w:fill="auto"/>
                  <w:tcMar>
                    <w:top w:w="120" w:type="dxa"/>
                    <w:left w:w="120" w:type="dxa"/>
                    <w:bottom w:w="120" w:type="dxa"/>
                    <w:right w:w="120" w:type="dxa"/>
                  </w:tcMar>
                  <w:vAlign w:val="center"/>
                </w:tcPr>
                <w:p w14:paraId="4ECD03DF">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春夏季（4-9月）每2周修剪1次，秋冬季（10-3月）每月修剪1次，高度控制在5-8cm；2. 每月浇水2-3次（根据天气调整），保持土壤湿润，无干旱枯萎；3. 杂草清除及时，杂草率≤5%，每年施肥2次，病虫害防治及时，防治率≥95%。</w:t>
                  </w:r>
                </w:p>
              </w:tc>
            </w:tr>
            <w:tr w14:paraId="05142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51" w:type="pct"/>
                  <w:vMerge w:val="continue"/>
                  <w:shd w:val="clear" w:color="auto" w:fill="auto"/>
                  <w:tcMar>
                    <w:top w:w="120" w:type="dxa"/>
                    <w:left w:w="120" w:type="dxa"/>
                    <w:bottom w:w="120" w:type="dxa"/>
                    <w:right w:w="120" w:type="dxa"/>
                  </w:tcMar>
                  <w:vAlign w:val="center"/>
                </w:tcPr>
                <w:p w14:paraId="29C9579E">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65" w:type="pct"/>
                  <w:shd w:val="clear" w:color="auto" w:fill="auto"/>
                  <w:tcMar>
                    <w:top w:w="120" w:type="dxa"/>
                    <w:left w:w="120" w:type="dxa"/>
                    <w:bottom w:w="120" w:type="dxa"/>
                    <w:right w:w="120" w:type="dxa"/>
                  </w:tcMar>
                  <w:vAlign w:val="center"/>
                </w:tcPr>
                <w:p w14:paraId="0E0C84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灌木及花卉养护</w:t>
                  </w:r>
                </w:p>
              </w:tc>
              <w:tc>
                <w:tcPr>
                  <w:tcW w:w="3483" w:type="pct"/>
                  <w:shd w:val="clear" w:color="auto" w:fill="auto"/>
                  <w:tcMar>
                    <w:top w:w="120" w:type="dxa"/>
                    <w:left w:w="120" w:type="dxa"/>
                    <w:bottom w:w="120" w:type="dxa"/>
                    <w:right w:w="120" w:type="dxa"/>
                  </w:tcMar>
                  <w:vAlign w:val="center"/>
                </w:tcPr>
                <w:p w14:paraId="7EE78D61">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每季度修剪1次，保持造型美观，无徒长枝、病弱枝；2. 花期前后各施肥1次，浇水及时，花卉盛开率≥90%；3. 病虫害防治每月1次，发生后24小时内处理，植株完好率≥98%。</w:t>
                  </w:r>
                </w:p>
              </w:tc>
            </w:tr>
            <w:tr w14:paraId="776B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51" w:type="pct"/>
                  <w:vMerge w:val="continue"/>
                  <w:shd w:val="clear" w:color="auto" w:fill="auto"/>
                  <w:tcMar>
                    <w:top w:w="120" w:type="dxa"/>
                    <w:left w:w="120" w:type="dxa"/>
                    <w:bottom w:w="120" w:type="dxa"/>
                    <w:right w:w="120" w:type="dxa"/>
                  </w:tcMar>
                  <w:vAlign w:val="center"/>
                </w:tcPr>
                <w:p w14:paraId="02797E2D">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65" w:type="pct"/>
                  <w:shd w:val="clear" w:color="auto" w:fill="auto"/>
                  <w:tcMar>
                    <w:top w:w="120" w:type="dxa"/>
                    <w:left w:w="120" w:type="dxa"/>
                    <w:bottom w:w="120" w:type="dxa"/>
                    <w:right w:w="120" w:type="dxa"/>
                  </w:tcMar>
                  <w:vAlign w:val="center"/>
                </w:tcPr>
                <w:p w14:paraId="65AF57F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乔木养护</w:t>
                  </w:r>
                </w:p>
              </w:tc>
              <w:tc>
                <w:tcPr>
                  <w:tcW w:w="3483" w:type="pct"/>
                  <w:shd w:val="clear" w:color="auto" w:fill="auto"/>
                  <w:tcMar>
                    <w:top w:w="120" w:type="dxa"/>
                    <w:left w:w="120" w:type="dxa"/>
                    <w:bottom w:w="120" w:type="dxa"/>
                    <w:right w:w="120" w:type="dxa"/>
                  </w:tcMar>
                  <w:vAlign w:val="center"/>
                </w:tcPr>
                <w:p w14:paraId="34F5CE97">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每年冬季（11月）进行涂白、修剪，春季（4月）清理枯枝；2. 干旱季节每月浇水1次，施肥每年1次；3. 防风固沙，高大乔木设立支撑，无倒伏风险，病虫害防治率≥95%。</w:t>
                  </w:r>
                </w:p>
              </w:tc>
            </w:tr>
            <w:tr w14:paraId="6341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51" w:type="pct"/>
                  <w:vMerge w:val="continue"/>
                  <w:shd w:val="clear" w:color="auto" w:fill="auto"/>
                  <w:tcMar>
                    <w:top w:w="120" w:type="dxa"/>
                    <w:left w:w="120" w:type="dxa"/>
                    <w:bottom w:w="120" w:type="dxa"/>
                    <w:right w:w="120" w:type="dxa"/>
                  </w:tcMar>
                  <w:vAlign w:val="center"/>
                </w:tcPr>
                <w:p w14:paraId="50362DBB">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65" w:type="pct"/>
                  <w:shd w:val="clear" w:color="auto" w:fill="auto"/>
                  <w:tcMar>
                    <w:top w:w="120" w:type="dxa"/>
                    <w:left w:w="120" w:type="dxa"/>
                    <w:bottom w:w="120" w:type="dxa"/>
                    <w:right w:w="120" w:type="dxa"/>
                  </w:tcMar>
                  <w:vAlign w:val="center"/>
                </w:tcPr>
                <w:p w14:paraId="4734045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绿化设施及环境维护</w:t>
                  </w:r>
                </w:p>
              </w:tc>
              <w:tc>
                <w:tcPr>
                  <w:tcW w:w="3483" w:type="pct"/>
                  <w:shd w:val="clear" w:color="auto" w:fill="auto"/>
                  <w:tcMar>
                    <w:top w:w="120" w:type="dxa"/>
                    <w:left w:w="120" w:type="dxa"/>
                    <w:bottom w:w="120" w:type="dxa"/>
                    <w:right w:w="120" w:type="dxa"/>
                  </w:tcMar>
                  <w:vAlign w:val="center"/>
                </w:tcPr>
                <w:p w14:paraId="409084F8">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绿化区域内围栏、警示牌、灌溉设施完好率≥98%，损坏后24小时内修复；2. 及时清理绿化垃圾，做到“日产日清”，无堆积；3. 雨季及时排涝，避免植被积水烂根。</w:t>
                  </w:r>
                </w:p>
              </w:tc>
            </w:tr>
            <w:tr w14:paraId="04474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51" w:type="pct"/>
                  <w:vMerge w:val="restart"/>
                  <w:shd w:val="clear" w:color="auto" w:fill="auto"/>
                  <w:tcMar>
                    <w:top w:w="120" w:type="dxa"/>
                    <w:left w:w="120" w:type="dxa"/>
                    <w:bottom w:w="120" w:type="dxa"/>
                    <w:right w:w="120" w:type="dxa"/>
                  </w:tcMar>
                  <w:vAlign w:val="center"/>
                </w:tcPr>
                <w:p w14:paraId="0ED2F6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w:t>
                  </w:r>
                </w:p>
                <w:p w14:paraId="408432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专项养护及应急处理</w:t>
                  </w:r>
                </w:p>
              </w:tc>
              <w:tc>
                <w:tcPr>
                  <w:tcW w:w="965" w:type="pct"/>
                  <w:shd w:val="clear" w:color="auto" w:fill="auto"/>
                  <w:tcMar>
                    <w:top w:w="120" w:type="dxa"/>
                    <w:left w:w="120" w:type="dxa"/>
                    <w:bottom w:w="120" w:type="dxa"/>
                    <w:right w:w="120" w:type="dxa"/>
                  </w:tcMar>
                  <w:vAlign w:val="center"/>
                </w:tcPr>
                <w:p w14:paraId="3AEE772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季节性养护</w:t>
                  </w:r>
                </w:p>
              </w:tc>
              <w:tc>
                <w:tcPr>
                  <w:tcW w:w="3483" w:type="pct"/>
                  <w:shd w:val="clear" w:color="auto" w:fill="auto"/>
                  <w:tcMar>
                    <w:top w:w="120" w:type="dxa"/>
                    <w:left w:w="120" w:type="dxa"/>
                    <w:bottom w:w="120" w:type="dxa"/>
                    <w:right w:w="120" w:type="dxa"/>
                  </w:tcMar>
                  <w:vAlign w:val="center"/>
                </w:tcPr>
                <w:p w14:paraId="4557098B">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冬季（11月-次年3月）对不耐寒植被进行包裹防寒，成活率≥98%；2. 春季（3-4月）完成植被补栽，补栽成活率≥95%；3. 秋季（9-10月）清理落叶，集中处理，无焚烧现象。</w:t>
                  </w:r>
                </w:p>
              </w:tc>
            </w:tr>
            <w:tr w14:paraId="391C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51" w:type="pct"/>
                  <w:vMerge w:val="continue"/>
                  <w:shd w:val="clear" w:color="auto" w:fill="auto"/>
                  <w:tcMar>
                    <w:top w:w="120" w:type="dxa"/>
                    <w:left w:w="120" w:type="dxa"/>
                    <w:bottom w:w="120" w:type="dxa"/>
                    <w:right w:w="120" w:type="dxa"/>
                  </w:tcMar>
                  <w:vAlign w:val="center"/>
                </w:tcPr>
                <w:p w14:paraId="33D09C54">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65" w:type="pct"/>
                  <w:shd w:val="clear" w:color="auto" w:fill="auto"/>
                  <w:tcMar>
                    <w:top w:w="120" w:type="dxa"/>
                    <w:left w:w="120" w:type="dxa"/>
                    <w:bottom w:w="120" w:type="dxa"/>
                    <w:right w:w="120" w:type="dxa"/>
                  </w:tcMar>
                  <w:vAlign w:val="center"/>
                </w:tcPr>
                <w:p w14:paraId="3DC886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应急处理</w:t>
                  </w:r>
                </w:p>
              </w:tc>
              <w:tc>
                <w:tcPr>
                  <w:tcW w:w="3483" w:type="pct"/>
                  <w:shd w:val="clear" w:color="auto" w:fill="auto"/>
                  <w:tcMar>
                    <w:top w:w="120" w:type="dxa"/>
                    <w:left w:w="120" w:type="dxa"/>
                    <w:bottom w:w="120" w:type="dxa"/>
                    <w:right w:w="120" w:type="dxa"/>
                  </w:tcMar>
                  <w:vAlign w:val="center"/>
                </w:tcPr>
                <w:p w14:paraId="4B7E868C">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sz w:val="24"/>
                      <w:szCs w:val="24"/>
                    </w:rPr>
                  </w:pPr>
                  <w:r>
                    <w:rPr>
                      <w:rFonts w:hint="eastAsia" w:asciiTheme="minorEastAsia" w:hAnsiTheme="minorEastAsia" w:eastAsiaTheme="minorEastAsia" w:cstheme="minorEastAsia"/>
                      <w:sz w:val="24"/>
                      <w:szCs w:val="24"/>
                      <w:vertAlign w:val="baseline"/>
                      <w:lang w:val="en-US" w:eastAsia="zh-CN"/>
                    </w:rPr>
                    <w:t>1. 遭遇大风、暴雨等极端天气后，2小时内赶赴现场清理倒伏植被、修复设施；2. 病虫害大规模爆发时，4小时内制定防治方案并实施，控制扩散。</w:t>
                  </w:r>
                </w:p>
              </w:tc>
            </w:tr>
          </w:tbl>
          <w:p w14:paraId="277776E2">
            <w:pPr>
              <w:widowControl w:val="0"/>
              <w:bidi w:val="0"/>
              <w:spacing w:line="360" w:lineRule="auto"/>
              <w:jc w:val="both"/>
              <w:rPr>
                <w:rFonts w:hint="eastAsia" w:asciiTheme="minorEastAsia" w:hAnsiTheme="minorEastAsia" w:eastAsiaTheme="minorEastAsia" w:cstheme="minorEastAsia"/>
                <w:sz w:val="24"/>
                <w:szCs w:val="24"/>
                <w:lang w:val="en-US" w:eastAsia="zh-CN"/>
              </w:rPr>
            </w:pPr>
          </w:p>
          <w:p w14:paraId="238187B3">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（五）保洁服务</w:t>
            </w:r>
          </w:p>
          <w:tbl>
            <w:tblPr>
              <w:tblStyle w:val="6"/>
              <w:tblW w:w="4382"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25"/>
              <w:gridCol w:w="1453"/>
              <w:gridCol w:w="5037"/>
            </w:tblGrid>
            <w:tr w14:paraId="00FAB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564" w:type="pct"/>
                  <w:shd w:val="clear" w:color="auto" w:fill="F2F3F5"/>
                  <w:tcMar>
                    <w:top w:w="120" w:type="dxa"/>
                    <w:left w:w="120" w:type="dxa"/>
                    <w:bottom w:w="120" w:type="dxa"/>
                    <w:right w:w="120" w:type="dxa"/>
                  </w:tcMar>
                  <w:vAlign w:val="center"/>
                </w:tcPr>
                <w:p w14:paraId="32BE331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ascii="宋体" w:hAnsi="宋体" w:eastAsia="宋体" w:cs="宋体"/>
                      <w:snapToGrid w:val="0"/>
                      <w:color w:val="000000"/>
                      <w:kern w:val="0"/>
                      <w:sz w:val="24"/>
                      <w:szCs w:val="24"/>
                      <w:lang w:val="en-US" w:eastAsia="zh-CN" w:bidi="ar"/>
                    </w:rPr>
                    <w:t>序号</w:t>
                  </w:r>
                </w:p>
              </w:tc>
              <w:tc>
                <w:tcPr>
                  <w:tcW w:w="993" w:type="pct"/>
                  <w:shd w:val="clear" w:color="auto" w:fill="F2F3F5"/>
                  <w:tcMar>
                    <w:top w:w="120" w:type="dxa"/>
                    <w:left w:w="120" w:type="dxa"/>
                    <w:bottom w:w="120" w:type="dxa"/>
                    <w:right w:w="120" w:type="dxa"/>
                  </w:tcMar>
                  <w:vAlign w:val="center"/>
                </w:tcPr>
                <w:p w14:paraId="4885D72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服务内容</w:t>
                  </w:r>
                </w:p>
              </w:tc>
              <w:tc>
                <w:tcPr>
                  <w:tcW w:w="3442" w:type="pct"/>
                  <w:shd w:val="clear" w:color="auto" w:fill="F2F3F5"/>
                  <w:tcMar>
                    <w:top w:w="120" w:type="dxa"/>
                    <w:left w:w="120" w:type="dxa"/>
                    <w:bottom w:w="120" w:type="dxa"/>
                    <w:right w:w="120" w:type="dxa"/>
                  </w:tcMar>
                  <w:vAlign w:val="center"/>
                </w:tcPr>
                <w:p w14:paraId="2024D6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服务标准</w:t>
                  </w:r>
                </w:p>
              </w:tc>
            </w:tr>
            <w:tr w14:paraId="07FAD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64" w:type="pct"/>
                  <w:vMerge w:val="restart"/>
                  <w:shd w:val="clear" w:color="auto" w:fill="auto"/>
                  <w:tcMar>
                    <w:top w:w="120" w:type="dxa"/>
                    <w:left w:w="120" w:type="dxa"/>
                    <w:bottom w:w="120" w:type="dxa"/>
                    <w:right w:w="120" w:type="dxa"/>
                  </w:tcMar>
                  <w:vAlign w:val="center"/>
                </w:tcPr>
                <w:p w14:paraId="61CF46D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w:t>
                  </w:r>
                </w:p>
                <w:p w14:paraId="661B10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公共区域保洁</w:t>
                  </w:r>
                </w:p>
              </w:tc>
              <w:tc>
                <w:tcPr>
                  <w:tcW w:w="993" w:type="pct"/>
                  <w:shd w:val="clear" w:color="auto" w:fill="auto"/>
                  <w:tcMar>
                    <w:top w:w="120" w:type="dxa"/>
                    <w:left w:w="120" w:type="dxa"/>
                    <w:bottom w:w="120" w:type="dxa"/>
                    <w:right w:w="120" w:type="dxa"/>
                  </w:tcMar>
                  <w:vAlign w:val="center"/>
                </w:tcPr>
                <w:p w14:paraId="1A009B1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地面及走廊保洁</w:t>
                  </w:r>
                </w:p>
              </w:tc>
              <w:tc>
                <w:tcPr>
                  <w:tcW w:w="3442" w:type="pct"/>
                  <w:shd w:val="clear" w:color="auto" w:fill="auto"/>
                  <w:tcMar>
                    <w:top w:w="120" w:type="dxa"/>
                    <w:left w:w="120" w:type="dxa"/>
                    <w:bottom w:w="120" w:type="dxa"/>
                    <w:right w:w="120" w:type="dxa"/>
                  </w:tcMar>
                  <w:vAlign w:val="center"/>
                </w:tcPr>
                <w:p w14:paraId="49396FFE">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教学楼、办公楼：每日清扫2次，拖拭1次，楼梯扶手每2小时擦拭1次，地面无垃圾、污渍、积水，光洁如新；2. 公共道路：每日清扫1次，重点区域（如校门口、食堂周边）每日清扫2次，果皮箱每2小时清理1次，无垃圾堆积；3. 卫生间：每1小时巡查清洁1次，做到无异味、无污垢、无积水，卫生纸、洗手液及时补充。</w:t>
                  </w:r>
                </w:p>
              </w:tc>
            </w:tr>
            <w:tr w14:paraId="67EDC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4634BB7F">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93" w:type="pct"/>
                  <w:shd w:val="clear" w:color="auto" w:fill="auto"/>
                  <w:tcMar>
                    <w:top w:w="120" w:type="dxa"/>
                    <w:left w:w="120" w:type="dxa"/>
                    <w:bottom w:w="120" w:type="dxa"/>
                    <w:right w:w="120" w:type="dxa"/>
                  </w:tcMar>
                  <w:vAlign w:val="center"/>
                </w:tcPr>
                <w:p w14:paraId="3831A2F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墙面及公共设施保洁</w:t>
                  </w:r>
                </w:p>
              </w:tc>
              <w:tc>
                <w:tcPr>
                  <w:tcW w:w="3442" w:type="pct"/>
                  <w:shd w:val="clear" w:color="auto" w:fill="auto"/>
                  <w:tcMar>
                    <w:top w:w="120" w:type="dxa"/>
                    <w:left w:w="120" w:type="dxa"/>
                    <w:bottom w:w="120" w:type="dxa"/>
                    <w:right w:w="120" w:type="dxa"/>
                  </w:tcMar>
                  <w:vAlign w:val="center"/>
                </w:tcPr>
                <w:p w14:paraId="697D30B9">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墙面、天花板每月除尘1次，无蛛网、污渍，涂鸦、张贴物24小时内清除；2. 电梯轿厢：每日擦拭2次，消毒1次，镜面光亮，按键无污渍；3. 宣传栏、指示牌、座椅等每日擦拭1次，无灰尘、污垢。</w:t>
                  </w:r>
                </w:p>
              </w:tc>
            </w:tr>
            <w:tr w14:paraId="79685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177383D6">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93" w:type="pct"/>
                  <w:shd w:val="clear" w:color="auto" w:fill="auto"/>
                  <w:tcMar>
                    <w:top w:w="120" w:type="dxa"/>
                    <w:left w:w="120" w:type="dxa"/>
                    <w:bottom w:w="120" w:type="dxa"/>
                    <w:right w:w="120" w:type="dxa"/>
                  </w:tcMar>
                  <w:vAlign w:val="center"/>
                </w:tcPr>
                <w:p w14:paraId="6565B8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垃圾清运及处理</w:t>
                  </w:r>
                </w:p>
              </w:tc>
              <w:tc>
                <w:tcPr>
                  <w:tcW w:w="3442" w:type="pct"/>
                  <w:shd w:val="clear" w:color="auto" w:fill="auto"/>
                  <w:tcMar>
                    <w:top w:w="120" w:type="dxa"/>
                    <w:left w:w="120" w:type="dxa"/>
                    <w:bottom w:w="120" w:type="dxa"/>
                    <w:right w:w="120" w:type="dxa"/>
                  </w:tcMar>
                  <w:vAlign w:val="center"/>
                </w:tcPr>
                <w:p w14:paraId="1C932672">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实行垃圾分类管理，垃圾中转站每日清运2次，做到“日产日清”，无异味、无渗液；2. 垃圾桶、垃圾房每日清洗1次，每周消毒2次；3. 建筑垃圾单独堆放，及时联系清运，堆放时间不超过24小时。</w:t>
                  </w:r>
                </w:p>
              </w:tc>
            </w:tr>
            <w:tr w14:paraId="4A79F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2B898C68">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93" w:type="pct"/>
                  <w:shd w:val="clear" w:color="auto" w:fill="auto"/>
                  <w:tcMar>
                    <w:top w:w="120" w:type="dxa"/>
                    <w:left w:w="120" w:type="dxa"/>
                    <w:bottom w:w="120" w:type="dxa"/>
                    <w:right w:w="120" w:type="dxa"/>
                  </w:tcMar>
                  <w:vAlign w:val="center"/>
                </w:tcPr>
                <w:p w14:paraId="38578D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专项清洁</w:t>
                  </w:r>
                </w:p>
              </w:tc>
              <w:tc>
                <w:tcPr>
                  <w:tcW w:w="3442" w:type="pct"/>
                  <w:shd w:val="clear" w:color="auto" w:fill="auto"/>
                  <w:tcMar>
                    <w:top w:w="120" w:type="dxa"/>
                    <w:left w:w="120" w:type="dxa"/>
                    <w:bottom w:w="120" w:type="dxa"/>
                    <w:right w:w="120" w:type="dxa"/>
                  </w:tcMar>
                  <w:vAlign w:val="center"/>
                </w:tcPr>
                <w:p w14:paraId="559F7E37">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每周进行1次公共区域全面消毒（含教室、会议室、卫生间），疫情等特殊时期按招标人要求增加频次；2. 每月对下水道、排水沟进行1次疏通，避免堵塞；3. 雨雪天气及时清扫道路、楼梯积雪积冰，铺设防滑垫，设立警示标识。</w:t>
                  </w:r>
                </w:p>
              </w:tc>
            </w:tr>
            <w:tr w14:paraId="2AB92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64" w:type="pct"/>
                  <w:vMerge w:val="restart"/>
                  <w:shd w:val="clear" w:color="auto" w:fill="auto"/>
                  <w:tcMar>
                    <w:top w:w="120" w:type="dxa"/>
                    <w:left w:w="120" w:type="dxa"/>
                    <w:bottom w:w="120" w:type="dxa"/>
                    <w:right w:w="120" w:type="dxa"/>
                  </w:tcMar>
                  <w:vAlign w:val="center"/>
                </w:tcPr>
                <w:p w14:paraId="35DCA6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w:t>
                  </w:r>
                </w:p>
                <w:p w14:paraId="09913C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特殊区域保洁</w:t>
                  </w:r>
                </w:p>
              </w:tc>
              <w:tc>
                <w:tcPr>
                  <w:tcW w:w="993" w:type="pct"/>
                  <w:shd w:val="clear" w:color="auto" w:fill="auto"/>
                  <w:tcMar>
                    <w:top w:w="120" w:type="dxa"/>
                    <w:left w:w="120" w:type="dxa"/>
                    <w:bottom w:w="120" w:type="dxa"/>
                    <w:right w:w="120" w:type="dxa"/>
                  </w:tcMar>
                  <w:vAlign w:val="center"/>
                </w:tcPr>
                <w:p w14:paraId="49B448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教学科研区域保洁</w:t>
                  </w:r>
                </w:p>
              </w:tc>
              <w:tc>
                <w:tcPr>
                  <w:tcW w:w="3442" w:type="pct"/>
                  <w:shd w:val="clear" w:color="auto" w:fill="auto"/>
                  <w:tcMar>
                    <w:top w:w="120" w:type="dxa"/>
                    <w:left w:w="120" w:type="dxa"/>
                    <w:bottom w:w="120" w:type="dxa"/>
                    <w:right w:w="120" w:type="dxa"/>
                  </w:tcMar>
                  <w:vAlign w:val="center"/>
                </w:tcPr>
                <w:p w14:paraId="28757967">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教室：课后30分钟内清理完毕，桌面无杂物、粉笔灰，黑板擦拭干净，座椅摆放整齐；2. 实验室、琴房等特殊场所：按招标人要求进行清洁，避免损坏设备，清洁工具专用，防止交叉污染。</w:t>
                  </w:r>
                </w:p>
              </w:tc>
            </w:tr>
            <w:tr w14:paraId="445C8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64" w:type="pct"/>
                  <w:vMerge w:val="continue"/>
                  <w:shd w:val="clear" w:color="auto" w:fill="auto"/>
                  <w:tcMar>
                    <w:top w:w="120" w:type="dxa"/>
                    <w:left w:w="120" w:type="dxa"/>
                    <w:bottom w:w="120" w:type="dxa"/>
                    <w:right w:w="120" w:type="dxa"/>
                  </w:tcMar>
                  <w:vAlign w:val="center"/>
                </w:tcPr>
                <w:p w14:paraId="640CAE09">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93" w:type="pct"/>
                  <w:shd w:val="clear" w:color="auto" w:fill="auto"/>
                  <w:tcMar>
                    <w:top w:w="120" w:type="dxa"/>
                    <w:left w:w="120" w:type="dxa"/>
                    <w:bottom w:w="120" w:type="dxa"/>
                    <w:right w:w="120" w:type="dxa"/>
                  </w:tcMar>
                  <w:vAlign w:val="center"/>
                </w:tcPr>
                <w:p w14:paraId="4E4026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公寓及餐厅周边保洁</w:t>
                  </w:r>
                </w:p>
              </w:tc>
              <w:tc>
                <w:tcPr>
                  <w:tcW w:w="3442" w:type="pct"/>
                  <w:shd w:val="clear" w:color="auto" w:fill="auto"/>
                  <w:tcMar>
                    <w:top w:w="120" w:type="dxa"/>
                    <w:left w:w="120" w:type="dxa"/>
                    <w:bottom w:w="120" w:type="dxa"/>
                    <w:right w:w="120" w:type="dxa"/>
                  </w:tcMar>
                  <w:vAlign w:val="center"/>
                </w:tcPr>
                <w:p w14:paraId="2A3D72F5">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学生公寓楼道每日清扫1次，楼梯扶手每日擦拭1次，公共洗衣房、活动室每日清洁1次；2. 餐厅周边：每日清扫3次，餐后1小时内清理完毕，无食物残渣、油污，排水沟每日疏通1次。</w:t>
                  </w:r>
                </w:p>
              </w:tc>
            </w:tr>
            <w:tr w14:paraId="00CAE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64" w:type="pct"/>
                  <w:shd w:val="clear" w:color="auto" w:fill="auto"/>
                  <w:tcMar>
                    <w:top w:w="120" w:type="dxa"/>
                    <w:left w:w="120" w:type="dxa"/>
                    <w:bottom w:w="120" w:type="dxa"/>
                    <w:right w:w="120" w:type="dxa"/>
                  </w:tcMar>
                  <w:vAlign w:val="center"/>
                </w:tcPr>
                <w:p w14:paraId="2AEF5345">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3、</w:t>
                  </w:r>
                </w:p>
                <w:p w14:paraId="075E5665">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r>
                    <w:rPr>
                      <w:rFonts w:asciiTheme="minorEastAsia" w:hAnsiTheme="minorEastAsia" w:eastAsiaTheme="minorEastAsia"/>
                      <w:sz w:val="24"/>
                      <w:szCs w:val="24"/>
                    </w:rPr>
                    <w:t>楼宇保洁服务</w:t>
                  </w:r>
                </w:p>
              </w:tc>
              <w:tc>
                <w:tcPr>
                  <w:tcW w:w="993" w:type="pct"/>
                  <w:shd w:val="clear" w:color="auto" w:fill="auto"/>
                  <w:tcMar>
                    <w:top w:w="120" w:type="dxa"/>
                    <w:left w:w="120" w:type="dxa"/>
                    <w:bottom w:w="120" w:type="dxa"/>
                    <w:right w:w="120" w:type="dxa"/>
                  </w:tcMar>
                  <w:vAlign w:val="center"/>
                </w:tcPr>
                <w:p w14:paraId="3ED168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ascii="宋体" w:hAnsi="宋体" w:eastAsia="宋体" w:cs="宋体"/>
                      <w:snapToGrid w:val="0"/>
                      <w:color w:val="000000"/>
                      <w:kern w:val="0"/>
                      <w:sz w:val="24"/>
                      <w:szCs w:val="24"/>
                      <w:lang w:val="en-US" w:eastAsia="zh-CN" w:bidi="ar"/>
                    </w:rPr>
                  </w:pPr>
                  <w:r>
                    <w:rPr>
                      <w:rFonts w:ascii="宋体" w:hAnsi="宋体" w:eastAsia="宋体" w:cs="宋体"/>
                      <w:snapToGrid w:val="0"/>
                      <w:color w:val="000000"/>
                      <w:kern w:val="0"/>
                      <w:sz w:val="24"/>
                      <w:szCs w:val="24"/>
                      <w:lang w:val="en-US" w:eastAsia="zh-CN" w:bidi="ar"/>
                    </w:rPr>
                    <w:t>楼宇保洁</w:t>
                  </w:r>
                </w:p>
              </w:tc>
              <w:tc>
                <w:tcPr>
                  <w:tcW w:w="3442" w:type="pct"/>
                  <w:shd w:val="clear" w:color="auto" w:fill="auto"/>
                  <w:tcMar>
                    <w:top w:w="120" w:type="dxa"/>
                    <w:left w:w="120" w:type="dxa"/>
                    <w:bottom w:w="120" w:type="dxa"/>
                    <w:right w:w="120" w:type="dxa"/>
                  </w:tcMar>
                  <w:vAlign w:val="center"/>
                </w:tcPr>
                <w:p w14:paraId="4B60FDC1">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负责楼宇内卫生的清扫、垃圾清运，每天至少清扫2次，并全天保持楼宇内卫生整洁、空气清新。2．楼宇大厅、公共区域、学术报告厅、音乐厅、接待室、会议室、篮球馆等场所：（1）地面、桌面（2）学术报告厅和会议室的讲台、黑板，（3）护栏、扶手，（4）墙壁、踢脚线、柱子，（5）垃圾箱、指示牌、安全出口、开关面板，（6）消防设备（含消防栓、灭火器、手动报警装置、火灾显示器、烟感器），（7）玻璃门窗、窗台，（8）木门、防火门、强弱电井门，（9）暖气片、水管，（10）天花板、吊顶，（11）照明灯具等，以上各公共区域必须做到光亮、无尘、无弃物，无污迹、无脱落。3．各楼层步梯间的（1）地面，（2）护栏、扶手，（3）墙壁、踢脚线，（4）指示牌、安全出口、灯具、开关面板，（5）防火门（6）玻璃窗户、窗台，（7）暖气片、水管等，以上公共区域必须做到光亮、无尘、无污迹、洁净、无弃。4．卫生间、开水间、储物间的（1）地面，（2）墙壁，（3）洗手池、台面、水龙头、镜子，（4）厕间隔板、脚踏阀，（5）垃圾桶，（6）玻璃窗户、窗台，（7）暖气片、水管，（8）大便池、小便池、墩布池，（9）木门、金属件，（10）开水器、饮水机，（11）天花板、照明灯具、排风扇等，以上公共区域必须做到无尘、光亮、无弃物、无污迹。5．梯间的（1）电梯轿厢内地面、轿厢壁、门、按键盘、轿厢顶、制度牌、照明灯具（2）电梯轿厢外各层电梯门、按键盘、指示牌、电梯槽，（3）轿厢壁（清洗上不锈钢保护油）1次/月。以上区域必须做到（洁净、光亮、无尘、无污渍）6．地下一层、阳台、楼顶、楼体周围环境卫生：（1）地面、墙面、指示牌，（2）消防设备、管道、设备间，（3）木门、防火门，（4）步梯间、电梯间及走廊，（5）楼体周围环境包括：台阶外1米、洒水外1米、台阶扶手、护栏、采光井玻璃，（6）阳台、楼顶、平台、天井等，以上公共区域必须做到无垃圾，干净，整洁、无污迹、无弃物、无杂草。7．捡拾遗失物品应登记备案、完好交还失主；发现火情、治安事件、嫌疑人员、可疑现象、水暖跑冒、燃气泄漏等紧急情况，应及时上报并协助处理。</w:t>
                  </w:r>
                </w:p>
              </w:tc>
            </w:tr>
            <w:tr w14:paraId="4E8A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64" w:type="pct"/>
                  <w:shd w:val="clear" w:color="auto" w:fill="auto"/>
                  <w:tcMar>
                    <w:top w:w="120" w:type="dxa"/>
                    <w:left w:w="120" w:type="dxa"/>
                    <w:bottom w:w="120" w:type="dxa"/>
                    <w:right w:w="120" w:type="dxa"/>
                  </w:tcMar>
                  <w:vAlign w:val="center"/>
                </w:tcPr>
                <w:p w14:paraId="0EA85574">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4、</w:t>
                  </w:r>
                </w:p>
                <w:p w14:paraId="4B1AEA37">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lang w:val="en-US" w:eastAsia="zh-CN"/>
                    </w:rPr>
                    <w:t>室外保洁服务</w:t>
                  </w:r>
                </w:p>
              </w:tc>
              <w:tc>
                <w:tcPr>
                  <w:tcW w:w="993" w:type="pct"/>
                  <w:shd w:val="clear" w:color="auto" w:fill="auto"/>
                  <w:tcMar>
                    <w:top w:w="120" w:type="dxa"/>
                    <w:left w:w="120" w:type="dxa"/>
                    <w:bottom w:w="120" w:type="dxa"/>
                    <w:right w:w="120" w:type="dxa"/>
                  </w:tcMar>
                  <w:vAlign w:val="center"/>
                </w:tcPr>
                <w:p w14:paraId="211950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ascii="宋体" w:hAnsi="宋体" w:eastAsia="宋体" w:cs="宋体"/>
                      <w:snapToGrid w:val="0"/>
                      <w:color w:val="000000"/>
                      <w:kern w:val="0"/>
                      <w:sz w:val="24"/>
                      <w:szCs w:val="24"/>
                      <w:lang w:val="en-US" w:eastAsia="zh-CN" w:bidi="ar"/>
                    </w:rPr>
                  </w:pPr>
                  <w:r>
                    <w:rPr>
                      <w:rFonts w:hint="eastAsia" w:asciiTheme="minorEastAsia" w:hAnsiTheme="minorEastAsia" w:eastAsiaTheme="minorEastAsia"/>
                      <w:sz w:val="24"/>
                      <w:szCs w:val="24"/>
                      <w:lang w:val="en-US" w:eastAsia="zh-CN"/>
                    </w:rPr>
                    <w:t>室外保洁</w:t>
                  </w:r>
                </w:p>
              </w:tc>
              <w:tc>
                <w:tcPr>
                  <w:tcW w:w="3442" w:type="pct"/>
                  <w:shd w:val="clear" w:color="auto" w:fill="auto"/>
                  <w:tcMar>
                    <w:top w:w="120" w:type="dxa"/>
                    <w:left w:w="120" w:type="dxa"/>
                    <w:bottom w:w="120" w:type="dxa"/>
                    <w:right w:w="120" w:type="dxa"/>
                  </w:tcMar>
                  <w:vAlign w:val="center"/>
                </w:tcPr>
                <w:p w14:paraId="68A18443">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负责校园内卫生的清扫、垃圾清运，每天至少清扫2次，并全天保持整洁，楼宇内无老鼠、蟑螂、蚊、虫等。2．地面、路面机械化作业率85%以上，合理安排清扫时间，作业过程中应控制扬尘和噪音污染，对于浮尘污染严重的路面应采取有效措施控制浮尘并进行彻底清扫。3．保证责任区内桌、凳（椅）干净整洁、无污物，宣传广告栏、标识牌等干净整洁。每天必须在规定的时间内将责任区清扫干净，同时还必须坚持日常7小时巡视保洁工作。4．保证责任区内地面干净整洁、人行道无杂草，草坪无垃圾、无白色污染、果皮箱外表整洁、辖区内无小招贴小广告。校园内、各楼内卫生间门帘及公共区域标识醒目、设计优雅、安排合理、质地优良。5．负责校园的文化设施设备的管理，营造良好的校园文化氛围，包含对学校各类校 园文化装饰物、标牌按时进行清洗及维护。6．每学期各楼宇的外墙和玻璃进行一次彻底清洗、深度清洁；楼宇二层以下的外墙玻璃时刻保持洁净。</w:t>
                  </w:r>
                </w:p>
                <w:p w14:paraId="3B5B0378">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宋体" w:hAnsi="宋体" w:eastAsia="宋体" w:cs="宋体"/>
                      <w:snapToGrid w:val="0"/>
                      <w:color w:val="000000"/>
                      <w:kern w:val="0"/>
                      <w:sz w:val="24"/>
                      <w:szCs w:val="24"/>
                      <w:lang w:val="en-US" w:eastAsia="zh-CN" w:bidi="ar"/>
                    </w:rPr>
                  </w:pPr>
                  <w:r>
                    <w:rPr>
                      <w:rFonts w:hint="eastAsia" w:asciiTheme="minorEastAsia" w:hAnsiTheme="minorEastAsia" w:eastAsiaTheme="minorEastAsia" w:cstheme="minorEastAsia"/>
                      <w:sz w:val="24"/>
                      <w:szCs w:val="24"/>
                      <w:vertAlign w:val="baseline"/>
                      <w:lang w:val="en-US" w:eastAsia="zh-CN"/>
                    </w:rPr>
                    <w:t>7．清扫的杂物垃圾必须运到指定的垃圾场，严禁任意乱倒，并负责做好树叶、树枝等堆放场地的消防安全。负责校园内各类杂物的清理、生活垃圾的二次转运。8．及时清扫道路积水；冬季，以雪为令，雪停24小时内完成校园内主干道路、主要人行通道的清扫，并做好台阶坡道的防滑工作。</w:t>
                  </w:r>
                </w:p>
              </w:tc>
            </w:tr>
          </w:tbl>
          <w:p w14:paraId="005FCD71">
            <w:pPr>
              <w:widowControl w:val="0"/>
              <w:spacing w:line="360" w:lineRule="auto"/>
              <w:jc w:val="both"/>
              <w:rPr>
                <w:sz w:val="24"/>
                <w:szCs w:val="24"/>
              </w:rPr>
            </w:pPr>
          </w:p>
          <w:p w14:paraId="7EC1A1FA">
            <w:pPr>
              <w:widowControl w:val="0"/>
              <w:bidi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（六）会议服务</w:t>
            </w:r>
          </w:p>
          <w:tbl>
            <w:tblPr>
              <w:tblStyle w:val="6"/>
              <w:tblW w:w="4393"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49"/>
              <w:gridCol w:w="1456"/>
              <w:gridCol w:w="5029"/>
            </w:tblGrid>
            <w:tr w14:paraId="6541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927" w:hRule="atLeast"/>
                <w:tblHeader/>
              </w:trPr>
              <w:tc>
                <w:tcPr>
                  <w:tcW w:w="849" w:type="dxa"/>
                  <w:shd w:val="clear" w:color="auto" w:fill="F2F3F5"/>
                  <w:tcMar>
                    <w:top w:w="120" w:type="dxa"/>
                    <w:left w:w="120" w:type="dxa"/>
                    <w:bottom w:w="120" w:type="dxa"/>
                    <w:right w:w="120" w:type="dxa"/>
                  </w:tcMar>
                  <w:vAlign w:val="center"/>
                </w:tcPr>
                <w:p w14:paraId="3395AE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ascii="宋体" w:hAnsi="宋体" w:eastAsia="宋体" w:cs="宋体"/>
                      <w:snapToGrid w:val="0"/>
                      <w:color w:val="000000"/>
                      <w:kern w:val="0"/>
                      <w:sz w:val="24"/>
                      <w:szCs w:val="24"/>
                      <w:lang w:val="en-US" w:eastAsia="zh-CN" w:bidi="ar"/>
                    </w:rPr>
                    <w:t>序号</w:t>
                  </w:r>
                </w:p>
              </w:tc>
              <w:tc>
                <w:tcPr>
                  <w:tcW w:w="1456" w:type="dxa"/>
                  <w:shd w:val="clear" w:color="auto" w:fill="F2F3F5"/>
                  <w:tcMar>
                    <w:top w:w="120" w:type="dxa"/>
                    <w:left w:w="120" w:type="dxa"/>
                    <w:bottom w:w="120" w:type="dxa"/>
                    <w:right w:w="120" w:type="dxa"/>
                  </w:tcMar>
                  <w:vAlign w:val="center"/>
                </w:tcPr>
                <w:p w14:paraId="0559882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服务内容</w:t>
                  </w:r>
                </w:p>
              </w:tc>
              <w:tc>
                <w:tcPr>
                  <w:tcW w:w="5030" w:type="dxa"/>
                  <w:shd w:val="clear" w:color="auto" w:fill="F2F3F5"/>
                  <w:tcMar>
                    <w:top w:w="120" w:type="dxa"/>
                    <w:left w:w="120" w:type="dxa"/>
                    <w:bottom w:w="120" w:type="dxa"/>
                    <w:right w:w="120" w:type="dxa"/>
                  </w:tcMar>
                  <w:vAlign w:val="center"/>
                </w:tcPr>
                <w:p w14:paraId="2BAF00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服务标准</w:t>
                  </w:r>
                </w:p>
              </w:tc>
            </w:tr>
            <w:tr w14:paraId="1BF4C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849" w:type="dxa"/>
                  <w:vMerge w:val="restart"/>
                  <w:shd w:val="clear" w:color="auto" w:fill="auto"/>
                  <w:tcMar>
                    <w:top w:w="120" w:type="dxa"/>
                    <w:left w:w="120" w:type="dxa"/>
                    <w:bottom w:w="120" w:type="dxa"/>
                    <w:right w:w="120" w:type="dxa"/>
                  </w:tcMar>
                  <w:vAlign w:val="center"/>
                </w:tcPr>
                <w:p w14:paraId="39F23D5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w:t>
                  </w:r>
                </w:p>
                <w:p w14:paraId="6A1DF9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会前筹备服务</w:t>
                  </w:r>
                </w:p>
              </w:tc>
              <w:tc>
                <w:tcPr>
                  <w:tcW w:w="1456" w:type="dxa"/>
                  <w:shd w:val="clear" w:color="auto" w:fill="auto"/>
                  <w:tcMar>
                    <w:top w:w="120" w:type="dxa"/>
                    <w:left w:w="120" w:type="dxa"/>
                    <w:bottom w:w="120" w:type="dxa"/>
                    <w:right w:w="120" w:type="dxa"/>
                  </w:tcMar>
                  <w:vAlign w:val="center"/>
                </w:tcPr>
                <w:p w14:paraId="24D79E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会议场地布置</w:t>
                  </w:r>
                </w:p>
              </w:tc>
              <w:tc>
                <w:tcPr>
                  <w:tcW w:w="5030" w:type="dxa"/>
                  <w:shd w:val="clear" w:color="auto" w:fill="auto"/>
                  <w:tcMar>
                    <w:top w:w="120" w:type="dxa"/>
                    <w:left w:w="120" w:type="dxa"/>
                    <w:bottom w:w="120" w:type="dxa"/>
                    <w:right w:w="120" w:type="dxa"/>
                  </w:tcMar>
                  <w:vAlign w:val="center"/>
                </w:tcPr>
                <w:p w14:paraId="5B66EFB9">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按会议要求提前2小时完成场地布置，包括桌椅摆放（误差≤2cm）、台签制作摆放（准确无误）、横幅悬挂（平整牢固）；2. 调试音响、投影、灯光等设备，确保音质清晰、画面稳定、灯光适宜；3. 准备纸笔、饮用水、茶歇等物资，摆放整齐，数量充足（比参会人数多10%）。</w:t>
                  </w:r>
                </w:p>
              </w:tc>
            </w:tr>
            <w:tr w14:paraId="1EF85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849" w:type="dxa"/>
                  <w:vMerge w:val="continue"/>
                  <w:shd w:val="clear" w:color="auto" w:fill="auto"/>
                  <w:tcMar>
                    <w:top w:w="120" w:type="dxa"/>
                    <w:left w:w="120" w:type="dxa"/>
                    <w:bottom w:w="120" w:type="dxa"/>
                    <w:right w:w="120" w:type="dxa"/>
                  </w:tcMar>
                  <w:vAlign w:val="center"/>
                </w:tcPr>
                <w:p w14:paraId="15F114ED">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1456" w:type="dxa"/>
                  <w:shd w:val="clear" w:color="auto" w:fill="auto"/>
                  <w:tcMar>
                    <w:top w:w="120" w:type="dxa"/>
                    <w:left w:w="120" w:type="dxa"/>
                    <w:bottom w:w="120" w:type="dxa"/>
                    <w:right w:w="120" w:type="dxa"/>
                  </w:tcMar>
                  <w:vAlign w:val="center"/>
                </w:tcPr>
                <w:p w14:paraId="7C62E2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人员接待准备</w:t>
                  </w:r>
                </w:p>
              </w:tc>
              <w:tc>
                <w:tcPr>
                  <w:tcW w:w="5030" w:type="dxa"/>
                  <w:shd w:val="clear" w:color="auto" w:fill="auto"/>
                  <w:tcMar>
                    <w:top w:w="120" w:type="dxa"/>
                    <w:left w:w="120" w:type="dxa"/>
                    <w:bottom w:w="120" w:type="dxa"/>
                    <w:right w:w="120" w:type="dxa"/>
                  </w:tcMar>
                  <w:vAlign w:val="center"/>
                </w:tcPr>
                <w:p w14:paraId="11313BC6">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重要会议安排礼仪人员，提前30分钟到岗，熟悉参会人员信息；2. 准备引导标识，明确会议地点、卫生间等位置；3. 协助招标人完成参会人员签到、资料分发工作，资料分发准确率100%。</w:t>
                  </w:r>
                </w:p>
              </w:tc>
            </w:tr>
            <w:tr w14:paraId="1528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849" w:type="dxa"/>
                  <w:vMerge w:val="continue"/>
                  <w:shd w:val="clear" w:color="auto" w:fill="auto"/>
                  <w:tcMar>
                    <w:top w:w="120" w:type="dxa"/>
                    <w:left w:w="120" w:type="dxa"/>
                    <w:bottom w:w="120" w:type="dxa"/>
                    <w:right w:w="120" w:type="dxa"/>
                  </w:tcMar>
                  <w:vAlign w:val="center"/>
                </w:tcPr>
                <w:p w14:paraId="7983D8F5">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1456" w:type="dxa"/>
                  <w:shd w:val="clear" w:color="auto" w:fill="auto"/>
                  <w:tcMar>
                    <w:top w:w="120" w:type="dxa"/>
                    <w:left w:w="120" w:type="dxa"/>
                    <w:bottom w:w="120" w:type="dxa"/>
                    <w:right w:w="120" w:type="dxa"/>
                  </w:tcMar>
                  <w:vAlign w:val="center"/>
                </w:tcPr>
                <w:p w14:paraId="6846E65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应急物资准备</w:t>
                  </w:r>
                </w:p>
              </w:tc>
              <w:tc>
                <w:tcPr>
                  <w:tcW w:w="5030" w:type="dxa"/>
                  <w:shd w:val="clear" w:color="auto" w:fill="auto"/>
                  <w:tcMar>
                    <w:top w:w="120" w:type="dxa"/>
                    <w:left w:w="120" w:type="dxa"/>
                    <w:bottom w:w="120" w:type="dxa"/>
                    <w:right w:w="120" w:type="dxa"/>
                  </w:tcMar>
                  <w:vAlign w:val="center"/>
                </w:tcPr>
                <w:p w14:paraId="7E46B0C5">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配备备用麦克风、电池、投影线缆等设备，以及急救包、纸巾等物资；2. 提前检查消防设施，确保通道畅通，制定设备故障应急预案。</w:t>
                  </w:r>
                </w:p>
              </w:tc>
            </w:tr>
            <w:tr w14:paraId="38081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849" w:type="dxa"/>
                  <w:vMerge w:val="restart"/>
                  <w:shd w:val="clear" w:color="auto" w:fill="auto"/>
                  <w:tcMar>
                    <w:top w:w="120" w:type="dxa"/>
                    <w:left w:w="120" w:type="dxa"/>
                    <w:bottom w:w="120" w:type="dxa"/>
                    <w:right w:w="120" w:type="dxa"/>
                  </w:tcMar>
                  <w:vAlign w:val="center"/>
                </w:tcPr>
                <w:p w14:paraId="4EFAE2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w:t>
                  </w:r>
                </w:p>
                <w:p w14:paraId="69D46F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会中服务</w:t>
                  </w:r>
                </w:p>
              </w:tc>
              <w:tc>
                <w:tcPr>
                  <w:tcW w:w="1456" w:type="dxa"/>
                  <w:shd w:val="clear" w:color="auto" w:fill="auto"/>
                  <w:tcMar>
                    <w:top w:w="120" w:type="dxa"/>
                    <w:left w:w="120" w:type="dxa"/>
                    <w:bottom w:w="120" w:type="dxa"/>
                    <w:right w:w="120" w:type="dxa"/>
                  </w:tcMar>
                  <w:vAlign w:val="center"/>
                </w:tcPr>
                <w:p w14:paraId="5D7183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现场服务保障</w:t>
                  </w:r>
                </w:p>
              </w:tc>
              <w:tc>
                <w:tcPr>
                  <w:tcW w:w="5030" w:type="dxa"/>
                  <w:shd w:val="clear" w:color="auto" w:fill="auto"/>
                  <w:tcMar>
                    <w:top w:w="120" w:type="dxa"/>
                    <w:left w:w="120" w:type="dxa"/>
                    <w:bottom w:w="120" w:type="dxa"/>
                    <w:right w:w="120" w:type="dxa"/>
                  </w:tcMar>
                  <w:vAlign w:val="center"/>
                </w:tcPr>
                <w:p w14:paraId="13509FFF">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会议期间安排专人全程值守，随时响应需求，服务人员着装统一、举止得体；2. 每30分钟巡查1次茶歇区，及时补充物资，清理垃圾；3. 设备出现故障时，响应时间≤5分钟，一般故障修复≤10分钟。</w:t>
                  </w:r>
                </w:p>
              </w:tc>
            </w:tr>
            <w:tr w14:paraId="25878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849" w:type="dxa"/>
                  <w:vMerge w:val="continue"/>
                  <w:shd w:val="clear" w:color="auto" w:fill="auto"/>
                  <w:tcMar>
                    <w:top w:w="120" w:type="dxa"/>
                    <w:left w:w="120" w:type="dxa"/>
                    <w:bottom w:w="120" w:type="dxa"/>
                    <w:right w:w="120" w:type="dxa"/>
                  </w:tcMar>
                  <w:vAlign w:val="center"/>
                </w:tcPr>
                <w:p w14:paraId="779347A7">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1456" w:type="dxa"/>
                  <w:shd w:val="clear" w:color="auto" w:fill="auto"/>
                  <w:tcMar>
                    <w:top w:w="120" w:type="dxa"/>
                    <w:left w:w="120" w:type="dxa"/>
                    <w:bottom w:w="120" w:type="dxa"/>
                    <w:right w:w="120" w:type="dxa"/>
                  </w:tcMar>
                  <w:vAlign w:val="center"/>
                </w:tcPr>
                <w:p w14:paraId="5BBBB6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临时需求处理</w:t>
                  </w:r>
                </w:p>
              </w:tc>
              <w:tc>
                <w:tcPr>
                  <w:tcW w:w="5030" w:type="dxa"/>
                  <w:shd w:val="clear" w:color="auto" w:fill="auto"/>
                  <w:tcMar>
                    <w:top w:w="120" w:type="dxa"/>
                    <w:left w:w="120" w:type="dxa"/>
                    <w:bottom w:w="120" w:type="dxa"/>
                    <w:right w:w="120" w:type="dxa"/>
                  </w:tcMar>
                  <w:vAlign w:val="center"/>
                </w:tcPr>
                <w:p w14:paraId="27A86583">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及时处理参会人员提出的临时需求（如增加座椅、调整温度等），处理响应时间≤3分钟；2. 协助做好会议记录、拍照等辅助工作（按招标人要求）。</w:t>
                  </w:r>
                </w:p>
              </w:tc>
            </w:tr>
            <w:tr w14:paraId="1F9CA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849" w:type="dxa"/>
                  <w:vMerge w:val="restart"/>
                  <w:shd w:val="clear" w:color="auto" w:fill="auto"/>
                  <w:tcMar>
                    <w:top w:w="120" w:type="dxa"/>
                    <w:left w:w="120" w:type="dxa"/>
                    <w:bottom w:w="120" w:type="dxa"/>
                    <w:right w:w="120" w:type="dxa"/>
                  </w:tcMar>
                  <w:vAlign w:val="center"/>
                </w:tcPr>
                <w:p w14:paraId="56EBFF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3、</w:t>
                  </w:r>
                </w:p>
                <w:p w14:paraId="06802D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会后服务</w:t>
                  </w:r>
                </w:p>
              </w:tc>
              <w:tc>
                <w:tcPr>
                  <w:tcW w:w="1456" w:type="dxa"/>
                  <w:shd w:val="clear" w:color="auto" w:fill="auto"/>
                  <w:tcMar>
                    <w:top w:w="120" w:type="dxa"/>
                    <w:left w:w="120" w:type="dxa"/>
                    <w:bottom w:w="120" w:type="dxa"/>
                    <w:right w:w="120" w:type="dxa"/>
                  </w:tcMar>
                  <w:vAlign w:val="center"/>
                </w:tcPr>
                <w:p w14:paraId="259317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场地清理与物资回收</w:t>
                  </w:r>
                </w:p>
              </w:tc>
              <w:tc>
                <w:tcPr>
                  <w:tcW w:w="5030" w:type="dxa"/>
                  <w:shd w:val="clear" w:color="auto" w:fill="auto"/>
                  <w:tcMar>
                    <w:top w:w="120" w:type="dxa"/>
                    <w:left w:w="120" w:type="dxa"/>
                    <w:bottom w:w="120" w:type="dxa"/>
                    <w:right w:w="120" w:type="dxa"/>
                  </w:tcMar>
                  <w:vAlign w:val="center"/>
                </w:tcPr>
                <w:p w14:paraId="2910932A">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会议结束后30分钟内完成场地清理，桌椅归位，垃圾清运，地面、桌面无杂物；2. 回收剩余物资、设备，分类整理，妥善保管，丢失损坏率为0；3. 关闭设备电源、门窗，做好安全检查。</w:t>
                  </w:r>
                </w:p>
              </w:tc>
            </w:tr>
            <w:tr w14:paraId="52AF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849" w:type="dxa"/>
                  <w:vMerge w:val="continue"/>
                  <w:shd w:val="clear" w:color="auto" w:fill="auto"/>
                  <w:tcMar>
                    <w:top w:w="120" w:type="dxa"/>
                    <w:left w:w="120" w:type="dxa"/>
                    <w:bottom w:w="120" w:type="dxa"/>
                    <w:right w:w="120" w:type="dxa"/>
                  </w:tcMar>
                  <w:vAlign w:val="center"/>
                </w:tcPr>
                <w:p w14:paraId="0D4169E9">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1456" w:type="dxa"/>
                  <w:shd w:val="clear" w:color="auto" w:fill="auto"/>
                  <w:tcMar>
                    <w:top w:w="120" w:type="dxa"/>
                    <w:left w:w="120" w:type="dxa"/>
                    <w:bottom w:w="120" w:type="dxa"/>
                    <w:right w:w="120" w:type="dxa"/>
                  </w:tcMar>
                  <w:vAlign w:val="center"/>
                </w:tcPr>
                <w:p w14:paraId="56CD7D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服务总结与反馈</w:t>
                  </w:r>
                </w:p>
              </w:tc>
              <w:tc>
                <w:tcPr>
                  <w:tcW w:w="5030" w:type="dxa"/>
                  <w:shd w:val="clear" w:color="auto" w:fill="auto"/>
                  <w:tcMar>
                    <w:top w:w="120" w:type="dxa"/>
                    <w:left w:w="120" w:type="dxa"/>
                    <w:bottom w:w="120" w:type="dxa"/>
                    <w:right w:w="120" w:type="dxa"/>
                  </w:tcMar>
                  <w:vAlign w:val="center"/>
                </w:tcPr>
                <w:p w14:paraId="0CBBD2EC">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sz w:val="24"/>
                      <w:szCs w:val="24"/>
                    </w:rPr>
                  </w:pPr>
                  <w:r>
                    <w:rPr>
                      <w:rFonts w:hint="eastAsia" w:asciiTheme="minorEastAsia" w:hAnsiTheme="minorEastAsia" w:eastAsiaTheme="minorEastAsia" w:cstheme="minorEastAsia"/>
                      <w:sz w:val="24"/>
                      <w:szCs w:val="24"/>
                      <w:vertAlign w:val="baseline"/>
                      <w:lang w:val="en-US" w:eastAsia="zh-CN"/>
                    </w:rPr>
                    <w:t>1. 每次会议后提交服务总结，记录会议基本情况、服务过程及问题处理情况；2. 收集参会人员及招标人意见，及时改进服务。</w:t>
                  </w:r>
                </w:p>
              </w:tc>
            </w:tr>
          </w:tbl>
          <w:p w14:paraId="665FD483">
            <w:pPr>
              <w:widowControl w:val="0"/>
              <w:bidi w:val="0"/>
              <w:spacing w:line="360" w:lineRule="auto"/>
              <w:jc w:val="both"/>
              <w:rPr>
                <w:rFonts w:hint="default" w:asciiTheme="minorEastAsia" w:hAnsiTheme="minorEastAsia" w:eastAsiaTheme="minorEastAsia" w:cstheme="minorEastAsia"/>
                <w:sz w:val="24"/>
                <w:szCs w:val="24"/>
                <w:lang w:val="en-US" w:eastAsia="zh-CN"/>
              </w:rPr>
            </w:pPr>
          </w:p>
          <w:p w14:paraId="3DED4BD0">
            <w:pPr>
              <w:pStyle w:val="2"/>
              <w:widowControl w:val="0"/>
              <w:numPr>
                <w:ilvl w:val="0"/>
                <w:numId w:val="0"/>
              </w:numPr>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Cs/>
                <w:snapToGrid w:val="0"/>
                <w:color w:val="000000"/>
                <w:kern w:val="0"/>
                <w:sz w:val="24"/>
                <w:szCs w:val="24"/>
                <w:lang w:val="en-US" w:eastAsia="zh-CN" w:bidi="ar-SA"/>
              </w:rPr>
              <w:t>（七）</w:t>
            </w:r>
            <w:r>
              <w:rPr>
                <w:rFonts w:hint="eastAsia" w:asciiTheme="minorEastAsia" w:hAnsiTheme="minorEastAsia" w:eastAsiaTheme="minorEastAsia" w:cstheme="minorEastAsia"/>
                <w:sz w:val="24"/>
                <w:szCs w:val="24"/>
                <w:lang w:val="en-US" w:eastAsia="zh-CN"/>
              </w:rPr>
              <w:t>餐厅管理服务</w:t>
            </w:r>
          </w:p>
          <w:p w14:paraId="560819FE">
            <w:pPr>
              <w:widowControl w:val="0"/>
              <w:numPr>
                <w:ilvl w:val="0"/>
                <w:numId w:val="0"/>
              </w:numPr>
              <w:kinsoku w:val="0"/>
              <w:autoSpaceDE w:val="0"/>
              <w:autoSpaceDN w:val="0"/>
              <w:adjustRightInd w:val="0"/>
              <w:snapToGrid w:val="0"/>
              <w:spacing w:line="360" w:lineRule="auto"/>
              <w:jc w:val="both"/>
              <w:textAlignment w:val="baseline"/>
              <w:rPr>
                <w:rFonts w:hint="default"/>
                <w:sz w:val="24"/>
                <w:szCs w:val="24"/>
                <w:lang w:val="en-US" w:eastAsia="zh-CN"/>
              </w:rPr>
            </w:pPr>
          </w:p>
          <w:tbl>
            <w:tblPr>
              <w:tblStyle w:val="6"/>
              <w:tblW w:w="7374"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58"/>
              <w:gridCol w:w="1417"/>
              <w:gridCol w:w="5099"/>
            </w:tblGrid>
            <w:tr w14:paraId="69F0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blHeader/>
              </w:trPr>
              <w:tc>
                <w:tcPr>
                  <w:tcW w:w="582" w:type="pct"/>
                  <w:shd w:val="clear" w:color="auto" w:fill="F2F3F5"/>
                  <w:tcMar>
                    <w:top w:w="120" w:type="dxa"/>
                    <w:left w:w="120" w:type="dxa"/>
                    <w:bottom w:w="120" w:type="dxa"/>
                    <w:right w:w="120" w:type="dxa"/>
                  </w:tcMar>
                  <w:vAlign w:val="center"/>
                </w:tcPr>
                <w:p w14:paraId="66F749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ascii="宋体" w:hAnsi="宋体" w:eastAsia="宋体" w:cs="宋体"/>
                      <w:snapToGrid w:val="0"/>
                      <w:color w:val="000000"/>
                      <w:kern w:val="0"/>
                      <w:sz w:val="24"/>
                      <w:szCs w:val="24"/>
                      <w:lang w:val="en-US" w:eastAsia="zh-CN" w:bidi="ar"/>
                    </w:rPr>
                    <w:t>序号</w:t>
                  </w:r>
                </w:p>
              </w:tc>
              <w:tc>
                <w:tcPr>
                  <w:tcW w:w="961" w:type="pct"/>
                  <w:shd w:val="clear" w:color="auto" w:fill="F2F3F5"/>
                  <w:tcMar>
                    <w:top w:w="120" w:type="dxa"/>
                    <w:left w:w="120" w:type="dxa"/>
                    <w:bottom w:w="120" w:type="dxa"/>
                    <w:right w:w="120" w:type="dxa"/>
                  </w:tcMar>
                  <w:vAlign w:val="center"/>
                </w:tcPr>
                <w:p w14:paraId="41B76B5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服务内容</w:t>
                  </w:r>
                </w:p>
              </w:tc>
              <w:tc>
                <w:tcPr>
                  <w:tcW w:w="3456" w:type="pct"/>
                  <w:shd w:val="clear" w:color="auto" w:fill="F2F3F5"/>
                  <w:tcMar>
                    <w:top w:w="120" w:type="dxa"/>
                    <w:left w:w="120" w:type="dxa"/>
                    <w:bottom w:w="120" w:type="dxa"/>
                    <w:right w:w="120" w:type="dxa"/>
                  </w:tcMar>
                  <w:vAlign w:val="center"/>
                </w:tcPr>
                <w:p w14:paraId="2F3695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服务标准</w:t>
                  </w:r>
                </w:p>
              </w:tc>
            </w:tr>
            <w:tr w14:paraId="506D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2" w:type="pct"/>
                  <w:vMerge w:val="restart"/>
                  <w:shd w:val="clear" w:color="auto" w:fill="auto"/>
                  <w:tcMar>
                    <w:top w:w="120" w:type="dxa"/>
                    <w:left w:w="120" w:type="dxa"/>
                    <w:bottom w:w="120" w:type="dxa"/>
                    <w:right w:w="120" w:type="dxa"/>
                  </w:tcMar>
                  <w:vAlign w:val="center"/>
                </w:tcPr>
                <w:p w14:paraId="73E5D2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w:t>
                  </w:r>
                </w:p>
                <w:p w14:paraId="24039F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食品安全管理</w:t>
                  </w:r>
                </w:p>
              </w:tc>
              <w:tc>
                <w:tcPr>
                  <w:tcW w:w="961" w:type="pct"/>
                  <w:shd w:val="clear" w:color="auto" w:fill="auto"/>
                  <w:tcMar>
                    <w:top w:w="120" w:type="dxa"/>
                    <w:left w:w="120" w:type="dxa"/>
                    <w:bottom w:w="120" w:type="dxa"/>
                    <w:right w:w="120" w:type="dxa"/>
                  </w:tcMar>
                  <w:vAlign w:val="center"/>
                </w:tcPr>
                <w:p w14:paraId="51FC91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highlight w:val="none"/>
                    </w:rPr>
                  </w:pPr>
                  <w:r>
                    <w:rPr>
                      <w:rFonts w:ascii="宋体" w:hAnsi="宋体" w:eastAsia="宋体" w:cs="宋体"/>
                      <w:snapToGrid w:val="0"/>
                      <w:color w:val="000000"/>
                      <w:kern w:val="0"/>
                      <w:sz w:val="24"/>
                      <w:szCs w:val="24"/>
                      <w:highlight w:val="none"/>
                      <w:lang w:val="en-US" w:eastAsia="zh-CN" w:bidi="ar"/>
                    </w:rPr>
                    <w:t>食材采购与储存</w:t>
                  </w:r>
                </w:p>
              </w:tc>
              <w:tc>
                <w:tcPr>
                  <w:tcW w:w="3456" w:type="pct"/>
                  <w:shd w:val="clear" w:color="auto" w:fill="auto"/>
                  <w:tcMar>
                    <w:top w:w="120" w:type="dxa"/>
                    <w:left w:w="120" w:type="dxa"/>
                    <w:bottom w:w="120" w:type="dxa"/>
                    <w:right w:w="120" w:type="dxa"/>
                  </w:tcMar>
                  <w:vAlign w:val="center"/>
                </w:tcPr>
                <w:p w14:paraId="388AC9A4">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1. 严把进货渠道关。不得采购来路不明的食品，库管员必须确保采购食材为学校招标的中标单位食材，并做好每日进货登记。食材供应商具备合法资质，建立采购台账，索证索票齐全，采购记录保存≥6个月；2. 食材新鲜，符合食品安全标准，无过期、变质、假冒伪劣产品；3. 食材分类储存，生熟分开，冷藏冷冻温度达标（冷藏0-4℃，冷冻≤-18℃），储存环境整洁。</w:t>
                  </w:r>
                </w:p>
              </w:tc>
            </w:tr>
            <w:tr w14:paraId="0F46E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2" w:type="pct"/>
                  <w:vMerge w:val="continue"/>
                  <w:shd w:val="clear" w:color="auto" w:fill="auto"/>
                  <w:tcMar>
                    <w:top w:w="120" w:type="dxa"/>
                    <w:left w:w="120" w:type="dxa"/>
                    <w:bottom w:w="120" w:type="dxa"/>
                    <w:right w:w="120" w:type="dxa"/>
                  </w:tcMar>
                  <w:vAlign w:val="center"/>
                </w:tcPr>
                <w:p w14:paraId="4B99FB25">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61" w:type="pct"/>
                  <w:shd w:val="clear" w:color="auto" w:fill="auto"/>
                  <w:tcMar>
                    <w:top w:w="120" w:type="dxa"/>
                    <w:left w:w="120" w:type="dxa"/>
                    <w:bottom w:w="120" w:type="dxa"/>
                    <w:right w:w="120" w:type="dxa"/>
                  </w:tcMar>
                  <w:vAlign w:val="center"/>
                </w:tcPr>
                <w:p w14:paraId="7592D9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加工制作管理</w:t>
                  </w:r>
                </w:p>
              </w:tc>
              <w:tc>
                <w:tcPr>
                  <w:tcW w:w="3456" w:type="pct"/>
                  <w:shd w:val="clear" w:color="auto" w:fill="auto"/>
                  <w:tcMar>
                    <w:top w:w="120" w:type="dxa"/>
                    <w:left w:w="120" w:type="dxa"/>
                    <w:bottom w:w="120" w:type="dxa"/>
                    <w:right w:w="120" w:type="dxa"/>
                  </w:tcMar>
                  <w:vAlign w:val="center"/>
                </w:tcPr>
                <w:p w14:paraId="6105F719">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从业人员持有效健康证上岗，每年体检1次，着装统一、整洁，操作时戴口罩、手套；2. 食品加工做到生熟分开、荤素分开，加工工具专用，每餐对工具进行消毒；3. 菜品烹饪熟透，中心温度≥70℃，剩余饭菜冷藏保存≤24小时，加热时中心温度≥70℃。</w:t>
                  </w:r>
                </w:p>
              </w:tc>
            </w:tr>
            <w:tr w14:paraId="4A097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2" w:type="pct"/>
                  <w:vMerge w:val="continue"/>
                  <w:shd w:val="clear" w:color="auto" w:fill="auto"/>
                  <w:tcMar>
                    <w:top w:w="120" w:type="dxa"/>
                    <w:left w:w="120" w:type="dxa"/>
                    <w:bottom w:w="120" w:type="dxa"/>
                    <w:right w:w="120" w:type="dxa"/>
                  </w:tcMar>
                  <w:vAlign w:val="center"/>
                </w:tcPr>
                <w:p w14:paraId="6ED8B3FE">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61" w:type="pct"/>
                  <w:shd w:val="clear" w:color="auto" w:fill="auto"/>
                  <w:tcMar>
                    <w:top w:w="120" w:type="dxa"/>
                    <w:left w:w="120" w:type="dxa"/>
                    <w:bottom w:w="120" w:type="dxa"/>
                    <w:right w:w="120" w:type="dxa"/>
                  </w:tcMar>
                  <w:vAlign w:val="center"/>
                </w:tcPr>
                <w:p w14:paraId="12D7E5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餐具消毒与环境卫生</w:t>
                  </w:r>
                </w:p>
              </w:tc>
              <w:tc>
                <w:tcPr>
                  <w:tcW w:w="3456" w:type="pct"/>
                  <w:shd w:val="clear" w:color="auto" w:fill="auto"/>
                  <w:tcMar>
                    <w:top w:w="120" w:type="dxa"/>
                    <w:left w:w="120" w:type="dxa"/>
                    <w:bottom w:w="120" w:type="dxa"/>
                    <w:right w:w="120" w:type="dxa"/>
                  </w:tcMar>
                  <w:vAlign w:val="center"/>
                </w:tcPr>
                <w:p w14:paraId="700F45E1">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餐具清洗消毒流程规范，采用“一刮、二洗、三冲、四消毒、五保洁”，消毒合格率100%；2. 餐厅前厅、后厨每日清洁2次，每周大扫除1次，地面、墙面、灶台无油污、垃圾；3. 每日对餐厅进行消毒，通风良好，无异味，蝇虫防治措施到位。</w:t>
                  </w:r>
                </w:p>
              </w:tc>
            </w:tr>
            <w:tr w14:paraId="68185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2" w:type="pct"/>
                  <w:vMerge w:val="restart"/>
                  <w:shd w:val="clear" w:color="auto" w:fill="auto"/>
                  <w:tcMar>
                    <w:top w:w="120" w:type="dxa"/>
                    <w:left w:w="120" w:type="dxa"/>
                    <w:bottom w:w="120" w:type="dxa"/>
                    <w:right w:w="120" w:type="dxa"/>
                  </w:tcMar>
                  <w:vAlign w:val="center"/>
                </w:tcPr>
                <w:p w14:paraId="2013DAE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w:t>
                  </w:r>
                </w:p>
                <w:p w14:paraId="54EF81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餐饮服务管理</w:t>
                  </w:r>
                </w:p>
              </w:tc>
              <w:tc>
                <w:tcPr>
                  <w:tcW w:w="961" w:type="pct"/>
                  <w:shd w:val="clear" w:color="auto" w:fill="auto"/>
                  <w:tcMar>
                    <w:top w:w="120" w:type="dxa"/>
                    <w:left w:w="120" w:type="dxa"/>
                    <w:bottom w:w="120" w:type="dxa"/>
                    <w:right w:w="120" w:type="dxa"/>
                  </w:tcMar>
                  <w:vAlign w:val="center"/>
                </w:tcPr>
                <w:p w14:paraId="5D935E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菜品供应与质量</w:t>
                  </w:r>
                </w:p>
              </w:tc>
              <w:tc>
                <w:tcPr>
                  <w:tcW w:w="3456" w:type="pct"/>
                  <w:shd w:val="clear" w:color="auto" w:fill="auto"/>
                  <w:tcMar>
                    <w:top w:w="120" w:type="dxa"/>
                    <w:left w:w="120" w:type="dxa"/>
                    <w:bottom w:w="120" w:type="dxa"/>
                    <w:right w:w="120" w:type="dxa"/>
                  </w:tcMar>
                  <w:vAlign w:val="center"/>
                </w:tcPr>
                <w:p w14:paraId="54DB473E">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1.食堂供应的膳食应注意营养搭配，保持食材新鲜，营养均衡。严禁给师生供应腐烂、变质、过期食品；新鲜的瓜果蔬菜必须要认真清洗；严防食物中毒。2、 菜品分量充足，口味稳定，温度适宜（热菜≥60℃，凉菜≤10℃）；3. 明码标价，价格合理，无哄抬物价现象。</w:t>
                  </w:r>
                </w:p>
              </w:tc>
            </w:tr>
            <w:tr w14:paraId="2F941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2" w:type="pct"/>
                  <w:vMerge w:val="continue"/>
                  <w:shd w:val="clear" w:color="auto" w:fill="auto"/>
                  <w:tcMar>
                    <w:top w:w="120" w:type="dxa"/>
                    <w:left w:w="120" w:type="dxa"/>
                    <w:bottom w:w="120" w:type="dxa"/>
                    <w:right w:w="120" w:type="dxa"/>
                  </w:tcMar>
                  <w:vAlign w:val="center"/>
                </w:tcPr>
                <w:p w14:paraId="1BC56AB7">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61" w:type="pct"/>
                  <w:shd w:val="clear" w:color="auto" w:fill="auto"/>
                  <w:tcMar>
                    <w:top w:w="120" w:type="dxa"/>
                    <w:left w:w="120" w:type="dxa"/>
                    <w:bottom w:w="120" w:type="dxa"/>
                    <w:right w:w="120" w:type="dxa"/>
                  </w:tcMar>
                  <w:vAlign w:val="center"/>
                </w:tcPr>
                <w:p w14:paraId="10573C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服务接待</w:t>
                  </w:r>
                </w:p>
              </w:tc>
              <w:tc>
                <w:tcPr>
                  <w:tcW w:w="3456" w:type="pct"/>
                  <w:shd w:val="clear" w:color="auto" w:fill="auto"/>
                  <w:tcMar>
                    <w:top w:w="120" w:type="dxa"/>
                    <w:left w:w="120" w:type="dxa"/>
                    <w:bottom w:w="120" w:type="dxa"/>
                    <w:right w:w="120" w:type="dxa"/>
                  </w:tcMar>
                  <w:vAlign w:val="center"/>
                </w:tcPr>
                <w:p w14:paraId="2FAF42CC">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服务人员着装统一，态度热情，文明用语，主动解答师生咨询；2. 就餐高峰期增派人手，减少排队时间，单次排队时间≤15分钟；3. 及时处理就餐投诉，响应时间≤5分钟，处理满意率≥95%。3、按照食品监督要求，制定各项管理制度，确保学生和教职工的食品安全和就餐需求</w:t>
                  </w:r>
                </w:p>
              </w:tc>
            </w:tr>
            <w:tr w14:paraId="32041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2" w:type="pct"/>
                  <w:vMerge w:val="continue"/>
                  <w:shd w:val="clear" w:color="auto" w:fill="auto"/>
                  <w:tcMar>
                    <w:top w:w="120" w:type="dxa"/>
                    <w:left w:w="120" w:type="dxa"/>
                    <w:bottom w:w="120" w:type="dxa"/>
                    <w:right w:w="120" w:type="dxa"/>
                  </w:tcMar>
                  <w:vAlign w:val="center"/>
                </w:tcPr>
                <w:p w14:paraId="7FE2F434">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61" w:type="pct"/>
                  <w:shd w:val="clear" w:color="auto" w:fill="auto"/>
                  <w:tcMar>
                    <w:top w:w="120" w:type="dxa"/>
                    <w:left w:w="120" w:type="dxa"/>
                    <w:bottom w:w="120" w:type="dxa"/>
                    <w:right w:w="120" w:type="dxa"/>
                  </w:tcMar>
                  <w:vAlign w:val="center"/>
                </w:tcPr>
                <w:p w14:paraId="28AB74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default"/>
                      <w:sz w:val="24"/>
                      <w:szCs w:val="24"/>
                      <w:lang w:val="en-US"/>
                    </w:rPr>
                  </w:pPr>
                  <w:r>
                    <w:rPr>
                      <w:rFonts w:ascii="宋体" w:hAnsi="宋体" w:eastAsia="宋体" w:cs="宋体"/>
                      <w:snapToGrid w:val="0"/>
                      <w:color w:val="000000"/>
                      <w:kern w:val="0"/>
                      <w:sz w:val="24"/>
                      <w:szCs w:val="24"/>
                      <w:lang w:val="en-US" w:eastAsia="zh-CN" w:bidi="ar"/>
                    </w:rPr>
                    <w:t>成本与</w:t>
                  </w:r>
                  <w:r>
                    <w:rPr>
                      <w:rFonts w:hint="eastAsia" w:ascii="宋体" w:hAnsi="宋体" w:eastAsia="宋体" w:cs="宋体"/>
                      <w:snapToGrid w:val="0"/>
                      <w:color w:val="000000"/>
                      <w:kern w:val="0"/>
                      <w:sz w:val="24"/>
                      <w:szCs w:val="24"/>
                      <w:lang w:val="en-US" w:eastAsia="zh-CN" w:bidi="ar"/>
                    </w:rPr>
                    <w:t>物价监管</w:t>
                  </w:r>
                </w:p>
              </w:tc>
              <w:tc>
                <w:tcPr>
                  <w:tcW w:w="3456" w:type="pct"/>
                  <w:shd w:val="clear" w:color="auto" w:fill="auto"/>
                  <w:tcMar>
                    <w:top w:w="120" w:type="dxa"/>
                    <w:left w:w="120" w:type="dxa"/>
                    <w:bottom w:w="120" w:type="dxa"/>
                    <w:right w:w="120" w:type="dxa"/>
                  </w:tcMar>
                  <w:vAlign w:val="center"/>
                </w:tcPr>
                <w:p w14:paraId="54BF55A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建立完善的成本核算体系，每月向招标人提交经营报表；2. 收费系统准确无误，每日对账，账款相符，做好台账记录；3. 接受招标人财务监管，配合审计工作。</w:t>
                  </w:r>
                </w:p>
              </w:tc>
            </w:tr>
            <w:tr w14:paraId="0D138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2" w:type="pct"/>
                  <w:vMerge w:val="restart"/>
                  <w:shd w:val="clear" w:color="auto" w:fill="auto"/>
                  <w:tcMar>
                    <w:top w:w="120" w:type="dxa"/>
                    <w:left w:w="120" w:type="dxa"/>
                    <w:bottom w:w="120" w:type="dxa"/>
                    <w:right w:w="120" w:type="dxa"/>
                  </w:tcMar>
                  <w:vAlign w:val="center"/>
                </w:tcPr>
                <w:p w14:paraId="06FA42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3、</w:t>
                  </w:r>
                </w:p>
                <w:p w14:paraId="422A24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专项服务</w:t>
                  </w:r>
                </w:p>
              </w:tc>
              <w:tc>
                <w:tcPr>
                  <w:tcW w:w="961" w:type="pct"/>
                  <w:shd w:val="clear" w:color="auto" w:fill="auto"/>
                  <w:tcMar>
                    <w:top w:w="120" w:type="dxa"/>
                    <w:left w:w="120" w:type="dxa"/>
                    <w:bottom w:w="120" w:type="dxa"/>
                    <w:right w:w="120" w:type="dxa"/>
                  </w:tcMar>
                  <w:vAlign w:val="center"/>
                </w:tcPr>
                <w:p w14:paraId="170D73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特殊餐饮服务</w:t>
                  </w:r>
                </w:p>
              </w:tc>
              <w:tc>
                <w:tcPr>
                  <w:tcW w:w="3456" w:type="pct"/>
                  <w:shd w:val="clear" w:color="auto" w:fill="auto"/>
                  <w:tcMar>
                    <w:top w:w="120" w:type="dxa"/>
                    <w:left w:w="120" w:type="dxa"/>
                    <w:bottom w:w="120" w:type="dxa"/>
                    <w:right w:w="120" w:type="dxa"/>
                  </w:tcMar>
                  <w:vAlign w:val="center"/>
                </w:tcPr>
                <w:p w14:paraId="2D20265E">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为少数民族师生提供符合其饮食习惯的菜品，设立专门窗口；2. 可提供会议餐、活动餐等定制服务，提前24小时接受预订，按时送达，质量达标。</w:t>
                  </w:r>
                </w:p>
              </w:tc>
            </w:tr>
            <w:tr w14:paraId="4605A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2" w:type="pct"/>
                  <w:vMerge w:val="continue"/>
                  <w:shd w:val="clear" w:color="auto" w:fill="auto"/>
                  <w:tcMar>
                    <w:top w:w="120" w:type="dxa"/>
                    <w:left w:w="120" w:type="dxa"/>
                    <w:bottom w:w="120" w:type="dxa"/>
                    <w:right w:w="120" w:type="dxa"/>
                  </w:tcMar>
                  <w:vAlign w:val="center"/>
                </w:tcPr>
                <w:p w14:paraId="5322A1FD">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61" w:type="pct"/>
                  <w:shd w:val="clear" w:color="auto" w:fill="auto"/>
                  <w:tcMar>
                    <w:top w:w="120" w:type="dxa"/>
                    <w:left w:w="120" w:type="dxa"/>
                    <w:bottom w:w="120" w:type="dxa"/>
                    <w:right w:w="120" w:type="dxa"/>
                  </w:tcMar>
                  <w:vAlign w:val="center"/>
                </w:tcPr>
                <w:p w14:paraId="595E400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从业人员管理</w:t>
                  </w:r>
                </w:p>
              </w:tc>
              <w:tc>
                <w:tcPr>
                  <w:tcW w:w="3456" w:type="pct"/>
                  <w:shd w:val="clear" w:color="auto" w:fill="auto"/>
                  <w:tcMar>
                    <w:top w:w="120" w:type="dxa"/>
                    <w:left w:w="120" w:type="dxa"/>
                    <w:bottom w:w="120" w:type="dxa"/>
                    <w:right w:w="120" w:type="dxa"/>
                  </w:tcMar>
                  <w:vAlign w:val="center"/>
                </w:tcPr>
                <w:p w14:paraId="53C9E7F9">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default"/>
                      <w:sz w:val="24"/>
                      <w:szCs w:val="24"/>
                      <w:lang w:val="en-US"/>
                    </w:rPr>
                  </w:pPr>
                  <w:r>
                    <w:rPr>
                      <w:rFonts w:hint="eastAsia" w:asciiTheme="minorEastAsia" w:hAnsiTheme="minorEastAsia" w:eastAsiaTheme="minorEastAsia" w:cstheme="minorEastAsia"/>
                      <w:sz w:val="24"/>
                      <w:szCs w:val="24"/>
                      <w:vertAlign w:val="baseline"/>
                      <w:lang w:val="en-US" w:eastAsia="zh-CN"/>
                    </w:rPr>
                    <w:t>1.定期开展食品安全、服务礼仪培训，每月至少1次；2. 建立从业人员档案，记录基本信息、培训情况、健康状况等。3、按照《食品卫生法》做好食品安全管理工作，依据市场监督管理局要求，申领《食品卫生许可证》，并每年进行一次年审。4、食品安全监管员组织拟定食品安全管理制度，督促落实食品安全责任制，从业人员健康管理、供货者管理、进货查验、生产经营过程控制、安全自查、食品安全信息追溯建设、投诉举报处理等食品安全方面的责任要求。5、库管员负责食材入库管理食材验收、登记溯源台账、管理餐厅配套库房，建立食材分类台账、物资发放记录发放明细、仓储维护保障仓储环境符合食品安全标准。6、物价监管员负责档口价格核算：每月完成餐厅档口成本核算（食材成本、人力成本、能耗成本等），制定指导价格，限定档口利润率；票据管理：负责发票开具、保管，采购合同、付款凭证等财务资料的整理归档。</w:t>
                  </w:r>
                </w:p>
              </w:tc>
            </w:tr>
          </w:tbl>
          <w:p w14:paraId="6B439E85">
            <w:pPr>
              <w:pStyle w:val="2"/>
              <w:widowControl w:val="0"/>
              <w:spacing w:line="360" w:lineRule="auto"/>
              <w:jc w:val="both"/>
              <w:rPr>
                <w:rFonts w:hint="default"/>
                <w:sz w:val="24"/>
                <w:szCs w:val="24"/>
                <w:lang w:val="en-US" w:eastAsia="zh-CN"/>
              </w:rPr>
            </w:pPr>
          </w:p>
          <w:p w14:paraId="758BFCB7">
            <w:pPr>
              <w:widowControl w:val="0"/>
              <w:numPr>
                <w:ilvl w:val="0"/>
                <w:numId w:val="0"/>
              </w:numPr>
              <w:bidi w:val="0"/>
              <w:spacing w:line="36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napToGrid w:val="0"/>
                <w:color w:val="000000"/>
                <w:kern w:val="0"/>
                <w:sz w:val="24"/>
                <w:szCs w:val="24"/>
                <w:lang w:val="en-US" w:eastAsia="zh-CN" w:bidi="ar-SA"/>
              </w:rPr>
              <w:t>（八）</w:t>
            </w:r>
            <w:r>
              <w:rPr>
                <w:rFonts w:hint="default" w:asciiTheme="minorEastAsia" w:hAnsiTheme="minorEastAsia" w:eastAsiaTheme="minorEastAsia" w:cstheme="minorEastAsia"/>
                <w:sz w:val="24"/>
                <w:szCs w:val="24"/>
                <w:lang w:val="en-US" w:eastAsia="zh-CN"/>
              </w:rPr>
              <w:t>公寓管理服务</w:t>
            </w:r>
          </w:p>
          <w:tbl>
            <w:tblPr>
              <w:tblStyle w:val="6"/>
              <w:tblW w:w="7372"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57"/>
              <w:gridCol w:w="1432"/>
              <w:gridCol w:w="5083"/>
            </w:tblGrid>
            <w:tr w14:paraId="52700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581" w:type="pct"/>
                  <w:shd w:val="clear" w:color="auto" w:fill="F2F3F5"/>
                  <w:tcMar>
                    <w:top w:w="120" w:type="dxa"/>
                    <w:left w:w="120" w:type="dxa"/>
                    <w:bottom w:w="120" w:type="dxa"/>
                    <w:right w:w="120" w:type="dxa"/>
                  </w:tcMar>
                  <w:vAlign w:val="center"/>
                </w:tcPr>
                <w:p w14:paraId="3A3BF0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ascii="宋体" w:hAnsi="宋体" w:eastAsia="宋体" w:cs="宋体"/>
                      <w:snapToGrid w:val="0"/>
                      <w:color w:val="000000"/>
                      <w:kern w:val="0"/>
                      <w:sz w:val="24"/>
                      <w:szCs w:val="24"/>
                      <w:lang w:val="en-US" w:eastAsia="zh-CN" w:bidi="ar"/>
                    </w:rPr>
                    <w:t>序号</w:t>
                  </w:r>
                </w:p>
              </w:tc>
              <w:tc>
                <w:tcPr>
                  <w:tcW w:w="971" w:type="pct"/>
                  <w:shd w:val="clear" w:color="auto" w:fill="F2F3F5"/>
                  <w:tcMar>
                    <w:top w:w="120" w:type="dxa"/>
                    <w:left w:w="120" w:type="dxa"/>
                    <w:bottom w:w="120" w:type="dxa"/>
                    <w:right w:w="120" w:type="dxa"/>
                  </w:tcMar>
                  <w:vAlign w:val="center"/>
                </w:tcPr>
                <w:p w14:paraId="3FD5CFE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服务内容</w:t>
                  </w:r>
                </w:p>
              </w:tc>
              <w:tc>
                <w:tcPr>
                  <w:tcW w:w="3447" w:type="pct"/>
                  <w:shd w:val="clear" w:color="auto" w:fill="F2F3F5"/>
                  <w:tcMar>
                    <w:top w:w="120" w:type="dxa"/>
                    <w:left w:w="120" w:type="dxa"/>
                    <w:bottom w:w="120" w:type="dxa"/>
                    <w:right w:w="120" w:type="dxa"/>
                  </w:tcMar>
                  <w:vAlign w:val="center"/>
                </w:tcPr>
                <w:p w14:paraId="5274B4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服务标准</w:t>
                  </w:r>
                </w:p>
              </w:tc>
            </w:tr>
            <w:tr w14:paraId="76DCC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81" w:type="pct"/>
                  <w:vMerge w:val="restart"/>
                  <w:shd w:val="clear" w:color="auto" w:fill="auto"/>
                  <w:tcMar>
                    <w:top w:w="120" w:type="dxa"/>
                    <w:left w:w="120" w:type="dxa"/>
                    <w:bottom w:w="120" w:type="dxa"/>
                    <w:right w:w="120" w:type="dxa"/>
                  </w:tcMar>
                  <w:vAlign w:val="center"/>
                </w:tcPr>
                <w:p w14:paraId="380CC0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1、</w:t>
                  </w:r>
                </w:p>
                <w:p w14:paraId="273540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安全管理服务</w:t>
                  </w:r>
                </w:p>
              </w:tc>
              <w:tc>
                <w:tcPr>
                  <w:tcW w:w="971" w:type="pct"/>
                  <w:shd w:val="clear" w:color="auto" w:fill="auto"/>
                  <w:tcMar>
                    <w:top w:w="120" w:type="dxa"/>
                    <w:left w:w="120" w:type="dxa"/>
                    <w:bottom w:w="120" w:type="dxa"/>
                    <w:right w:w="120" w:type="dxa"/>
                  </w:tcMar>
                  <w:vAlign w:val="center"/>
                </w:tcPr>
                <w:p w14:paraId="5597BF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出入管理</w:t>
                  </w:r>
                </w:p>
              </w:tc>
              <w:tc>
                <w:tcPr>
                  <w:tcW w:w="3447" w:type="pct"/>
                  <w:shd w:val="clear" w:color="auto" w:fill="auto"/>
                  <w:tcMar>
                    <w:top w:w="120" w:type="dxa"/>
                    <w:left w:w="120" w:type="dxa"/>
                    <w:bottom w:w="120" w:type="dxa"/>
                    <w:right w:w="120" w:type="dxa"/>
                  </w:tcMar>
                  <w:vAlign w:val="center"/>
                </w:tcPr>
                <w:p w14:paraId="005FE57D">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公寓楼实行24小时值班制度，云谷校区值班员工作时间三班倒，单人单岗，无节假日等特殊情况，寒暑假正常上班，值班期间不脱岗、不迟到不早退、不做与本职工作无关的事情，值班人员做好出入登记，外来人员进入需经住宿师生确认并登记，禁止无关人员进入；2. 每晚23:00至次日6:00实行宵禁管理，晚归学生登记备案，及时联系辅导员；3. 禁止携带易燃易爆、管制刀具等危险品进入公寓，每日巡查排查。</w:t>
                  </w:r>
                </w:p>
              </w:tc>
            </w:tr>
            <w:tr w14:paraId="7AC6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1" w:type="pct"/>
                  <w:vMerge w:val="continue"/>
                  <w:shd w:val="clear" w:color="auto" w:fill="auto"/>
                  <w:tcMar>
                    <w:top w:w="120" w:type="dxa"/>
                    <w:left w:w="120" w:type="dxa"/>
                    <w:bottom w:w="120" w:type="dxa"/>
                    <w:right w:w="120" w:type="dxa"/>
                  </w:tcMar>
                  <w:vAlign w:val="center"/>
                </w:tcPr>
                <w:p w14:paraId="797B860C">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71" w:type="pct"/>
                  <w:shd w:val="clear" w:color="auto" w:fill="auto"/>
                  <w:tcMar>
                    <w:top w:w="120" w:type="dxa"/>
                    <w:left w:w="120" w:type="dxa"/>
                    <w:bottom w:w="120" w:type="dxa"/>
                    <w:right w:w="120" w:type="dxa"/>
                  </w:tcMar>
                  <w:vAlign w:val="center"/>
                </w:tcPr>
                <w:p w14:paraId="3BE600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消防安全管理</w:t>
                  </w:r>
                </w:p>
              </w:tc>
              <w:tc>
                <w:tcPr>
                  <w:tcW w:w="3447" w:type="pct"/>
                  <w:shd w:val="clear" w:color="auto" w:fill="auto"/>
                  <w:tcMar>
                    <w:top w:w="120" w:type="dxa"/>
                    <w:left w:w="120" w:type="dxa"/>
                    <w:bottom w:w="120" w:type="dxa"/>
                    <w:right w:w="120" w:type="dxa"/>
                  </w:tcMar>
                  <w:vAlign w:val="center"/>
                </w:tcPr>
                <w:p w14:paraId="21C1D9F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每周检查消防设施（灭火器、消防栓等），确保完好有效，记录完整；2. 保持疏散通道畅通，无杂物堆放，禁止私拉乱接电线、使用违规电器，发现后立即处理并登记。</w:t>
                  </w:r>
                </w:p>
              </w:tc>
            </w:tr>
            <w:tr w14:paraId="199AE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1" w:type="pct"/>
                  <w:vMerge w:val="continue"/>
                  <w:shd w:val="clear" w:color="auto" w:fill="auto"/>
                  <w:tcMar>
                    <w:top w:w="120" w:type="dxa"/>
                    <w:left w:w="120" w:type="dxa"/>
                    <w:bottom w:w="120" w:type="dxa"/>
                    <w:right w:w="120" w:type="dxa"/>
                  </w:tcMar>
                  <w:vAlign w:val="center"/>
                </w:tcPr>
                <w:p w14:paraId="33B3D797">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71" w:type="pct"/>
                  <w:shd w:val="clear" w:color="auto" w:fill="auto"/>
                  <w:tcMar>
                    <w:top w:w="120" w:type="dxa"/>
                    <w:left w:w="120" w:type="dxa"/>
                    <w:bottom w:w="120" w:type="dxa"/>
                    <w:right w:w="120" w:type="dxa"/>
                  </w:tcMar>
                  <w:vAlign w:val="center"/>
                </w:tcPr>
                <w:p w14:paraId="63CF04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财产安全管理</w:t>
                  </w:r>
                </w:p>
              </w:tc>
              <w:tc>
                <w:tcPr>
                  <w:tcW w:w="3447" w:type="pct"/>
                  <w:shd w:val="clear" w:color="auto" w:fill="auto"/>
                  <w:tcMar>
                    <w:top w:w="120" w:type="dxa"/>
                    <w:left w:w="120" w:type="dxa"/>
                    <w:bottom w:w="120" w:type="dxa"/>
                    <w:right w:w="120" w:type="dxa"/>
                  </w:tcMar>
                  <w:vAlign w:val="center"/>
                </w:tcPr>
                <w:p w14:paraId="434A7D5A">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每日巡查公寓楼公共区域，及时发现安全隐患并处理；2. 接到师生财产安全求助时，响应时间≤5分钟，协助联系保卫部门，做好记录；3. 服务期内公寓楼无重大财产安全责任事故。</w:t>
                  </w:r>
                </w:p>
              </w:tc>
            </w:tr>
            <w:tr w14:paraId="35102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1" w:type="pct"/>
                  <w:vMerge w:val="restart"/>
                  <w:shd w:val="clear" w:color="auto" w:fill="auto"/>
                  <w:tcMar>
                    <w:top w:w="120" w:type="dxa"/>
                    <w:left w:w="120" w:type="dxa"/>
                    <w:bottom w:w="120" w:type="dxa"/>
                    <w:right w:w="120" w:type="dxa"/>
                  </w:tcMar>
                  <w:vAlign w:val="center"/>
                </w:tcPr>
                <w:p w14:paraId="547540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w:t>
                  </w:r>
                </w:p>
                <w:p w14:paraId="33F232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日常管理服务</w:t>
                  </w:r>
                </w:p>
              </w:tc>
              <w:tc>
                <w:tcPr>
                  <w:tcW w:w="971" w:type="pct"/>
                  <w:shd w:val="clear" w:color="auto" w:fill="auto"/>
                  <w:tcMar>
                    <w:top w:w="120" w:type="dxa"/>
                    <w:left w:w="120" w:type="dxa"/>
                    <w:bottom w:w="120" w:type="dxa"/>
                    <w:right w:w="120" w:type="dxa"/>
                  </w:tcMar>
                  <w:vAlign w:val="center"/>
                </w:tcPr>
                <w:p w14:paraId="07D26E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住宿管理</w:t>
                  </w:r>
                </w:p>
              </w:tc>
              <w:tc>
                <w:tcPr>
                  <w:tcW w:w="3447" w:type="pct"/>
                  <w:shd w:val="clear" w:color="auto" w:fill="auto"/>
                  <w:tcMar>
                    <w:top w:w="120" w:type="dxa"/>
                    <w:left w:w="120" w:type="dxa"/>
                    <w:bottom w:w="120" w:type="dxa"/>
                    <w:right w:w="120" w:type="dxa"/>
                  </w:tcMar>
                  <w:vAlign w:val="center"/>
                </w:tcPr>
                <w:p w14:paraId="290B8CB1">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协助招标人完成学生入住、退宿手续办理，建立住宿档案，档案完整率100%；2. 每月检查住宿情况，规范作息，制止违规行为，处理率100%；3. 及时调解住宿矛盾，调解成功率≥95%。</w:t>
                  </w:r>
                </w:p>
              </w:tc>
            </w:tr>
            <w:tr w14:paraId="4491E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81" w:type="pct"/>
                  <w:vMerge w:val="continue"/>
                  <w:shd w:val="clear" w:color="auto" w:fill="auto"/>
                  <w:tcMar>
                    <w:top w:w="120" w:type="dxa"/>
                    <w:left w:w="120" w:type="dxa"/>
                    <w:bottom w:w="120" w:type="dxa"/>
                    <w:right w:w="120" w:type="dxa"/>
                  </w:tcMar>
                  <w:vAlign w:val="center"/>
                </w:tcPr>
                <w:p w14:paraId="74E6FAFF">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71" w:type="pct"/>
                  <w:shd w:val="clear" w:color="auto" w:fill="auto"/>
                  <w:tcMar>
                    <w:top w:w="120" w:type="dxa"/>
                    <w:left w:w="120" w:type="dxa"/>
                    <w:bottom w:w="120" w:type="dxa"/>
                    <w:right w:w="120" w:type="dxa"/>
                  </w:tcMar>
                  <w:vAlign w:val="center"/>
                </w:tcPr>
                <w:p w14:paraId="551DFEF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设施维护与报修</w:t>
                  </w:r>
                </w:p>
              </w:tc>
              <w:tc>
                <w:tcPr>
                  <w:tcW w:w="3447" w:type="pct"/>
                  <w:shd w:val="clear" w:color="auto" w:fill="auto"/>
                  <w:tcMar>
                    <w:top w:w="120" w:type="dxa"/>
                    <w:left w:w="120" w:type="dxa"/>
                    <w:bottom w:w="120" w:type="dxa"/>
                    <w:right w:w="120" w:type="dxa"/>
                  </w:tcMar>
                  <w:vAlign w:val="center"/>
                </w:tcPr>
                <w:p w14:paraId="2CA8AE68">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每周检查公寓内家具、门窗、水电设施等，记录完好情况；2. 师生报修后，响应时间≤30分钟，一般性维修≤1个工作日完成，复杂维修≤3个工作日并告知进度；3. 维修合格率100%，师生满意度≥95%。</w:t>
                  </w:r>
                </w:p>
              </w:tc>
            </w:tr>
            <w:tr w14:paraId="5DE11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trPr>
              <w:tc>
                <w:tcPr>
                  <w:tcW w:w="581" w:type="pct"/>
                  <w:vMerge w:val="continue"/>
                  <w:shd w:val="clear" w:color="auto" w:fill="auto"/>
                  <w:tcMar>
                    <w:top w:w="120" w:type="dxa"/>
                    <w:left w:w="120" w:type="dxa"/>
                    <w:bottom w:w="120" w:type="dxa"/>
                    <w:right w:w="120" w:type="dxa"/>
                  </w:tcMar>
                  <w:vAlign w:val="center"/>
                </w:tcPr>
                <w:p w14:paraId="20D173C3">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71" w:type="pct"/>
                  <w:shd w:val="clear" w:color="auto" w:fill="auto"/>
                  <w:tcMar>
                    <w:top w:w="120" w:type="dxa"/>
                    <w:left w:w="120" w:type="dxa"/>
                    <w:bottom w:w="120" w:type="dxa"/>
                    <w:right w:w="120" w:type="dxa"/>
                  </w:tcMar>
                  <w:vAlign w:val="center"/>
                </w:tcPr>
                <w:p w14:paraId="35EFC0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环境卫生管理</w:t>
                  </w:r>
                </w:p>
              </w:tc>
              <w:tc>
                <w:tcPr>
                  <w:tcW w:w="3447" w:type="pct"/>
                  <w:shd w:val="clear" w:color="auto" w:fill="auto"/>
                  <w:tcMar>
                    <w:top w:w="120" w:type="dxa"/>
                    <w:left w:w="120" w:type="dxa"/>
                    <w:bottom w:w="120" w:type="dxa"/>
                    <w:right w:w="120" w:type="dxa"/>
                  </w:tcMar>
                  <w:vAlign w:val="center"/>
                </w:tcPr>
                <w:p w14:paraId="30D08257">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公寓楼道、楼梯、公共卫生间每日清扫2次，拖拭1次，无垃圾、污渍、异味；2. 垃圾桶每日清运2次，每周消毒1次；3. 每月对公寓公共区域进行1次全面消毒，疫情等特殊时期按要求增加频次。</w:t>
                  </w:r>
                </w:p>
              </w:tc>
            </w:tr>
            <w:tr w14:paraId="38CF3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81" w:type="pct"/>
                  <w:vMerge w:val="restart"/>
                  <w:shd w:val="clear" w:color="auto" w:fill="auto"/>
                  <w:tcMar>
                    <w:top w:w="120" w:type="dxa"/>
                    <w:left w:w="120" w:type="dxa"/>
                    <w:bottom w:w="120" w:type="dxa"/>
                    <w:right w:w="120" w:type="dxa"/>
                  </w:tcMar>
                  <w:vAlign w:val="center"/>
                </w:tcPr>
                <w:p w14:paraId="2DB8B8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3、</w:t>
                  </w:r>
                </w:p>
                <w:p w14:paraId="315E49E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专项服务</w:t>
                  </w:r>
                </w:p>
              </w:tc>
              <w:tc>
                <w:tcPr>
                  <w:tcW w:w="971" w:type="pct"/>
                  <w:shd w:val="clear" w:color="auto" w:fill="auto"/>
                  <w:tcMar>
                    <w:top w:w="120" w:type="dxa"/>
                    <w:left w:w="120" w:type="dxa"/>
                    <w:bottom w:w="120" w:type="dxa"/>
                    <w:right w:w="120" w:type="dxa"/>
                  </w:tcMar>
                  <w:vAlign w:val="center"/>
                </w:tcPr>
                <w:p w14:paraId="36991E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生活服务保障</w:t>
                  </w:r>
                </w:p>
              </w:tc>
              <w:tc>
                <w:tcPr>
                  <w:tcW w:w="3447" w:type="pct"/>
                  <w:shd w:val="clear" w:color="auto" w:fill="auto"/>
                  <w:tcMar>
                    <w:top w:w="120" w:type="dxa"/>
                    <w:left w:w="120" w:type="dxa"/>
                    <w:bottom w:w="120" w:type="dxa"/>
                    <w:right w:w="120" w:type="dxa"/>
                  </w:tcMar>
                  <w:vAlign w:val="center"/>
                </w:tcPr>
                <w:p w14:paraId="74F0EAE1">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设立服务台，提供针线包、应急药品、雨伞等便民物资；2. 协助代收快递、信件，及时通知师生领取，错发漏发率为0；3. 关注特殊学生（如生病、残疾学生）需求，提供必要帮助。</w:t>
                  </w:r>
                </w:p>
              </w:tc>
            </w:tr>
            <w:tr w14:paraId="597FC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81" w:type="pct"/>
                  <w:vMerge w:val="continue"/>
                  <w:shd w:val="clear" w:color="auto" w:fill="auto"/>
                  <w:tcMar>
                    <w:top w:w="120" w:type="dxa"/>
                    <w:left w:w="120" w:type="dxa"/>
                    <w:bottom w:w="120" w:type="dxa"/>
                    <w:right w:w="120" w:type="dxa"/>
                  </w:tcMar>
                  <w:vAlign w:val="center"/>
                </w:tcPr>
                <w:p w14:paraId="79893DAF">
                  <w:pPr>
                    <w:keepNext w:val="0"/>
                    <w:keepLines w:val="0"/>
                    <w:pageBreakBefore w:val="0"/>
                    <w:widowControl/>
                    <w:kinsoku w:val="0"/>
                    <w:wordWrap/>
                    <w:overflowPunct/>
                    <w:topLinePunct w:val="0"/>
                    <w:autoSpaceDE w:val="0"/>
                    <w:autoSpaceDN w:val="0"/>
                    <w:bidi w:val="0"/>
                    <w:adjustRightInd w:val="0"/>
                    <w:snapToGrid w:val="0"/>
                    <w:spacing w:line="240" w:lineRule="auto"/>
                    <w:jc w:val="both"/>
                    <w:rPr>
                      <w:rFonts w:hint="eastAsia" w:ascii="宋体"/>
                      <w:sz w:val="24"/>
                      <w:szCs w:val="24"/>
                    </w:rPr>
                  </w:pPr>
                </w:p>
              </w:tc>
              <w:tc>
                <w:tcPr>
                  <w:tcW w:w="971" w:type="pct"/>
                  <w:shd w:val="clear" w:color="auto" w:fill="auto"/>
                  <w:tcMar>
                    <w:top w:w="120" w:type="dxa"/>
                    <w:left w:w="120" w:type="dxa"/>
                    <w:bottom w:w="120" w:type="dxa"/>
                    <w:right w:w="120" w:type="dxa"/>
                  </w:tcMar>
                  <w:vAlign w:val="center"/>
                </w:tcPr>
                <w:p w14:paraId="1E220A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文化建设服务</w:t>
                  </w:r>
                </w:p>
              </w:tc>
              <w:tc>
                <w:tcPr>
                  <w:tcW w:w="3447" w:type="pct"/>
                  <w:shd w:val="clear" w:color="auto" w:fill="auto"/>
                  <w:tcMar>
                    <w:top w:w="120" w:type="dxa"/>
                    <w:left w:w="120" w:type="dxa"/>
                    <w:bottom w:w="120" w:type="dxa"/>
                    <w:right w:w="120" w:type="dxa"/>
                  </w:tcMar>
                  <w:vAlign w:val="center"/>
                </w:tcPr>
                <w:p w14:paraId="39E65DEF">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 配合招标人开展公寓文化活动，如“文明宿舍”评比等；2. 维护公寓公共区域文化宣传栏，每月更新1次内容；3. 营造整洁、和谐、文明的住宿氛围。</w:t>
                  </w:r>
                </w:p>
              </w:tc>
            </w:tr>
          </w:tbl>
          <w:p w14:paraId="0E9BA250">
            <w:pPr>
              <w:pStyle w:val="2"/>
              <w:keepNext/>
              <w:keepLines/>
              <w:widowControl w:val="0"/>
              <w:numPr>
                <w:ilvl w:val="0"/>
                <w:numId w:val="0"/>
              </w:numPr>
              <w:kinsoku w:val="0"/>
              <w:autoSpaceDE w:val="0"/>
              <w:autoSpaceDN w:val="0"/>
              <w:adjustRightInd w:val="0"/>
              <w:snapToGrid w:val="0"/>
              <w:spacing w:line="360" w:lineRule="auto"/>
              <w:jc w:val="both"/>
              <w:textAlignment w:val="baseline"/>
              <w:outlineLvl w:val="2"/>
              <w:rPr>
                <w:rFonts w:hint="default"/>
                <w:sz w:val="24"/>
                <w:szCs w:val="24"/>
                <w:lang w:val="en-US" w:eastAsia="zh-CN"/>
              </w:rPr>
            </w:pPr>
          </w:p>
          <w:p w14:paraId="65E79334">
            <w:pPr>
              <w:widowControl w:val="0"/>
              <w:numPr>
                <w:ilvl w:val="0"/>
                <w:numId w:val="0"/>
              </w:numPr>
              <w:spacing w:line="360" w:lineRule="auto"/>
              <w:ind w:left="0" w:leftChars="0" w:firstLine="0" w:firstLineChars="0"/>
              <w:jc w:val="both"/>
              <w:rPr>
                <w:rFonts w:hint="eastAsia"/>
                <w:sz w:val="24"/>
                <w:szCs w:val="24"/>
                <w:lang w:val="en-US" w:eastAsia="zh-CN"/>
              </w:rPr>
            </w:pPr>
            <w:r>
              <w:rPr>
                <w:rFonts w:hint="eastAsia" w:ascii="Arial" w:hAnsi="Arial" w:eastAsia="Arial" w:cs="Arial"/>
                <w:snapToGrid w:val="0"/>
                <w:color w:val="000000"/>
                <w:kern w:val="0"/>
                <w:sz w:val="24"/>
                <w:szCs w:val="24"/>
                <w:lang w:val="en-US" w:eastAsia="zh-CN" w:bidi="ar-SA"/>
              </w:rPr>
              <w:t>（九）</w:t>
            </w:r>
            <w:r>
              <w:rPr>
                <w:rFonts w:hint="eastAsia"/>
                <w:sz w:val="24"/>
                <w:szCs w:val="24"/>
                <w:lang w:val="en-US" w:eastAsia="zh-CN"/>
              </w:rPr>
              <w:t>垃圾清运服务</w:t>
            </w:r>
          </w:p>
          <w:p w14:paraId="37A13D41">
            <w:pPr>
              <w:pStyle w:val="2"/>
              <w:keepNext/>
              <w:keepLines/>
              <w:widowControl w:val="0"/>
              <w:numPr>
                <w:ilvl w:val="0"/>
                <w:numId w:val="0"/>
              </w:numPr>
              <w:kinsoku w:val="0"/>
              <w:autoSpaceDE w:val="0"/>
              <w:autoSpaceDN w:val="0"/>
              <w:adjustRightInd w:val="0"/>
              <w:snapToGrid w:val="0"/>
              <w:spacing w:line="360" w:lineRule="auto"/>
              <w:jc w:val="both"/>
              <w:textAlignment w:val="baseline"/>
              <w:outlineLvl w:val="2"/>
              <w:rPr>
                <w:rFonts w:hint="default"/>
                <w:sz w:val="24"/>
                <w:szCs w:val="24"/>
                <w:lang w:val="en-US" w:eastAsia="zh-CN"/>
              </w:rPr>
            </w:pPr>
          </w:p>
          <w:tbl>
            <w:tblPr>
              <w:tblStyle w:val="6"/>
              <w:tblW w:w="4450"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69"/>
              <w:gridCol w:w="1454"/>
              <w:gridCol w:w="5106"/>
            </w:tblGrid>
            <w:tr w14:paraId="19DCA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585" w:type="pct"/>
                  <w:shd w:val="clear" w:color="auto" w:fill="F2F3F5"/>
                  <w:tcMar>
                    <w:top w:w="120" w:type="dxa"/>
                    <w:left w:w="120" w:type="dxa"/>
                    <w:bottom w:w="120" w:type="dxa"/>
                    <w:right w:w="120" w:type="dxa"/>
                  </w:tcMar>
                  <w:vAlign w:val="center"/>
                </w:tcPr>
                <w:p w14:paraId="7FDE6D3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ascii="宋体" w:hAnsi="宋体" w:eastAsia="宋体" w:cs="宋体"/>
                      <w:snapToGrid w:val="0"/>
                      <w:color w:val="000000"/>
                      <w:kern w:val="0"/>
                      <w:sz w:val="24"/>
                      <w:szCs w:val="24"/>
                      <w:lang w:val="en-US" w:eastAsia="zh-CN" w:bidi="ar"/>
                    </w:rPr>
                    <w:t>序号</w:t>
                  </w:r>
                </w:p>
              </w:tc>
              <w:tc>
                <w:tcPr>
                  <w:tcW w:w="978" w:type="pct"/>
                  <w:shd w:val="clear" w:color="auto" w:fill="F2F3F5"/>
                  <w:tcMar>
                    <w:top w:w="120" w:type="dxa"/>
                    <w:left w:w="120" w:type="dxa"/>
                    <w:bottom w:w="120" w:type="dxa"/>
                    <w:right w:w="120" w:type="dxa"/>
                  </w:tcMar>
                  <w:vAlign w:val="center"/>
                </w:tcPr>
                <w:p w14:paraId="7CE497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服务内容</w:t>
                  </w:r>
                </w:p>
              </w:tc>
              <w:tc>
                <w:tcPr>
                  <w:tcW w:w="3435" w:type="pct"/>
                  <w:shd w:val="clear" w:color="auto" w:fill="F2F3F5"/>
                  <w:tcMar>
                    <w:top w:w="120" w:type="dxa"/>
                    <w:left w:w="120" w:type="dxa"/>
                    <w:bottom w:w="120" w:type="dxa"/>
                    <w:right w:w="120" w:type="dxa"/>
                  </w:tcMar>
                  <w:vAlign w:val="center"/>
                </w:tcPr>
                <w:p w14:paraId="562827E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服务标准</w:t>
                  </w:r>
                </w:p>
              </w:tc>
            </w:tr>
            <w:tr w14:paraId="23E8C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85" w:type="pct"/>
                  <w:shd w:val="clear" w:color="auto" w:fill="auto"/>
                  <w:tcMar>
                    <w:top w:w="120" w:type="dxa"/>
                    <w:left w:w="120" w:type="dxa"/>
                    <w:bottom w:w="120" w:type="dxa"/>
                    <w:right w:w="120" w:type="dxa"/>
                  </w:tcMar>
                  <w:vAlign w:val="center"/>
                </w:tcPr>
                <w:p w14:paraId="7029775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ascii="宋体" w:hAnsi="宋体" w:eastAsia="宋体" w:cs="宋体"/>
                      <w:snapToGrid w:val="0"/>
                      <w:color w:val="000000"/>
                      <w:kern w:val="0"/>
                      <w:sz w:val="24"/>
                      <w:szCs w:val="24"/>
                      <w:lang w:val="en-US" w:eastAsia="zh-CN" w:bidi="ar"/>
                    </w:rPr>
                    <w:t>1</w:t>
                  </w:r>
                </w:p>
              </w:tc>
              <w:tc>
                <w:tcPr>
                  <w:tcW w:w="978" w:type="pct"/>
                  <w:shd w:val="clear" w:color="auto" w:fill="auto"/>
                  <w:tcMar>
                    <w:top w:w="120" w:type="dxa"/>
                    <w:left w:w="120" w:type="dxa"/>
                    <w:bottom w:w="120" w:type="dxa"/>
                    <w:right w:w="120" w:type="dxa"/>
                  </w:tcMar>
                  <w:vAlign w:val="center"/>
                </w:tcPr>
                <w:p w14:paraId="35FFCD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sz w:val="24"/>
                      <w:szCs w:val="24"/>
                    </w:rPr>
                    <w:t>垃圾清运服务</w:t>
                  </w:r>
                </w:p>
              </w:tc>
              <w:tc>
                <w:tcPr>
                  <w:tcW w:w="3435" w:type="pct"/>
                  <w:shd w:val="clear" w:color="auto" w:fill="auto"/>
                  <w:tcMar>
                    <w:top w:w="120" w:type="dxa"/>
                    <w:left w:w="120" w:type="dxa"/>
                    <w:bottom w:w="120" w:type="dxa"/>
                    <w:right w:w="120" w:type="dxa"/>
                  </w:tcMar>
                  <w:vAlign w:val="center"/>
                </w:tcPr>
                <w:p w14:paraId="5EA8E9E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sz w:val="24"/>
                      <w:szCs w:val="24"/>
                    </w:rPr>
                  </w:pPr>
                  <w:r>
                    <w:rPr>
                      <w:rFonts w:hint="eastAsia" w:asciiTheme="minorEastAsia" w:hAnsiTheme="minorEastAsia" w:eastAsiaTheme="minorEastAsia" w:cstheme="minorEastAsia"/>
                      <w:sz w:val="24"/>
                      <w:szCs w:val="24"/>
                      <w:vertAlign w:val="baseline"/>
                      <w:lang w:val="en-US" w:eastAsia="zh-CN"/>
                    </w:rPr>
                    <w:t>1．楼宇门前垃圾桶实行袋装化，保洁人员每天定时将垃圾袋装好后运送至指定垃圾排放点，并负责校区垃圾外运工作，务必做到校区内生活垃圾日产日清。2．楼宇门前收集垃圾时要做到车走场清、地面洁净。3．垃圾桶及周边要保持整洁、卫生，无污水、无散落垃圾、无老鼠苍蝇蚊虫、无异常气味等。</w:t>
                  </w:r>
                </w:p>
              </w:tc>
            </w:tr>
          </w:tbl>
          <w:p w14:paraId="6D54903E">
            <w:pPr>
              <w:widowControl w:val="0"/>
              <w:spacing w:line="360" w:lineRule="auto"/>
              <w:jc w:val="both"/>
              <w:rPr>
                <w:rFonts w:hint="default"/>
                <w:sz w:val="24"/>
                <w:szCs w:val="24"/>
                <w:lang w:val="en-US" w:eastAsia="zh-CN"/>
              </w:rPr>
            </w:pPr>
          </w:p>
          <w:p w14:paraId="34D1F9B1">
            <w:pPr>
              <w:pStyle w:val="2"/>
              <w:widowControl w:val="0"/>
              <w:spacing w:line="360" w:lineRule="auto"/>
              <w:jc w:val="both"/>
              <w:rPr>
                <w:rFonts w:hint="default"/>
                <w:sz w:val="24"/>
                <w:szCs w:val="24"/>
                <w:lang w:val="en-US" w:eastAsia="zh-CN"/>
              </w:rPr>
            </w:pPr>
            <w:r>
              <w:rPr>
                <w:rFonts w:hint="eastAsia"/>
                <w:sz w:val="24"/>
                <w:szCs w:val="24"/>
                <w:lang w:val="en-US" w:eastAsia="zh-CN"/>
              </w:rPr>
              <w:t>（十）琴房管理服务</w:t>
            </w:r>
          </w:p>
          <w:p w14:paraId="2C3BB3CD">
            <w:pPr>
              <w:widowControl w:val="0"/>
              <w:spacing w:line="360" w:lineRule="auto"/>
              <w:jc w:val="both"/>
              <w:rPr>
                <w:rFonts w:hint="default"/>
                <w:sz w:val="24"/>
                <w:szCs w:val="24"/>
                <w:lang w:val="en-US" w:eastAsia="zh-CN"/>
              </w:rPr>
            </w:pPr>
          </w:p>
          <w:tbl>
            <w:tblPr>
              <w:tblStyle w:val="6"/>
              <w:tblW w:w="4405"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69"/>
              <w:gridCol w:w="1454"/>
              <w:gridCol w:w="5031"/>
            </w:tblGrid>
            <w:tr w14:paraId="3AF5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591" w:type="pct"/>
                  <w:shd w:val="clear" w:color="auto" w:fill="F2F3F5"/>
                  <w:tcMar>
                    <w:top w:w="120" w:type="dxa"/>
                    <w:left w:w="120" w:type="dxa"/>
                    <w:bottom w:w="120" w:type="dxa"/>
                    <w:right w:w="120" w:type="dxa"/>
                  </w:tcMar>
                  <w:vAlign w:val="center"/>
                </w:tcPr>
                <w:p w14:paraId="5AC58A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ascii="宋体" w:hAnsi="宋体" w:eastAsia="宋体" w:cs="宋体"/>
                      <w:snapToGrid w:val="0"/>
                      <w:color w:val="000000"/>
                      <w:kern w:val="0"/>
                      <w:sz w:val="24"/>
                      <w:szCs w:val="24"/>
                      <w:lang w:val="en-US" w:eastAsia="zh-CN" w:bidi="ar"/>
                    </w:rPr>
                    <w:t>序号</w:t>
                  </w:r>
                </w:p>
              </w:tc>
              <w:tc>
                <w:tcPr>
                  <w:tcW w:w="988" w:type="pct"/>
                  <w:shd w:val="clear" w:color="auto" w:fill="F2F3F5"/>
                  <w:tcMar>
                    <w:top w:w="120" w:type="dxa"/>
                    <w:left w:w="120" w:type="dxa"/>
                    <w:bottom w:w="120" w:type="dxa"/>
                    <w:right w:w="120" w:type="dxa"/>
                  </w:tcMar>
                  <w:vAlign w:val="center"/>
                </w:tcPr>
                <w:p w14:paraId="293BF4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服务内容</w:t>
                  </w:r>
                </w:p>
              </w:tc>
              <w:tc>
                <w:tcPr>
                  <w:tcW w:w="3419" w:type="pct"/>
                  <w:shd w:val="clear" w:color="auto" w:fill="F2F3F5"/>
                  <w:tcMar>
                    <w:top w:w="120" w:type="dxa"/>
                    <w:left w:w="120" w:type="dxa"/>
                    <w:bottom w:w="120" w:type="dxa"/>
                    <w:right w:w="120" w:type="dxa"/>
                  </w:tcMar>
                  <w:vAlign w:val="center"/>
                </w:tcPr>
                <w:p w14:paraId="2CD026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服务标准</w:t>
                  </w:r>
                </w:p>
              </w:tc>
            </w:tr>
            <w:tr w14:paraId="18872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91" w:type="pct"/>
                  <w:shd w:val="clear" w:color="auto" w:fill="auto"/>
                  <w:tcMar>
                    <w:top w:w="120" w:type="dxa"/>
                    <w:left w:w="120" w:type="dxa"/>
                    <w:bottom w:w="120" w:type="dxa"/>
                    <w:right w:w="120" w:type="dxa"/>
                  </w:tcMar>
                  <w:vAlign w:val="center"/>
                </w:tcPr>
                <w:p w14:paraId="4629A4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ascii="宋体" w:hAnsi="宋体" w:eastAsia="宋体" w:cs="宋体"/>
                      <w:snapToGrid w:val="0"/>
                      <w:color w:val="000000"/>
                      <w:kern w:val="0"/>
                      <w:sz w:val="24"/>
                      <w:szCs w:val="24"/>
                      <w:lang w:val="en-US" w:eastAsia="zh-CN" w:bidi="ar"/>
                    </w:rPr>
                    <w:t>1</w:t>
                  </w:r>
                </w:p>
              </w:tc>
              <w:tc>
                <w:tcPr>
                  <w:tcW w:w="988" w:type="pct"/>
                  <w:shd w:val="clear" w:color="auto" w:fill="auto"/>
                  <w:tcMar>
                    <w:top w:w="120" w:type="dxa"/>
                    <w:left w:w="120" w:type="dxa"/>
                    <w:bottom w:w="120" w:type="dxa"/>
                    <w:right w:w="120" w:type="dxa"/>
                  </w:tcMar>
                  <w:vAlign w:val="center"/>
                </w:tcPr>
                <w:p w14:paraId="1E1C53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sz w:val="24"/>
                      <w:szCs w:val="24"/>
                      <w:lang w:val="en-US" w:eastAsia="zh-CN"/>
                    </w:rPr>
                    <w:t>琴房管理</w:t>
                  </w:r>
                </w:p>
              </w:tc>
              <w:tc>
                <w:tcPr>
                  <w:tcW w:w="3419" w:type="pct"/>
                  <w:shd w:val="clear" w:color="auto" w:fill="auto"/>
                  <w:tcMar>
                    <w:top w:w="120" w:type="dxa"/>
                    <w:left w:w="120" w:type="dxa"/>
                    <w:bottom w:w="120" w:type="dxa"/>
                    <w:right w:w="120" w:type="dxa"/>
                  </w:tcMar>
                  <w:vAlign w:val="center"/>
                </w:tcPr>
                <w:p w14:paraId="48D19CFC">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1.按规定时间开放琴房门，不得迟到早退。</w:t>
                  </w:r>
                </w:p>
                <w:p w14:paraId="13DFC949">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2.认真做好值班记录，处理突发事件。</w:t>
                  </w:r>
                </w:p>
                <w:p w14:paraId="4514E6B5">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3.严格按照各琴房定员名单用琴房卡，检查和制止学生乱串琴房。</w:t>
                  </w:r>
                </w:p>
                <w:p w14:paraId="1E0CDEF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4.按照琴房管理制度，无琴卡者不准进入琴房。上课和练琴时不准会客。</w:t>
                  </w:r>
                </w:p>
                <w:p w14:paraId="257D8699">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5.负责琴房系统的简单维护与保养，检查琴房系统的日常运行情况及记录，平时教师和学生琴房卡的补录工作。</w:t>
                  </w:r>
                </w:p>
                <w:p w14:paraId="04AB3ECF">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6.上班时间：7：30-12：00，下午：14：20-21：30，夜间：21：30-22：30。制止外来人员进入琴房。</w:t>
                  </w:r>
                </w:p>
                <w:p w14:paraId="7B259DB1">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7.负责开关照明电闸，并对琴房物品和设施进行维护和登记。</w:t>
                  </w:r>
                </w:p>
                <w:p w14:paraId="790E74BE">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8.琴房关闭时，要认真检查门窗，关水、关电、锁门。注意防火、防盗，并认真如实填写当日值班记录。定期检查安全消防设施，做好琴房的安防保卫工作。</w:t>
                  </w:r>
                </w:p>
                <w:p w14:paraId="2E5C5491">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sz w:val="24"/>
                      <w:szCs w:val="24"/>
                    </w:rPr>
                  </w:pPr>
                  <w:r>
                    <w:rPr>
                      <w:rFonts w:hint="eastAsia" w:asciiTheme="minorEastAsia" w:hAnsiTheme="minorEastAsia" w:eastAsiaTheme="minorEastAsia" w:cstheme="minorEastAsia"/>
                      <w:sz w:val="24"/>
                      <w:szCs w:val="24"/>
                      <w:vertAlign w:val="baseline"/>
                      <w:lang w:val="en-US" w:eastAsia="zh-CN"/>
                    </w:rPr>
                    <w:t>9.保证琴房的正常秩序，对违反琴房使用规定的行为要及时予以纠正。</w:t>
                  </w:r>
                </w:p>
              </w:tc>
            </w:tr>
          </w:tbl>
          <w:p w14:paraId="20529456">
            <w:pPr>
              <w:widowControl w:val="0"/>
              <w:spacing w:line="360" w:lineRule="auto"/>
              <w:jc w:val="both"/>
              <w:rPr>
                <w:sz w:val="24"/>
                <w:szCs w:val="24"/>
              </w:rPr>
            </w:pPr>
          </w:p>
          <w:p w14:paraId="3728A08E">
            <w:pPr>
              <w:pStyle w:val="2"/>
              <w:widowControl w:val="0"/>
              <w:numPr>
                <w:ilvl w:val="0"/>
                <w:numId w:val="0"/>
              </w:numPr>
              <w:spacing w:line="360" w:lineRule="auto"/>
              <w:ind w:left="0" w:leftChars="0" w:firstLine="0" w:firstLineChars="0"/>
              <w:jc w:val="both"/>
              <w:rPr>
                <w:rFonts w:hint="eastAsia"/>
                <w:sz w:val="24"/>
                <w:szCs w:val="24"/>
                <w:lang w:val="en-US" w:eastAsia="zh-CN"/>
              </w:rPr>
            </w:pPr>
            <w:r>
              <w:rPr>
                <w:rFonts w:hint="eastAsia" w:ascii="Arial" w:hAnsi="Arial" w:eastAsia="Arial" w:cs="Arial"/>
                <w:bCs/>
                <w:snapToGrid w:val="0"/>
                <w:color w:val="000000"/>
                <w:kern w:val="0"/>
                <w:sz w:val="24"/>
                <w:szCs w:val="24"/>
                <w:lang w:val="en-US" w:eastAsia="zh-CN" w:bidi="ar-SA"/>
              </w:rPr>
              <w:t>（十一）</w:t>
            </w:r>
            <w:r>
              <w:rPr>
                <w:rFonts w:hint="eastAsia"/>
                <w:sz w:val="24"/>
                <w:szCs w:val="24"/>
                <w:lang w:val="en-US" w:eastAsia="zh-CN"/>
              </w:rPr>
              <w:t>多媒体教室管理服务</w:t>
            </w:r>
          </w:p>
          <w:tbl>
            <w:tblPr>
              <w:tblStyle w:val="6"/>
              <w:tblW w:w="4484" w:type="pct"/>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70"/>
              <w:gridCol w:w="1454"/>
              <w:gridCol w:w="5162"/>
            </w:tblGrid>
            <w:tr w14:paraId="36E3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blHeader/>
              </w:trPr>
              <w:tc>
                <w:tcPr>
                  <w:tcW w:w="581" w:type="pct"/>
                  <w:shd w:val="clear" w:color="auto" w:fill="F2F3F5"/>
                  <w:tcMar>
                    <w:top w:w="120" w:type="dxa"/>
                    <w:left w:w="120" w:type="dxa"/>
                    <w:bottom w:w="120" w:type="dxa"/>
                    <w:right w:w="120" w:type="dxa"/>
                  </w:tcMar>
                  <w:vAlign w:val="center"/>
                </w:tcPr>
                <w:p w14:paraId="485521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ascii="宋体" w:hAnsi="宋体" w:eastAsia="宋体" w:cs="宋体"/>
                      <w:snapToGrid w:val="0"/>
                      <w:color w:val="000000"/>
                      <w:kern w:val="0"/>
                      <w:sz w:val="24"/>
                      <w:szCs w:val="24"/>
                      <w:lang w:val="en-US" w:eastAsia="zh-CN" w:bidi="ar"/>
                    </w:rPr>
                    <w:t>序号</w:t>
                  </w:r>
                </w:p>
              </w:tc>
              <w:tc>
                <w:tcPr>
                  <w:tcW w:w="971" w:type="pct"/>
                  <w:shd w:val="clear" w:color="auto" w:fill="F2F3F5"/>
                  <w:tcMar>
                    <w:top w:w="120" w:type="dxa"/>
                    <w:left w:w="120" w:type="dxa"/>
                    <w:bottom w:w="120" w:type="dxa"/>
                    <w:right w:w="120" w:type="dxa"/>
                  </w:tcMar>
                  <w:vAlign w:val="center"/>
                </w:tcPr>
                <w:p w14:paraId="545530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服务内容</w:t>
                  </w:r>
                </w:p>
              </w:tc>
              <w:tc>
                <w:tcPr>
                  <w:tcW w:w="3447" w:type="pct"/>
                  <w:shd w:val="clear" w:color="auto" w:fill="F2F3F5"/>
                  <w:tcMar>
                    <w:top w:w="120" w:type="dxa"/>
                    <w:left w:w="120" w:type="dxa"/>
                    <w:bottom w:w="120" w:type="dxa"/>
                    <w:right w:w="120" w:type="dxa"/>
                  </w:tcMar>
                  <w:vAlign w:val="center"/>
                </w:tcPr>
                <w:p w14:paraId="19EC0C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ascii="宋体" w:hAnsi="宋体" w:eastAsia="宋体" w:cs="宋体"/>
                      <w:snapToGrid w:val="0"/>
                      <w:color w:val="000000"/>
                      <w:kern w:val="0"/>
                      <w:sz w:val="24"/>
                      <w:szCs w:val="24"/>
                      <w:lang w:val="en-US" w:eastAsia="zh-CN" w:bidi="ar"/>
                    </w:rPr>
                    <w:t>服务标准</w:t>
                  </w:r>
                </w:p>
              </w:tc>
            </w:tr>
            <w:tr w14:paraId="1C1E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trPr>
              <w:tc>
                <w:tcPr>
                  <w:tcW w:w="581" w:type="pct"/>
                  <w:shd w:val="clear" w:color="auto" w:fill="auto"/>
                  <w:tcMar>
                    <w:top w:w="120" w:type="dxa"/>
                    <w:left w:w="120" w:type="dxa"/>
                    <w:bottom w:w="120" w:type="dxa"/>
                    <w:right w:w="120" w:type="dxa"/>
                  </w:tcMar>
                  <w:vAlign w:val="center"/>
                </w:tcPr>
                <w:p w14:paraId="1DE553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ascii="宋体" w:hAnsi="宋体" w:eastAsia="宋体" w:cs="宋体"/>
                      <w:snapToGrid w:val="0"/>
                      <w:color w:val="000000"/>
                      <w:kern w:val="0"/>
                      <w:sz w:val="24"/>
                      <w:szCs w:val="24"/>
                      <w:lang w:val="en-US" w:eastAsia="zh-CN" w:bidi="ar"/>
                    </w:rPr>
                    <w:t>1</w:t>
                  </w:r>
                </w:p>
              </w:tc>
              <w:tc>
                <w:tcPr>
                  <w:tcW w:w="971" w:type="pct"/>
                  <w:shd w:val="clear" w:color="auto" w:fill="auto"/>
                  <w:tcMar>
                    <w:top w:w="120" w:type="dxa"/>
                    <w:left w:w="120" w:type="dxa"/>
                    <w:bottom w:w="120" w:type="dxa"/>
                    <w:right w:w="120" w:type="dxa"/>
                  </w:tcMar>
                  <w:vAlign w:val="center"/>
                </w:tcPr>
                <w:p w14:paraId="653ACB8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jc w:val="both"/>
                    <w:textAlignment w:val="top"/>
                    <w:rPr>
                      <w:sz w:val="24"/>
                      <w:szCs w:val="24"/>
                    </w:rPr>
                  </w:pPr>
                  <w:r>
                    <w:rPr>
                      <w:rFonts w:hint="eastAsia"/>
                      <w:sz w:val="24"/>
                      <w:szCs w:val="24"/>
                      <w:lang w:val="en-US" w:eastAsia="zh-CN"/>
                    </w:rPr>
                    <w:t>多媒体教室管理</w:t>
                  </w:r>
                </w:p>
              </w:tc>
              <w:tc>
                <w:tcPr>
                  <w:tcW w:w="3447" w:type="pct"/>
                  <w:shd w:val="clear" w:color="auto" w:fill="auto"/>
                  <w:tcMar>
                    <w:top w:w="120" w:type="dxa"/>
                    <w:left w:w="120" w:type="dxa"/>
                    <w:bottom w:w="120" w:type="dxa"/>
                    <w:right w:w="120" w:type="dxa"/>
                  </w:tcMar>
                  <w:vAlign w:val="center"/>
                </w:tcPr>
                <w:p w14:paraId="5E9EDA6E">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1.要有高度的责任心，保证教学活动正常进行，认真做好多媒体教室的使用记录，每月向教务处统计报告一次。</w:t>
                  </w:r>
                </w:p>
                <w:p w14:paraId="48CD0DCE">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2.积极配合各教学单位开展多媒体教学，并提供多媒体技术服务，以优化教学手段，提高教学质量。树立服务意识，积极热情接待广大多媒体教室使用教师，做到既方便教师，又做好管理。</w:t>
                  </w:r>
                </w:p>
                <w:p w14:paraId="35BD4EDE">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上班时间：上午8:00-12:15，下午13:15-18:15。晚上如有各种讲座及学生活动，按照申请单位安排的时间做好值班保障；周六、日有课上班，保证日常教学正常进行。上课前30分钟必须到岗，上课前10分钟必须做好所有多媒体教室的准备工作，能够指导教师正确地使用多媒体设备，防止因操作不当造成设备损坏，及时处理教师使用多媒体教室过程中出现的故障。</w:t>
                  </w:r>
                </w:p>
                <w:p w14:paraId="58ED9AB0">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4.负责多媒体教室及监控室的监控和管理，以及软、硬件维护。下课后认真检查设备，保证设备正常完好。定期检查和维护设备，发现故障立即排除或上报教务处，保证设备正常运行。</w:t>
                  </w:r>
                </w:p>
                <w:p w14:paraId="274830E6">
                  <w:pPr>
                    <w:keepNext w:val="0"/>
                    <w:keepLines w:val="0"/>
                    <w:pageBreakBefore w:val="0"/>
                    <w:widowControl w:val="0"/>
                    <w:kinsoku w:val="0"/>
                    <w:wordWrap/>
                    <w:overflowPunct/>
                    <w:topLinePunct w:val="0"/>
                    <w:autoSpaceDE w:val="0"/>
                    <w:autoSpaceDN w:val="0"/>
                    <w:bidi w:val="0"/>
                    <w:adjustRightInd w:val="0"/>
                    <w:snapToGrid w:val="0"/>
                    <w:spacing w:line="360" w:lineRule="auto"/>
                    <w:jc w:val="both"/>
                    <w:textAlignment w:val="baseline"/>
                    <w:rPr>
                      <w:sz w:val="24"/>
                      <w:szCs w:val="24"/>
                    </w:rPr>
                  </w:pPr>
                  <w:r>
                    <w:rPr>
                      <w:rFonts w:hint="eastAsia" w:asciiTheme="minorEastAsia" w:hAnsiTheme="minorEastAsia" w:eastAsiaTheme="minorEastAsia" w:cstheme="minorEastAsia"/>
                      <w:sz w:val="24"/>
                      <w:szCs w:val="24"/>
                      <w:vertAlign w:val="baseline"/>
                      <w:lang w:val="en-US" w:eastAsia="zh-CN"/>
                    </w:rPr>
                    <w:t>5.定期检查安全消防设施，做好多媒体教室的安防保卫工作。</w:t>
                  </w:r>
                </w:p>
              </w:tc>
            </w:tr>
          </w:tbl>
          <w:p w14:paraId="4AB72DDD">
            <w:pPr>
              <w:widowControl w:val="0"/>
              <w:numPr>
                <w:ilvl w:val="0"/>
                <w:numId w:val="0"/>
              </w:numPr>
              <w:spacing w:line="360" w:lineRule="auto"/>
              <w:ind w:leftChars="0"/>
              <w:jc w:val="both"/>
              <w:rPr>
                <w:rFonts w:hint="default"/>
                <w:sz w:val="24"/>
                <w:szCs w:val="24"/>
                <w:lang w:val="en-US" w:eastAsia="zh-CN"/>
              </w:rPr>
            </w:pPr>
          </w:p>
        </w:tc>
      </w:tr>
      <w:tr w14:paraId="776CC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47" w:type="dxa"/>
          </w:tcPr>
          <w:p w14:paraId="7A5091B2">
            <w:pPr>
              <w:widowControl w:val="0"/>
              <w:spacing w:line="360" w:lineRule="auto"/>
              <w:jc w:val="both"/>
              <w:rPr>
                <w:rFonts w:hint="eastAsia" w:asciiTheme="minorEastAsia" w:hAnsiTheme="minorEastAsia" w:eastAsiaTheme="minorEastAsia" w:cstheme="minorEastAsia"/>
                <w:sz w:val="24"/>
                <w:szCs w:val="24"/>
                <w:lang w:val="en-US" w:eastAsia="zh-CN"/>
              </w:rPr>
            </w:pPr>
          </w:p>
        </w:tc>
        <w:tc>
          <w:tcPr>
            <w:tcW w:w="1338" w:type="dxa"/>
          </w:tcPr>
          <w:p w14:paraId="09C3D131">
            <w:pPr>
              <w:widowControl w:val="0"/>
              <w:spacing w:line="360" w:lineRule="auto"/>
              <w:jc w:val="both"/>
              <w:rPr>
                <w:rFonts w:hint="eastAsia" w:asciiTheme="minorEastAsia" w:hAnsiTheme="minorEastAsia" w:eastAsiaTheme="minorEastAsia" w:cstheme="minorEastAsia"/>
                <w:sz w:val="24"/>
                <w:szCs w:val="24"/>
                <w:lang w:val="en-US" w:eastAsia="zh-CN"/>
              </w:rPr>
            </w:pPr>
          </w:p>
        </w:tc>
        <w:tc>
          <w:tcPr>
            <w:tcW w:w="8573" w:type="dxa"/>
          </w:tcPr>
          <w:p w14:paraId="7D6D0F33">
            <w:pPr>
              <w:widowControl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四、验收标准与要求</w:t>
            </w:r>
          </w:p>
          <w:p w14:paraId="63CCE3A5">
            <w:pPr>
              <w:widowControl w:val="0"/>
              <w:spacing w:line="36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1.考核办法</w:t>
            </w:r>
          </w:p>
          <w:p w14:paraId="005E20A2">
            <w:pPr>
              <w:widowControl w:val="0"/>
              <w:spacing w:line="360" w:lineRule="auto"/>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color w:val="auto"/>
                <w:sz w:val="24"/>
                <w:szCs w:val="24"/>
                <w:lang w:val="en-US" w:eastAsia="zh-CN"/>
              </w:rPr>
              <w:t>年度（12个月）考核：每月考</w:t>
            </w:r>
            <w:r>
              <w:rPr>
                <w:rFonts w:hint="eastAsia" w:asciiTheme="minorEastAsia" w:hAnsiTheme="minorEastAsia" w:eastAsiaTheme="minorEastAsia" w:cstheme="minorEastAsia"/>
                <w:color w:val="auto"/>
                <w:sz w:val="24"/>
                <w:szCs w:val="24"/>
                <w:highlight w:val="none"/>
                <w:lang w:val="en-US" w:eastAsia="zh-CN"/>
              </w:rPr>
              <w:t>核得分平均值</w:t>
            </w:r>
          </w:p>
          <w:p w14:paraId="206A6A8E">
            <w:pPr>
              <w:widowControl w:val="0"/>
              <w:spacing w:line="360" w:lineRule="auto"/>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（二）每月考核结果作为当月物业服务费支付的重要依据，五项考核中有两项低于70分即为总体考核不合格。</w:t>
            </w:r>
          </w:p>
          <w:p w14:paraId="478F3A20">
            <w:pPr>
              <w:widowControl w:val="0"/>
              <w:spacing w:line="360" w:lineRule="auto"/>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（三）年度（12个月）最终考核结果作为是否签订下一半年度合同的重要依据，若年度（12个月）考核综合评分低于85分，将不再续签下一半年度服务合同。</w:t>
            </w:r>
          </w:p>
          <w:p w14:paraId="371DF36C">
            <w:pPr>
              <w:widowControl w:val="0"/>
              <w:spacing w:line="360" w:lineRule="auto"/>
              <w:jc w:val="both"/>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四）服务质量分为优、良、差三个等级。考核分数≥85分为优；70分≤考核分数＜85分为良；考核分数＜70分为差。五项月度考核结果全部为优，全额支付本月物业服务费用；五项月度考核结果中有两项为良，扣减当月物业管理服务费的5%；五项月度考核结果中有两项为差，扣减当月物业管理服务费的10%。若连续两个月度考核评价为差，则扣减当月物业管理费的20%并解除合同。</w:t>
            </w:r>
          </w:p>
          <w:p w14:paraId="0C9C5B6E">
            <w:pPr>
              <w:widowControl w:val="0"/>
              <w:spacing w:line="360" w:lineRule="auto"/>
              <w:jc w:val="both"/>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2.验收标准</w:t>
            </w:r>
          </w:p>
          <w:tbl>
            <w:tblPr>
              <w:tblStyle w:val="6"/>
              <w:tblW w:w="46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872"/>
              <w:gridCol w:w="4136"/>
              <w:gridCol w:w="789"/>
              <w:gridCol w:w="1105"/>
            </w:tblGrid>
            <w:tr w14:paraId="4C525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556" w:type="pct"/>
                  <w:vAlign w:val="center"/>
                </w:tcPr>
                <w:p w14:paraId="4BA5D307">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考核项目</w:t>
                  </w:r>
                </w:p>
              </w:tc>
              <w:tc>
                <w:tcPr>
                  <w:tcW w:w="561" w:type="pct"/>
                  <w:vAlign w:val="center"/>
                </w:tcPr>
                <w:p w14:paraId="4EB6B7F5">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序号</w:t>
                  </w:r>
                </w:p>
              </w:tc>
              <w:tc>
                <w:tcPr>
                  <w:tcW w:w="2660" w:type="pct"/>
                  <w:vAlign w:val="center"/>
                </w:tcPr>
                <w:p w14:paraId="33B990FB">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验收内容及评分标准</w:t>
                  </w:r>
                </w:p>
              </w:tc>
              <w:tc>
                <w:tcPr>
                  <w:tcW w:w="508" w:type="pct"/>
                  <w:vAlign w:val="center"/>
                </w:tcPr>
                <w:p w14:paraId="0C1E5392">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分值</w:t>
                  </w:r>
                </w:p>
              </w:tc>
              <w:tc>
                <w:tcPr>
                  <w:tcW w:w="711" w:type="pct"/>
                  <w:vAlign w:val="center"/>
                </w:tcPr>
                <w:p w14:paraId="7CD70694">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考核得分</w:t>
                  </w:r>
                </w:p>
              </w:tc>
            </w:tr>
            <w:tr w14:paraId="3FF2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Merge w:val="restart"/>
                  <w:vAlign w:val="center"/>
                </w:tcPr>
                <w:p w14:paraId="79755784">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室内保洁</w:t>
                  </w:r>
                </w:p>
              </w:tc>
              <w:tc>
                <w:tcPr>
                  <w:tcW w:w="561" w:type="pct"/>
                  <w:vAlign w:val="center"/>
                </w:tcPr>
                <w:p w14:paraId="0287B13F">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1</w:t>
                  </w:r>
                </w:p>
              </w:tc>
              <w:tc>
                <w:tcPr>
                  <w:tcW w:w="2660" w:type="pct"/>
                  <w:vAlign w:val="top"/>
                </w:tcPr>
                <w:p w14:paraId="5DD9D5CB">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楼内走廊、楼梯</w:t>
                  </w:r>
                  <w:r>
                    <w:rPr>
                      <w:rFonts w:hint="eastAsia" w:asciiTheme="minorEastAsia" w:hAnsiTheme="minorEastAsia" w:eastAsiaTheme="minorEastAsia" w:cstheme="minorEastAsia"/>
                      <w:sz w:val="24"/>
                      <w:szCs w:val="24"/>
                      <w:lang w:val="en-US" w:eastAsia="zh-CN"/>
                    </w:rPr>
                    <w:t>等公共区域保持</w:t>
                  </w:r>
                  <w:r>
                    <w:rPr>
                      <w:rFonts w:hint="eastAsia" w:asciiTheme="minorEastAsia" w:hAnsiTheme="minorEastAsia" w:eastAsiaTheme="minorEastAsia" w:cstheme="minorEastAsia"/>
                      <w:sz w:val="24"/>
                      <w:szCs w:val="24"/>
                    </w:rPr>
                    <w:t>干净</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光亮</w:t>
                  </w:r>
                  <w:r>
                    <w:rPr>
                      <w:rFonts w:hint="eastAsia" w:asciiTheme="minorEastAsia" w:hAnsiTheme="minorEastAsia" w:eastAsiaTheme="minorEastAsia" w:cstheme="minorEastAsia"/>
                      <w:sz w:val="24"/>
                      <w:szCs w:val="24"/>
                    </w:rPr>
                    <w:t>、整洁</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无杂物</w:t>
                  </w:r>
                  <w:r>
                    <w:rPr>
                      <w:rFonts w:hint="eastAsia" w:asciiTheme="minorEastAsia" w:hAnsiTheme="minorEastAsia" w:eastAsiaTheme="minorEastAsia" w:cstheme="minorEastAsia"/>
                      <w:sz w:val="24"/>
                      <w:szCs w:val="24"/>
                    </w:rPr>
                    <w:t>。一处</w:t>
                  </w:r>
                  <w:r>
                    <w:rPr>
                      <w:rFonts w:hint="eastAsia" w:asciiTheme="minorEastAsia" w:hAnsiTheme="minorEastAsia" w:eastAsiaTheme="minorEastAsia" w:cstheme="minorEastAsia"/>
                      <w:sz w:val="24"/>
                      <w:szCs w:val="24"/>
                      <w:lang w:val="en-US" w:eastAsia="zh-CN"/>
                    </w:rPr>
                    <w:t>不达标</w:t>
                  </w:r>
                  <w:r>
                    <w:rPr>
                      <w:rFonts w:hint="eastAsia" w:asciiTheme="minorEastAsia" w:hAnsiTheme="minorEastAsia" w:eastAsiaTheme="minorEastAsia" w:cstheme="minorEastAsia"/>
                      <w:sz w:val="24"/>
                      <w:szCs w:val="24"/>
                    </w:rPr>
                    <w:t>扣</w:t>
                  </w:r>
                  <w:r>
                    <w:rPr>
                      <w:rFonts w:hint="eastAsia" w:asciiTheme="minorEastAsia" w:hAnsiTheme="minorEastAsia" w:eastAsiaTheme="minorEastAsia" w:cstheme="minorEastAsia"/>
                      <w:sz w:val="24"/>
                      <w:szCs w:val="24"/>
                      <w:lang w:val="en-US" w:eastAsia="zh-CN"/>
                    </w:rPr>
                    <w:t>0.5</w:t>
                  </w:r>
                  <w:r>
                    <w:rPr>
                      <w:rFonts w:hint="eastAsia" w:asciiTheme="minorEastAsia" w:hAnsiTheme="minorEastAsia" w:eastAsiaTheme="minorEastAsia" w:cstheme="minorEastAsia"/>
                      <w:sz w:val="24"/>
                      <w:szCs w:val="24"/>
                    </w:rPr>
                    <w:t>分。</w:t>
                  </w:r>
                </w:p>
              </w:tc>
              <w:tc>
                <w:tcPr>
                  <w:tcW w:w="508" w:type="pct"/>
                  <w:vAlign w:val="center"/>
                </w:tcPr>
                <w:p w14:paraId="45AAE153">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p>
              </w:tc>
              <w:tc>
                <w:tcPr>
                  <w:tcW w:w="711" w:type="pct"/>
                  <w:vAlign w:val="center"/>
                </w:tcPr>
                <w:p w14:paraId="430A9C41">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042F0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Merge w:val="continue"/>
                </w:tcPr>
                <w:p w14:paraId="217BB33F">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c>
                <w:tcPr>
                  <w:tcW w:w="561" w:type="pct"/>
                  <w:vAlign w:val="center"/>
                </w:tcPr>
                <w:p w14:paraId="35AEFCB3">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2660" w:type="pct"/>
                  <w:vAlign w:val="top"/>
                </w:tcPr>
                <w:p w14:paraId="7E41254E">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楼内</w:t>
                  </w:r>
                  <w:r>
                    <w:rPr>
                      <w:rFonts w:hint="eastAsia" w:asciiTheme="minorEastAsia" w:hAnsiTheme="minorEastAsia" w:eastAsiaTheme="minorEastAsia" w:cstheme="minorEastAsia"/>
                      <w:sz w:val="24"/>
                      <w:szCs w:val="24"/>
                      <w:lang w:val="en-US" w:eastAsia="zh-CN"/>
                    </w:rPr>
                    <w:t>公共区域</w:t>
                  </w:r>
                  <w:r>
                    <w:rPr>
                      <w:rFonts w:hint="eastAsia" w:asciiTheme="minorEastAsia" w:hAnsiTheme="minorEastAsia" w:eastAsiaTheme="minorEastAsia" w:cstheme="minorEastAsia"/>
                      <w:sz w:val="24"/>
                      <w:szCs w:val="24"/>
                    </w:rPr>
                    <w:t>玻璃、门窗、窗台</w:t>
                  </w:r>
                  <w:r>
                    <w:rPr>
                      <w:rFonts w:hint="eastAsia" w:asciiTheme="minorEastAsia" w:hAnsiTheme="minorEastAsia" w:eastAsiaTheme="minorEastAsia" w:cstheme="minorEastAsia"/>
                      <w:sz w:val="24"/>
                      <w:szCs w:val="24"/>
                      <w:lang w:val="en-US" w:eastAsia="zh-CN"/>
                    </w:rPr>
                    <w:t>保持</w:t>
                  </w:r>
                  <w:r>
                    <w:rPr>
                      <w:rFonts w:hint="eastAsia" w:asciiTheme="minorEastAsia" w:hAnsiTheme="minorEastAsia" w:eastAsiaTheme="minorEastAsia" w:cstheme="minorEastAsia"/>
                      <w:sz w:val="24"/>
                      <w:szCs w:val="24"/>
                    </w:rPr>
                    <w:t>干净、无尘土。一处</w:t>
                  </w:r>
                  <w:r>
                    <w:rPr>
                      <w:rFonts w:hint="eastAsia" w:asciiTheme="minorEastAsia" w:hAnsiTheme="minorEastAsia" w:eastAsiaTheme="minorEastAsia" w:cstheme="minorEastAsia"/>
                      <w:sz w:val="24"/>
                      <w:szCs w:val="24"/>
                      <w:lang w:val="en-US" w:eastAsia="zh-CN"/>
                    </w:rPr>
                    <w:t>不达标</w:t>
                  </w:r>
                  <w:r>
                    <w:rPr>
                      <w:rFonts w:hint="eastAsia" w:asciiTheme="minorEastAsia" w:hAnsiTheme="minorEastAsia" w:eastAsiaTheme="minorEastAsia" w:cstheme="minorEastAsia"/>
                      <w:sz w:val="24"/>
                      <w:szCs w:val="24"/>
                    </w:rPr>
                    <w:t>扣</w:t>
                  </w:r>
                  <w:r>
                    <w:rPr>
                      <w:rFonts w:hint="eastAsia" w:asciiTheme="minorEastAsia" w:hAnsiTheme="minorEastAsia" w:eastAsiaTheme="minorEastAsia" w:cstheme="minorEastAsia"/>
                      <w:sz w:val="24"/>
                      <w:szCs w:val="24"/>
                      <w:lang w:val="en-US" w:eastAsia="zh-CN"/>
                    </w:rPr>
                    <w:t>0.5</w:t>
                  </w:r>
                  <w:r>
                    <w:rPr>
                      <w:rFonts w:hint="eastAsia" w:asciiTheme="minorEastAsia" w:hAnsiTheme="minorEastAsia" w:eastAsiaTheme="minorEastAsia" w:cstheme="minorEastAsia"/>
                      <w:sz w:val="24"/>
                      <w:szCs w:val="24"/>
                    </w:rPr>
                    <w:t>分。</w:t>
                  </w:r>
                </w:p>
              </w:tc>
              <w:tc>
                <w:tcPr>
                  <w:tcW w:w="508" w:type="pct"/>
                  <w:vAlign w:val="center"/>
                </w:tcPr>
                <w:p w14:paraId="6DBE50BE">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w:t>
                  </w:r>
                </w:p>
              </w:tc>
              <w:tc>
                <w:tcPr>
                  <w:tcW w:w="711" w:type="pct"/>
                </w:tcPr>
                <w:p w14:paraId="54B77EC7">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286F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Merge w:val="continue"/>
                </w:tcPr>
                <w:p w14:paraId="717A3581">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c>
                <w:tcPr>
                  <w:tcW w:w="561" w:type="pct"/>
                  <w:vAlign w:val="center"/>
                </w:tcPr>
                <w:p w14:paraId="6E94C6C1">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2660" w:type="pct"/>
                  <w:vAlign w:val="top"/>
                </w:tcPr>
                <w:p w14:paraId="4C493253">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楼内卫生间</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开水间、储物间、洗衣间、洗漱间、晾衣间</w:t>
                  </w:r>
                  <w:r>
                    <w:rPr>
                      <w:rFonts w:hint="eastAsia" w:asciiTheme="minorEastAsia" w:hAnsiTheme="minorEastAsia" w:eastAsiaTheme="minorEastAsia" w:cstheme="minorEastAsia"/>
                      <w:sz w:val="24"/>
                      <w:szCs w:val="24"/>
                    </w:rPr>
                    <w:t>：空气清新</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大小便池无烟头、杂物</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厕纸篓及时倾倒，</w:t>
                  </w:r>
                  <w:r>
                    <w:rPr>
                      <w:rFonts w:hint="eastAsia" w:asciiTheme="minorEastAsia" w:hAnsiTheme="minorEastAsia" w:eastAsiaTheme="minorEastAsia" w:cstheme="minorEastAsia"/>
                      <w:sz w:val="24"/>
                      <w:szCs w:val="24"/>
                    </w:rPr>
                    <w:t>墙壁、地面、门窗、窗台、玻璃、镜子</w:t>
                  </w:r>
                  <w:r>
                    <w:rPr>
                      <w:rFonts w:hint="eastAsia" w:asciiTheme="minorEastAsia" w:hAnsiTheme="minorEastAsia" w:eastAsiaTheme="minorEastAsia" w:cstheme="minorEastAsia"/>
                      <w:sz w:val="24"/>
                      <w:szCs w:val="24"/>
                      <w:lang w:val="en-US" w:eastAsia="zh-CN"/>
                    </w:rPr>
                    <w:t>保持</w:t>
                  </w:r>
                  <w:r>
                    <w:rPr>
                      <w:rFonts w:hint="eastAsia" w:asciiTheme="minorEastAsia" w:hAnsiTheme="minorEastAsia" w:eastAsiaTheme="minorEastAsia" w:cstheme="minorEastAsia"/>
                      <w:sz w:val="24"/>
                      <w:szCs w:val="24"/>
                    </w:rPr>
                    <w:t>干净、整洁。一处</w:t>
                  </w:r>
                  <w:r>
                    <w:rPr>
                      <w:rFonts w:hint="eastAsia" w:asciiTheme="minorEastAsia" w:hAnsiTheme="minorEastAsia" w:eastAsiaTheme="minorEastAsia" w:cstheme="minorEastAsia"/>
                      <w:sz w:val="24"/>
                      <w:szCs w:val="24"/>
                      <w:lang w:val="en-US" w:eastAsia="zh-CN"/>
                    </w:rPr>
                    <w:t>不达标</w:t>
                  </w:r>
                  <w:r>
                    <w:rPr>
                      <w:rFonts w:hint="eastAsia" w:asciiTheme="minorEastAsia" w:hAnsiTheme="minorEastAsia" w:eastAsiaTheme="minorEastAsia" w:cstheme="minorEastAsia"/>
                      <w:sz w:val="24"/>
                      <w:szCs w:val="24"/>
                    </w:rPr>
                    <w:t>扣</w:t>
                  </w:r>
                  <w:r>
                    <w:rPr>
                      <w:rFonts w:hint="eastAsia" w:asciiTheme="minorEastAsia" w:hAnsiTheme="minorEastAsia" w:eastAsiaTheme="minorEastAsia" w:cstheme="minorEastAsia"/>
                      <w:sz w:val="24"/>
                      <w:szCs w:val="24"/>
                      <w:lang w:val="en-US" w:eastAsia="zh-CN"/>
                    </w:rPr>
                    <w:t>0.5</w:t>
                  </w:r>
                  <w:r>
                    <w:rPr>
                      <w:rFonts w:hint="eastAsia" w:asciiTheme="minorEastAsia" w:hAnsiTheme="minorEastAsia" w:eastAsiaTheme="minorEastAsia" w:cstheme="minorEastAsia"/>
                      <w:sz w:val="24"/>
                      <w:szCs w:val="24"/>
                    </w:rPr>
                    <w:t>分。</w:t>
                  </w:r>
                </w:p>
              </w:tc>
              <w:tc>
                <w:tcPr>
                  <w:tcW w:w="508" w:type="pct"/>
                  <w:vAlign w:val="center"/>
                </w:tcPr>
                <w:p w14:paraId="44044FC9">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p>
              </w:tc>
              <w:tc>
                <w:tcPr>
                  <w:tcW w:w="711" w:type="pct"/>
                </w:tcPr>
                <w:p w14:paraId="597DC701">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3DA27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Merge w:val="continue"/>
                </w:tcPr>
                <w:p w14:paraId="6BC396B9">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c>
                <w:tcPr>
                  <w:tcW w:w="561" w:type="pct"/>
                  <w:vAlign w:val="center"/>
                </w:tcPr>
                <w:p w14:paraId="45B387F1">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2660" w:type="pct"/>
                  <w:vAlign w:val="top"/>
                </w:tcPr>
                <w:p w14:paraId="74CCBCCA">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楼内大厅</w:t>
                  </w:r>
                  <w:r>
                    <w:rPr>
                      <w:rFonts w:hint="eastAsia" w:asciiTheme="minorEastAsia" w:hAnsiTheme="minorEastAsia" w:eastAsiaTheme="minorEastAsia" w:cstheme="minorEastAsia"/>
                      <w:sz w:val="24"/>
                      <w:szCs w:val="24"/>
                      <w:lang w:val="en-US" w:eastAsia="zh-CN"/>
                    </w:rPr>
                    <w:t>等公共区域</w:t>
                  </w:r>
                  <w:r>
                    <w:rPr>
                      <w:rFonts w:hint="eastAsia" w:asciiTheme="minorEastAsia" w:hAnsiTheme="minorEastAsia" w:eastAsiaTheme="minorEastAsia" w:cstheme="minorEastAsia"/>
                      <w:sz w:val="24"/>
                      <w:szCs w:val="24"/>
                    </w:rPr>
                    <w:t>地面、</w:t>
                  </w:r>
                  <w:r>
                    <w:rPr>
                      <w:rFonts w:hint="eastAsia" w:asciiTheme="minorEastAsia" w:hAnsiTheme="minorEastAsia" w:eastAsiaTheme="minorEastAsia" w:cstheme="minorEastAsia"/>
                      <w:sz w:val="24"/>
                      <w:szCs w:val="24"/>
                      <w:lang w:val="en-US" w:eastAsia="zh-CN"/>
                    </w:rPr>
                    <w:t>墙裙、</w:t>
                  </w:r>
                  <w:r>
                    <w:rPr>
                      <w:rFonts w:hint="eastAsia" w:asciiTheme="minorEastAsia" w:hAnsiTheme="minorEastAsia" w:eastAsiaTheme="minorEastAsia" w:cstheme="minorEastAsia"/>
                      <w:sz w:val="24"/>
                      <w:szCs w:val="24"/>
                    </w:rPr>
                    <w:t>宣传栏、垃圾箱</w:t>
                  </w:r>
                  <w:r>
                    <w:rPr>
                      <w:rFonts w:hint="eastAsia" w:asciiTheme="minorEastAsia" w:hAnsiTheme="minorEastAsia" w:eastAsiaTheme="minorEastAsia" w:cstheme="minorEastAsia"/>
                      <w:sz w:val="24"/>
                      <w:szCs w:val="24"/>
                      <w:lang w:val="en-US" w:eastAsia="zh-CN"/>
                    </w:rPr>
                    <w:t>保持</w:t>
                  </w:r>
                  <w:r>
                    <w:rPr>
                      <w:rFonts w:hint="eastAsia" w:asciiTheme="minorEastAsia" w:hAnsiTheme="minorEastAsia" w:eastAsiaTheme="minorEastAsia" w:cstheme="minorEastAsia"/>
                      <w:sz w:val="24"/>
                      <w:szCs w:val="24"/>
                    </w:rPr>
                    <w:t>干净、整洁。一处</w:t>
                  </w:r>
                  <w:r>
                    <w:rPr>
                      <w:rFonts w:hint="eastAsia" w:asciiTheme="minorEastAsia" w:hAnsiTheme="minorEastAsia" w:eastAsiaTheme="minorEastAsia" w:cstheme="minorEastAsia"/>
                      <w:sz w:val="24"/>
                      <w:szCs w:val="24"/>
                      <w:lang w:val="en-US" w:eastAsia="zh-CN"/>
                    </w:rPr>
                    <w:t>不达标</w:t>
                  </w:r>
                  <w:r>
                    <w:rPr>
                      <w:rFonts w:hint="eastAsia" w:asciiTheme="minorEastAsia" w:hAnsiTheme="minorEastAsia" w:eastAsiaTheme="minorEastAsia" w:cstheme="minorEastAsia"/>
                      <w:sz w:val="24"/>
                      <w:szCs w:val="24"/>
                    </w:rPr>
                    <w:t>扣</w:t>
                  </w:r>
                  <w:r>
                    <w:rPr>
                      <w:rFonts w:hint="eastAsia" w:asciiTheme="minorEastAsia" w:hAnsiTheme="minorEastAsia" w:eastAsiaTheme="minorEastAsia" w:cstheme="minorEastAsia"/>
                      <w:sz w:val="24"/>
                      <w:szCs w:val="24"/>
                      <w:lang w:val="en-US" w:eastAsia="zh-CN"/>
                    </w:rPr>
                    <w:t>0.5</w:t>
                  </w:r>
                  <w:r>
                    <w:rPr>
                      <w:rFonts w:hint="eastAsia" w:asciiTheme="minorEastAsia" w:hAnsiTheme="minorEastAsia" w:eastAsiaTheme="minorEastAsia" w:cstheme="minorEastAsia"/>
                      <w:sz w:val="24"/>
                      <w:szCs w:val="24"/>
                    </w:rPr>
                    <w:t>分。</w:t>
                  </w:r>
                </w:p>
              </w:tc>
              <w:tc>
                <w:tcPr>
                  <w:tcW w:w="508" w:type="pct"/>
                  <w:vAlign w:val="center"/>
                </w:tcPr>
                <w:p w14:paraId="05B705F0">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p>
              </w:tc>
              <w:tc>
                <w:tcPr>
                  <w:tcW w:w="711" w:type="pct"/>
                </w:tcPr>
                <w:p w14:paraId="4D5D2B85">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66513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Merge w:val="continue"/>
                </w:tcPr>
                <w:p w14:paraId="5D23C02A">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c>
                <w:tcPr>
                  <w:tcW w:w="561" w:type="pct"/>
                  <w:vAlign w:val="center"/>
                </w:tcPr>
                <w:p w14:paraId="30EFF993">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w:t>
                  </w:r>
                </w:p>
              </w:tc>
              <w:tc>
                <w:tcPr>
                  <w:tcW w:w="2660" w:type="pct"/>
                  <w:vAlign w:val="top"/>
                </w:tcPr>
                <w:p w14:paraId="60A7E8C6">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保持</w:t>
                  </w:r>
                  <w:r>
                    <w:rPr>
                      <w:rFonts w:hint="eastAsia" w:asciiTheme="minorEastAsia" w:hAnsiTheme="minorEastAsia" w:eastAsiaTheme="minorEastAsia" w:cstheme="minorEastAsia"/>
                      <w:sz w:val="24"/>
                      <w:szCs w:val="24"/>
                    </w:rPr>
                    <w:t>楼内</w:t>
                  </w:r>
                  <w:r>
                    <w:rPr>
                      <w:rFonts w:hint="eastAsia" w:asciiTheme="minorEastAsia" w:hAnsiTheme="minorEastAsia" w:eastAsiaTheme="minorEastAsia" w:cstheme="minorEastAsia"/>
                      <w:sz w:val="24"/>
                      <w:szCs w:val="24"/>
                      <w:lang w:val="en-US" w:eastAsia="zh-CN"/>
                    </w:rPr>
                    <w:t>公共区域地面无垃圾、无废弃物</w:t>
                  </w:r>
                  <w:r>
                    <w:rPr>
                      <w:rFonts w:hint="eastAsia" w:asciiTheme="minorEastAsia" w:hAnsiTheme="minorEastAsia" w:eastAsiaTheme="minorEastAsia" w:cstheme="minorEastAsia"/>
                      <w:sz w:val="24"/>
                      <w:szCs w:val="24"/>
                    </w:rPr>
                    <w:t>。一处</w:t>
                  </w:r>
                  <w:r>
                    <w:rPr>
                      <w:rFonts w:hint="eastAsia" w:asciiTheme="minorEastAsia" w:hAnsiTheme="minorEastAsia" w:eastAsiaTheme="minorEastAsia" w:cstheme="minorEastAsia"/>
                      <w:sz w:val="24"/>
                      <w:szCs w:val="24"/>
                      <w:lang w:val="en-US" w:eastAsia="zh-CN"/>
                    </w:rPr>
                    <w:t>不达标</w:t>
                  </w:r>
                  <w:r>
                    <w:rPr>
                      <w:rFonts w:hint="eastAsia" w:asciiTheme="minorEastAsia" w:hAnsiTheme="minorEastAsia" w:eastAsiaTheme="minorEastAsia" w:cstheme="minorEastAsia"/>
                      <w:sz w:val="24"/>
                      <w:szCs w:val="24"/>
                    </w:rPr>
                    <w:t>扣</w:t>
                  </w:r>
                  <w:r>
                    <w:rPr>
                      <w:rFonts w:hint="eastAsia" w:asciiTheme="minorEastAsia" w:hAnsiTheme="minorEastAsia" w:eastAsiaTheme="minorEastAsia" w:cstheme="minorEastAsia"/>
                      <w:sz w:val="24"/>
                      <w:szCs w:val="24"/>
                      <w:lang w:val="en-US" w:eastAsia="zh-CN"/>
                    </w:rPr>
                    <w:t>0.5</w:t>
                  </w:r>
                  <w:r>
                    <w:rPr>
                      <w:rFonts w:hint="eastAsia" w:asciiTheme="minorEastAsia" w:hAnsiTheme="minorEastAsia" w:eastAsiaTheme="minorEastAsia" w:cstheme="minorEastAsia"/>
                      <w:sz w:val="24"/>
                      <w:szCs w:val="24"/>
                    </w:rPr>
                    <w:t>分</w:t>
                  </w:r>
                  <w:r>
                    <w:rPr>
                      <w:rFonts w:hint="eastAsia" w:asciiTheme="minorEastAsia" w:hAnsiTheme="minorEastAsia" w:eastAsiaTheme="minorEastAsia" w:cstheme="minorEastAsia"/>
                      <w:sz w:val="24"/>
                      <w:szCs w:val="24"/>
                      <w:lang w:eastAsia="zh-CN"/>
                    </w:rPr>
                    <w:t>。</w:t>
                  </w:r>
                </w:p>
              </w:tc>
              <w:tc>
                <w:tcPr>
                  <w:tcW w:w="508" w:type="pct"/>
                  <w:vAlign w:val="center"/>
                </w:tcPr>
                <w:p w14:paraId="328DE321">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p>
              </w:tc>
              <w:tc>
                <w:tcPr>
                  <w:tcW w:w="711" w:type="pct"/>
                </w:tcPr>
                <w:p w14:paraId="0BF381E0">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5721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Merge w:val="continue"/>
                </w:tcPr>
                <w:p w14:paraId="0990EF19">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c>
                <w:tcPr>
                  <w:tcW w:w="561" w:type="pct"/>
                  <w:vAlign w:val="center"/>
                </w:tcPr>
                <w:p w14:paraId="3F5AF536">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w:t>
                  </w:r>
                </w:p>
              </w:tc>
              <w:tc>
                <w:tcPr>
                  <w:tcW w:w="2660" w:type="pct"/>
                  <w:vAlign w:val="top"/>
                </w:tcPr>
                <w:p w14:paraId="169D376F">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清洁</w:t>
                  </w:r>
                  <w:r>
                    <w:rPr>
                      <w:rFonts w:hint="eastAsia" w:asciiTheme="minorEastAsia" w:hAnsiTheme="minorEastAsia" w:eastAsiaTheme="minorEastAsia" w:cstheme="minorEastAsia"/>
                      <w:sz w:val="24"/>
                      <w:szCs w:val="24"/>
                    </w:rPr>
                    <w:t>用具摆放整齐</w:t>
                  </w:r>
                  <w:r>
                    <w:rPr>
                      <w:rFonts w:hint="eastAsia" w:asciiTheme="minorEastAsia" w:hAnsiTheme="minorEastAsia" w:eastAsiaTheme="minorEastAsia" w:cstheme="minorEastAsia"/>
                      <w:sz w:val="24"/>
                      <w:szCs w:val="24"/>
                      <w:lang w:val="en-US" w:eastAsia="zh-CN"/>
                    </w:rPr>
                    <w:t>有序</w:t>
                  </w:r>
                  <w:r>
                    <w:rPr>
                      <w:rFonts w:hint="eastAsia" w:asciiTheme="minorEastAsia" w:hAnsiTheme="minorEastAsia" w:eastAsiaTheme="minorEastAsia" w:cstheme="minorEastAsia"/>
                      <w:sz w:val="24"/>
                      <w:szCs w:val="24"/>
                    </w:rPr>
                    <w:t>，清洁车、洗地车</w:t>
                  </w:r>
                  <w:r>
                    <w:rPr>
                      <w:rFonts w:hint="eastAsia" w:asciiTheme="minorEastAsia" w:hAnsiTheme="minorEastAsia" w:eastAsiaTheme="minorEastAsia" w:cstheme="minorEastAsia"/>
                      <w:sz w:val="24"/>
                      <w:szCs w:val="24"/>
                      <w:lang w:val="en-US" w:eastAsia="zh-CN"/>
                    </w:rPr>
                    <w:t>等设备按</w:t>
                  </w:r>
                  <w:r>
                    <w:rPr>
                      <w:rFonts w:hint="eastAsia" w:asciiTheme="minorEastAsia" w:hAnsiTheme="minorEastAsia" w:eastAsiaTheme="minorEastAsia" w:cstheme="minorEastAsia"/>
                      <w:sz w:val="24"/>
                      <w:szCs w:val="24"/>
                    </w:rPr>
                    <w:t>指定</w:t>
                  </w:r>
                  <w:r>
                    <w:rPr>
                      <w:rFonts w:hint="eastAsia" w:asciiTheme="minorEastAsia" w:hAnsiTheme="minorEastAsia" w:eastAsiaTheme="minorEastAsia" w:cstheme="minorEastAsia"/>
                      <w:sz w:val="24"/>
                      <w:szCs w:val="24"/>
                      <w:lang w:val="en-US" w:eastAsia="zh-CN"/>
                    </w:rPr>
                    <w:t>地</w:t>
                  </w:r>
                  <w:r>
                    <w:rPr>
                      <w:rFonts w:hint="eastAsia" w:asciiTheme="minorEastAsia" w:hAnsiTheme="minorEastAsia" w:eastAsiaTheme="minorEastAsia" w:cstheme="minorEastAsia"/>
                      <w:sz w:val="24"/>
                      <w:szCs w:val="24"/>
                    </w:rPr>
                    <w:t>点存放保管。一处</w:t>
                  </w:r>
                  <w:r>
                    <w:rPr>
                      <w:rFonts w:hint="eastAsia" w:asciiTheme="minorEastAsia" w:hAnsiTheme="minorEastAsia" w:eastAsiaTheme="minorEastAsia" w:cstheme="minorEastAsia"/>
                      <w:sz w:val="24"/>
                      <w:szCs w:val="24"/>
                      <w:lang w:val="en-US" w:eastAsia="zh-CN"/>
                    </w:rPr>
                    <w:t>不达标</w:t>
                  </w:r>
                  <w:r>
                    <w:rPr>
                      <w:rFonts w:hint="eastAsia" w:asciiTheme="minorEastAsia" w:hAnsiTheme="minorEastAsia" w:eastAsiaTheme="minorEastAsia" w:cstheme="minorEastAsia"/>
                      <w:sz w:val="24"/>
                      <w:szCs w:val="24"/>
                    </w:rPr>
                    <w:t>扣</w:t>
                  </w:r>
                  <w:r>
                    <w:rPr>
                      <w:rFonts w:hint="eastAsia" w:asciiTheme="minorEastAsia" w:hAnsiTheme="minorEastAsia" w:eastAsiaTheme="minorEastAsia" w:cstheme="minorEastAsia"/>
                      <w:sz w:val="24"/>
                      <w:szCs w:val="24"/>
                      <w:lang w:val="en-US" w:eastAsia="zh-CN"/>
                    </w:rPr>
                    <w:t>0.5</w:t>
                  </w:r>
                  <w:r>
                    <w:rPr>
                      <w:rFonts w:hint="eastAsia" w:asciiTheme="minorEastAsia" w:hAnsiTheme="minorEastAsia" w:eastAsiaTheme="minorEastAsia" w:cstheme="minorEastAsia"/>
                      <w:sz w:val="24"/>
                      <w:szCs w:val="24"/>
                    </w:rPr>
                    <w:t>分。</w:t>
                  </w:r>
                </w:p>
              </w:tc>
              <w:tc>
                <w:tcPr>
                  <w:tcW w:w="508" w:type="pct"/>
                  <w:vAlign w:val="center"/>
                </w:tcPr>
                <w:p w14:paraId="4635C448">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w:t>
                  </w:r>
                </w:p>
              </w:tc>
              <w:tc>
                <w:tcPr>
                  <w:tcW w:w="711" w:type="pct"/>
                </w:tcPr>
                <w:p w14:paraId="5379ADD7">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2FA1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556" w:type="pct"/>
                  <w:vMerge w:val="continue"/>
                </w:tcPr>
                <w:p w14:paraId="55F02DC3">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c>
                <w:tcPr>
                  <w:tcW w:w="561" w:type="pct"/>
                  <w:vAlign w:val="center"/>
                </w:tcPr>
                <w:p w14:paraId="091B32EA">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w:t>
                  </w:r>
                </w:p>
              </w:tc>
              <w:tc>
                <w:tcPr>
                  <w:tcW w:w="2660" w:type="pct"/>
                  <w:vAlign w:val="top"/>
                </w:tcPr>
                <w:p w14:paraId="5D27F933">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楼内垃圾做到日产日清，垃圾桶光亮整洁、无异味。</w:t>
                  </w:r>
                  <w:r>
                    <w:rPr>
                      <w:rFonts w:hint="eastAsia" w:asciiTheme="minorEastAsia" w:hAnsiTheme="minorEastAsia" w:eastAsiaTheme="minorEastAsia" w:cstheme="minorEastAsia"/>
                      <w:sz w:val="24"/>
                      <w:szCs w:val="24"/>
                    </w:rPr>
                    <w:t>一处</w:t>
                  </w:r>
                  <w:r>
                    <w:rPr>
                      <w:rFonts w:hint="eastAsia" w:asciiTheme="minorEastAsia" w:hAnsiTheme="minorEastAsia" w:eastAsiaTheme="minorEastAsia" w:cstheme="minorEastAsia"/>
                      <w:sz w:val="24"/>
                      <w:szCs w:val="24"/>
                      <w:lang w:val="en-US" w:eastAsia="zh-CN"/>
                    </w:rPr>
                    <w:t>不达标</w:t>
                  </w:r>
                  <w:r>
                    <w:rPr>
                      <w:rFonts w:hint="eastAsia" w:asciiTheme="minorEastAsia" w:hAnsiTheme="minorEastAsia" w:eastAsiaTheme="minorEastAsia" w:cstheme="minorEastAsia"/>
                      <w:sz w:val="24"/>
                      <w:szCs w:val="24"/>
                    </w:rPr>
                    <w:t>扣</w:t>
                  </w:r>
                  <w:r>
                    <w:rPr>
                      <w:rFonts w:hint="eastAsia" w:asciiTheme="minorEastAsia" w:hAnsiTheme="minorEastAsia" w:eastAsiaTheme="minorEastAsia" w:cstheme="minorEastAsia"/>
                      <w:sz w:val="24"/>
                      <w:szCs w:val="24"/>
                      <w:lang w:val="en-US" w:eastAsia="zh-CN"/>
                    </w:rPr>
                    <w:t>0.5</w:t>
                  </w:r>
                  <w:r>
                    <w:rPr>
                      <w:rFonts w:hint="eastAsia" w:asciiTheme="minorEastAsia" w:hAnsiTheme="minorEastAsia" w:eastAsiaTheme="minorEastAsia" w:cstheme="minorEastAsia"/>
                      <w:sz w:val="24"/>
                      <w:szCs w:val="24"/>
                    </w:rPr>
                    <w:t>分</w:t>
                  </w:r>
                  <w:r>
                    <w:rPr>
                      <w:rFonts w:hint="eastAsia" w:asciiTheme="minorEastAsia" w:hAnsiTheme="minorEastAsia" w:eastAsiaTheme="minorEastAsia" w:cstheme="minorEastAsia"/>
                      <w:sz w:val="24"/>
                      <w:szCs w:val="24"/>
                      <w:lang w:eastAsia="zh-CN"/>
                    </w:rPr>
                    <w:t>。</w:t>
                  </w:r>
                </w:p>
              </w:tc>
              <w:tc>
                <w:tcPr>
                  <w:tcW w:w="508" w:type="pct"/>
                  <w:vAlign w:val="center"/>
                </w:tcPr>
                <w:p w14:paraId="0F56AB33">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p>
              </w:tc>
              <w:tc>
                <w:tcPr>
                  <w:tcW w:w="711" w:type="pct"/>
                </w:tcPr>
                <w:p w14:paraId="1AE86A6A">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6AAE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Merge w:val="restart"/>
                  <w:vAlign w:val="center"/>
                </w:tcPr>
                <w:p w14:paraId="0660CEC1">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室外与绿化带保洁</w:t>
                  </w:r>
                </w:p>
              </w:tc>
              <w:tc>
                <w:tcPr>
                  <w:tcW w:w="561" w:type="pct"/>
                  <w:vAlign w:val="center"/>
                </w:tcPr>
                <w:p w14:paraId="4AEFAB77">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w:t>
                  </w:r>
                </w:p>
              </w:tc>
              <w:tc>
                <w:tcPr>
                  <w:tcW w:w="2660" w:type="pct"/>
                  <w:vAlign w:val="top"/>
                </w:tcPr>
                <w:p w14:paraId="56DEAEE8">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室外公共区域地面干净整洁</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无废弃物、白色垃圾，遇雨雪天气及时清扫，辖区内无小广告。校园内标识标牌、文化设施、休闲设施（桌、椅）等干净整洁，无污渍。</w:t>
                  </w:r>
                  <w:r>
                    <w:rPr>
                      <w:rFonts w:hint="eastAsia" w:asciiTheme="minorEastAsia" w:hAnsiTheme="minorEastAsia" w:eastAsiaTheme="minorEastAsia" w:cstheme="minorEastAsia"/>
                      <w:sz w:val="24"/>
                      <w:szCs w:val="24"/>
                    </w:rPr>
                    <w:t>一处</w:t>
                  </w:r>
                  <w:r>
                    <w:rPr>
                      <w:rFonts w:hint="eastAsia" w:asciiTheme="minorEastAsia" w:hAnsiTheme="minorEastAsia" w:eastAsiaTheme="minorEastAsia" w:cstheme="minorEastAsia"/>
                      <w:sz w:val="24"/>
                      <w:szCs w:val="24"/>
                      <w:lang w:val="en-US" w:eastAsia="zh-CN"/>
                    </w:rPr>
                    <w:t>不达标</w:t>
                  </w:r>
                  <w:r>
                    <w:rPr>
                      <w:rFonts w:hint="eastAsia" w:asciiTheme="minorEastAsia" w:hAnsiTheme="minorEastAsia" w:eastAsiaTheme="minorEastAsia" w:cstheme="minorEastAsia"/>
                      <w:sz w:val="24"/>
                      <w:szCs w:val="24"/>
                    </w:rPr>
                    <w:t>扣</w:t>
                  </w:r>
                  <w:r>
                    <w:rPr>
                      <w:rFonts w:hint="eastAsia" w:asciiTheme="minorEastAsia" w:hAnsiTheme="minorEastAsia" w:eastAsiaTheme="minorEastAsia" w:cstheme="minorEastAsia"/>
                      <w:sz w:val="24"/>
                      <w:szCs w:val="24"/>
                      <w:lang w:val="en-US" w:eastAsia="zh-CN"/>
                    </w:rPr>
                    <w:t>0.5</w:t>
                  </w:r>
                  <w:r>
                    <w:rPr>
                      <w:rFonts w:hint="eastAsia" w:asciiTheme="minorEastAsia" w:hAnsiTheme="minorEastAsia" w:eastAsiaTheme="minorEastAsia" w:cstheme="minorEastAsia"/>
                      <w:sz w:val="24"/>
                      <w:szCs w:val="24"/>
                    </w:rPr>
                    <w:t>分。</w:t>
                  </w:r>
                </w:p>
              </w:tc>
              <w:tc>
                <w:tcPr>
                  <w:tcW w:w="508" w:type="pct"/>
                  <w:vAlign w:val="center"/>
                </w:tcPr>
                <w:p w14:paraId="77B2723F">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15</w:t>
                  </w:r>
                </w:p>
              </w:tc>
              <w:tc>
                <w:tcPr>
                  <w:tcW w:w="711" w:type="pct"/>
                </w:tcPr>
                <w:p w14:paraId="2F490AEC">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1C8BA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Merge w:val="continue"/>
                </w:tcPr>
                <w:p w14:paraId="2EB01E7A">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p>
              </w:tc>
              <w:tc>
                <w:tcPr>
                  <w:tcW w:w="561" w:type="pct"/>
                  <w:vAlign w:val="center"/>
                </w:tcPr>
                <w:p w14:paraId="53812755">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9</w:t>
                  </w:r>
                </w:p>
              </w:tc>
              <w:tc>
                <w:tcPr>
                  <w:tcW w:w="2660" w:type="pct"/>
                  <w:vAlign w:val="top"/>
                </w:tcPr>
                <w:p w14:paraId="57B48CDF">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垃圾袋装化，做到日产日清。</w:t>
                  </w:r>
                  <w:r>
                    <w:rPr>
                      <w:rFonts w:hint="eastAsia" w:asciiTheme="minorEastAsia" w:hAnsiTheme="minorEastAsia" w:eastAsiaTheme="minorEastAsia" w:cstheme="minorEastAsia"/>
                      <w:sz w:val="24"/>
                      <w:szCs w:val="24"/>
                    </w:rPr>
                    <w:t>垃圾桶</w:t>
                  </w:r>
                  <w:r>
                    <w:rPr>
                      <w:rFonts w:hint="eastAsia" w:asciiTheme="minorEastAsia" w:hAnsiTheme="minorEastAsia" w:eastAsiaTheme="minorEastAsia" w:cstheme="minorEastAsia"/>
                      <w:sz w:val="24"/>
                      <w:szCs w:val="24"/>
                      <w:lang w:val="en-US" w:eastAsia="zh-CN"/>
                    </w:rPr>
                    <w:t>外表光亮</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无外溢，垃圾桶周边干净、无污渍。</w:t>
                  </w:r>
                  <w:r>
                    <w:rPr>
                      <w:rFonts w:hint="eastAsia" w:asciiTheme="minorEastAsia" w:hAnsiTheme="minorEastAsia" w:eastAsiaTheme="minorEastAsia" w:cstheme="minorEastAsia"/>
                      <w:sz w:val="24"/>
                      <w:szCs w:val="24"/>
                    </w:rPr>
                    <w:t>一处</w:t>
                  </w:r>
                  <w:r>
                    <w:rPr>
                      <w:rFonts w:hint="eastAsia" w:asciiTheme="minorEastAsia" w:hAnsiTheme="minorEastAsia" w:eastAsiaTheme="minorEastAsia" w:cstheme="minorEastAsia"/>
                      <w:sz w:val="24"/>
                      <w:szCs w:val="24"/>
                      <w:lang w:val="en-US" w:eastAsia="zh-CN"/>
                    </w:rPr>
                    <w:t>不达标</w:t>
                  </w:r>
                  <w:r>
                    <w:rPr>
                      <w:rFonts w:hint="eastAsia" w:asciiTheme="minorEastAsia" w:hAnsiTheme="minorEastAsia" w:eastAsiaTheme="minorEastAsia" w:cstheme="minorEastAsia"/>
                      <w:sz w:val="24"/>
                      <w:szCs w:val="24"/>
                    </w:rPr>
                    <w:t>扣</w:t>
                  </w:r>
                  <w:r>
                    <w:rPr>
                      <w:rFonts w:hint="eastAsia" w:asciiTheme="minorEastAsia" w:hAnsiTheme="minorEastAsia" w:eastAsiaTheme="minorEastAsia" w:cstheme="minorEastAsia"/>
                      <w:sz w:val="24"/>
                      <w:szCs w:val="24"/>
                      <w:lang w:val="en-US" w:eastAsia="zh-CN"/>
                    </w:rPr>
                    <w:t>0.5</w:t>
                  </w:r>
                  <w:r>
                    <w:rPr>
                      <w:rFonts w:hint="eastAsia" w:asciiTheme="minorEastAsia" w:hAnsiTheme="minorEastAsia" w:eastAsiaTheme="minorEastAsia" w:cstheme="minorEastAsia"/>
                      <w:sz w:val="24"/>
                      <w:szCs w:val="24"/>
                    </w:rPr>
                    <w:t>分</w:t>
                  </w:r>
                  <w:r>
                    <w:rPr>
                      <w:rFonts w:hint="eastAsia" w:asciiTheme="minorEastAsia" w:hAnsiTheme="minorEastAsia" w:eastAsiaTheme="minorEastAsia" w:cstheme="minorEastAsia"/>
                      <w:sz w:val="24"/>
                      <w:szCs w:val="24"/>
                      <w:lang w:eastAsia="zh-CN"/>
                    </w:rPr>
                    <w:t>。</w:t>
                  </w:r>
                </w:p>
              </w:tc>
              <w:tc>
                <w:tcPr>
                  <w:tcW w:w="508" w:type="pct"/>
                  <w:vAlign w:val="center"/>
                </w:tcPr>
                <w:p w14:paraId="06817531">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p>
              </w:tc>
              <w:tc>
                <w:tcPr>
                  <w:tcW w:w="711" w:type="pct"/>
                </w:tcPr>
                <w:p w14:paraId="2F175950">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02A0D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6" w:type="pct"/>
                  <w:vMerge w:val="continue"/>
                </w:tcPr>
                <w:p w14:paraId="35BED750">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c>
                <w:tcPr>
                  <w:tcW w:w="561" w:type="pct"/>
                  <w:vAlign w:val="center"/>
                </w:tcPr>
                <w:p w14:paraId="7DD8E1EA">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w:t>
                  </w:r>
                </w:p>
              </w:tc>
              <w:tc>
                <w:tcPr>
                  <w:tcW w:w="2660" w:type="pct"/>
                  <w:vAlign w:val="top"/>
                </w:tcPr>
                <w:p w14:paraId="2F810C46">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做好相关服务区域的绿化养护工作，不得出现枯萎、荒漠、虫害现象。草坪、树坑、绿化带内无垃圾、废纸，产生的死树、落叶、树枝、草屑等杂物及时倾倒。一处不达标扣0.5分。</w:t>
                  </w:r>
                </w:p>
              </w:tc>
              <w:tc>
                <w:tcPr>
                  <w:tcW w:w="508" w:type="pct"/>
                  <w:vAlign w:val="center"/>
                </w:tcPr>
                <w:p w14:paraId="45A2B8B4">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15</w:t>
                  </w:r>
                </w:p>
              </w:tc>
              <w:tc>
                <w:tcPr>
                  <w:tcW w:w="711" w:type="pct"/>
                </w:tcPr>
                <w:p w14:paraId="0D7CA001">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491F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3779" w:type="pct"/>
                  <w:gridSpan w:val="3"/>
                  <w:vAlign w:val="center"/>
                </w:tcPr>
                <w:p w14:paraId="60D559E7">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合计</w:t>
                  </w:r>
                </w:p>
              </w:tc>
              <w:tc>
                <w:tcPr>
                  <w:tcW w:w="508" w:type="pct"/>
                  <w:vAlign w:val="center"/>
                </w:tcPr>
                <w:p w14:paraId="0C47BB51">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100</w:t>
                  </w:r>
                </w:p>
              </w:tc>
              <w:tc>
                <w:tcPr>
                  <w:tcW w:w="711" w:type="pct"/>
                  <w:vAlign w:val="center"/>
                </w:tcPr>
                <w:p w14:paraId="576FD486">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bl>
          <w:p w14:paraId="3DC2ED06">
            <w:pPr>
              <w:widowControl w:val="0"/>
              <w:spacing w:line="360" w:lineRule="auto"/>
              <w:jc w:val="both"/>
              <w:rPr>
                <w:rFonts w:hint="eastAsia" w:asciiTheme="minorEastAsia" w:hAnsiTheme="minorEastAsia" w:eastAsiaTheme="minorEastAsia" w:cstheme="minorEastAsia"/>
                <w:sz w:val="24"/>
                <w:szCs w:val="24"/>
              </w:rPr>
            </w:pPr>
          </w:p>
          <w:tbl>
            <w:tblPr>
              <w:tblStyle w:val="6"/>
              <w:tblW w:w="47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907"/>
              <w:gridCol w:w="4163"/>
              <w:gridCol w:w="1021"/>
              <w:gridCol w:w="1088"/>
            </w:tblGrid>
            <w:tr w14:paraId="0DDAE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6" w:type="dxa"/>
                  <w:vAlign w:val="center"/>
                </w:tcPr>
                <w:p w14:paraId="225F405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考核项目</w:t>
                  </w:r>
                </w:p>
              </w:tc>
              <w:tc>
                <w:tcPr>
                  <w:tcW w:w="907" w:type="dxa"/>
                  <w:vAlign w:val="center"/>
                </w:tcPr>
                <w:p w14:paraId="329A464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序号</w:t>
                  </w:r>
                </w:p>
              </w:tc>
              <w:tc>
                <w:tcPr>
                  <w:tcW w:w="4163" w:type="dxa"/>
                  <w:vAlign w:val="center"/>
                </w:tcPr>
                <w:p w14:paraId="5AEFFF3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验收内容及评分标准</w:t>
                  </w:r>
                </w:p>
              </w:tc>
              <w:tc>
                <w:tcPr>
                  <w:tcW w:w="1021" w:type="dxa"/>
                  <w:vAlign w:val="center"/>
                </w:tcPr>
                <w:p w14:paraId="11BC5E6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分值</w:t>
                  </w:r>
                </w:p>
              </w:tc>
              <w:tc>
                <w:tcPr>
                  <w:tcW w:w="1088" w:type="dxa"/>
                  <w:vAlign w:val="center"/>
                </w:tcPr>
                <w:p w14:paraId="319310E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考核得分</w:t>
                  </w:r>
                </w:p>
              </w:tc>
            </w:tr>
            <w:tr w14:paraId="4A0C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Merge w:val="restart"/>
                  <w:vAlign w:val="center"/>
                </w:tcPr>
                <w:p w14:paraId="5CB8581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餐饮服务</w:t>
                  </w:r>
                </w:p>
              </w:tc>
              <w:tc>
                <w:tcPr>
                  <w:tcW w:w="907" w:type="dxa"/>
                  <w:shd w:val="clear" w:color="auto" w:fill="auto"/>
                  <w:vAlign w:val="center"/>
                </w:tcPr>
                <w:p w14:paraId="625207B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4163" w:type="dxa"/>
                  <w:shd w:val="clear" w:color="auto" w:fill="auto"/>
                  <w:vAlign w:val="center"/>
                </w:tcPr>
                <w:p w14:paraId="18E86722">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依据市场监督管理局要求，申领《食品卫生许可证》，并每年进行一次年</w:t>
                  </w:r>
                </w:p>
                <w:p w14:paraId="3D6EDB6A">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审，一处不达标扣1分。</w:t>
                  </w:r>
                </w:p>
              </w:tc>
              <w:tc>
                <w:tcPr>
                  <w:tcW w:w="1021" w:type="dxa"/>
                  <w:shd w:val="clear" w:color="auto" w:fill="auto"/>
                  <w:vAlign w:val="center"/>
                </w:tcPr>
                <w:p w14:paraId="1405640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1088" w:type="dxa"/>
                  <w:vAlign w:val="center"/>
                </w:tcPr>
                <w:p w14:paraId="47C2194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11158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Merge w:val="continue"/>
                  <w:vAlign w:val="center"/>
                </w:tcPr>
                <w:p w14:paraId="12A7BC7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shd w:val="clear" w:color="auto" w:fill="auto"/>
                  <w:vAlign w:val="center"/>
                </w:tcPr>
                <w:p w14:paraId="7B66A73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4163" w:type="dxa"/>
                  <w:shd w:val="clear" w:color="auto" w:fill="auto"/>
                  <w:vAlign w:val="center"/>
                </w:tcPr>
                <w:p w14:paraId="719DD647">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监督所有从业人员必须持证上岗（健康证、技术等级证），并且在上班期间按规定穿工衣，佩戴工帽、口罩。一处不达标扣1分。</w:t>
                  </w:r>
                </w:p>
              </w:tc>
              <w:tc>
                <w:tcPr>
                  <w:tcW w:w="1021" w:type="dxa"/>
                  <w:shd w:val="clear" w:color="auto" w:fill="auto"/>
                  <w:vAlign w:val="center"/>
                </w:tcPr>
                <w:p w14:paraId="5833128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1088" w:type="dxa"/>
                  <w:vAlign w:val="center"/>
                </w:tcPr>
                <w:p w14:paraId="23D8B1C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11907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Merge w:val="continue"/>
                  <w:vAlign w:val="center"/>
                </w:tcPr>
                <w:p w14:paraId="5A9974B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shd w:val="clear" w:color="auto" w:fill="auto"/>
                  <w:vAlign w:val="center"/>
                </w:tcPr>
                <w:p w14:paraId="326284E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vertAlign w:val="baseline"/>
                      <w:lang w:val="en-US" w:eastAsia="zh-CN"/>
                    </w:rPr>
                    <w:t>3</w:t>
                  </w:r>
                </w:p>
              </w:tc>
              <w:tc>
                <w:tcPr>
                  <w:tcW w:w="4163" w:type="dxa"/>
                  <w:shd w:val="clear" w:color="auto" w:fill="auto"/>
                  <w:vAlign w:val="center"/>
                </w:tcPr>
                <w:p w14:paraId="0BDC9509">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vertAlign w:val="baseline"/>
                      <w:lang w:val="en-US" w:eastAsia="zh-CN"/>
                    </w:rPr>
                    <w:t>严把进货渠道，不得采购来路不明的食品，库管员必须确保食材采购为学校中标单位食材，并完成当日登记台账，一处不达标扣2分。</w:t>
                  </w:r>
                </w:p>
              </w:tc>
              <w:tc>
                <w:tcPr>
                  <w:tcW w:w="1021" w:type="dxa"/>
                  <w:shd w:val="clear" w:color="auto" w:fill="auto"/>
                  <w:vAlign w:val="center"/>
                </w:tcPr>
                <w:p w14:paraId="5E631B2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1088" w:type="dxa"/>
                  <w:vAlign w:val="center"/>
                </w:tcPr>
                <w:p w14:paraId="33B826D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117A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Merge w:val="continue"/>
                  <w:vAlign w:val="center"/>
                </w:tcPr>
                <w:p w14:paraId="059E20D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shd w:val="clear" w:color="auto" w:fill="auto"/>
                  <w:vAlign w:val="center"/>
                </w:tcPr>
                <w:p w14:paraId="643C2FA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4163" w:type="dxa"/>
                  <w:shd w:val="clear" w:color="auto" w:fill="auto"/>
                  <w:vAlign w:val="center"/>
                </w:tcPr>
                <w:p w14:paraId="20CA14F2">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严禁给师生提供腐烂、变质、过期食品，新鲜瓜果蔬菜认真清洗干净，一处不达标扣2分。</w:t>
                  </w:r>
                </w:p>
              </w:tc>
              <w:tc>
                <w:tcPr>
                  <w:tcW w:w="1021" w:type="dxa"/>
                  <w:shd w:val="clear" w:color="auto" w:fill="auto"/>
                  <w:vAlign w:val="center"/>
                </w:tcPr>
                <w:p w14:paraId="19547A0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8</w:t>
                  </w:r>
                </w:p>
              </w:tc>
              <w:tc>
                <w:tcPr>
                  <w:tcW w:w="1088" w:type="dxa"/>
                  <w:vAlign w:val="center"/>
                </w:tcPr>
                <w:p w14:paraId="4C6AAF1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13EBE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Merge w:val="continue"/>
                  <w:vAlign w:val="center"/>
                </w:tcPr>
                <w:p w14:paraId="567FABB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shd w:val="clear" w:color="auto" w:fill="auto"/>
                  <w:vAlign w:val="center"/>
                </w:tcPr>
                <w:p w14:paraId="7802427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4163" w:type="dxa"/>
                  <w:shd w:val="clear" w:color="auto" w:fill="auto"/>
                  <w:vAlign w:val="center"/>
                </w:tcPr>
                <w:p w14:paraId="6F160CDA">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保持食堂内外环境卫生干净整洁，采取“三防”“四定 ”办法，一处不达标扣1分。</w:t>
                  </w:r>
                </w:p>
              </w:tc>
              <w:tc>
                <w:tcPr>
                  <w:tcW w:w="1021" w:type="dxa"/>
                  <w:shd w:val="clear" w:color="auto" w:fill="auto"/>
                  <w:vAlign w:val="center"/>
                </w:tcPr>
                <w:p w14:paraId="6EE2FA4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7</w:t>
                  </w:r>
                </w:p>
              </w:tc>
              <w:tc>
                <w:tcPr>
                  <w:tcW w:w="1088" w:type="dxa"/>
                  <w:vAlign w:val="center"/>
                </w:tcPr>
                <w:p w14:paraId="3F27FB2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16469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Merge w:val="continue"/>
                  <w:vAlign w:val="center"/>
                </w:tcPr>
                <w:p w14:paraId="08B7458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shd w:val="clear" w:color="auto" w:fill="auto"/>
                  <w:vAlign w:val="center"/>
                </w:tcPr>
                <w:p w14:paraId="50CF916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6</w:t>
                  </w:r>
                </w:p>
              </w:tc>
              <w:tc>
                <w:tcPr>
                  <w:tcW w:w="4163" w:type="dxa"/>
                  <w:shd w:val="clear" w:color="auto" w:fill="auto"/>
                  <w:vAlign w:val="center"/>
                </w:tcPr>
                <w:p w14:paraId="1AA4D5C2">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每餐必须对餐具进行清洗消毒，食品用具、餐具实行“ 四过关”，即：一洗、二刷、三冲、四消毒，一处不达标扣1分。</w:t>
                  </w:r>
                </w:p>
              </w:tc>
              <w:tc>
                <w:tcPr>
                  <w:tcW w:w="1021" w:type="dxa"/>
                  <w:shd w:val="clear" w:color="auto" w:fill="auto"/>
                  <w:vAlign w:val="center"/>
                </w:tcPr>
                <w:p w14:paraId="128254F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1088" w:type="dxa"/>
                  <w:vAlign w:val="center"/>
                </w:tcPr>
                <w:p w14:paraId="28BB1AC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7D900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Merge w:val="continue"/>
                  <w:vAlign w:val="center"/>
                </w:tcPr>
                <w:p w14:paraId="1CC7F30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shd w:val="clear" w:color="auto" w:fill="auto"/>
                  <w:vAlign w:val="center"/>
                </w:tcPr>
                <w:p w14:paraId="2B46009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7</w:t>
                  </w:r>
                </w:p>
              </w:tc>
              <w:tc>
                <w:tcPr>
                  <w:tcW w:w="4163" w:type="dxa"/>
                  <w:shd w:val="clear" w:color="auto" w:fill="auto"/>
                  <w:vAlign w:val="center"/>
                </w:tcPr>
                <w:p w14:paraId="15344AC9">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操作间、餐厅做到每天清洗、擦扫；每周大扫除，油烟机、操作台、墙壁、地面保持清洁、无污垢，一处不达标扣1分。</w:t>
                  </w:r>
                </w:p>
              </w:tc>
              <w:tc>
                <w:tcPr>
                  <w:tcW w:w="1021" w:type="dxa"/>
                  <w:shd w:val="clear" w:color="auto" w:fill="auto"/>
                  <w:vAlign w:val="center"/>
                </w:tcPr>
                <w:p w14:paraId="72BA78C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8</w:t>
                  </w:r>
                </w:p>
              </w:tc>
              <w:tc>
                <w:tcPr>
                  <w:tcW w:w="1088" w:type="dxa"/>
                  <w:vAlign w:val="center"/>
                </w:tcPr>
                <w:p w14:paraId="24F3252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5EE8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Merge w:val="continue"/>
                  <w:vAlign w:val="center"/>
                </w:tcPr>
                <w:p w14:paraId="3904B8E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shd w:val="clear" w:color="auto" w:fill="auto"/>
                  <w:vAlign w:val="center"/>
                </w:tcPr>
                <w:p w14:paraId="655DC5A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8</w:t>
                  </w:r>
                </w:p>
              </w:tc>
              <w:tc>
                <w:tcPr>
                  <w:tcW w:w="4163" w:type="dxa"/>
                  <w:shd w:val="clear" w:color="auto" w:fill="auto"/>
                  <w:vAlign w:val="center"/>
                </w:tcPr>
                <w:p w14:paraId="3C8DED76">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库房内存放的食品要分类，隔墙离地，专人保管，负责人定时检查，一处不达标扣1分。</w:t>
                  </w:r>
                </w:p>
              </w:tc>
              <w:tc>
                <w:tcPr>
                  <w:tcW w:w="1021" w:type="dxa"/>
                  <w:shd w:val="clear" w:color="auto" w:fill="auto"/>
                  <w:vAlign w:val="center"/>
                </w:tcPr>
                <w:p w14:paraId="03A41EE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1088" w:type="dxa"/>
                  <w:vAlign w:val="center"/>
                </w:tcPr>
                <w:p w14:paraId="334027C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2AF80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Merge w:val="continue"/>
                  <w:vAlign w:val="center"/>
                </w:tcPr>
                <w:p w14:paraId="11B7AAE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shd w:val="clear" w:color="auto" w:fill="auto"/>
                  <w:vAlign w:val="center"/>
                </w:tcPr>
                <w:p w14:paraId="4524BE5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9</w:t>
                  </w:r>
                </w:p>
              </w:tc>
              <w:tc>
                <w:tcPr>
                  <w:tcW w:w="4163" w:type="dxa"/>
                  <w:shd w:val="clear" w:color="auto" w:fill="auto"/>
                  <w:vAlign w:val="center"/>
                </w:tcPr>
                <w:p w14:paraId="6377A624">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库房应当干燥、通风，采取消除苍蝇、老鼠、蟑螂和其他有害昆虫及其孳生条件的措施，贮存食品的容器必须安全、无害，一处不达标扣2分。</w:t>
                  </w:r>
                </w:p>
              </w:tc>
              <w:tc>
                <w:tcPr>
                  <w:tcW w:w="1021" w:type="dxa"/>
                  <w:shd w:val="clear" w:color="auto" w:fill="auto"/>
                  <w:vAlign w:val="center"/>
                </w:tcPr>
                <w:p w14:paraId="79B85D2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16</w:t>
                  </w:r>
                </w:p>
              </w:tc>
              <w:tc>
                <w:tcPr>
                  <w:tcW w:w="1088" w:type="dxa"/>
                  <w:vAlign w:val="center"/>
                </w:tcPr>
                <w:p w14:paraId="7575504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032F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16" w:type="dxa"/>
                  <w:vMerge w:val="continue"/>
                  <w:vAlign w:val="center"/>
                </w:tcPr>
                <w:p w14:paraId="3145769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vAlign w:val="center"/>
                </w:tcPr>
                <w:p w14:paraId="2B4A0BA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pPr>
                  <w:r>
                    <w:rPr>
                      <w:rFonts w:hint="eastAsia" w:asciiTheme="minorEastAsia" w:hAnsiTheme="minorEastAsia" w:eastAsiaTheme="minorEastAsia" w:cstheme="minorEastAsia"/>
                      <w:sz w:val="24"/>
                      <w:szCs w:val="24"/>
                      <w:vertAlign w:val="baseline"/>
                      <w:lang w:val="en-US" w:eastAsia="zh-CN"/>
                    </w:rPr>
                    <w:t>10</w:t>
                  </w:r>
                </w:p>
              </w:tc>
              <w:tc>
                <w:tcPr>
                  <w:tcW w:w="4163" w:type="dxa"/>
                  <w:vAlign w:val="center"/>
                </w:tcPr>
                <w:p w14:paraId="4D20E58E">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建立健全食品安全管理档案，督促相关从业人员做好食品原料进货台账、餐饮器具消毒记录、餐厨废弃物处理记录、食品添加剂使用记录、食品留样记录、员工晨检记录、员工培训记录，日常收尾记录，一处不达标扣2分。</w:t>
                  </w:r>
                </w:p>
              </w:tc>
              <w:tc>
                <w:tcPr>
                  <w:tcW w:w="1021" w:type="dxa"/>
                  <w:vAlign w:val="center"/>
                </w:tcPr>
                <w:p w14:paraId="082B6C3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16</w:t>
                  </w:r>
                </w:p>
              </w:tc>
              <w:tc>
                <w:tcPr>
                  <w:tcW w:w="1088" w:type="dxa"/>
                  <w:shd w:val="clear" w:color="auto" w:fill="auto"/>
                  <w:vAlign w:val="center"/>
                </w:tcPr>
                <w:p w14:paraId="155227A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r>
          </w:tbl>
          <w:p w14:paraId="53E85298">
            <w:pPr>
              <w:widowControl w:val="0"/>
              <w:spacing w:line="360" w:lineRule="auto"/>
              <w:jc w:val="both"/>
              <w:rPr>
                <w:rFonts w:hint="eastAsia" w:asciiTheme="minorEastAsia" w:hAnsiTheme="minorEastAsia" w:eastAsiaTheme="minorEastAsia" w:cstheme="minorEastAsia"/>
                <w:sz w:val="24"/>
                <w:szCs w:val="24"/>
              </w:rPr>
            </w:pPr>
          </w:p>
          <w:tbl>
            <w:tblPr>
              <w:tblStyle w:val="6"/>
              <w:tblW w:w="46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918"/>
              <w:gridCol w:w="4139"/>
              <w:gridCol w:w="818"/>
              <w:gridCol w:w="1125"/>
            </w:tblGrid>
            <w:tr w14:paraId="61B21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Align w:val="center"/>
                </w:tcPr>
                <w:p w14:paraId="79B50DB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考核项目</w:t>
                  </w:r>
                </w:p>
              </w:tc>
              <w:tc>
                <w:tcPr>
                  <w:tcW w:w="918" w:type="dxa"/>
                  <w:vAlign w:val="center"/>
                </w:tcPr>
                <w:p w14:paraId="2CA2668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序号</w:t>
                  </w:r>
                </w:p>
              </w:tc>
              <w:tc>
                <w:tcPr>
                  <w:tcW w:w="4140" w:type="dxa"/>
                  <w:vAlign w:val="center"/>
                </w:tcPr>
                <w:p w14:paraId="6FC8B74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验收内容及评分标准</w:t>
                  </w:r>
                </w:p>
              </w:tc>
              <w:tc>
                <w:tcPr>
                  <w:tcW w:w="818" w:type="dxa"/>
                  <w:vAlign w:val="center"/>
                </w:tcPr>
                <w:p w14:paraId="5ADCEFC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分值</w:t>
                  </w:r>
                </w:p>
              </w:tc>
              <w:tc>
                <w:tcPr>
                  <w:tcW w:w="1125" w:type="dxa"/>
                  <w:vAlign w:val="center"/>
                </w:tcPr>
                <w:p w14:paraId="616C07D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考核得分</w:t>
                  </w:r>
                </w:p>
              </w:tc>
            </w:tr>
            <w:tr w14:paraId="28279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restart"/>
                  <w:vAlign w:val="center"/>
                </w:tcPr>
                <w:p w14:paraId="46C22E6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维修服务</w:t>
                  </w:r>
                </w:p>
              </w:tc>
              <w:tc>
                <w:tcPr>
                  <w:tcW w:w="918" w:type="dxa"/>
                  <w:shd w:val="clear" w:color="auto" w:fill="auto"/>
                  <w:vAlign w:val="center"/>
                </w:tcPr>
                <w:p w14:paraId="2EB4617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4140" w:type="dxa"/>
                  <w:shd w:val="clear" w:color="auto" w:fill="auto"/>
                  <w:vAlign w:val="top"/>
                </w:tcPr>
                <w:p w14:paraId="00B949E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墙面破损，室内及屋顶漏水，瓷砖空鼓、破损等要及时进行维修，保障其使用功能。保持校园内路面的平整，无坑洼、无破损，发现问题及时修复。每项不达标扣1分。</w:t>
                  </w:r>
                </w:p>
              </w:tc>
              <w:tc>
                <w:tcPr>
                  <w:tcW w:w="818" w:type="dxa"/>
                  <w:shd w:val="clear" w:color="auto" w:fill="auto"/>
                  <w:vAlign w:val="center"/>
                </w:tcPr>
                <w:p w14:paraId="668C7BF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1125" w:type="dxa"/>
                  <w:vAlign w:val="top"/>
                </w:tcPr>
                <w:p w14:paraId="384E9FB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4749B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14:paraId="27B2539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18" w:type="dxa"/>
                  <w:shd w:val="clear" w:color="auto" w:fill="auto"/>
                  <w:vAlign w:val="center"/>
                </w:tcPr>
                <w:p w14:paraId="595AA7B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vertAlign w:val="baseline"/>
                      <w:lang w:val="en-US" w:eastAsia="zh-CN"/>
                    </w:rPr>
                    <w:t>2</w:t>
                  </w:r>
                </w:p>
              </w:tc>
              <w:tc>
                <w:tcPr>
                  <w:tcW w:w="4140" w:type="dxa"/>
                  <w:shd w:val="clear" w:color="auto" w:fill="auto"/>
                  <w:vAlign w:val="top"/>
                </w:tcPr>
                <w:p w14:paraId="78F4CEE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Fonts w:hint="eastAsia" w:asciiTheme="minorEastAsia" w:hAnsiTheme="minorEastAsia" w:eastAsiaTheme="minorEastAsia" w:cstheme="minorEastAsia"/>
                      <w:sz w:val="24"/>
                      <w:szCs w:val="24"/>
                      <w:highlight w:val="none"/>
                      <w:lang w:val="en-US" w:eastAsia="zh-CN"/>
                    </w:rPr>
                  </w:pPr>
                  <w:r>
                    <w:rPr>
                      <w:rFonts w:ascii="宋体" w:hAnsi="宋体" w:eastAsia="宋体" w:cs="宋体"/>
                      <w:sz w:val="24"/>
                      <w:szCs w:val="24"/>
                      <w:highlight w:val="none"/>
                    </w:rPr>
                    <w:t>电工、水暖工需按规定足额配置，严格执行值班制度，违反其中任意一项，本项不得分。</w:t>
                  </w:r>
                </w:p>
              </w:tc>
              <w:tc>
                <w:tcPr>
                  <w:tcW w:w="818" w:type="dxa"/>
                  <w:shd w:val="clear" w:color="auto" w:fill="auto"/>
                  <w:vAlign w:val="center"/>
                </w:tcPr>
                <w:p w14:paraId="157BC88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1125" w:type="dxa"/>
                  <w:vAlign w:val="top"/>
                </w:tcPr>
                <w:p w14:paraId="45CFA72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4EE99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14:paraId="46C1D39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18" w:type="dxa"/>
                  <w:shd w:val="clear" w:color="auto" w:fill="auto"/>
                  <w:vAlign w:val="center"/>
                </w:tcPr>
                <w:p w14:paraId="5FFEB2E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4140" w:type="dxa"/>
                  <w:shd w:val="clear" w:color="auto" w:fill="auto"/>
                  <w:vAlign w:val="top"/>
                </w:tcPr>
                <w:p w14:paraId="4257009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定期检查上下水管道，及时清掏污水井、化粪池、隔油池、雨水井等，避免堵、漏、跑、冒现象发生。每项不达标扣1分。</w:t>
                  </w:r>
                </w:p>
              </w:tc>
              <w:tc>
                <w:tcPr>
                  <w:tcW w:w="818" w:type="dxa"/>
                  <w:shd w:val="clear" w:color="auto" w:fill="auto"/>
                  <w:vAlign w:val="center"/>
                </w:tcPr>
                <w:p w14:paraId="621A6B8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20</w:t>
                  </w:r>
                </w:p>
              </w:tc>
              <w:tc>
                <w:tcPr>
                  <w:tcW w:w="1125" w:type="dxa"/>
                  <w:vAlign w:val="top"/>
                </w:tcPr>
                <w:p w14:paraId="76BA709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79F44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14:paraId="08F82F3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18" w:type="dxa"/>
                  <w:shd w:val="clear" w:color="auto" w:fill="auto"/>
                  <w:vAlign w:val="center"/>
                </w:tcPr>
                <w:p w14:paraId="2F22D25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4140" w:type="dxa"/>
                  <w:shd w:val="clear" w:color="auto" w:fill="auto"/>
                  <w:vAlign w:val="top"/>
                </w:tcPr>
                <w:p w14:paraId="29BE530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巡查物业服务区域内灭火器材、消防管道等消防设施设备，对每日巡检结果进行记录，发现消防隐患及时上报相关负责人。每项不达标扣1分。</w:t>
                  </w:r>
                </w:p>
              </w:tc>
              <w:tc>
                <w:tcPr>
                  <w:tcW w:w="818" w:type="dxa"/>
                  <w:shd w:val="clear" w:color="auto" w:fill="auto"/>
                  <w:vAlign w:val="center"/>
                </w:tcPr>
                <w:p w14:paraId="1CF25C9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20</w:t>
                  </w:r>
                </w:p>
              </w:tc>
              <w:tc>
                <w:tcPr>
                  <w:tcW w:w="1125" w:type="dxa"/>
                  <w:vAlign w:val="top"/>
                </w:tcPr>
                <w:p w14:paraId="6730269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3066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14:paraId="6A7F2CE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18" w:type="dxa"/>
                  <w:shd w:val="clear" w:color="auto" w:fill="auto"/>
                  <w:vAlign w:val="center"/>
                </w:tcPr>
                <w:p w14:paraId="26CED53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4140" w:type="dxa"/>
                  <w:shd w:val="clear" w:color="auto" w:fill="auto"/>
                  <w:vAlign w:val="top"/>
                </w:tcPr>
                <w:p w14:paraId="67B9660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做好变压器和电梯维保、检测，及时排除故障，确保正常运行。每项不达标扣1分。及时检查配电箱、变压器及其它配电设施设备的运行情况。保障室外照明，配电设施设备的安全平稳运行。每项不达标扣1分。</w:t>
                  </w:r>
                </w:p>
              </w:tc>
              <w:tc>
                <w:tcPr>
                  <w:tcW w:w="818" w:type="dxa"/>
                  <w:shd w:val="clear" w:color="auto" w:fill="auto"/>
                  <w:vAlign w:val="center"/>
                </w:tcPr>
                <w:p w14:paraId="6747651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1125" w:type="dxa"/>
                  <w:vAlign w:val="top"/>
                </w:tcPr>
                <w:p w14:paraId="786E8AC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2392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dxa"/>
                  <w:vMerge w:val="continue"/>
                  <w:vAlign w:val="center"/>
                </w:tcPr>
                <w:p w14:paraId="004B46B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18" w:type="dxa"/>
                  <w:vAlign w:val="center"/>
                </w:tcPr>
                <w:p w14:paraId="295F48C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6</w:t>
                  </w:r>
                </w:p>
              </w:tc>
              <w:tc>
                <w:tcPr>
                  <w:tcW w:w="4140" w:type="dxa"/>
                  <w:shd w:val="clear" w:color="auto" w:fill="auto"/>
                  <w:vAlign w:val="top"/>
                </w:tcPr>
                <w:p w14:paraId="0390B0E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遇突发紧急性维修项目（如：下水堵塞、供水系统维修、暖气漏水、室内线路故障等）接到保修10分钟内到达现场进行维修，小型维修项目立即完成，不过夜。每项不达标扣1分。</w:t>
                  </w:r>
                </w:p>
              </w:tc>
              <w:tc>
                <w:tcPr>
                  <w:tcW w:w="818" w:type="dxa"/>
                  <w:shd w:val="clear" w:color="auto" w:fill="auto"/>
                  <w:vAlign w:val="center"/>
                </w:tcPr>
                <w:p w14:paraId="2CFF7FE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1125" w:type="dxa"/>
                  <w:vAlign w:val="top"/>
                </w:tcPr>
                <w:p w14:paraId="537040B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r>
            <w:tr w14:paraId="6F30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724" w:type="dxa"/>
                  <w:gridSpan w:val="2"/>
                  <w:vAlign w:val="center"/>
                </w:tcPr>
                <w:p w14:paraId="5AE98DA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合计</w:t>
                  </w:r>
                </w:p>
              </w:tc>
              <w:tc>
                <w:tcPr>
                  <w:tcW w:w="4140" w:type="dxa"/>
                  <w:vAlign w:val="center"/>
                </w:tcPr>
                <w:p w14:paraId="73A8EE7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heme="minorEastAsia" w:hAnsiTheme="minorEastAsia" w:eastAsiaTheme="minorEastAsia" w:cstheme="minorEastAsia"/>
                      <w:sz w:val="24"/>
                      <w:szCs w:val="24"/>
                      <w:lang w:val="en-US" w:eastAsia="zh-CN"/>
                    </w:rPr>
                  </w:pPr>
                </w:p>
              </w:tc>
              <w:tc>
                <w:tcPr>
                  <w:tcW w:w="818" w:type="dxa"/>
                  <w:vAlign w:val="center"/>
                </w:tcPr>
                <w:p w14:paraId="7FFD38E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c>
                <w:tcPr>
                  <w:tcW w:w="1125" w:type="dxa"/>
                  <w:shd w:val="clear" w:color="auto" w:fill="auto"/>
                  <w:vAlign w:val="center"/>
                </w:tcPr>
                <w:p w14:paraId="7A63BAC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100</w:t>
                  </w:r>
                </w:p>
              </w:tc>
            </w:tr>
          </w:tbl>
          <w:p w14:paraId="7B017D8D">
            <w:pPr>
              <w:widowControl w:val="0"/>
              <w:spacing w:line="360" w:lineRule="auto"/>
              <w:jc w:val="both"/>
              <w:rPr>
                <w:rFonts w:hint="default" w:asciiTheme="minorEastAsia" w:hAnsiTheme="minorEastAsia" w:eastAsiaTheme="minorEastAsia" w:cstheme="minorEastAsia"/>
                <w:sz w:val="24"/>
                <w:szCs w:val="24"/>
                <w:lang w:val="en-US" w:eastAsia="zh-CN"/>
              </w:rPr>
            </w:pPr>
          </w:p>
          <w:tbl>
            <w:tblPr>
              <w:tblStyle w:val="6"/>
              <w:tblW w:w="46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907"/>
              <w:gridCol w:w="4138"/>
              <w:gridCol w:w="841"/>
              <w:gridCol w:w="1125"/>
            </w:tblGrid>
            <w:tr w14:paraId="3EE15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832" w:type="dxa"/>
                  <w:vAlign w:val="center"/>
                </w:tcPr>
                <w:p w14:paraId="05861C8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考核项目</w:t>
                  </w:r>
                </w:p>
              </w:tc>
              <w:tc>
                <w:tcPr>
                  <w:tcW w:w="907" w:type="dxa"/>
                  <w:vAlign w:val="center"/>
                </w:tcPr>
                <w:p w14:paraId="782C2EF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序号</w:t>
                  </w:r>
                </w:p>
              </w:tc>
              <w:tc>
                <w:tcPr>
                  <w:tcW w:w="4138" w:type="dxa"/>
                  <w:vAlign w:val="center"/>
                </w:tcPr>
                <w:p w14:paraId="564D66A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验收内容及评分标准</w:t>
                  </w:r>
                </w:p>
              </w:tc>
              <w:tc>
                <w:tcPr>
                  <w:tcW w:w="841" w:type="dxa"/>
                  <w:vAlign w:val="center"/>
                </w:tcPr>
                <w:p w14:paraId="29849699">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分值</w:t>
                  </w:r>
                </w:p>
              </w:tc>
              <w:tc>
                <w:tcPr>
                  <w:tcW w:w="1125" w:type="dxa"/>
                  <w:vAlign w:val="center"/>
                </w:tcPr>
                <w:p w14:paraId="3399B0D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vertAlign w:val="baseline"/>
                      <w:lang w:val="en-US" w:eastAsia="zh-CN"/>
                    </w:rPr>
                    <w:t>考核得分</w:t>
                  </w:r>
                </w:p>
              </w:tc>
            </w:tr>
            <w:tr w14:paraId="4456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Merge w:val="restart"/>
                  <w:vAlign w:val="center"/>
                </w:tcPr>
                <w:p w14:paraId="6C36FFE2">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公寓值班服务</w:t>
                  </w:r>
                </w:p>
              </w:tc>
              <w:tc>
                <w:tcPr>
                  <w:tcW w:w="907" w:type="dxa"/>
                  <w:shd w:val="clear" w:color="auto" w:fill="auto"/>
                  <w:vAlign w:val="center"/>
                </w:tcPr>
                <w:p w14:paraId="085DE41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4138" w:type="dxa"/>
                  <w:shd w:val="clear" w:color="auto" w:fill="auto"/>
                  <w:vAlign w:val="top"/>
                </w:tcPr>
                <w:p w14:paraId="3B4B6D9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人员配置必须达到规定人数，严格执行值班规定。</w:t>
                  </w:r>
                </w:p>
              </w:tc>
              <w:tc>
                <w:tcPr>
                  <w:tcW w:w="841" w:type="dxa"/>
                  <w:shd w:val="clear" w:color="auto" w:fill="auto"/>
                  <w:vAlign w:val="center"/>
                </w:tcPr>
                <w:p w14:paraId="510F348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1125" w:type="dxa"/>
                  <w:vAlign w:val="top"/>
                </w:tcPr>
                <w:p w14:paraId="22CB6FA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06555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Merge w:val="continue"/>
                  <w:vAlign w:val="center"/>
                </w:tcPr>
                <w:p w14:paraId="0EED05C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shd w:val="clear" w:color="auto" w:fill="auto"/>
                  <w:vAlign w:val="center"/>
                </w:tcPr>
                <w:p w14:paraId="1EB6F12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4138" w:type="dxa"/>
                  <w:shd w:val="clear" w:color="auto" w:fill="auto"/>
                  <w:vAlign w:val="top"/>
                </w:tcPr>
                <w:p w14:paraId="19BE971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做好学生公寓楼内的值班工作，值班期间不脱岗、不迟到、不早退、不做与本职工作无关的事情。一项不达标扣1分。做好值班记录和交接班工作，按时交接班，若因有事外出，与负责人请假。一项不达标扣1分。</w:t>
                  </w:r>
                </w:p>
              </w:tc>
              <w:tc>
                <w:tcPr>
                  <w:tcW w:w="841" w:type="dxa"/>
                  <w:shd w:val="clear" w:color="auto" w:fill="auto"/>
                  <w:vAlign w:val="center"/>
                </w:tcPr>
                <w:p w14:paraId="0C49147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10</w:t>
                  </w:r>
                </w:p>
              </w:tc>
              <w:tc>
                <w:tcPr>
                  <w:tcW w:w="1125" w:type="dxa"/>
                  <w:vAlign w:val="top"/>
                </w:tcPr>
                <w:p w14:paraId="3B82ABC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045A6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Merge w:val="continue"/>
                  <w:vAlign w:val="center"/>
                </w:tcPr>
                <w:p w14:paraId="0929EED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shd w:val="clear" w:color="auto" w:fill="auto"/>
                  <w:vAlign w:val="center"/>
                </w:tcPr>
                <w:p w14:paraId="65520D9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4138" w:type="dxa"/>
                  <w:shd w:val="clear" w:color="auto" w:fill="auto"/>
                  <w:vAlign w:val="top"/>
                </w:tcPr>
                <w:p w14:paraId="2429C21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大件物品出楼要登记核实，闲杂人员不得进入学生公寓，对来访人员办理登记手续。一项不达标扣1分。</w:t>
                  </w:r>
                </w:p>
              </w:tc>
              <w:tc>
                <w:tcPr>
                  <w:tcW w:w="841" w:type="dxa"/>
                  <w:shd w:val="clear" w:color="auto" w:fill="auto"/>
                  <w:vAlign w:val="center"/>
                </w:tcPr>
                <w:p w14:paraId="1CFBFD15">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15</w:t>
                  </w:r>
                </w:p>
              </w:tc>
              <w:tc>
                <w:tcPr>
                  <w:tcW w:w="1125" w:type="dxa"/>
                  <w:vAlign w:val="top"/>
                </w:tcPr>
                <w:p w14:paraId="5AE11A0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42CCE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Merge w:val="continue"/>
                  <w:vAlign w:val="center"/>
                </w:tcPr>
                <w:p w14:paraId="6F70EE5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shd w:val="clear" w:color="auto" w:fill="auto"/>
                  <w:vAlign w:val="center"/>
                </w:tcPr>
                <w:p w14:paraId="6A30CA9E">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4138" w:type="dxa"/>
                  <w:shd w:val="clear" w:color="auto" w:fill="auto"/>
                  <w:vAlign w:val="top"/>
                </w:tcPr>
                <w:p w14:paraId="58C21C4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做好学生公寓防火工作。严查学生在宿舍内使用电热毯及电炉等违禁电器情况，发现不安全因素迅速处理及时上报。一项不达标扣1分。</w:t>
                  </w:r>
                </w:p>
              </w:tc>
              <w:tc>
                <w:tcPr>
                  <w:tcW w:w="841" w:type="dxa"/>
                  <w:shd w:val="clear" w:color="auto" w:fill="auto"/>
                  <w:vAlign w:val="center"/>
                </w:tcPr>
                <w:p w14:paraId="4C873C0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20</w:t>
                  </w:r>
                </w:p>
              </w:tc>
              <w:tc>
                <w:tcPr>
                  <w:tcW w:w="1125" w:type="dxa"/>
                  <w:vAlign w:val="top"/>
                </w:tcPr>
                <w:p w14:paraId="0AF18B6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17AF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Merge w:val="continue"/>
                  <w:vAlign w:val="center"/>
                </w:tcPr>
                <w:p w14:paraId="4AE43EC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shd w:val="clear" w:color="auto" w:fill="auto"/>
                  <w:vAlign w:val="center"/>
                </w:tcPr>
                <w:p w14:paraId="65C5029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5</w:t>
                  </w:r>
                </w:p>
              </w:tc>
              <w:tc>
                <w:tcPr>
                  <w:tcW w:w="4138" w:type="dxa"/>
                  <w:shd w:val="clear" w:color="auto" w:fill="auto"/>
                  <w:vAlign w:val="top"/>
                </w:tcPr>
                <w:p w14:paraId="2297AB71">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负责学生公寓楼内水、电、暖、通讯、网络及其他设施设备的报修工作。一项不达标扣1分。</w:t>
                  </w:r>
                </w:p>
              </w:tc>
              <w:tc>
                <w:tcPr>
                  <w:tcW w:w="841" w:type="dxa"/>
                  <w:shd w:val="clear" w:color="auto" w:fill="auto"/>
                  <w:vAlign w:val="center"/>
                </w:tcPr>
                <w:p w14:paraId="320621B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20</w:t>
                  </w:r>
                </w:p>
              </w:tc>
              <w:tc>
                <w:tcPr>
                  <w:tcW w:w="1125" w:type="dxa"/>
                  <w:vAlign w:val="top"/>
                </w:tcPr>
                <w:p w14:paraId="0F591C94">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2F5A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vMerge w:val="continue"/>
                  <w:vAlign w:val="center"/>
                </w:tcPr>
                <w:p w14:paraId="1537BC1A">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p>
              </w:tc>
              <w:tc>
                <w:tcPr>
                  <w:tcW w:w="907" w:type="dxa"/>
                  <w:shd w:val="clear" w:color="auto" w:fill="auto"/>
                  <w:vAlign w:val="center"/>
                </w:tcPr>
                <w:p w14:paraId="5EB2B4F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6</w:t>
                  </w:r>
                </w:p>
              </w:tc>
              <w:tc>
                <w:tcPr>
                  <w:tcW w:w="4138" w:type="dxa"/>
                  <w:shd w:val="clear" w:color="auto" w:fill="auto"/>
                  <w:vAlign w:val="top"/>
                </w:tcPr>
                <w:p w14:paraId="18637033">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文明服务、不得与学生发生正面冲突。一项不达标扣1分。</w:t>
                  </w:r>
                </w:p>
              </w:tc>
              <w:tc>
                <w:tcPr>
                  <w:tcW w:w="841" w:type="dxa"/>
                  <w:shd w:val="clear" w:color="auto" w:fill="auto"/>
                  <w:vAlign w:val="center"/>
                </w:tcPr>
                <w:p w14:paraId="37F41AF8">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20</w:t>
                  </w:r>
                </w:p>
              </w:tc>
              <w:tc>
                <w:tcPr>
                  <w:tcW w:w="1125" w:type="dxa"/>
                  <w:vAlign w:val="top"/>
                </w:tcPr>
                <w:p w14:paraId="2908C3FB">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r w14:paraId="2CAEB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877" w:type="dxa"/>
                  <w:gridSpan w:val="3"/>
                  <w:vAlign w:val="center"/>
                </w:tcPr>
                <w:p w14:paraId="6B2A9410">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合计</w:t>
                  </w:r>
                </w:p>
              </w:tc>
              <w:tc>
                <w:tcPr>
                  <w:tcW w:w="841" w:type="dxa"/>
                  <w:shd w:val="clear" w:color="auto" w:fill="auto"/>
                  <w:vAlign w:val="center"/>
                </w:tcPr>
                <w:p w14:paraId="5B0AE78D">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vertAlign w:val="baseline"/>
                      <w:lang w:val="en-US" w:eastAsia="zh-CN"/>
                    </w:rPr>
                    <w:t>100</w:t>
                  </w:r>
                </w:p>
              </w:tc>
              <w:tc>
                <w:tcPr>
                  <w:tcW w:w="1125" w:type="dxa"/>
                  <w:vAlign w:val="center"/>
                </w:tcPr>
                <w:p w14:paraId="43FCAB6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Theme="minorEastAsia" w:hAnsiTheme="minorEastAsia" w:eastAsiaTheme="minorEastAsia" w:cstheme="minorEastAsia"/>
                      <w:sz w:val="24"/>
                      <w:szCs w:val="24"/>
                    </w:rPr>
                  </w:pPr>
                </w:p>
              </w:tc>
            </w:tr>
          </w:tbl>
          <w:p w14:paraId="6A017810">
            <w:pPr>
              <w:widowControl w:val="0"/>
              <w:spacing w:line="360" w:lineRule="auto"/>
              <w:jc w:val="both"/>
              <w:rPr>
                <w:rFonts w:hint="eastAsia" w:asciiTheme="minorEastAsia" w:hAnsiTheme="minorEastAsia" w:eastAsiaTheme="minorEastAsia" w:cstheme="minorEastAsia"/>
                <w:sz w:val="24"/>
                <w:szCs w:val="24"/>
              </w:rPr>
            </w:pPr>
          </w:p>
          <w:tbl>
            <w:tblPr>
              <w:tblStyle w:val="6"/>
              <w:tblW w:w="46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914"/>
              <w:gridCol w:w="4138"/>
              <w:gridCol w:w="675"/>
              <w:gridCol w:w="1162"/>
            </w:tblGrid>
            <w:tr w14:paraId="04B32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Align w:val="center"/>
                </w:tcPr>
                <w:p w14:paraId="4C5CC404">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考核项目</w:t>
                  </w:r>
                </w:p>
              </w:tc>
              <w:tc>
                <w:tcPr>
                  <w:tcW w:w="914" w:type="dxa"/>
                  <w:vAlign w:val="center"/>
                </w:tcPr>
                <w:p w14:paraId="05CAB464">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序号</w:t>
                  </w:r>
                </w:p>
              </w:tc>
              <w:tc>
                <w:tcPr>
                  <w:tcW w:w="4138" w:type="dxa"/>
                  <w:vAlign w:val="center"/>
                </w:tcPr>
                <w:p w14:paraId="64AC8FEE">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验收内容及评分标准</w:t>
                  </w:r>
                </w:p>
              </w:tc>
              <w:tc>
                <w:tcPr>
                  <w:tcW w:w="675" w:type="dxa"/>
                  <w:vAlign w:val="center"/>
                </w:tcPr>
                <w:p w14:paraId="34A2F008">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分值</w:t>
                  </w:r>
                </w:p>
              </w:tc>
              <w:tc>
                <w:tcPr>
                  <w:tcW w:w="1162" w:type="dxa"/>
                  <w:vAlign w:val="center"/>
                </w:tcPr>
                <w:p w14:paraId="417023EF">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考核得分</w:t>
                  </w:r>
                </w:p>
              </w:tc>
            </w:tr>
            <w:tr w14:paraId="5BE6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Merge w:val="restart"/>
                  <w:vAlign w:val="center"/>
                </w:tcPr>
                <w:p w14:paraId="36F876E0">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琴房管理</w:t>
                  </w:r>
                </w:p>
              </w:tc>
              <w:tc>
                <w:tcPr>
                  <w:tcW w:w="914" w:type="dxa"/>
                  <w:vAlign w:val="center"/>
                </w:tcPr>
                <w:p w14:paraId="62C07598">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4138" w:type="dxa"/>
                </w:tcPr>
                <w:p w14:paraId="246F7BE3">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按规定时间开放琴房门，不得迟到早退，认真做好值班记录。如遇突发事件及时处理。一处不达标扣1分。</w:t>
                  </w:r>
                </w:p>
              </w:tc>
              <w:tc>
                <w:tcPr>
                  <w:tcW w:w="675" w:type="dxa"/>
                  <w:vAlign w:val="center"/>
                </w:tcPr>
                <w:p w14:paraId="389FD442">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w:t>
                  </w:r>
                </w:p>
              </w:tc>
              <w:tc>
                <w:tcPr>
                  <w:tcW w:w="1162" w:type="dxa"/>
                </w:tcPr>
                <w:p w14:paraId="545D7515">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45270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Merge w:val="continue"/>
                  <w:vAlign w:val="center"/>
                </w:tcPr>
                <w:p w14:paraId="375A4CC4">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c>
                <w:tcPr>
                  <w:tcW w:w="914" w:type="dxa"/>
                  <w:vAlign w:val="center"/>
                </w:tcPr>
                <w:p w14:paraId="23485D7E">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4138" w:type="dxa"/>
                </w:tcPr>
                <w:p w14:paraId="63A90899">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严格按照琴房定员名单使用琴房卡，按照琴房管理制度，无琴卡者不准进入琴房，检查和制止学生乱窜琴房现象，上课和练琴时不准会客。保证琴房的正常秩序，对违反琴房规定的行为要及时予以纠正。一处不达标扣1分。</w:t>
                  </w:r>
                </w:p>
              </w:tc>
              <w:tc>
                <w:tcPr>
                  <w:tcW w:w="675" w:type="dxa"/>
                  <w:vAlign w:val="center"/>
                </w:tcPr>
                <w:p w14:paraId="7A2D2853">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162" w:type="dxa"/>
                </w:tcPr>
                <w:p w14:paraId="41A12ABD">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559AF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Merge w:val="continue"/>
                  <w:vAlign w:val="center"/>
                </w:tcPr>
                <w:p w14:paraId="648A946C">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c>
                <w:tcPr>
                  <w:tcW w:w="914" w:type="dxa"/>
                  <w:vAlign w:val="center"/>
                </w:tcPr>
                <w:p w14:paraId="1F8398B2">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4138" w:type="dxa"/>
                </w:tcPr>
                <w:p w14:paraId="289887FD">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负责琴房系统的简单维护与保养，检查琴房系统的日常运行情况并做好记录，负责平时教师和学生琴房卡的补录工作。一处不达标扣1分。</w:t>
                  </w:r>
                </w:p>
              </w:tc>
              <w:tc>
                <w:tcPr>
                  <w:tcW w:w="675" w:type="dxa"/>
                  <w:vAlign w:val="center"/>
                </w:tcPr>
                <w:p w14:paraId="423EAFF4">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162" w:type="dxa"/>
                </w:tcPr>
                <w:p w14:paraId="2766B675">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4DA6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Merge w:val="continue"/>
                  <w:vAlign w:val="center"/>
                </w:tcPr>
                <w:p w14:paraId="35B81E25">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c>
                <w:tcPr>
                  <w:tcW w:w="914" w:type="dxa"/>
                  <w:vAlign w:val="center"/>
                </w:tcPr>
                <w:p w14:paraId="51B9B37C">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138" w:type="dxa"/>
                </w:tcPr>
                <w:p w14:paraId="4C862C08">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负责开关照明电闸，并对琴房物品和设施进行检查登记。琴房关闭时，要认真检查门窗，关水、关电、锁门。注意防火、防盗。定期检查安全消防设施，做好琴房的安防工作。一处不达标扣1分。</w:t>
                  </w:r>
                </w:p>
              </w:tc>
              <w:tc>
                <w:tcPr>
                  <w:tcW w:w="675" w:type="dxa"/>
                  <w:vAlign w:val="center"/>
                </w:tcPr>
                <w:p w14:paraId="1058A94C">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162" w:type="dxa"/>
                </w:tcPr>
                <w:p w14:paraId="6AF1C8E5">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2C09E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24" w:type="dxa"/>
                  <w:vMerge w:val="restart"/>
                  <w:vAlign w:val="center"/>
                </w:tcPr>
                <w:p w14:paraId="4CE1D059">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多媒体</w:t>
                  </w:r>
                  <w:r>
                    <w:rPr>
                      <w:rFonts w:hint="eastAsia" w:asciiTheme="minorEastAsia" w:hAnsiTheme="minorEastAsia" w:eastAsiaTheme="minorEastAsia" w:cstheme="minorEastAsia"/>
                      <w:sz w:val="24"/>
                      <w:szCs w:val="24"/>
                      <w:lang w:val="en-US" w:eastAsia="zh-CN"/>
                    </w:rPr>
                    <w:t>教室</w:t>
                  </w:r>
                  <w:r>
                    <w:rPr>
                      <w:rFonts w:hint="eastAsia" w:asciiTheme="minorEastAsia" w:hAnsiTheme="minorEastAsia" w:eastAsiaTheme="minorEastAsia" w:cstheme="minorEastAsia"/>
                      <w:sz w:val="24"/>
                      <w:szCs w:val="24"/>
                    </w:rPr>
                    <w:t>管理</w:t>
                  </w:r>
                </w:p>
              </w:tc>
              <w:tc>
                <w:tcPr>
                  <w:tcW w:w="914" w:type="dxa"/>
                  <w:vAlign w:val="center"/>
                </w:tcPr>
                <w:p w14:paraId="241324EE">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4138" w:type="dxa"/>
                </w:tcPr>
                <w:p w14:paraId="0BB79102">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做好多媒体教室的使用记录，积极配合各教学单位开展多媒体教学，每月向教务处统计报告一次。一处不达标扣1分。</w:t>
                  </w:r>
                </w:p>
              </w:tc>
              <w:tc>
                <w:tcPr>
                  <w:tcW w:w="675" w:type="dxa"/>
                  <w:vAlign w:val="center"/>
                </w:tcPr>
                <w:p w14:paraId="564F23F7">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162" w:type="dxa"/>
                </w:tcPr>
                <w:p w14:paraId="5DFD4C1E">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350CA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24" w:type="dxa"/>
                  <w:vMerge w:val="continue"/>
                  <w:vAlign w:val="center"/>
                </w:tcPr>
                <w:p w14:paraId="68C31B8A">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c>
                <w:tcPr>
                  <w:tcW w:w="914" w:type="dxa"/>
                  <w:vAlign w:val="center"/>
                </w:tcPr>
                <w:p w14:paraId="2C932BA4">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p>
              </w:tc>
              <w:tc>
                <w:tcPr>
                  <w:tcW w:w="4138" w:type="dxa"/>
                </w:tcPr>
                <w:p w14:paraId="7C8D1128">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上课前30分钟必须到岗，上课前10分钟必须做好所有多媒体教室的准备工作，能够指导教师正确使用多媒体设备，及时处理使用多媒体设备过程中出现的故障。如晚上有各种讲座及学生活动或周六、日有课，按照申请单位安排的时间做好值班保障，保证日常教学正常进行。一处不达标扣1分。</w:t>
                  </w:r>
                </w:p>
              </w:tc>
              <w:tc>
                <w:tcPr>
                  <w:tcW w:w="675" w:type="dxa"/>
                  <w:vAlign w:val="center"/>
                </w:tcPr>
                <w:p w14:paraId="28F0148F">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162" w:type="dxa"/>
                </w:tcPr>
                <w:p w14:paraId="67A75EA5">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09FE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24" w:type="dxa"/>
                  <w:vMerge w:val="continue"/>
                  <w:vAlign w:val="center"/>
                </w:tcPr>
                <w:p w14:paraId="3E4A8CD2">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c>
                <w:tcPr>
                  <w:tcW w:w="914" w:type="dxa"/>
                  <w:vAlign w:val="center"/>
                </w:tcPr>
                <w:p w14:paraId="29B5DB12">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p>
              </w:tc>
              <w:tc>
                <w:tcPr>
                  <w:tcW w:w="4138" w:type="dxa"/>
                </w:tcPr>
                <w:p w14:paraId="3A0063FC">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负责多媒体教室及监控室的监控和管理，下课后认真检查设备，保证设备正常完好。定期检查和维护设备，发现故障立即排除或上报教务处，保证设备正常运行。一处不达标扣1分。</w:t>
                  </w:r>
                </w:p>
              </w:tc>
              <w:tc>
                <w:tcPr>
                  <w:tcW w:w="675" w:type="dxa"/>
                  <w:vAlign w:val="center"/>
                </w:tcPr>
                <w:p w14:paraId="1F533DEF">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15</w:t>
                  </w:r>
                </w:p>
              </w:tc>
              <w:tc>
                <w:tcPr>
                  <w:tcW w:w="1162" w:type="dxa"/>
                </w:tcPr>
                <w:p w14:paraId="71601790">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r w14:paraId="12F81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876" w:type="dxa"/>
                  <w:gridSpan w:val="3"/>
                  <w:vAlign w:val="center"/>
                </w:tcPr>
                <w:p w14:paraId="7F1B52AD">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合计</w:t>
                  </w:r>
                </w:p>
              </w:tc>
              <w:tc>
                <w:tcPr>
                  <w:tcW w:w="675" w:type="dxa"/>
                </w:tcPr>
                <w:p w14:paraId="266BBA95">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100</w:t>
                  </w:r>
                </w:p>
              </w:tc>
              <w:tc>
                <w:tcPr>
                  <w:tcW w:w="1162" w:type="dxa"/>
                </w:tcPr>
                <w:p w14:paraId="6BA48B05">
                  <w:pPr>
                    <w:keepNext w:val="0"/>
                    <w:keepLines w:val="0"/>
                    <w:pageBreakBefore w:val="0"/>
                    <w:widowControl/>
                    <w:kinsoku w:val="0"/>
                    <w:wordWrap/>
                    <w:overflowPunct/>
                    <w:topLinePunct w:val="0"/>
                    <w:autoSpaceDE w:val="0"/>
                    <w:autoSpaceDN w:val="0"/>
                    <w:bidi w:val="0"/>
                    <w:adjustRightInd w:val="0"/>
                    <w:snapToGrid w:val="0"/>
                    <w:spacing w:line="240" w:lineRule="auto"/>
                    <w:jc w:val="both"/>
                    <w:textAlignment w:val="baseline"/>
                    <w:rPr>
                      <w:rFonts w:hint="eastAsia" w:asciiTheme="minorEastAsia" w:hAnsiTheme="minorEastAsia" w:eastAsiaTheme="minorEastAsia" w:cstheme="minorEastAsia"/>
                      <w:sz w:val="24"/>
                      <w:szCs w:val="24"/>
                    </w:rPr>
                  </w:pPr>
                </w:p>
              </w:tc>
            </w:tr>
          </w:tbl>
          <w:p w14:paraId="3C7258D7">
            <w:pPr>
              <w:widowControl w:val="0"/>
              <w:spacing w:line="360" w:lineRule="auto"/>
              <w:jc w:val="both"/>
              <w:rPr>
                <w:rFonts w:hint="default" w:asciiTheme="minorEastAsia" w:hAnsiTheme="minorEastAsia" w:eastAsiaTheme="minorEastAsia" w:cstheme="minorEastAsia"/>
                <w:sz w:val="24"/>
                <w:szCs w:val="24"/>
                <w:lang w:val="en-US" w:eastAsia="zh-CN"/>
              </w:rPr>
            </w:pPr>
          </w:p>
        </w:tc>
      </w:tr>
      <w:tr w14:paraId="1CD3F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47" w:type="dxa"/>
          </w:tcPr>
          <w:p w14:paraId="6652524A">
            <w:pPr>
              <w:widowControl w:val="0"/>
              <w:spacing w:line="360" w:lineRule="auto"/>
              <w:jc w:val="both"/>
              <w:rPr>
                <w:rFonts w:hint="eastAsia" w:asciiTheme="minorEastAsia" w:hAnsiTheme="minorEastAsia" w:eastAsiaTheme="minorEastAsia" w:cstheme="minorEastAsia"/>
                <w:sz w:val="24"/>
                <w:szCs w:val="24"/>
                <w:lang w:val="en-US" w:eastAsia="zh-CN"/>
              </w:rPr>
            </w:pPr>
          </w:p>
        </w:tc>
        <w:tc>
          <w:tcPr>
            <w:tcW w:w="1338" w:type="dxa"/>
          </w:tcPr>
          <w:p w14:paraId="5715F509">
            <w:pPr>
              <w:widowControl w:val="0"/>
              <w:spacing w:line="360" w:lineRule="auto"/>
              <w:jc w:val="both"/>
              <w:rPr>
                <w:rFonts w:hint="eastAsia" w:asciiTheme="minorEastAsia" w:hAnsiTheme="minorEastAsia" w:eastAsiaTheme="minorEastAsia" w:cstheme="minorEastAsia"/>
                <w:sz w:val="24"/>
                <w:szCs w:val="24"/>
                <w:lang w:val="en-US" w:eastAsia="zh-CN"/>
              </w:rPr>
            </w:pPr>
          </w:p>
        </w:tc>
        <w:tc>
          <w:tcPr>
            <w:tcW w:w="8573" w:type="dxa"/>
            <w:vAlign w:val="top"/>
          </w:tcPr>
          <w:p w14:paraId="7CDBFF6A">
            <w:pPr>
              <w:widowControl w:val="0"/>
              <w:numPr>
                <w:ilvl w:val="0"/>
                <w:numId w:val="0"/>
              </w:numPr>
              <w:spacing w:line="480" w:lineRule="auto"/>
              <w:jc w:val="both"/>
              <w:rPr>
                <w:rFonts w:hint="eastAsia" w:ascii="宋体" w:hAnsi="宋体" w:eastAsia="宋体" w:cs="宋体"/>
                <w:sz w:val="24"/>
                <w:szCs w:val="24"/>
                <w:highlight w:val="none"/>
                <w:lang w:val="en-US" w:eastAsia="zh-CN"/>
              </w:rPr>
            </w:pPr>
            <w:r>
              <w:rPr>
                <w:rFonts w:hint="eastAsia" w:ascii="宋体" w:hAnsi="宋体" w:eastAsia="宋体" w:cs="宋体"/>
                <w:snapToGrid w:val="0"/>
                <w:color w:val="000000"/>
                <w:kern w:val="0"/>
                <w:sz w:val="24"/>
                <w:szCs w:val="24"/>
                <w:highlight w:val="none"/>
                <w:lang w:val="en-US" w:eastAsia="zh-CN" w:bidi="ar-SA"/>
              </w:rPr>
              <w:t>四、</w:t>
            </w:r>
            <w:r>
              <w:rPr>
                <w:rFonts w:hint="eastAsia" w:ascii="宋体" w:hAnsi="宋体" w:eastAsia="宋体" w:cs="宋体"/>
                <w:sz w:val="24"/>
                <w:szCs w:val="24"/>
                <w:highlight w:val="none"/>
                <w:lang w:val="en-US" w:eastAsia="zh-CN"/>
              </w:rPr>
              <w:t>下列费用均由物业公司承担，需包含在投标报价内。</w:t>
            </w:r>
          </w:p>
          <w:p w14:paraId="789F3C7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为固定总价包干模式，投标人报价应包含完成本招标文件所有服务内容及标准所需的全部费用，招标人不再另行支付任何费用。供应商需承担的费用具体如下，所有费用均需符合国家及内蒙古自治区相关收费标准及财务规定：</w:t>
            </w:r>
          </w:p>
          <w:p w14:paraId="4688EABD">
            <w:pPr>
              <w:widowControl w:val="0"/>
              <w:spacing w:line="480" w:lineRule="auto"/>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1.固定支出费用包含以下内容：</w:t>
            </w:r>
          </w:p>
          <w:p w14:paraId="5CFF1AD2">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（1）工作人员的人员工资、社会保险费、公积金、加班费用、工作服及劳保用品、福利费用、员工体检费等。</w:t>
            </w:r>
          </w:p>
          <w:p w14:paraId="646B965B">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（2）特种设备维保费用：电梯年检维保费用、高压配电设施维修费用</w:t>
            </w:r>
          </w:p>
          <w:p w14:paraId="0DE15B66">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（3）工具设备费用：维修工具费；绿化设备购置及维护费用、保洁工具费；投标人为完成服务配置的各类设备（如扫雪车、修剪机等）费用</w:t>
            </w:r>
          </w:p>
          <w:p w14:paraId="59A05900">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val="en-US" w:eastAsia="zh-CN"/>
              </w:rPr>
              <w:t>（4）物料及耗材费用：维修物料费：房屋及公共设施设备维修所需材</w:t>
            </w:r>
            <w:r>
              <w:rPr>
                <w:rFonts w:hint="eastAsia" w:ascii="宋体" w:hAnsi="宋体" w:eastAsia="宋体" w:cs="宋体"/>
                <w:sz w:val="24"/>
                <w:szCs w:val="24"/>
                <w:highlight w:val="none"/>
                <w:lang w:val="en-US" w:eastAsia="zh-CN"/>
              </w:rPr>
              <w:t>料</w:t>
            </w:r>
            <w:r>
              <w:rPr>
                <w:rFonts w:hint="eastAsia" w:ascii="宋体" w:hAnsi="宋体" w:eastAsia="宋体" w:cs="宋体"/>
                <w:b/>
                <w:bCs/>
                <w:sz w:val="24"/>
                <w:szCs w:val="24"/>
                <w:highlight w:val="none"/>
                <w:u w:val="single"/>
                <w:lang w:val="en-US" w:eastAsia="zh-CN"/>
              </w:rPr>
              <w:t>500</w:t>
            </w:r>
            <w:r>
              <w:rPr>
                <w:rFonts w:hint="eastAsia" w:ascii="宋体" w:hAnsi="宋体" w:eastAsia="宋体" w:cs="宋体"/>
                <w:sz w:val="24"/>
                <w:szCs w:val="24"/>
                <w:highlight w:val="none"/>
                <w:lang w:val="en-US" w:eastAsia="zh-CN"/>
              </w:rPr>
              <w:t>元以下（含）/次费用；保洁物料费：保洁用清洁剂、消毒剂、垃圾袋等耗材费用；办公用品费用：服务过程中所需办公文具、打印耗材等费用。</w:t>
            </w:r>
          </w:p>
          <w:p w14:paraId="3013F04A">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（5）专项服务及检测费用：1.环境检测费用：给排水系统水质检测费用（每半年度2次，包括自来水、所有电热水器）；2.保洁专项费用：垃圾转清运费用、外围玻璃清擦费用、污水井清理费用；3. 其他专项费用：绿化养护所需苗木、肥料、药剂等物料费用；</w:t>
            </w:r>
          </w:p>
          <w:p w14:paraId="7C55C988">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（6）运营管理费、按规定提取的三项经费、法定税金。</w:t>
            </w:r>
          </w:p>
        </w:tc>
      </w:tr>
      <w:tr w14:paraId="4F6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47" w:type="dxa"/>
          </w:tcPr>
          <w:p w14:paraId="3E17A9CD">
            <w:pPr>
              <w:widowControl w:val="0"/>
              <w:spacing w:line="360" w:lineRule="auto"/>
              <w:jc w:val="both"/>
              <w:rPr>
                <w:rFonts w:hint="eastAsia" w:asciiTheme="minorEastAsia" w:hAnsiTheme="minorEastAsia" w:eastAsiaTheme="minorEastAsia" w:cstheme="minorEastAsia"/>
                <w:sz w:val="24"/>
                <w:szCs w:val="24"/>
                <w:lang w:val="en-US" w:eastAsia="zh-CN"/>
              </w:rPr>
            </w:pPr>
          </w:p>
        </w:tc>
        <w:tc>
          <w:tcPr>
            <w:tcW w:w="1338" w:type="dxa"/>
            <w:vAlign w:val="center"/>
          </w:tcPr>
          <w:p w14:paraId="17243548">
            <w:pPr>
              <w:widowControl w:val="0"/>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w:t>
            </w:r>
          </w:p>
        </w:tc>
        <w:tc>
          <w:tcPr>
            <w:tcW w:w="8573" w:type="dxa"/>
            <w:vAlign w:val="top"/>
          </w:tcPr>
          <w:p w14:paraId="348247C4">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中标人需提供除投标客户端以外的分项报价表，分项报价表包含但不限于以下内容：（1）人员工资:根据《内蒙古自治区人民政府办公厅关于调整自治区最低工资标准的通知》内政办发2025)40号)文件规定的，人员工资不低于呼和浩特市一类地区月最低标准2380元/人/月)。</w:t>
            </w:r>
          </w:p>
          <w:p w14:paraId="7552F7AF">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（2）社会保险费：中标人必须严格按照《中华人民共和国劳动法》《中华人民共和国劳动合同法》相关条款，为全体服务人员按内蒙古自治区呼和浩特市最新社保缴费基数购买社会保险。</w:t>
            </w:r>
          </w:p>
          <w:p w14:paraId="2083451D">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（3）固定支出费用：</w:t>
            </w:r>
            <w:r>
              <w:rPr>
                <w:rFonts w:hint="eastAsia" w:ascii="宋体" w:hAnsi="宋体" w:eastAsia="宋体" w:cs="宋体"/>
                <w:sz w:val="24"/>
                <w:szCs w:val="24"/>
                <w:highlight w:val="none"/>
                <w:lang w:val="en-US" w:eastAsia="zh-CN"/>
              </w:rPr>
              <w:t>电梯年检维保费用、高压配电设施维修费用、水质检测费用、垃圾转清运费用、外围玻璃清擦费用、污水井清理费用。</w:t>
            </w:r>
          </w:p>
          <w:p w14:paraId="59C9CEE6">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（4）加班费用、工作服及劳保用品、福利费用、员工体检费等相关法律法规规定其它用工成本费用；</w:t>
            </w:r>
          </w:p>
          <w:p w14:paraId="089766EA">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eastAsia="Arial" w:cs="宋体"/>
                <w:sz w:val="24"/>
                <w:szCs w:val="24"/>
                <w:lang w:val="en-US" w:eastAsia="zh-CN"/>
              </w:rPr>
              <w:t>运营管理费、</w:t>
            </w:r>
            <w:r>
              <w:rPr>
                <w:rFonts w:hint="eastAsia" w:ascii="宋体" w:hAnsi="宋体" w:cs="宋体"/>
                <w:sz w:val="24"/>
                <w:szCs w:val="24"/>
                <w:highlight w:val="none"/>
                <w:lang w:val="en-US" w:eastAsia="zh-CN"/>
              </w:rPr>
              <w:t>按规定提取的三项经费、</w:t>
            </w:r>
            <w:r>
              <w:rPr>
                <w:rFonts w:hint="eastAsia" w:ascii="宋体" w:hAnsi="宋体" w:eastAsia="Arial" w:cs="宋体"/>
                <w:sz w:val="24"/>
                <w:szCs w:val="24"/>
                <w:lang w:val="en-US" w:eastAsia="zh-CN"/>
              </w:rPr>
              <w:t>利润</w:t>
            </w:r>
          </w:p>
          <w:p w14:paraId="69D21A73">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（6）法定税金。</w:t>
            </w:r>
          </w:p>
        </w:tc>
      </w:tr>
    </w:tbl>
    <w:p w14:paraId="6236B7BF">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8"/>
          <w:szCs w:val="28"/>
          <w:lang w:eastAsia="zh-CN"/>
        </w:rPr>
        <w:t>注：打“★"号条款为实质性条款，若有任何一条负偏离或不满足则导致响应无效。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9F10A6"/>
    <w:rsid w:val="10252844"/>
    <w:rsid w:val="139C446F"/>
    <w:rsid w:val="3BCF2878"/>
    <w:rsid w:val="439F10A6"/>
    <w:rsid w:val="67670C2E"/>
    <w:rsid w:val="7F493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360" w:lineRule="exact"/>
      <w:outlineLvl w:val="2"/>
    </w:pPr>
    <w:rPr>
      <w:bCs/>
    </w:rPr>
  </w:style>
  <w:style w:type="paragraph" w:styleId="3">
    <w:name w:val="heading 4"/>
    <w:basedOn w:val="1"/>
    <w:next w:val="1"/>
    <w:unhideWhenUsed/>
    <w:qFormat/>
    <w:uiPriority w:val="0"/>
    <w:pPr>
      <w:keepNext/>
      <w:keepLines/>
      <w:spacing w:before="100" w:beforeLines="100" w:beforeAutospacing="0" w:after="100" w:afterLines="100" w:afterAutospacing="0" w:line="360" w:lineRule="auto"/>
      <w:outlineLvl w:val="3"/>
    </w:pPr>
    <w:rPr>
      <w:rFonts w:ascii="Arial" w:hAnsi="Arial" w:eastAsia="宋体"/>
      <w:b/>
      <w:sz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index 8"/>
    <w:basedOn w:val="1"/>
    <w:next w:val="1"/>
    <w:semiHidden/>
    <w:qFormat/>
    <w:uiPriority w:val="0"/>
    <w:pPr>
      <w:ind w:left="1400" w:leftChars="1400"/>
    </w:pPr>
  </w:style>
  <w:style w:type="paragraph" w:styleId="5">
    <w:name w:val="annotation text"/>
    <w:basedOn w:val="1"/>
    <w:qFormat/>
    <w:uiPriority w:val="0"/>
    <w:pPr>
      <w:jc w:val="left"/>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75</Pages>
  <Words>17666</Words>
  <Characters>18251</Characters>
  <Lines>0</Lines>
  <Paragraphs>0</Paragraphs>
  <TotalTime>167</TotalTime>
  <ScaleCrop>false</ScaleCrop>
  <LinksUpToDate>false</LinksUpToDate>
  <CharactersWithSpaces>18371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2026-02-10T06:51:00Z</dcterms:created>
  <dc:creator>o(∩_∩)o</dc:creator>
  <cp:lastModifiedBy>o(∩_∩)o</cp:lastModifiedBy>
  <dcterms:modified xsi:type="dcterms:W3CDTF">2026-02-26T02:46:15Z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40C6E41387944DFBAE8C5CBD3D429BDF_11</vt:lpwstr>
  </property>
  <property fmtid="{D5CDD505-2E9C-101B-9397-08002B2CF9AE}" pid="4" name="KSOTemplateDocerSaveRecord">
    <vt:lpwstr>eyJoZGlkIjoiMjY0NDk2ZGUyNWRjZjA0M2RmZGE1ZjdlNzhlZWQyODgiLCJ1c2VySWQiOiIyOTA4MjY0NTAifQ==</vt:lpwstr>
  </property>
</Properties>
</file>