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附件1：</w:t>
      </w:r>
    </w:p>
    <w:p>
      <w:pPr>
        <w:spacing w:line="6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锡林郭勒盟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政府采购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电子卖场货物类供应商常态化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补充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征集具体品目</w:t>
      </w:r>
    </w:p>
    <w:bookmarkEnd w:id="0"/>
    <w:p>
      <w:pPr>
        <w:rPr>
          <w:rFonts w:ascii="华文宋体" w:hAnsi="华文宋体" w:eastAsia="华文宋体" w:cs="华文宋体"/>
          <w:sz w:val="24"/>
          <w:szCs w:val="24"/>
        </w:rPr>
      </w:pPr>
    </w:p>
    <w:tbl>
      <w:tblPr>
        <w:tblStyle w:val="4"/>
        <w:tblW w:w="84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94"/>
        <w:gridCol w:w="5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3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政府采购</w:t>
            </w:r>
            <w:r>
              <w:rPr>
                <w:rFonts w:hint="eastAsia" w:ascii="华文宋体" w:hAnsi="华文宋体" w:eastAsia="华文宋体" w:cs="华文宋体"/>
                <w:b/>
                <w:bCs/>
                <w:color w:val="000000"/>
                <w:kern w:val="0"/>
                <w:sz w:val="36"/>
                <w:szCs w:val="36"/>
              </w:rPr>
              <w:t>电子卖场平台乘用车目录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品目名称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8CCE4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A020305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乘用车（轿车）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包括驾驶员座位在内不超过（含）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9个座位。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A02030501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轿车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A02030502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越野车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A02030503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商务车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A02030599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其他乘用车（轿车）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A020306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客车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A02030601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小型客车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除驾驶员座位外，座位数超过9座，但不超过（含）16座。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A02030602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大中型客车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除驾驶员座位外，座位数超过（含）</w:t>
            </w:r>
            <w:r>
              <w:rPr>
                <w:rFonts w:hint="eastAsia"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  <w:t>16座。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A02030699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kern w:val="0"/>
                <w:sz w:val="24"/>
                <w:szCs w:val="24"/>
              </w:rPr>
              <w:t>其他客车</w:t>
            </w:r>
          </w:p>
        </w:tc>
        <w:tc>
          <w:tcPr>
            <w:tcW w:w="5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宋体" w:hAnsi="华文宋体" w:eastAsia="华文宋体" w:cs="华文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华文宋体" w:hAnsi="华文宋体" w:eastAsia="华文宋体" w:cs="华文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WFlYWRjNzEzZGJhNTcwMjNhMjBkMmE5OTFjOGEifQ=="/>
  </w:docVars>
  <w:rsids>
    <w:rsidRoot w:val="0069704F"/>
    <w:rsid w:val="00021E58"/>
    <w:rsid w:val="0008100B"/>
    <w:rsid w:val="001D786C"/>
    <w:rsid w:val="00613481"/>
    <w:rsid w:val="0069704F"/>
    <w:rsid w:val="2B9E11DD"/>
    <w:rsid w:val="3295021D"/>
    <w:rsid w:val="33412CE8"/>
    <w:rsid w:val="3CB621C4"/>
    <w:rsid w:val="458661B6"/>
    <w:rsid w:val="6EB855F5"/>
    <w:rsid w:val="704C0A9F"/>
    <w:rsid w:val="7562016B"/>
    <w:rsid w:val="7FFFA91F"/>
    <w:rsid w:val="DFEF7382"/>
    <w:rsid w:val="F7F556A5"/>
    <w:rsid w:val="FB4D91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238</Characters>
  <Lines>10</Lines>
  <Paragraphs>2</Paragraphs>
  <TotalTime>1</TotalTime>
  <ScaleCrop>false</ScaleCrop>
  <LinksUpToDate>false</LinksUpToDate>
  <CharactersWithSpaces>238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2022-03-22T07:32:00Z</dcterms:created>
  <dc:creator>mayang@bosssoft.com.cn</dc:creator>
  <cp:lastModifiedBy>颠倒</cp:lastModifiedBy>
  <dcterms:modified xsi:type="dcterms:W3CDTF">2022-06-09T02:07:13Z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BF0B5FE88A0442DD8CB7B25DF2079741</vt:lpwstr>
  </property>
</Properties>
</file>